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8" w:type="dxa"/>
        <w:tblLayout w:type="fixed"/>
        <w:tblCellMar>
          <w:left w:w="70" w:type="dxa"/>
          <w:right w:w="70" w:type="dxa"/>
        </w:tblCellMar>
        <w:tblLook w:val="0000" w:firstRow="0" w:lastRow="0" w:firstColumn="0" w:lastColumn="0" w:noHBand="0" w:noVBand="0"/>
      </w:tblPr>
      <w:tblGrid>
        <w:gridCol w:w="1913"/>
        <w:gridCol w:w="2759"/>
        <w:gridCol w:w="290"/>
        <w:gridCol w:w="4556"/>
        <w:gridCol w:w="70"/>
      </w:tblGrid>
      <w:tr w:rsidR="00E12ECD" w:rsidRPr="0084150A" w14:paraId="2CFED0AE" w14:textId="77777777" w:rsidTr="004179E9">
        <w:trPr>
          <w:gridAfter w:val="1"/>
          <w:wAfter w:w="70" w:type="dxa"/>
          <w:trHeight w:val="360"/>
        </w:trPr>
        <w:tc>
          <w:tcPr>
            <w:tcW w:w="4672" w:type="dxa"/>
            <w:gridSpan w:val="2"/>
          </w:tcPr>
          <w:p w14:paraId="57F697B4" w14:textId="5A828E49" w:rsidR="00E12ECD" w:rsidRPr="0084150A" w:rsidRDefault="00E12ECD" w:rsidP="00E12ECD">
            <w:pPr>
              <w:pStyle w:val="zSoquijdatRepertorie"/>
              <w:jc w:val="both"/>
              <w:rPr>
                <w:rFonts w:cs="Arial"/>
                <w:sz w:val="24"/>
                <w:szCs w:val="24"/>
                <w:lang w:val="en-CA"/>
              </w:rPr>
            </w:pPr>
            <w:r>
              <w:rPr>
                <w:rFonts w:cs="Arial"/>
              </w:rPr>
              <w:t>Autorité des marchés financiers c. Gauthier</w:t>
            </w:r>
          </w:p>
        </w:tc>
        <w:tc>
          <w:tcPr>
            <w:tcW w:w="4846" w:type="dxa"/>
            <w:gridSpan w:val="2"/>
          </w:tcPr>
          <w:p w14:paraId="2A26C921" w14:textId="5D997137" w:rsidR="00E12ECD" w:rsidRPr="0084150A" w:rsidRDefault="00E12ECD" w:rsidP="00E12ECD">
            <w:pPr>
              <w:pStyle w:val="zSoquijdatRefNeutre"/>
              <w:jc w:val="right"/>
              <w:rPr>
                <w:rFonts w:cs="Arial"/>
                <w:sz w:val="24"/>
                <w:szCs w:val="24"/>
                <w:lang w:val="en-CA"/>
              </w:rPr>
            </w:pPr>
            <w:r w:rsidRPr="00D254AE">
              <w:rPr>
                <w:rFonts w:cs="Arial"/>
              </w:rPr>
              <w:t>2024 QCTMF 26</w:t>
            </w:r>
          </w:p>
        </w:tc>
      </w:tr>
      <w:tr w:rsidR="00B013BB" w:rsidRPr="0084150A" w14:paraId="5FB2338B" w14:textId="77777777" w:rsidTr="004179E9">
        <w:trPr>
          <w:gridAfter w:val="1"/>
          <w:wAfter w:w="70" w:type="dxa"/>
          <w:trHeight w:val="900"/>
        </w:trPr>
        <w:tc>
          <w:tcPr>
            <w:tcW w:w="9518" w:type="dxa"/>
            <w:gridSpan w:val="4"/>
            <w:vAlign w:val="bottom"/>
          </w:tcPr>
          <w:p w14:paraId="469866F2" w14:textId="77777777" w:rsidR="00B4030F" w:rsidRPr="005E07F3" w:rsidRDefault="005D25C5" w:rsidP="00F535BE">
            <w:pPr>
              <w:pStyle w:val="zSoquijlblCour"/>
              <w:rPr>
                <w:rFonts w:cs="Arial"/>
                <w:sz w:val="24"/>
                <w:szCs w:val="24"/>
                <w:lang w:val="en-CA"/>
              </w:rPr>
            </w:pPr>
            <w:r w:rsidRPr="005E07F3">
              <w:rPr>
                <w:rFonts w:cs="Arial"/>
                <w:szCs w:val="32"/>
                <w:lang w:val="en-CA"/>
              </w:rPr>
              <w:t>FINANCIAL MARKETS ADMINISTRATIVE TRIBUNAL</w:t>
            </w:r>
          </w:p>
        </w:tc>
      </w:tr>
      <w:tr w:rsidR="00B013BB" w:rsidRPr="0084150A" w14:paraId="39A0690A" w14:textId="77777777" w:rsidTr="004179E9">
        <w:trPr>
          <w:gridAfter w:val="1"/>
          <w:wAfter w:w="70" w:type="dxa"/>
          <w:trHeight w:val="540"/>
        </w:trPr>
        <w:tc>
          <w:tcPr>
            <w:tcW w:w="9518" w:type="dxa"/>
            <w:gridSpan w:val="4"/>
          </w:tcPr>
          <w:p w14:paraId="52704F56" w14:textId="77777777" w:rsidR="00B4030F" w:rsidRPr="0084150A" w:rsidRDefault="00B4030F" w:rsidP="001E16C6">
            <w:pPr>
              <w:pStyle w:val="zSoquijdatDivision"/>
              <w:jc w:val="both"/>
              <w:rPr>
                <w:rFonts w:cs="Arial"/>
                <w:sz w:val="24"/>
                <w:szCs w:val="24"/>
                <w:lang w:val="en-CA"/>
              </w:rPr>
            </w:pPr>
          </w:p>
        </w:tc>
      </w:tr>
      <w:tr w:rsidR="00B013BB" w:rsidRPr="0084150A" w14:paraId="125C2CA5" w14:textId="77777777" w:rsidTr="004179E9">
        <w:trPr>
          <w:gridAfter w:val="1"/>
          <w:wAfter w:w="70" w:type="dxa"/>
        </w:trPr>
        <w:tc>
          <w:tcPr>
            <w:tcW w:w="9518" w:type="dxa"/>
            <w:gridSpan w:val="4"/>
          </w:tcPr>
          <w:p w14:paraId="59EA7375" w14:textId="77777777" w:rsidR="00B4030F" w:rsidRPr="005E07F3" w:rsidRDefault="005D25C5" w:rsidP="001E16C6">
            <w:pPr>
              <w:pStyle w:val="zSoquijlblPays"/>
              <w:jc w:val="both"/>
              <w:rPr>
                <w:rFonts w:cs="Arial"/>
                <w:szCs w:val="24"/>
                <w:lang w:val="en-CA"/>
              </w:rPr>
            </w:pPr>
            <w:r w:rsidRPr="005E07F3">
              <w:rPr>
                <w:rFonts w:cs="Arial"/>
                <w:szCs w:val="24"/>
                <w:lang w:val="en-CA"/>
              </w:rPr>
              <w:t>CANADA</w:t>
            </w:r>
          </w:p>
        </w:tc>
      </w:tr>
      <w:tr w:rsidR="00B013BB" w:rsidRPr="0084150A" w14:paraId="4F792E28" w14:textId="77777777" w:rsidTr="004179E9">
        <w:trPr>
          <w:gridAfter w:val="1"/>
          <w:wAfter w:w="70" w:type="dxa"/>
        </w:trPr>
        <w:tc>
          <w:tcPr>
            <w:tcW w:w="9518" w:type="dxa"/>
            <w:gridSpan w:val="4"/>
          </w:tcPr>
          <w:p w14:paraId="752960F3" w14:textId="77777777" w:rsidR="00B4030F" w:rsidRPr="005E07F3" w:rsidRDefault="005D25C5" w:rsidP="001E16C6">
            <w:pPr>
              <w:pStyle w:val="zSoquijlblProvince"/>
              <w:jc w:val="both"/>
              <w:rPr>
                <w:rFonts w:cs="Arial"/>
                <w:szCs w:val="24"/>
                <w:lang w:val="en-CA"/>
              </w:rPr>
            </w:pPr>
            <w:r w:rsidRPr="005E07F3">
              <w:rPr>
                <w:rFonts w:cs="Arial"/>
                <w:szCs w:val="24"/>
                <w:lang w:val="en-CA"/>
              </w:rPr>
              <w:t>PROVINCE OF QUEBEC</w:t>
            </w:r>
          </w:p>
        </w:tc>
      </w:tr>
      <w:tr w:rsidR="00B013BB" w:rsidRPr="0084150A" w14:paraId="6CDC5BA5" w14:textId="77777777" w:rsidTr="004179E9">
        <w:trPr>
          <w:gridAfter w:val="1"/>
          <w:wAfter w:w="70" w:type="dxa"/>
        </w:trPr>
        <w:tc>
          <w:tcPr>
            <w:tcW w:w="9518" w:type="dxa"/>
            <w:gridSpan w:val="4"/>
          </w:tcPr>
          <w:p w14:paraId="76EC9350" w14:textId="77777777" w:rsidR="00EB39E3" w:rsidRPr="005E07F3" w:rsidRDefault="005D25C5" w:rsidP="001E16C6">
            <w:pPr>
              <w:pStyle w:val="zSoquijdatGreffe"/>
              <w:ind w:left="0"/>
              <w:jc w:val="both"/>
              <w:rPr>
                <w:rFonts w:cs="Arial"/>
                <w:szCs w:val="24"/>
                <w:lang w:val="en-CA"/>
              </w:rPr>
            </w:pPr>
            <w:r w:rsidRPr="005E07F3">
              <w:rPr>
                <w:rFonts w:cs="Arial"/>
                <w:szCs w:val="24"/>
                <w:lang w:val="en-CA"/>
              </w:rPr>
              <w:t>MONTREAL</w:t>
            </w:r>
          </w:p>
        </w:tc>
      </w:tr>
      <w:tr w:rsidR="00B013BB" w:rsidRPr="0084150A" w14:paraId="1DFFE8EA" w14:textId="77777777" w:rsidTr="004179E9">
        <w:trPr>
          <w:gridAfter w:val="1"/>
          <w:wAfter w:w="70" w:type="dxa"/>
          <w:trHeight w:val="540"/>
        </w:trPr>
        <w:tc>
          <w:tcPr>
            <w:tcW w:w="9518" w:type="dxa"/>
            <w:gridSpan w:val="4"/>
          </w:tcPr>
          <w:p w14:paraId="5CB4C53F" w14:textId="77777777" w:rsidR="00B4030F" w:rsidRPr="0084150A" w:rsidRDefault="00B4030F" w:rsidP="001E16C6">
            <w:pPr>
              <w:pStyle w:val="zSoquijlblNomChambre"/>
              <w:jc w:val="both"/>
              <w:rPr>
                <w:rFonts w:cs="Arial"/>
                <w:szCs w:val="24"/>
                <w:lang w:val="en-CA"/>
              </w:rPr>
            </w:pPr>
          </w:p>
        </w:tc>
      </w:tr>
      <w:tr w:rsidR="00B013BB" w:rsidRPr="0084150A" w14:paraId="669AF9FE" w14:textId="77777777" w:rsidTr="004179E9">
        <w:trPr>
          <w:gridAfter w:val="1"/>
          <w:wAfter w:w="70" w:type="dxa"/>
        </w:trPr>
        <w:tc>
          <w:tcPr>
            <w:tcW w:w="1913" w:type="dxa"/>
          </w:tcPr>
          <w:p w14:paraId="7D97297A" w14:textId="77777777" w:rsidR="00B4030F" w:rsidRPr="005E07F3" w:rsidRDefault="005D25C5" w:rsidP="001E16C6">
            <w:pPr>
              <w:pStyle w:val="zSoquijlblNoDossier"/>
              <w:jc w:val="both"/>
              <w:rPr>
                <w:rFonts w:cs="Arial"/>
                <w:szCs w:val="24"/>
                <w:lang w:val="en-CA"/>
              </w:rPr>
            </w:pPr>
            <w:r w:rsidRPr="005E07F3">
              <w:rPr>
                <w:rFonts w:cs="Arial"/>
                <w:szCs w:val="24"/>
                <w:lang w:val="en-CA"/>
              </w:rPr>
              <w:t>FILE NO.:</w:t>
            </w:r>
          </w:p>
        </w:tc>
        <w:tc>
          <w:tcPr>
            <w:tcW w:w="7605" w:type="dxa"/>
            <w:gridSpan w:val="3"/>
          </w:tcPr>
          <w:p w14:paraId="2B1F30AC" w14:textId="31A7573B" w:rsidR="00B4030F" w:rsidRPr="0084150A" w:rsidRDefault="005D25C5" w:rsidP="001E16C6">
            <w:pPr>
              <w:pStyle w:val="zSoquijdatNoDossier"/>
              <w:jc w:val="both"/>
              <w:rPr>
                <w:rFonts w:cs="Arial"/>
                <w:szCs w:val="24"/>
                <w:lang w:val="en-CA"/>
              </w:rPr>
            </w:pPr>
            <w:r w:rsidRPr="0084150A">
              <w:rPr>
                <w:rFonts w:cs="Arial"/>
                <w:szCs w:val="24"/>
                <w:lang w:val="en-CA"/>
              </w:rPr>
              <w:t>2021-014</w:t>
            </w:r>
          </w:p>
        </w:tc>
      </w:tr>
      <w:tr w:rsidR="00B013BB" w:rsidRPr="0084150A" w14:paraId="4F9761A0" w14:textId="77777777" w:rsidTr="004179E9">
        <w:trPr>
          <w:gridAfter w:val="1"/>
          <w:wAfter w:w="70" w:type="dxa"/>
        </w:trPr>
        <w:tc>
          <w:tcPr>
            <w:tcW w:w="9518" w:type="dxa"/>
            <w:gridSpan w:val="4"/>
          </w:tcPr>
          <w:p w14:paraId="6275785D" w14:textId="77777777" w:rsidR="00EB39E3" w:rsidRPr="0084150A" w:rsidRDefault="00EB39E3" w:rsidP="001E16C6">
            <w:pPr>
              <w:jc w:val="both"/>
              <w:rPr>
                <w:rFonts w:cs="Arial"/>
                <w:szCs w:val="24"/>
                <w:lang w:val="en-CA"/>
              </w:rPr>
            </w:pPr>
          </w:p>
        </w:tc>
      </w:tr>
      <w:tr w:rsidR="00B013BB" w:rsidRPr="0084150A" w14:paraId="1F4723CD" w14:textId="77777777" w:rsidTr="004179E9">
        <w:trPr>
          <w:gridAfter w:val="1"/>
          <w:wAfter w:w="70" w:type="dxa"/>
        </w:trPr>
        <w:tc>
          <w:tcPr>
            <w:tcW w:w="1913" w:type="dxa"/>
          </w:tcPr>
          <w:p w14:paraId="7D8908CB" w14:textId="77777777" w:rsidR="00EB39E3" w:rsidRPr="005E07F3" w:rsidRDefault="005D25C5" w:rsidP="001E16C6">
            <w:pPr>
              <w:pStyle w:val="zSoquijlblNoDossier"/>
              <w:jc w:val="both"/>
              <w:rPr>
                <w:rFonts w:cs="Arial"/>
                <w:szCs w:val="24"/>
                <w:lang w:val="en-CA"/>
              </w:rPr>
            </w:pPr>
            <w:r w:rsidRPr="005E07F3">
              <w:rPr>
                <w:rFonts w:cs="Arial"/>
                <w:szCs w:val="24"/>
                <w:lang w:val="en-CA"/>
              </w:rPr>
              <w:t>DECISION NO.:</w:t>
            </w:r>
          </w:p>
        </w:tc>
        <w:tc>
          <w:tcPr>
            <w:tcW w:w="7605" w:type="dxa"/>
            <w:gridSpan w:val="3"/>
          </w:tcPr>
          <w:p w14:paraId="0D235381" w14:textId="2B08C7A6" w:rsidR="00EB39E3" w:rsidRPr="0084150A" w:rsidRDefault="005C181B" w:rsidP="001E16C6">
            <w:pPr>
              <w:pStyle w:val="zSoquijdatNoDossier"/>
              <w:jc w:val="both"/>
              <w:rPr>
                <w:rFonts w:cs="Arial"/>
                <w:szCs w:val="24"/>
                <w:lang w:val="en-CA"/>
              </w:rPr>
            </w:pPr>
            <w:r w:rsidRPr="0084150A">
              <w:rPr>
                <w:rFonts w:cs="Arial"/>
                <w:szCs w:val="24"/>
                <w:lang w:val="en-CA"/>
              </w:rPr>
              <w:t>2021-014-002</w:t>
            </w:r>
          </w:p>
        </w:tc>
      </w:tr>
      <w:tr w:rsidR="00B013BB" w:rsidRPr="0084150A" w14:paraId="21394006" w14:textId="77777777" w:rsidTr="004179E9">
        <w:trPr>
          <w:gridAfter w:val="1"/>
          <w:wAfter w:w="70" w:type="dxa"/>
          <w:cantSplit/>
          <w:trHeight w:val="235"/>
        </w:trPr>
        <w:tc>
          <w:tcPr>
            <w:tcW w:w="9518" w:type="dxa"/>
            <w:gridSpan w:val="4"/>
          </w:tcPr>
          <w:p w14:paraId="07354233" w14:textId="77777777" w:rsidR="00B4030F" w:rsidRPr="0084150A" w:rsidRDefault="00B4030F" w:rsidP="001E16C6">
            <w:pPr>
              <w:jc w:val="both"/>
              <w:rPr>
                <w:rFonts w:cs="Arial"/>
                <w:szCs w:val="24"/>
                <w:lang w:val="en-CA"/>
              </w:rPr>
            </w:pPr>
          </w:p>
        </w:tc>
      </w:tr>
      <w:tr w:rsidR="00B013BB" w:rsidRPr="0084150A" w14:paraId="4FA46CF5" w14:textId="77777777" w:rsidTr="004179E9">
        <w:trPr>
          <w:gridAfter w:val="1"/>
          <w:wAfter w:w="70" w:type="dxa"/>
        </w:trPr>
        <w:tc>
          <w:tcPr>
            <w:tcW w:w="1913" w:type="dxa"/>
          </w:tcPr>
          <w:p w14:paraId="2C59E113" w14:textId="77777777" w:rsidR="00B4030F" w:rsidRPr="005E07F3" w:rsidRDefault="005D25C5" w:rsidP="001E16C6">
            <w:pPr>
              <w:pStyle w:val="zSoquijlblDateJugement"/>
              <w:jc w:val="both"/>
              <w:rPr>
                <w:rFonts w:cs="Arial"/>
                <w:szCs w:val="24"/>
                <w:lang w:val="en-CA"/>
              </w:rPr>
            </w:pPr>
            <w:r w:rsidRPr="005E07F3">
              <w:rPr>
                <w:rFonts w:cs="Arial"/>
                <w:szCs w:val="24"/>
                <w:lang w:val="en-CA"/>
              </w:rPr>
              <w:t>DATE:</w:t>
            </w:r>
          </w:p>
        </w:tc>
        <w:tc>
          <w:tcPr>
            <w:tcW w:w="7605" w:type="dxa"/>
            <w:gridSpan w:val="3"/>
          </w:tcPr>
          <w:p w14:paraId="0F1C66E7" w14:textId="0EE5EF47" w:rsidR="00B4030F" w:rsidRPr="0084150A" w:rsidRDefault="00F42A32" w:rsidP="001E16C6">
            <w:pPr>
              <w:pStyle w:val="zSoquijdatDateJugement"/>
              <w:jc w:val="both"/>
              <w:rPr>
                <w:rFonts w:cs="Arial"/>
                <w:szCs w:val="24"/>
                <w:lang w:val="en-CA"/>
              </w:rPr>
            </w:pPr>
            <w:r w:rsidRPr="0084150A">
              <w:rPr>
                <w:rFonts w:cs="Arial"/>
                <w:szCs w:val="24"/>
                <w:lang w:val="en-CA"/>
              </w:rPr>
              <w:t>May 24, 2024</w:t>
            </w:r>
          </w:p>
        </w:tc>
      </w:tr>
      <w:tr w:rsidR="00B013BB" w:rsidRPr="0084150A" w14:paraId="5574E262" w14:textId="77777777" w:rsidTr="004179E9">
        <w:trPr>
          <w:gridAfter w:val="1"/>
          <w:wAfter w:w="70" w:type="dxa"/>
        </w:trPr>
        <w:tc>
          <w:tcPr>
            <w:tcW w:w="9518" w:type="dxa"/>
            <w:gridSpan w:val="4"/>
            <w:tcBorders>
              <w:bottom w:val="single" w:sz="4" w:space="0" w:color="auto"/>
            </w:tcBorders>
          </w:tcPr>
          <w:p w14:paraId="71F4BFF4" w14:textId="65279DFA" w:rsidR="00B4030F" w:rsidRPr="0084150A" w:rsidRDefault="00B4030F" w:rsidP="001E16C6">
            <w:pPr>
              <w:ind w:left="14" w:right="-67"/>
              <w:jc w:val="both"/>
              <w:rPr>
                <w:rFonts w:cs="Arial"/>
                <w:szCs w:val="24"/>
                <w:lang w:val="en-CA"/>
              </w:rPr>
            </w:pPr>
          </w:p>
        </w:tc>
      </w:tr>
      <w:tr w:rsidR="00B013BB" w:rsidRPr="0084150A" w14:paraId="0EC5D8B0" w14:textId="77777777" w:rsidTr="004179E9">
        <w:trPr>
          <w:gridAfter w:val="1"/>
          <w:wAfter w:w="70" w:type="dxa"/>
        </w:trPr>
        <w:tc>
          <w:tcPr>
            <w:tcW w:w="9518" w:type="dxa"/>
            <w:gridSpan w:val="4"/>
            <w:tcBorders>
              <w:top w:val="single" w:sz="4" w:space="0" w:color="auto"/>
            </w:tcBorders>
          </w:tcPr>
          <w:p w14:paraId="001DB56D" w14:textId="77777777" w:rsidR="00B4030F" w:rsidRPr="0084150A" w:rsidRDefault="00B4030F" w:rsidP="001E16C6">
            <w:pPr>
              <w:jc w:val="both"/>
              <w:rPr>
                <w:rFonts w:cs="Arial"/>
                <w:szCs w:val="24"/>
                <w:lang w:val="en-CA"/>
              </w:rPr>
            </w:pPr>
          </w:p>
        </w:tc>
      </w:tr>
      <w:tr w:rsidR="00B013BB" w:rsidRPr="0084150A" w14:paraId="1CDA4CBC" w14:textId="77777777" w:rsidTr="005C181B">
        <w:tblPrEx>
          <w:tblCellMar>
            <w:left w:w="0" w:type="dxa"/>
            <w:right w:w="0" w:type="dxa"/>
          </w:tblCellMar>
        </w:tblPrEx>
        <w:tc>
          <w:tcPr>
            <w:tcW w:w="4962" w:type="dxa"/>
            <w:gridSpan w:val="3"/>
          </w:tcPr>
          <w:p w14:paraId="5716935B" w14:textId="6B5C9780" w:rsidR="00D201EF" w:rsidRPr="005E07F3" w:rsidRDefault="00374C0F" w:rsidP="001E16C6">
            <w:pPr>
              <w:pStyle w:val="zSoquijdatQteJuge"/>
              <w:jc w:val="both"/>
              <w:rPr>
                <w:rFonts w:cs="Arial"/>
                <w:szCs w:val="24"/>
                <w:lang w:val="en-CA"/>
              </w:rPr>
            </w:pPr>
            <w:r w:rsidRPr="005E07F3">
              <w:rPr>
                <w:rFonts w:cs="Arial"/>
                <w:szCs w:val="24"/>
                <w:lang w:val="en-CA"/>
              </w:rPr>
              <w:t>BEFORE THE ADMINISTRATIVE JUDGES:</w:t>
            </w:r>
          </w:p>
        </w:tc>
        <w:tc>
          <w:tcPr>
            <w:tcW w:w="4626" w:type="dxa"/>
            <w:gridSpan w:val="2"/>
          </w:tcPr>
          <w:p w14:paraId="181FF3D7" w14:textId="55573AA0" w:rsidR="00D201EF" w:rsidRPr="005E07F3" w:rsidRDefault="005D25C5" w:rsidP="001E16C6">
            <w:pPr>
              <w:pStyle w:val="zSoquijdatJuge"/>
              <w:jc w:val="both"/>
              <w:rPr>
                <w:rFonts w:cs="Arial"/>
                <w:szCs w:val="24"/>
                <w:lang w:val="en-CA"/>
              </w:rPr>
            </w:pPr>
            <w:r w:rsidRPr="005E07F3">
              <w:rPr>
                <w:rFonts w:cs="Arial"/>
                <w:szCs w:val="24"/>
                <w:lang w:val="en-CA"/>
              </w:rPr>
              <w:t>ANTONIETTA MELCHIORRE</w:t>
            </w:r>
          </w:p>
        </w:tc>
      </w:tr>
      <w:tr w:rsidR="00B013BB" w:rsidRPr="0084150A" w14:paraId="2E67D434" w14:textId="77777777" w:rsidTr="005C181B">
        <w:tblPrEx>
          <w:tblCellMar>
            <w:left w:w="0" w:type="dxa"/>
            <w:right w:w="0" w:type="dxa"/>
          </w:tblCellMar>
        </w:tblPrEx>
        <w:tc>
          <w:tcPr>
            <w:tcW w:w="4962" w:type="dxa"/>
            <w:gridSpan w:val="3"/>
          </w:tcPr>
          <w:p w14:paraId="722E0D9B" w14:textId="77777777" w:rsidR="005C181B" w:rsidRPr="0084150A" w:rsidRDefault="005C181B" w:rsidP="001E16C6">
            <w:pPr>
              <w:pStyle w:val="zSoquijdatQteJuge"/>
              <w:jc w:val="both"/>
              <w:rPr>
                <w:rFonts w:cs="Arial"/>
                <w:szCs w:val="24"/>
                <w:lang w:val="en-CA"/>
              </w:rPr>
            </w:pPr>
          </w:p>
        </w:tc>
        <w:tc>
          <w:tcPr>
            <w:tcW w:w="4626" w:type="dxa"/>
            <w:gridSpan w:val="2"/>
          </w:tcPr>
          <w:p w14:paraId="6BCCE486" w14:textId="72570B4A" w:rsidR="005C181B" w:rsidRPr="005E07F3" w:rsidRDefault="00CD3232" w:rsidP="001E16C6">
            <w:pPr>
              <w:pStyle w:val="zSoquijdatJuge"/>
              <w:jc w:val="both"/>
              <w:rPr>
                <w:rFonts w:cs="Arial"/>
                <w:szCs w:val="24"/>
                <w:lang w:val="en-CA"/>
              </w:rPr>
            </w:pPr>
            <w:r w:rsidRPr="005E07F3">
              <w:rPr>
                <w:rFonts w:cs="Arial"/>
                <w:szCs w:val="24"/>
                <w:lang w:val="en-CA"/>
              </w:rPr>
              <w:t>CHRISTINE DUBÉ</w:t>
            </w:r>
          </w:p>
        </w:tc>
      </w:tr>
      <w:tr w:rsidR="00B013BB" w:rsidRPr="0084150A" w14:paraId="173CE8DE" w14:textId="77777777" w:rsidTr="004179E9">
        <w:trPr>
          <w:gridAfter w:val="1"/>
          <w:wAfter w:w="70" w:type="dxa"/>
        </w:trPr>
        <w:tc>
          <w:tcPr>
            <w:tcW w:w="9518" w:type="dxa"/>
            <w:gridSpan w:val="4"/>
            <w:tcBorders>
              <w:bottom w:val="single" w:sz="4" w:space="0" w:color="auto"/>
            </w:tcBorders>
          </w:tcPr>
          <w:p w14:paraId="09CCF76E" w14:textId="77777777" w:rsidR="00B4030F" w:rsidRPr="0084150A" w:rsidRDefault="00B4030F" w:rsidP="001E16C6">
            <w:pPr>
              <w:pStyle w:val="zSoquijlblTitrePartie"/>
              <w:jc w:val="both"/>
              <w:rPr>
                <w:rFonts w:cs="Arial"/>
                <w:szCs w:val="24"/>
                <w:lang w:val="en-CA"/>
              </w:rPr>
            </w:pPr>
          </w:p>
        </w:tc>
      </w:tr>
      <w:tr w:rsidR="00B013BB" w:rsidRPr="0084150A" w14:paraId="1B869F1C" w14:textId="77777777" w:rsidTr="004179E9">
        <w:trPr>
          <w:gridAfter w:val="1"/>
          <w:wAfter w:w="70" w:type="dxa"/>
        </w:trPr>
        <w:tc>
          <w:tcPr>
            <w:tcW w:w="9518" w:type="dxa"/>
            <w:gridSpan w:val="4"/>
            <w:tcBorders>
              <w:top w:val="single" w:sz="4" w:space="0" w:color="auto"/>
            </w:tcBorders>
          </w:tcPr>
          <w:p w14:paraId="16BE3F14" w14:textId="77777777" w:rsidR="00B4030F" w:rsidRPr="0084150A" w:rsidRDefault="00B4030F" w:rsidP="001E16C6">
            <w:pPr>
              <w:jc w:val="both"/>
              <w:rPr>
                <w:rFonts w:cs="Arial"/>
                <w:szCs w:val="24"/>
                <w:lang w:val="en-CA"/>
              </w:rPr>
            </w:pPr>
          </w:p>
        </w:tc>
      </w:tr>
      <w:bookmarkStart w:id="0" w:name="_Hlk114644620"/>
      <w:tr w:rsidR="00B013BB" w:rsidRPr="0084150A" w14:paraId="16311964" w14:textId="77777777" w:rsidTr="004179E9">
        <w:trPr>
          <w:gridAfter w:val="1"/>
          <w:wAfter w:w="70" w:type="dxa"/>
        </w:trPr>
        <w:tc>
          <w:tcPr>
            <w:tcW w:w="9518" w:type="dxa"/>
            <w:gridSpan w:val="4"/>
          </w:tcPr>
          <w:p w14:paraId="1692BB88" w14:textId="1723690B" w:rsidR="00B4030F" w:rsidRPr="0084150A" w:rsidRDefault="00000000" w:rsidP="001E16C6">
            <w:pPr>
              <w:pStyle w:val="zSoquijdatNomPartieDem"/>
              <w:jc w:val="both"/>
              <w:rPr>
                <w:rFonts w:cs="Arial"/>
                <w:szCs w:val="24"/>
                <w:lang w:val="en-CA"/>
              </w:rPr>
            </w:pPr>
            <w:sdt>
              <w:sdtPr>
                <w:rPr>
                  <w:rFonts w:cs="Arial"/>
                  <w:szCs w:val="24"/>
                  <w:lang w:val="en-CA"/>
                </w:rPr>
                <w:alias w:val="Partie demanderesse"/>
                <w:tag w:val="bdrqc.partie_demanderesse--v1"/>
                <w:id w:val="-115763507"/>
                <w:placeholder>
                  <w:docPart w:val="D4B9C0A838F64CFC8CD793D928EA54D2"/>
                </w:placeholder>
                <w:text/>
              </w:sdtPr>
              <w:sdtContent>
                <w:r w:rsidR="00E54E09" w:rsidRPr="0084150A">
                  <w:rPr>
                    <w:rFonts w:cs="Arial"/>
                    <w:szCs w:val="24"/>
                    <w:lang w:val="en-CA"/>
                  </w:rPr>
                  <w:t>AUTORITÉ DES MARCHÉS FINANCIERS</w:t>
                </w:r>
              </w:sdtContent>
            </w:sdt>
            <w:bookmarkEnd w:id="0"/>
            <w:r w:rsidR="00E54E09" w:rsidRPr="0084150A">
              <w:rPr>
                <w:rFonts w:cs="Arial"/>
                <w:szCs w:val="24"/>
                <w:lang w:val="en-CA"/>
              </w:rPr>
              <w:t xml:space="preserve"> </w:t>
            </w:r>
          </w:p>
        </w:tc>
      </w:tr>
      <w:tr w:rsidR="00B013BB" w:rsidRPr="0084150A" w14:paraId="62BD29F0" w14:textId="77777777" w:rsidTr="004179E9">
        <w:trPr>
          <w:gridAfter w:val="1"/>
          <w:wAfter w:w="70" w:type="dxa"/>
        </w:trPr>
        <w:tc>
          <w:tcPr>
            <w:tcW w:w="9518" w:type="dxa"/>
            <w:gridSpan w:val="4"/>
          </w:tcPr>
          <w:p w14:paraId="74A7C1A7" w14:textId="5A495691" w:rsidR="00B4030F" w:rsidRPr="005E07F3" w:rsidRDefault="000D05B9" w:rsidP="001E16C6">
            <w:pPr>
              <w:pStyle w:val="zSoquijdatQtePartieDem"/>
              <w:ind w:left="709"/>
              <w:jc w:val="both"/>
              <w:rPr>
                <w:rFonts w:cs="Arial"/>
                <w:szCs w:val="24"/>
                <w:lang w:val="en-CA"/>
              </w:rPr>
            </w:pPr>
            <w:r w:rsidRPr="005E07F3">
              <w:rPr>
                <w:rFonts w:cs="Arial"/>
                <w:szCs w:val="24"/>
                <w:lang w:val="en-CA"/>
              </w:rPr>
              <w:t>Applicant</w:t>
            </w:r>
          </w:p>
        </w:tc>
      </w:tr>
      <w:tr w:rsidR="00B013BB" w:rsidRPr="0084150A" w14:paraId="0279DB1D" w14:textId="77777777" w:rsidTr="004179E9">
        <w:trPr>
          <w:gridAfter w:val="1"/>
          <w:wAfter w:w="70" w:type="dxa"/>
        </w:trPr>
        <w:tc>
          <w:tcPr>
            <w:tcW w:w="9518" w:type="dxa"/>
            <w:gridSpan w:val="4"/>
          </w:tcPr>
          <w:p w14:paraId="0DFEC936" w14:textId="77EB7D7C" w:rsidR="00B4030F" w:rsidRPr="005E07F3" w:rsidRDefault="00814EEF" w:rsidP="001E16C6">
            <w:pPr>
              <w:pStyle w:val="zSoquijlblLienParties"/>
              <w:jc w:val="both"/>
              <w:rPr>
                <w:rFonts w:cs="Arial"/>
                <w:szCs w:val="24"/>
                <w:lang w:val="en-CA"/>
              </w:rPr>
            </w:pPr>
            <w:r w:rsidRPr="005E07F3">
              <w:rPr>
                <w:rFonts w:cs="Arial"/>
                <w:szCs w:val="24"/>
                <w:lang w:val="en-CA"/>
              </w:rPr>
              <w:t>v.</w:t>
            </w:r>
          </w:p>
        </w:tc>
      </w:tr>
      <w:tr w:rsidR="00B013BB" w:rsidRPr="0084150A" w14:paraId="427175A6" w14:textId="77777777" w:rsidTr="004179E9">
        <w:trPr>
          <w:gridAfter w:val="1"/>
          <w:wAfter w:w="70" w:type="dxa"/>
        </w:trPr>
        <w:tc>
          <w:tcPr>
            <w:tcW w:w="9518" w:type="dxa"/>
            <w:gridSpan w:val="4"/>
          </w:tcPr>
          <w:bookmarkStart w:id="1" w:name="_Hlk114644621" w:displacedByCustomXml="next"/>
          <w:sdt>
            <w:sdtPr>
              <w:rPr>
                <w:rFonts w:cs="Arial"/>
                <w:szCs w:val="24"/>
                <w:lang w:val="en-CA"/>
              </w:rPr>
              <w:alias w:val="Partie intimée"/>
              <w:tag w:val="bdrqc.partie_intime--v2"/>
              <w:id w:val="1532306288"/>
              <w:placeholder>
                <w:docPart w:val="99135CB13AD94B6AB5AB34347D2B8EFF"/>
              </w:placeholder>
              <w:text/>
            </w:sdtPr>
            <w:sdtContent>
              <w:p w14:paraId="17D78762" w14:textId="2C899D90" w:rsidR="00B4030F" w:rsidRPr="0084150A" w:rsidRDefault="005D25C5" w:rsidP="001E16C6">
                <w:pPr>
                  <w:pStyle w:val="zSoquijdatNomPartieDef"/>
                  <w:jc w:val="both"/>
                  <w:rPr>
                    <w:rFonts w:cs="Arial"/>
                    <w:szCs w:val="24"/>
                    <w:lang w:val="en-CA"/>
                  </w:rPr>
                </w:pPr>
                <w:r w:rsidRPr="0084150A">
                  <w:rPr>
                    <w:rFonts w:cs="Arial"/>
                    <w:szCs w:val="24"/>
                    <w:lang w:val="en-CA"/>
                  </w:rPr>
                  <w:t>PHILIPPE GAUTHIER</w:t>
                </w:r>
              </w:p>
            </w:sdtContent>
          </w:sdt>
          <w:bookmarkEnd w:id="1" w:displacedByCustomXml="prev"/>
        </w:tc>
      </w:tr>
      <w:tr w:rsidR="00B013BB" w:rsidRPr="0084150A" w14:paraId="3E9CEC0C" w14:textId="77777777" w:rsidTr="004179E9">
        <w:trPr>
          <w:gridAfter w:val="1"/>
          <w:wAfter w:w="70" w:type="dxa"/>
        </w:trPr>
        <w:tc>
          <w:tcPr>
            <w:tcW w:w="9518" w:type="dxa"/>
            <w:gridSpan w:val="4"/>
          </w:tcPr>
          <w:p w14:paraId="385C0E4A" w14:textId="11396595" w:rsidR="00667170" w:rsidRPr="005E07F3" w:rsidRDefault="004005A9" w:rsidP="001E16C6">
            <w:pPr>
              <w:pStyle w:val="zSoquijdatNomPartieDef"/>
              <w:jc w:val="both"/>
              <w:rPr>
                <w:rFonts w:cs="Arial"/>
                <w:b w:val="0"/>
                <w:bCs w:val="0"/>
                <w:szCs w:val="24"/>
                <w:lang w:val="en-CA"/>
              </w:rPr>
            </w:pPr>
            <w:r w:rsidRPr="005E07F3">
              <w:rPr>
                <w:rFonts w:cs="Arial"/>
                <w:b w:val="0"/>
                <w:bCs w:val="0"/>
                <w:szCs w:val="24"/>
                <w:lang w:val="en-CA"/>
              </w:rPr>
              <w:t>and</w:t>
            </w:r>
          </w:p>
        </w:tc>
      </w:tr>
      <w:tr w:rsidR="00B013BB" w:rsidRPr="0084150A" w14:paraId="4504CC50" w14:textId="77777777" w:rsidTr="004179E9">
        <w:trPr>
          <w:gridAfter w:val="1"/>
          <w:wAfter w:w="70" w:type="dxa"/>
        </w:trPr>
        <w:tc>
          <w:tcPr>
            <w:tcW w:w="9518" w:type="dxa"/>
            <w:gridSpan w:val="4"/>
          </w:tcPr>
          <w:p w14:paraId="2F96BE07" w14:textId="1E39D5B5" w:rsidR="00667170" w:rsidRPr="0084150A" w:rsidRDefault="005D25C5" w:rsidP="001E16C6">
            <w:pPr>
              <w:pStyle w:val="zSoquijdatNomPartieDef"/>
              <w:jc w:val="both"/>
              <w:rPr>
                <w:rFonts w:cs="Arial"/>
                <w:b w:val="0"/>
                <w:bCs w:val="0"/>
                <w:szCs w:val="24"/>
                <w:lang w:val="en-CA"/>
              </w:rPr>
            </w:pPr>
            <w:r w:rsidRPr="0084150A">
              <w:rPr>
                <w:rFonts w:cs="Arial"/>
                <w:szCs w:val="24"/>
                <w:lang w:val="en-CA"/>
              </w:rPr>
              <w:t>FRÉDÉRIC RACINE</w:t>
            </w:r>
          </w:p>
        </w:tc>
      </w:tr>
      <w:tr w:rsidR="00B013BB" w:rsidRPr="0084150A" w14:paraId="494EFDD5" w14:textId="77777777" w:rsidTr="004179E9">
        <w:trPr>
          <w:gridAfter w:val="1"/>
          <w:wAfter w:w="70" w:type="dxa"/>
        </w:trPr>
        <w:tc>
          <w:tcPr>
            <w:tcW w:w="9518" w:type="dxa"/>
            <w:gridSpan w:val="4"/>
          </w:tcPr>
          <w:p w14:paraId="15BB30E2" w14:textId="4BE22FE6" w:rsidR="00B4030F" w:rsidRPr="005E07F3" w:rsidRDefault="00536101" w:rsidP="001E16C6">
            <w:pPr>
              <w:pStyle w:val="zSoquijdatQtePartieDef"/>
              <w:jc w:val="both"/>
              <w:rPr>
                <w:rFonts w:cs="Arial"/>
                <w:szCs w:val="24"/>
                <w:lang w:val="en-CA"/>
              </w:rPr>
            </w:pPr>
            <w:r w:rsidRPr="005E07F3">
              <w:rPr>
                <w:rFonts w:cs="Arial"/>
                <w:szCs w:val="24"/>
                <w:lang w:val="en-CA"/>
              </w:rPr>
              <w:t>Respondents</w:t>
            </w:r>
          </w:p>
        </w:tc>
      </w:tr>
      <w:tr w:rsidR="00B013BB" w:rsidRPr="0084150A" w14:paraId="40B25F8B" w14:textId="77777777" w:rsidTr="004179E9">
        <w:trPr>
          <w:gridAfter w:val="1"/>
          <w:wAfter w:w="70" w:type="dxa"/>
        </w:trPr>
        <w:tc>
          <w:tcPr>
            <w:tcW w:w="9518" w:type="dxa"/>
            <w:gridSpan w:val="4"/>
            <w:tcBorders>
              <w:bottom w:val="single" w:sz="4" w:space="0" w:color="auto"/>
            </w:tcBorders>
          </w:tcPr>
          <w:p w14:paraId="766CA2E7" w14:textId="77777777" w:rsidR="00B4030F" w:rsidRPr="0084150A" w:rsidRDefault="00B4030F" w:rsidP="001E16C6">
            <w:pPr>
              <w:ind w:left="14" w:right="-95"/>
              <w:jc w:val="both"/>
              <w:rPr>
                <w:rFonts w:cs="Arial"/>
                <w:szCs w:val="24"/>
                <w:lang w:val="en-CA"/>
              </w:rPr>
            </w:pPr>
          </w:p>
        </w:tc>
      </w:tr>
      <w:tr w:rsidR="00B013BB" w:rsidRPr="0084150A" w14:paraId="548FF3F2" w14:textId="77777777" w:rsidTr="004179E9">
        <w:trPr>
          <w:gridAfter w:val="1"/>
          <w:wAfter w:w="70" w:type="dxa"/>
        </w:trPr>
        <w:tc>
          <w:tcPr>
            <w:tcW w:w="9518" w:type="dxa"/>
            <w:gridSpan w:val="4"/>
            <w:tcBorders>
              <w:top w:val="single" w:sz="4" w:space="0" w:color="auto"/>
            </w:tcBorders>
          </w:tcPr>
          <w:p w14:paraId="1608396E" w14:textId="1340811C" w:rsidR="00FF6ABC" w:rsidRPr="0084150A" w:rsidRDefault="00FF6ABC" w:rsidP="001E16C6">
            <w:pPr>
              <w:ind w:left="14" w:right="-95"/>
              <w:jc w:val="both"/>
              <w:rPr>
                <w:rFonts w:cs="Arial"/>
                <w:szCs w:val="24"/>
                <w:lang w:val="en-CA"/>
              </w:rPr>
            </w:pPr>
          </w:p>
        </w:tc>
      </w:tr>
      <w:tr w:rsidR="00B013BB" w:rsidRPr="0084150A" w14:paraId="30C50385" w14:textId="77777777" w:rsidTr="004179E9">
        <w:trPr>
          <w:gridAfter w:val="1"/>
          <w:wAfter w:w="70" w:type="dxa"/>
        </w:trPr>
        <w:tc>
          <w:tcPr>
            <w:tcW w:w="9518" w:type="dxa"/>
            <w:gridSpan w:val="4"/>
          </w:tcPr>
          <w:p w14:paraId="1A790BC3" w14:textId="78BAC7F9" w:rsidR="00FF6ABC" w:rsidRPr="005E07F3" w:rsidRDefault="009B1FAA" w:rsidP="0064101D">
            <w:pPr>
              <w:pStyle w:val="zSoquijlblTypeDocument"/>
              <w:rPr>
                <w:rFonts w:cs="Arial"/>
                <w:szCs w:val="24"/>
                <w:lang w:val="en-CA"/>
              </w:rPr>
            </w:pPr>
            <w:r w:rsidRPr="005E07F3">
              <w:rPr>
                <w:rFonts w:cs="Arial"/>
                <w:szCs w:val="24"/>
                <w:lang w:val="en-CA"/>
              </w:rPr>
              <w:t>DECISION</w:t>
            </w:r>
          </w:p>
        </w:tc>
      </w:tr>
      <w:tr w:rsidR="00B013BB" w:rsidRPr="0084150A" w14:paraId="599CE892" w14:textId="77777777" w:rsidTr="004179E9">
        <w:trPr>
          <w:gridAfter w:val="1"/>
          <w:wAfter w:w="70" w:type="dxa"/>
        </w:trPr>
        <w:tc>
          <w:tcPr>
            <w:tcW w:w="9518" w:type="dxa"/>
            <w:gridSpan w:val="4"/>
            <w:tcBorders>
              <w:bottom w:val="single" w:sz="4" w:space="0" w:color="auto"/>
            </w:tcBorders>
          </w:tcPr>
          <w:p w14:paraId="4331692E" w14:textId="2210A714" w:rsidR="00595555" w:rsidRPr="0084150A" w:rsidRDefault="00595555" w:rsidP="001E16C6">
            <w:pPr>
              <w:pStyle w:val="zSoquijlblTypeDocument"/>
              <w:jc w:val="both"/>
              <w:rPr>
                <w:rFonts w:cs="Arial"/>
                <w:szCs w:val="24"/>
                <w:lang w:val="en-CA"/>
              </w:rPr>
            </w:pPr>
          </w:p>
        </w:tc>
      </w:tr>
      <w:tr w:rsidR="00B013BB" w:rsidRPr="0084150A" w14:paraId="3355BF03" w14:textId="77777777" w:rsidTr="004179E9">
        <w:trPr>
          <w:gridAfter w:val="1"/>
          <w:wAfter w:w="70" w:type="dxa"/>
        </w:trPr>
        <w:tc>
          <w:tcPr>
            <w:tcW w:w="9518" w:type="dxa"/>
            <w:gridSpan w:val="4"/>
          </w:tcPr>
          <w:p w14:paraId="0AE94DAE" w14:textId="77777777" w:rsidR="00FF6ABC" w:rsidRPr="0084150A" w:rsidRDefault="00FF6ABC" w:rsidP="001E16C6">
            <w:pPr>
              <w:jc w:val="both"/>
              <w:rPr>
                <w:rFonts w:cs="Arial"/>
                <w:szCs w:val="24"/>
                <w:lang w:val="en-CA"/>
              </w:rPr>
            </w:pPr>
          </w:p>
        </w:tc>
      </w:tr>
    </w:tbl>
    <w:p w14:paraId="7B8DB5C5" w14:textId="6EAABAE2" w:rsidR="00585FBC" w:rsidRPr="005E07F3" w:rsidRDefault="00234AE1" w:rsidP="001E16C6">
      <w:pPr>
        <w:pStyle w:val="Titre1"/>
        <w:rPr>
          <w:rFonts w:cs="Arial"/>
          <w:szCs w:val="24"/>
          <w:lang w:val="en-CA"/>
        </w:rPr>
      </w:pPr>
      <w:bookmarkStart w:id="2" w:name="_Ref456356564"/>
      <w:r w:rsidRPr="005E07F3">
        <w:rPr>
          <w:rFonts w:cs="Arial"/>
          <w:szCs w:val="24"/>
          <w:lang w:val="en-CA"/>
        </w:rPr>
        <w:t>OVERVIEW</w:t>
      </w:r>
    </w:p>
    <w:bookmarkEnd w:id="2"/>
    <w:p w14:paraId="1412E5EB" w14:textId="6EC7E18F" w:rsidR="001D4A69" w:rsidRPr="0084150A" w:rsidRDefault="001F666F" w:rsidP="00975218">
      <w:pPr>
        <w:pStyle w:val="Paragraphe"/>
        <w:rPr>
          <w:rFonts w:cs="Arial"/>
          <w:szCs w:val="24"/>
          <w:lang w:val="en-CA"/>
        </w:rPr>
      </w:pPr>
      <w:r w:rsidRPr="0084150A">
        <w:rPr>
          <w:rFonts w:cs="Arial"/>
          <w:szCs w:val="24"/>
          <w:lang w:val="en-CA"/>
        </w:rPr>
        <w:t>The Financial Markets Administrative Tribunal (</w:t>
      </w:r>
      <w:r w:rsidR="007D112E" w:rsidRPr="0084150A">
        <w:rPr>
          <w:rFonts w:cs="Arial"/>
          <w:szCs w:val="24"/>
          <w:lang w:val="en-CA"/>
        </w:rPr>
        <w:t>“</w:t>
      </w:r>
      <w:r w:rsidRPr="0084150A">
        <w:rPr>
          <w:rFonts w:cs="Arial"/>
          <w:szCs w:val="24"/>
          <w:lang w:val="en-CA"/>
        </w:rPr>
        <w:t>Tribunal</w:t>
      </w:r>
      <w:r w:rsidR="007F0883" w:rsidRPr="0084150A">
        <w:rPr>
          <w:rFonts w:cs="Arial"/>
          <w:szCs w:val="24"/>
          <w:lang w:val="en-CA"/>
        </w:rPr>
        <w:t>”</w:t>
      </w:r>
      <w:r w:rsidRPr="0084150A">
        <w:rPr>
          <w:rFonts w:cs="Arial"/>
          <w:szCs w:val="24"/>
          <w:lang w:val="en-CA"/>
        </w:rPr>
        <w:t>) has before it a case involving</w:t>
      </w:r>
      <w:r w:rsidR="0063014F">
        <w:rPr>
          <w:rFonts w:cs="Arial"/>
          <w:szCs w:val="24"/>
          <w:lang w:val="en-CA"/>
        </w:rPr>
        <w:t xml:space="preserve"> the</w:t>
      </w:r>
      <w:r w:rsidRPr="0084150A">
        <w:rPr>
          <w:rFonts w:cs="Arial"/>
          <w:szCs w:val="24"/>
          <w:lang w:val="en-CA"/>
        </w:rPr>
        <w:t xml:space="preserve"> prohibited use of privileged information, commonly referred to as “insider trading”.</w:t>
      </w:r>
      <w:r w:rsidR="003F555D" w:rsidRPr="0084150A">
        <w:rPr>
          <w:rFonts w:cs="Arial"/>
          <w:szCs w:val="24"/>
          <w:lang w:val="en-CA"/>
        </w:rPr>
        <w:t xml:space="preserve"> </w:t>
      </w:r>
      <w:r w:rsidR="00AC76EB" w:rsidRPr="0084150A">
        <w:rPr>
          <w:rFonts w:cs="Arial"/>
          <w:szCs w:val="24"/>
          <w:lang w:val="en-CA"/>
        </w:rPr>
        <w:t>The Tribunal must determine if the respondents, Philippe Gauthier and Frédéric Racine, committed insider trading by disclosing privileged information and/or by recommending that another party trade in the securities of the reporting issuer and/or by trading in the securities of the reporting issuer while having privileged information relating to the securities of the issuer in question.</w:t>
      </w:r>
      <w:r w:rsidR="003F555D" w:rsidRPr="0084150A">
        <w:rPr>
          <w:rFonts w:cs="Arial"/>
          <w:szCs w:val="24"/>
          <w:lang w:val="en-CA"/>
        </w:rPr>
        <w:t xml:space="preserve"> </w:t>
      </w:r>
    </w:p>
    <w:p w14:paraId="073B25FB" w14:textId="5AF701B7" w:rsidR="00A2652C" w:rsidRPr="0084150A" w:rsidRDefault="00E4210C" w:rsidP="001E16C6">
      <w:pPr>
        <w:pStyle w:val="Paragraphe"/>
        <w:rPr>
          <w:rFonts w:cs="Arial"/>
          <w:szCs w:val="24"/>
          <w:lang w:val="en-CA"/>
        </w:rPr>
      </w:pPr>
      <w:r w:rsidRPr="0084150A">
        <w:rPr>
          <w:rFonts w:cs="Arial"/>
          <w:szCs w:val="24"/>
          <w:lang w:val="en-CA"/>
        </w:rPr>
        <w:t>More specifically, in the proceeding instituted before the Tribunal, the Autorité des marchés financiers (</w:t>
      </w:r>
      <w:r w:rsidR="002D4E30">
        <w:rPr>
          <w:rFonts w:cs="Arial"/>
          <w:szCs w:val="24"/>
          <w:lang w:val="en-CA"/>
        </w:rPr>
        <w:t>“</w:t>
      </w:r>
      <w:r w:rsidRPr="0084150A">
        <w:rPr>
          <w:rFonts w:cs="Arial"/>
          <w:szCs w:val="24"/>
          <w:lang w:val="en-CA"/>
        </w:rPr>
        <w:t xml:space="preserve">the Authority”) alleges that, </w:t>
      </w:r>
      <w:r w:rsidR="002D4E30">
        <w:rPr>
          <w:rFonts w:cs="Arial"/>
          <w:szCs w:val="24"/>
          <w:lang w:val="en-CA"/>
        </w:rPr>
        <w:t>in</w:t>
      </w:r>
      <w:r w:rsidR="002D4E30" w:rsidRPr="0084150A">
        <w:rPr>
          <w:rFonts w:cs="Arial"/>
          <w:szCs w:val="24"/>
          <w:lang w:val="en-CA"/>
        </w:rPr>
        <w:t xml:space="preserve"> </w:t>
      </w:r>
      <w:r w:rsidRPr="0084150A">
        <w:rPr>
          <w:rFonts w:cs="Arial"/>
          <w:szCs w:val="24"/>
          <w:lang w:val="en-CA"/>
        </w:rPr>
        <w:t xml:space="preserve">the course of his employment, Philippe </w:t>
      </w:r>
      <w:r w:rsidRPr="0084150A">
        <w:rPr>
          <w:rFonts w:cs="Arial"/>
          <w:szCs w:val="24"/>
          <w:lang w:val="en-CA"/>
        </w:rPr>
        <w:lastRenderedPageBreak/>
        <w:t>Gauthier learned of the proposed acquisition of one of his clients, Napec Inc.</w:t>
      </w:r>
      <w:r w:rsidR="00965616" w:rsidRPr="0084150A">
        <w:rPr>
          <w:rFonts w:cs="Arial"/>
          <w:szCs w:val="24"/>
          <w:lang w:val="en-CA"/>
        </w:rPr>
        <w:t xml:space="preserve"> </w:t>
      </w:r>
      <w:r w:rsidR="000101E2" w:rsidRPr="0084150A">
        <w:rPr>
          <w:rFonts w:cs="Arial"/>
          <w:szCs w:val="24"/>
          <w:lang w:val="en-CA"/>
        </w:rPr>
        <w:t>(</w:t>
      </w:r>
      <w:r w:rsidR="00AD71DF">
        <w:rPr>
          <w:rFonts w:cs="Arial"/>
          <w:szCs w:val="24"/>
          <w:lang w:val="en-CA"/>
        </w:rPr>
        <w:t>“</w:t>
      </w:r>
      <w:r w:rsidR="000101E2" w:rsidRPr="0084150A">
        <w:rPr>
          <w:rFonts w:cs="Arial"/>
          <w:szCs w:val="24"/>
          <w:lang w:val="en-CA"/>
        </w:rPr>
        <w:t>Napec”), a reporting issuer</w:t>
      </w:r>
      <w:r w:rsidR="002D4E30">
        <w:rPr>
          <w:rFonts w:cs="Arial"/>
          <w:szCs w:val="24"/>
          <w:lang w:val="en-CA"/>
        </w:rPr>
        <w:t>,</w:t>
      </w:r>
      <w:r w:rsidR="000101E2" w:rsidRPr="0084150A">
        <w:rPr>
          <w:rStyle w:val="Appelnotedebasdep"/>
          <w:rFonts w:cs="Arial"/>
          <w:szCs w:val="24"/>
          <w:lang w:val="en-CA"/>
        </w:rPr>
        <w:footnoteReference w:id="1"/>
      </w:r>
      <w:r w:rsidR="000101E2" w:rsidRPr="0084150A">
        <w:rPr>
          <w:rFonts w:cs="Arial"/>
          <w:szCs w:val="24"/>
          <w:lang w:val="en-CA"/>
        </w:rPr>
        <w:t xml:space="preserve"> </w:t>
      </w:r>
      <w:r w:rsidR="00AD71DF">
        <w:rPr>
          <w:rFonts w:cs="Arial"/>
          <w:szCs w:val="24"/>
          <w:lang w:val="en-CA"/>
        </w:rPr>
        <w:t>by</w:t>
      </w:r>
      <w:r w:rsidR="00AD71DF" w:rsidRPr="0084150A">
        <w:rPr>
          <w:rFonts w:cs="Arial"/>
          <w:szCs w:val="24"/>
          <w:lang w:val="en-CA"/>
        </w:rPr>
        <w:t xml:space="preserve"> </w:t>
      </w:r>
      <w:r w:rsidR="000101E2" w:rsidRPr="0084150A">
        <w:rPr>
          <w:rFonts w:cs="Arial"/>
          <w:szCs w:val="24"/>
          <w:lang w:val="en-CA"/>
        </w:rPr>
        <w:t>funds managed by Oaktree Capital Management L.P.</w:t>
      </w:r>
      <w:r w:rsidR="00E71494" w:rsidRPr="0084150A">
        <w:rPr>
          <w:rFonts w:cs="Arial"/>
          <w:szCs w:val="24"/>
          <w:lang w:val="en-CA"/>
        </w:rPr>
        <w:t xml:space="preserve"> </w:t>
      </w:r>
      <w:r w:rsidR="00E12594" w:rsidRPr="0084150A">
        <w:rPr>
          <w:rFonts w:cs="Arial"/>
          <w:szCs w:val="24"/>
          <w:lang w:val="en-CA"/>
        </w:rPr>
        <w:t>(</w:t>
      </w:r>
      <w:r w:rsidR="00AD71DF">
        <w:rPr>
          <w:rFonts w:cs="Arial"/>
          <w:szCs w:val="24"/>
          <w:lang w:val="en-CA"/>
        </w:rPr>
        <w:t>“</w:t>
      </w:r>
      <w:r w:rsidR="00E12594" w:rsidRPr="0084150A">
        <w:rPr>
          <w:rFonts w:cs="Arial"/>
          <w:szCs w:val="24"/>
          <w:lang w:val="en-CA"/>
        </w:rPr>
        <w:t>Oaktree”).</w:t>
      </w:r>
      <w:r w:rsidR="00E71494" w:rsidRPr="0084150A">
        <w:rPr>
          <w:rFonts w:cs="Arial"/>
          <w:szCs w:val="24"/>
          <w:lang w:val="en-CA"/>
        </w:rPr>
        <w:t xml:space="preserve"> </w:t>
      </w:r>
      <w:r w:rsidR="001F5CFD" w:rsidRPr="0084150A">
        <w:rPr>
          <w:rFonts w:cs="Arial"/>
          <w:szCs w:val="24"/>
          <w:lang w:val="en-CA"/>
        </w:rPr>
        <w:t xml:space="preserve">This information constitutes privileged information within the meaning of the </w:t>
      </w:r>
      <w:r w:rsidR="001F5CFD" w:rsidRPr="0084150A">
        <w:rPr>
          <w:rFonts w:cs="Arial"/>
          <w:i/>
          <w:szCs w:val="24"/>
          <w:lang w:val="en-CA"/>
        </w:rPr>
        <w:t>Securities Act</w:t>
      </w:r>
      <w:r w:rsidR="001F5CFD" w:rsidRPr="0084150A">
        <w:rPr>
          <w:rStyle w:val="Appelnotedebasdep"/>
          <w:rFonts w:cs="Arial"/>
          <w:szCs w:val="24"/>
          <w:lang w:val="en-CA"/>
        </w:rPr>
        <w:footnoteReference w:id="2"/>
      </w:r>
      <w:r w:rsidR="001F5CFD" w:rsidRPr="0084150A">
        <w:rPr>
          <w:rFonts w:cs="Arial"/>
          <w:szCs w:val="24"/>
          <w:lang w:val="en-CA"/>
        </w:rPr>
        <w:t xml:space="preserve"> (the “</w:t>
      </w:r>
      <w:r w:rsidR="001F5CFD" w:rsidRPr="0082578B">
        <w:rPr>
          <w:rFonts w:cs="Arial"/>
          <w:i/>
          <w:iCs/>
          <w:szCs w:val="24"/>
          <w:lang w:val="en-CA"/>
        </w:rPr>
        <w:t>SA</w:t>
      </w:r>
      <w:r w:rsidR="001F5CFD" w:rsidRPr="0084150A">
        <w:rPr>
          <w:rFonts w:cs="Arial"/>
          <w:szCs w:val="24"/>
          <w:lang w:val="en-CA"/>
        </w:rPr>
        <w:t>”).</w:t>
      </w:r>
      <w:r w:rsidR="005D25C5" w:rsidRPr="0084150A">
        <w:rPr>
          <w:rFonts w:cs="Arial"/>
          <w:szCs w:val="24"/>
          <w:lang w:val="en-CA"/>
        </w:rPr>
        <w:t xml:space="preserve"> </w:t>
      </w:r>
      <w:r w:rsidR="00BD3837" w:rsidRPr="0084150A">
        <w:rPr>
          <w:rFonts w:cs="Arial"/>
          <w:szCs w:val="24"/>
          <w:lang w:val="en-CA"/>
        </w:rPr>
        <w:t xml:space="preserve">The Authority also alleges that Philippe Gauthier disclosed this information and/or recommended to three of his friends, including </w:t>
      </w:r>
      <w:r w:rsidR="00AD71DF">
        <w:rPr>
          <w:rFonts w:cs="Arial"/>
          <w:szCs w:val="24"/>
          <w:lang w:val="en-CA"/>
        </w:rPr>
        <w:t xml:space="preserve">the </w:t>
      </w:r>
      <w:r w:rsidR="00BD3837" w:rsidRPr="0084150A">
        <w:rPr>
          <w:rFonts w:cs="Arial"/>
          <w:szCs w:val="24"/>
          <w:lang w:val="en-CA"/>
        </w:rPr>
        <w:t>respondent Frédéric Racine, that they trade in Napec securities.</w:t>
      </w:r>
      <w:r w:rsidR="009B04DB" w:rsidRPr="0084150A">
        <w:rPr>
          <w:rFonts w:cs="Arial"/>
          <w:szCs w:val="24"/>
          <w:lang w:val="en-CA"/>
        </w:rPr>
        <w:t xml:space="preserve"> </w:t>
      </w:r>
      <w:r w:rsidR="00B100BA" w:rsidRPr="0084150A">
        <w:rPr>
          <w:rFonts w:cs="Arial"/>
          <w:szCs w:val="24"/>
          <w:lang w:val="en-CA"/>
        </w:rPr>
        <w:t>The Authority argues that Frédéric Racine traded in Napec securities based on the privileged information provided by Philippe Gauthier.</w:t>
      </w:r>
      <w:r w:rsidR="009B04DB" w:rsidRPr="0084150A">
        <w:rPr>
          <w:rFonts w:cs="Arial"/>
          <w:szCs w:val="24"/>
          <w:lang w:val="en-CA"/>
        </w:rPr>
        <w:t xml:space="preserve"> </w:t>
      </w:r>
      <w:r w:rsidR="005D25C5" w:rsidRPr="0084150A">
        <w:rPr>
          <w:rFonts w:cs="Arial"/>
          <w:szCs w:val="24"/>
          <w:lang w:val="en-CA"/>
        </w:rPr>
        <w:t>He is also alleged to have disclosed privileged information to his father and to an acquaintance and/or recommended that they trade in Napec securities.</w:t>
      </w:r>
      <w:r w:rsidR="009B04DB" w:rsidRPr="0084150A">
        <w:rPr>
          <w:rFonts w:cs="Arial"/>
          <w:szCs w:val="24"/>
          <w:lang w:val="en-CA"/>
        </w:rPr>
        <w:t xml:space="preserve"> </w:t>
      </w:r>
    </w:p>
    <w:p w14:paraId="0367FDC9" w14:textId="19D34AA7" w:rsidR="00054843" w:rsidRPr="0084150A" w:rsidRDefault="00E16D3D" w:rsidP="001E16C6">
      <w:pPr>
        <w:pStyle w:val="Paragraphe"/>
        <w:rPr>
          <w:rFonts w:cs="Arial"/>
          <w:szCs w:val="24"/>
          <w:lang w:val="en-CA"/>
        </w:rPr>
      </w:pPr>
      <w:r w:rsidRPr="0084150A">
        <w:rPr>
          <w:rFonts w:cs="Arial"/>
          <w:szCs w:val="24"/>
          <w:lang w:val="en-CA"/>
        </w:rPr>
        <w:t xml:space="preserve">The Authority asks </w:t>
      </w:r>
      <w:r w:rsidR="006415DD" w:rsidRPr="0067738D">
        <w:rPr>
          <w:rFonts w:cs="Arial"/>
          <w:i/>
          <w:iCs/>
          <w:szCs w:val="24"/>
          <w:lang w:val="en-CA"/>
        </w:rPr>
        <w:t>inter alia</w:t>
      </w:r>
      <w:r w:rsidR="006415DD">
        <w:rPr>
          <w:rFonts w:cs="Arial"/>
          <w:szCs w:val="24"/>
          <w:lang w:val="en-CA"/>
        </w:rPr>
        <w:t xml:space="preserve"> </w:t>
      </w:r>
      <w:r w:rsidRPr="0084150A">
        <w:rPr>
          <w:rFonts w:cs="Arial"/>
          <w:szCs w:val="24"/>
          <w:lang w:val="en-CA"/>
        </w:rPr>
        <w:t xml:space="preserve">that the Tribunal (1) find that Philippe Gauthier and Frédéric Racine </w:t>
      </w:r>
      <w:r w:rsidR="00753699">
        <w:rPr>
          <w:rFonts w:cs="Arial"/>
          <w:szCs w:val="24"/>
          <w:lang w:val="en-CA"/>
        </w:rPr>
        <w:t>contravened</w:t>
      </w:r>
      <w:r w:rsidR="00753699" w:rsidRPr="0084150A">
        <w:rPr>
          <w:rFonts w:cs="Arial"/>
          <w:szCs w:val="24"/>
          <w:lang w:val="en-CA"/>
        </w:rPr>
        <w:t xml:space="preserve"> </w:t>
      </w:r>
      <w:r w:rsidRPr="0084150A">
        <w:rPr>
          <w:rFonts w:cs="Arial"/>
          <w:szCs w:val="24"/>
          <w:lang w:val="en-CA"/>
        </w:rPr>
        <w:t xml:space="preserve">sections 187 to 189 of the </w:t>
      </w:r>
      <w:r w:rsidRPr="0082578B">
        <w:rPr>
          <w:rFonts w:cs="Arial"/>
          <w:i/>
          <w:iCs/>
          <w:szCs w:val="24"/>
          <w:lang w:val="en-CA"/>
        </w:rPr>
        <w:t>SA</w:t>
      </w:r>
      <w:r w:rsidRPr="0084150A">
        <w:rPr>
          <w:rFonts w:cs="Arial"/>
          <w:szCs w:val="24"/>
          <w:lang w:val="en-CA"/>
        </w:rPr>
        <w:t xml:space="preserve">; (2) prohibit them from trading </w:t>
      </w:r>
      <w:r w:rsidR="00901F46">
        <w:rPr>
          <w:rFonts w:cs="Arial"/>
          <w:szCs w:val="24"/>
          <w:lang w:val="en-CA"/>
        </w:rPr>
        <w:t xml:space="preserve">in </w:t>
      </w:r>
      <w:r w:rsidRPr="0084150A">
        <w:rPr>
          <w:rFonts w:cs="Arial"/>
          <w:szCs w:val="24"/>
          <w:lang w:val="en-CA"/>
        </w:rPr>
        <w:t xml:space="preserve">securities or derivatives for a period of five years, except </w:t>
      </w:r>
      <w:r w:rsidR="00D34CF8" w:rsidRPr="0084150A">
        <w:rPr>
          <w:rFonts w:cs="Arial"/>
          <w:szCs w:val="24"/>
          <w:lang w:val="en-CA"/>
        </w:rPr>
        <w:t>transactions</w:t>
      </w:r>
      <w:r w:rsidRPr="0084150A">
        <w:rPr>
          <w:rFonts w:cs="Arial"/>
          <w:szCs w:val="24"/>
          <w:lang w:val="en-CA"/>
        </w:rPr>
        <w:t xml:space="preserve"> </w:t>
      </w:r>
      <w:r w:rsidR="00B34775">
        <w:rPr>
          <w:rFonts w:cs="Arial"/>
          <w:szCs w:val="24"/>
          <w:lang w:val="en-CA"/>
        </w:rPr>
        <w:t>performed</w:t>
      </w:r>
      <w:r w:rsidRPr="0084150A">
        <w:rPr>
          <w:rFonts w:cs="Arial"/>
          <w:szCs w:val="24"/>
          <w:lang w:val="en-CA"/>
        </w:rPr>
        <w:t xml:space="preserve"> on their own behalf, under certain conditions; and (3) prohibit them from acting as a director or officer of a reporting issuer, adviser, or investment fund manager for a period of five years.</w:t>
      </w:r>
      <w:r w:rsidR="00292B25" w:rsidRPr="0084150A">
        <w:rPr>
          <w:rFonts w:cs="Arial"/>
          <w:szCs w:val="24"/>
          <w:lang w:val="en-CA"/>
        </w:rPr>
        <w:t xml:space="preserve"> </w:t>
      </w:r>
    </w:p>
    <w:p w14:paraId="43A44047" w14:textId="420F6BB3" w:rsidR="001D4A69" w:rsidRPr="0084150A" w:rsidRDefault="00371154" w:rsidP="001E16C6">
      <w:pPr>
        <w:pStyle w:val="Paragraphe"/>
        <w:rPr>
          <w:rFonts w:cs="Arial"/>
          <w:szCs w:val="24"/>
          <w:lang w:val="en-CA"/>
        </w:rPr>
      </w:pPr>
      <w:r w:rsidRPr="0084150A">
        <w:rPr>
          <w:rFonts w:cs="Arial"/>
          <w:szCs w:val="24"/>
          <w:lang w:val="en-CA"/>
        </w:rPr>
        <w:t xml:space="preserve">In addition, the Authority asks that the Tribunal impose an administrative </w:t>
      </w:r>
      <w:r w:rsidR="0093796C">
        <w:rPr>
          <w:rFonts w:cs="Arial"/>
          <w:szCs w:val="24"/>
          <w:lang w:val="en-CA"/>
        </w:rPr>
        <w:t>penalty</w:t>
      </w:r>
      <w:r w:rsidRPr="0084150A">
        <w:rPr>
          <w:rFonts w:cs="Arial"/>
          <w:szCs w:val="24"/>
          <w:lang w:val="en-CA"/>
        </w:rPr>
        <w:t xml:space="preserve"> of $350,000 on Philippe Gauthier and $250,000 on Frédéric Racine.</w:t>
      </w:r>
      <w:r w:rsidR="005D25C5" w:rsidRPr="0084150A">
        <w:rPr>
          <w:rFonts w:cs="Arial"/>
          <w:szCs w:val="24"/>
          <w:lang w:val="en-CA"/>
        </w:rPr>
        <w:t xml:space="preserve"> </w:t>
      </w:r>
      <w:r w:rsidR="00DF5205" w:rsidRPr="0084150A">
        <w:rPr>
          <w:rFonts w:cs="Arial"/>
          <w:szCs w:val="24"/>
          <w:lang w:val="en-CA"/>
        </w:rPr>
        <w:t>Finally, the Authority asks that the Tribunal require Frédéric Racine to disgorge to the Authority</w:t>
      </w:r>
      <w:r w:rsidR="0093796C">
        <w:rPr>
          <w:rStyle w:val="Marquedecommentaire"/>
          <w:kern w:val="0"/>
          <w:lang w:val="en-CA"/>
        </w:rPr>
        <w:t xml:space="preserve"> </w:t>
      </w:r>
      <w:r w:rsidR="00DF5205" w:rsidRPr="0084150A">
        <w:rPr>
          <w:rFonts w:cs="Arial"/>
          <w:szCs w:val="24"/>
          <w:lang w:val="en-CA"/>
        </w:rPr>
        <w:t>$88,398, represent</w:t>
      </w:r>
      <w:r w:rsidR="009D1FA8">
        <w:rPr>
          <w:rFonts w:cs="Arial"/>
          <w:szCs w:val="24"/>
          <w:lang w:val="en-CA"/>
        </w:rPr>
        <w:t>ing</w:t>
      </w:r>
      <w:r w:rsidR="00DF5205" w:rsidRPr="0084150A">
        <w:rPr>
          <w:rFonts w:cs="Arial"/>
          <w:szCs w:val="24"/>
          <w:lang w:val="en-CA"/>
        </w:rPr>
        <w:t xml:space="preserve"> the profits </w:t>
      </w:r>
      <w:r w:rsidR="0093796C">
        <w:rPr>
          <w:rFonts w:cs="Arial"/>
          <w:szCs w:val="24"/>
          <w:lang w:val="en-CA"/>
        </w:rPr>
        <w:t>earned</w:t>
      </w:r>
      <w:r w:rsidR="00DF5205" w:rsidRPr="0084150A">
        <w:rPr>
          <w:rFonts w:cs="Arial"/>
          <w:szCs w:val="24"/>
          <w:lang w:val="en-CA"/>
        </w:rPr>
        <w:t xml:space="preserve"> </w:t>
      </w:r>
      <w:proofErr w:type="gramStart"/>
      <w:r w:rsidR="00DF5205" w:rsidRPr="0084150A">
        <w:rPr>
          <w:rFonts w:cs="Arial"/>
          <w:szCs w:val="24"/>
          <w:lang w:val="en-CA"/>
        </w:rPr>
        <w:t>as a result of</w:t>
      </w:r>
      <w:proofErr w:type="gramEnd"/>
      <w:r w:rsidR="00DF5205" w:rsidRPr="0084150A">
        <w:rPr>
          <w:rFonts w:cs="Arial"/>
          <w:szCs w:val="24"/>
          <w:lang w:val="en-CA"/>
        </w:rPr>
        <w:t xml:space="preserve"> the alleged </w:t>
      </w:r>
      <w:r w:rsidR="00C457A4">
        <w:rPr>
          <w:rFonts w:cs="Arial"/>
          <w:szCs w:val="24"/>
          <w:lang w:val="en-CA"/>
        </w:rPr>
        <w:t>non-compliance</w:t>
      </w:r>
      <w:r w:rsidR="00DF5205" w:rsidRPr="0084150A">
        <w:rPr>
          <w:rFonts w:cs="Arial"/>
          <w:szCs w:val="24"/>
          <w:lang w:val="en-CA"/>
        </w:rPr>
        <w:t>.</w:t>
      </w:r>
    </w:p>
    <w:p w14:paraId="1AADA883" w14:textId="7F969E14" w:rsidR="00BA4650" w:rsidRPr="0084150A" w:rsidRDefault="0009592E" w:rsidP="001E16C6">
      <w:pPr>
        <w:pStyle w:val="Paragraphe"/>
        <w:rPr>
          <w:rFonts w:cs="Arial"/>
          <w:szCs w:val="24"/>
          <w:lang w:val="en-CA"/>
        </w:rPr>
      </w:pPr>
      <w:r w:rsidRPr="0084150A">
        <w:rPr>
          <w:rFonts w:cs="Arial"/>
          <w:szCs w:val="24"/>
          <w:lang w:val="en-CA"/>
        </w:rPr>
        <w:t xml:space="preserve">Philippe Gauthier denies that he had privileged information, communicated privileged information, </w:t>
      </w:r>
      <w:r w:rsidR="00843BFB">
        <w:rPr>
          <w:rFonts w:cs="Arial"/>
          <w:szCs w:val="24"/>
          <w:lang w:val="en-CA"/>
        </w:rPr>
        <w:t>or</w:t>
      </w:r>
      <w:r w:rsidRPr="0084150A">
        <w:rPr>
          <w:rFonts w:cs="Arial"/>
          <w:szCs w:val="24"/>
          <w:lang w:val="en-CA"/>
        </w:rPr>
        <w:t xml:space="preserve"> recommended trading in Napec securities.</w:t>
      </w:r>
    </w:p>
    <w:p w14:paraId="737541F3" w14:textId="18ECF191" w:rsidR="00BA4650" w:rsidRPr="0084150A" w:rsidRDefault="00264235" w:rsidP="001E16C6">
      <w:pPr>
        <w:pStyle w:val="Paragraphe"/>
        <w:rPr>
          <w:lang w:val="en-CA" w:eastAsia="en-US"/>
        </w:rPr>
      </w:pPr>
      <w:r w:rsidRPr="0084150A">
        <w:rPr>
          <w:lang w:val="en-CA"/>
        </w:rPr>
        <w:t xml:space="preserve">Frédéric Racine admits that he traded </w:t>
      </w:r>
      <w:r w:rsidR="00F4637C" w:rsidRPr="0084150A">
        <w:rPr>
          <w:lang w:val="en-CA"/>
        </w:rPr>
        <w:t xml:space="preserve">in </w:t>
      </w:r>
      <w:r w:rsidRPr="0084150A">
        <w:rPr>
          <w:lang w:val="en-CA"/>
        </w:rPr>
        <w:t>Napec securities but denies that he received privileged information about Napec or received a recommendation to buy from Philippe Gauthier.</w:t>
      </w:r>
      <w:r w:rsidR="005D25C5" w:rsidRPr="0084150A">
        <w:rPr>
          <w:lang w:val="en-CA"/>
        </w:rPr>
        <w:t xml:space="preserve"> </w:t>
      </w:r>
      <w:r w:rsidR="001422AA">
        <w:rPr>
          <w:lang w:val="en-CA"/>
        </w:rPr>
        <w:t xml:space="preserve">He </w:t>
      </w:r>
      <w:r w:rsidR="00432E66">
        <w:rPr>
          <w:lang w:val="en-CA"/>
        </w:rPr>
        <w:t>claims</w:t>
      </w:r>
      <w:r w:rsidR="00C63E30" w:rsidRPr="0084150A">
        <w:rPr>
          <w:lang w:val="en-CA"/>
        </w:rPr>
        <w:t xml:space="preserve"> </w:t>
      </w:r>
      <w:r w:rsidR="001422AA">
        <w:rPr>
          <w:lang w:val="en-CA"/>
        </w:rPr>
        <w:t xml:space="preserve">instead </w:t>
      </w:r>
      <w:r w:rsidR="00C63E30" w:rsidRPr="0084150A">
        <w:rPr>
          <w:lang w:val="en-CA"/>
        </w:rPr>
        <w:t xml:space="preserve">that </w:t>
      </w:r>
      <w:r w:rsidR="008E34BB">
        <w:rPr>
          <w:lang w:val="en-CA"/>
        </w:rPr>
        <w:t>his</w:t>
      </w:r>
      <w:r w:rsidR="00C63E30" w:rsidRPr="0084150A">
        <w:rPr>
          <w:lang w:val="en-CA"/>
        </w:rPr>
        <w:t xml:space="preserve"> trades of Napec securities are based on his </w:t>
      </w:r>
      <w:r w:rsidR="00986FE8">
        <w:rPr>
          <w:lang w:val="en-CA"/>
        </w:rPr>
        <w:t>personal</w:t>
      </w:r>
      <w:r w:rsidR="00986FE8" w:rsidRPr="0084150A">
        <w:rPr>
          <w:lang w:val="en-CA"/>
        </w:rPr>
        <w:t xml:space="preserve"> </w:t>
      </w:r>
      <w:r w:rsidR="00C63E30" w:rsidRPr="0084150A">
        <w:rPr>
          <w:lang w:val="en-CA"/>
        </w:rPr>
        <w:t>analys</w:t>
      </w:r>
      <w:r w:rsidR="00986FE8">
        <w:rPr>
          <w:lang w:val="en-CA"/>
        </w:rPr>
        <w:t>e</w:t>
      </w:r>
      <w:r w:rsidR="00C63E30" w:rsidRPr="0084150A">
        <w:rPr>
          <w:lang w:val="en-CA"/>
        </w:rPr>
        <w:t xml:space="preserve">s, public information, and discussions with </w:t>
      </w:r>
      <w:r w:rsidR="001B1D55">
        <w:rPr>
          <w:lang w:val="en-CA"/>
        </w:rPr>
        <w:t>individuals</w:t>
      </w:r>
      <w:r w:rsidR="00C63E30" w:rsidRPr="0084150A">
        <w:rPr>
          <w:lang w:val="en-CA"/>
        </w:rPr>
        <w:t xml:space="preserve"> </w:t>
      </w:r>
      <w:r w:rsidR="004214A4">
        <w:rPr>
          <w:lang w:val="en-CA"/>
        </w:rPr>
        <w:t>in his social circle</w:t>
      </w:r>
      <w:r w:rsidR="00C63E30" w:rsidRPr="0084150A">
        <w:rPr>
          <w:lang w:val="en-CA"/>
        </w:rPr>
        <w:t>.</w:t>
      </w:r>
      <w:r w:rsidR="00054843" w:rsidRPr="0084150A">
        <w:rPr>
          <w:lang w:val="en-CA"/>
        </w:rPr>
        <w:t xml:space="preserve"> </w:t>
      </w:r>
      <w:r w:rsidR="00B11940" w:rsidRPr="0084150A">
        <w:rPr>
          <w:lang w:val="en-CA"/>
        </w:rPr>
        <w:t>Frédéric Racine also denies that he disclosed privileged information and recommended trading in Napec securities.</w:t>
      </w:r>
    </w:p>
    <w:p w14:paraId="235D9665" w14:textId="6CC42384" w:rsidR="00B35C19" w:rsidRPr="005E07F3" w:rsidRDefault="002D166D" w:rsidP="001E16C6">
      <w:pPr>
        <w:pStyle w:val="Paragraphe"/>
        <w:rPr>
          <w:rFonts w:cs="Arial"/>
          <w:szCs w:val="24"/>
          <w:lang w:val="en-CA"/>
        </w:rPr>
      </w:pPr>
      <w:r w:rsidRPr="005E07F3">
        <w:rPr>
          <w:rFonts w:cs="Arial"/>
          <w:szCs w:val="24"/>
          <w:lang w:val="en-CA"/>
        </w:rPr>
        <w:t>To decide this dispute, the Tribunal must rule on the following issues:</w:t>
      </w:r>
    </w:p>
    <w:p w14:paraId="5F37D019" w14:textId="23FD1000" w:rsidR="00B35C19" w:rsidRPr="0084150A" w:rsidRDefault="000A17E4" w:rsidP="00487717">
      <w:pPr>
        <w:pStyle w:val="Paragraphe"/>
        <w:numPr>
          <w:ilvl w:val="0"/>
          <w:numId w:val="5"/>
        </w:numPr>
        <w:rPr>
          <w:rFonts w:cs="Arial"/>
          <w:szCs w:val="24"/>
          <w:lang w:val="en-CA"/>
        </w:rPr>
      </w:pPr>
      <w:r w:rsidRPr="0084150A">
        <w:rPr>
          <w:lang w:val="en-CA"/>
        </w:rPr>
        <w:t>Did Philippe Gauthier, while having privileged information, disclose privileged information and/or recommend to Vincent Pouliot that he trade in Napec securities?</w:t>
      </w:r>
    </w:p>
    <w:p w14:paraId="38440C81" w14:textId="6BF7D651" w:rsidR="00A346FB" w:rsidRPr="005E07F3" w:rsidRDefault="00662805" w:rsidP="00A346FB">
      <w:pPr>
        <w:pStyle w:val="Paragraphedeliste"/>
        <w:numPr>
          <w:ilvl w:val="0"/>
          <w:numId w:val="5"/>
        </w:numPr>
        <w:spacing w:before="120" w:after="120"/>
        <w:contextualSpacing w:val="0"/>
        <w:jc w:val="both"/>
        <w:rPr>
          <w:rFonts w:cs="Arial"/>
          <w:kern w:val="28"/>
          <w:szCs w:val="24"/>
          <w:lang w:val="en-CA"/>
        </w:rPr>
      </w:pPr>
      <w:r w:rsidRPr="005E07F3">
        <w:rPr>
          <w:rFonts w:cs="Arial"/>
          <w:kern w:val="28"/>
          <w:szCs w:val="24"/>
          <w:lang w:val="en-CA"/>
        </w:rPr>
        <w:t>Did Philippe Gauthier, while having privileged information, recommend to Paul Ayoub that he trade in Napec securities?</w:t>
      </w:r>
    </w:p>
    <w:p w14:paraId="0A771945" w14:textId="4D6FB6C7" w:rsidR="00782E6A" w:rsidRPr="005E07F3" w:rsidRDefault="00254C5B" w:rsidP="00487717">
      <w:pPr>
        <w:pStyle w:val="Paragraphedeliste"/>
        <w:numPr>
          <w:ilvl w:val="0"/>
          <w:numId w:val="5"/>
        </w:numPr>
        <w:spacing w:before="120" w:after="120"/>
        <w:contextualSpacing w:val="0"/>
        <w:jc w:val="both"/>
        <w:rPr>
          <w:rFonts w:cs="Arial"/>
          <w:kern w:val="28"/>
          <w:szCs w:val="24"/>
          <w:lang w:val="en-CA"/>
        </w:rPr>
      </w:pPr>
      <w:r w:rsidRPr="005E07F3">
        <w:rPr>
          <w:rFonts w:cs="Arial"/>
          <w:kern w:val="28"/>
          <w:szCs w:val="24"/>
          <w:lang w:val="en-CA"/>
        </w:rPr>
        <w:t>Did Philippe Gauthier, while having privileged information, disclose privileged information and/or recommend to Frédéric Racine that he trade in Napec securities?</w:t>
      </w:r>
    </w:p>
    <w:p w14:paraId="51EEEF53" w14:textId="42B4D8E1" w:rsidR="00541680" w:rsidRPr="005E07F3" w:rsidRDefault="00FA313B" w:rsidP="00487717">
      <w:pPr>
        <w:pStyle w:val="Paragraphedeliste"/>
        <w:numPr>
          <w:ilvl w:val="0"/>
          <w:numId w:val="5"/>
        </w:numPr>
        <w:spacing w:before="120" w:after="120"/>
        <w:contextualSpacing w:val="0"/>
        <w:jc w:val="both"/>
        <w:rPr>
          <w:rFonts w:cs="Arial"/>
          <w:kern w:val="28"/>
          <w:szCs w:val="24"/>
          <w:lang w:val="en-CA"/>
        </w:rPr>
      </w:pPr>
      <w:r w:rsidRPr="005E07F3">
        <w:rPr>
          <w:lang w:val="en-CA"/>
        </w:rPr>
        <w:lastRenderedPageBreak/>
        <w:t>Did Frédéric Racine trade in Napec securities while having privileged information?</w:t>
      </w:r>
    </w:p>
    <w:p w14:paraId="17FA67B3" w14:textId="7EC49026" w:rsidR="00541680" w:rsidRPr="005E07F3" w:rsidRDefault="00B03BCE" w:rsidP="00487717">
      <w:pPr>
        <w:pStyle w:val="Paragraphedeliste"/>
        <w:numPr>
          <w:ilvl w:val="0"/>
          <w:numId w:val="5"/>
        </w:numPr>
        <w:spacing w:before="120" w:after="120"/>
        <w:contextualSpacing w:val="0"/>
        <w:jc w:val="both"/>
        <w:rPr>
          <w:rFonts w:cs="Arial"/>
          <w:kern w:val="28"/>
          <w:szCs w:val="24"/>
          <w:lang w:val="en-CA"/>
        </w:rPr>
      </w:pPr>
      <w:r w:rsidRPr="005E07F3">
        <w:rPr>
          <w:lang w:val="en-CA"/>
        </w:rPr>
        <w:t>Did Frédéric Racine</w:t>
      </w:r>
      <w:r w:rsidR="00642ABB">
        <w:rPr>
          <w:lang w:val="en-CA"/>
        </w:rPr>
        <w:t>,</w:t>
      </w:r>
      <w:r w:rsidRPr="005E07F3">
        <w:rPr>
          <w:lang w:val="en-CA"/>
        </w:rPr>
        <w:t xml:space="preserve"> </w:t>
      </w:r>
      <w:r w:rsidR="00642ABB" w:rsidRPr="005E07F3">
        <w:rPr>
          <w:lang w:val="en-CA"/>
        </w:rPr>
        <w:t>while having privileged information</w:t>
      </w:r>
      <w:r w:rsidR="00642ABB">
        <w:rPr>
          <w:lang w:val="en-CA"/>
        </w:rPr>
        <w:t>,</w:t>
      </w:r>
      <w:r w:rsidR="00642ABB" w:rsidRPr="005E07F3">
        <w:rPr>
          <w:lang w:val="en-CA"/>
        </w:rPr>
        <w:t xml:space="preserve"> </w:t>
      </w:r>
      <w:r w:rsidRPr="005E07F3">
        <w:rPr>
          <w:lang w:val="en-CA"/>
        </w:rPr>
        <w:t>disclose privileged information and/or recommend to Gilles Racine that he trade in Napec securities?</w:t>
      </w:r>
    </w:p>
    <w:p w14:paraId="5B100C8F" w14:textId="244232E5" w:rsidR="004E1138" w:rsidRPr="0084150A" w:rsidRDefault="00483FEB" w:rsidP="00487717">
      <w:pPr>
        <w:pStyle w:val="Paragraphedeliste"/>
        <w:numPr>
          <w:ilvl w:val="0"/>
          <w:numId w:val="5"/>
        </w:numPr>
        <w:spacing w:before="120" w:after="120"/>
        <w:contextualSpacing w:val="0"/>
        <w:jc w:val="both"/>
        <w:rPr>
          <w:rFonts w:cs="Arial"/>
          <w:kern w:val="28"/>
          <w:szCs w:val="24"/>
          <w:lang w:val="en-CA"/>
        </w:rPr>
      </w:pPr>
      <w:r w:rsidRPr="0084150A">
        <w:rPr>
          <w:lang w:val="en-CA"/>
        </w:rPr>
        <w:t>Did</w:t>
      </w:r>
      <w:r w:rsidR="0016519C" w:rsidRPr="0084150A">
        <w:rPr>
          <w:lang w:val="en-CA"/>
        </w:rPr>
        <w:t xml:space="preserve"> Frédéric Racine</w:t>
      </w:r>
      <w:r w:rsidR="00642ABB">
        <w:rPr>
          <w:lang w:val="en-CA"/>
        </w:rPr>
        <w:t>,</w:t>
      </w:r>
      <w:r w:rsidR="0016519C" w:rsidRPr="0084150A">
        <w:rPr>
          <w:lang w:val="en-CA"/>
        </w:rPr>
        <w:t xml:space="preserve"> </w:t>
      </w:r>
      <w:r w:rsidR="00642ABB" w:rsidRPr="0084150A">
        <w:rPr>
          <w:lang w:val="en-CA"/>
        </w:rPr>
        <w:t>while having privileged information</w:t>
      </w:r>
      <w:r w:rsidR="00642ABB">
        <w:rPr>
          <w:lang w:val="en-CA"/>
        </w:rPr>
        <w:t>,</w:t>
      </w:r>
      <w:r w:rsidR="00642ABB" w:rsidRPr="0084150A">
        <w:rPr>
          <w:lang w:val="en-CA"/>
        </w:rPr>
        <w:t xml:space="preserve"> </w:t>
      </w:r>
      <w:r w:rsidR="0016519C" w:rsidRPr="0084150A">
        <w:rPr>
          <w:lang w:val="en-CA"/>
        </w:rPr>
        <w:t>recommend to Anne Roy-Dussault that she trade in Napec securities?</w:t>
      </w:r>
    </w:p>
    <w:p w14:paraId="61BE42A8" w14:textId="31C67A59" w:rsidR="004E1138" w:rsidRPr="005E07F3" w:rsidRDefault="00642ABB" w:rsidP="00487717">
      <w:pPr>
        <w:pStyle w:val="Paragraphedeliste"/>
        <w:numPr>
          <w:ilvl w:val="0"/>
          <w:numId w:val="5"/>
        </w:numPr>
        <w:spacing w:before="120" w:after="120"/>
        <w:contextualSpacing w:val="0"/>
        <w:jc w:val="both"/>
        <w:rPr>
          <w:rFonts w:cs="Arial"/>
          <w:kern w:val="28"/>
          <w:szCs w:val="24"/>
          <w:lang w:val="en-CA"/>
        </w:rPr>
      </w:pPr>
      <w:bookmarkStart w:id="3" w:name="_Hlk166570238"/>
      <w:r>
        <w:rPr>
          <w:rFonts w:cs="Arial"/>
          <w:kern w:val="28"/>
          <w:szCs w:val="24"/>
          <w:lang w:val="en-CA"/>
        </w:rPr>
        <w:t>If so, w</w:t>
      </w:r>
      <w:r w:rsidR="00260886" w:rsidRPr="005E07F3">
        <w:rPr>
          <w:rFonts w:cs="Arial"/>
          <w:kern w:val="28"/>
          <w:szCs w:val="24"/>
          <w:lang w:val="en-CA"/>
        </w:rPr>
        <w:t>hat</w:t>
      </w:r>
      <w:r w:rsidR="00E57C34" w:rsidRPr="005E07F3">
        <w:rPr>
          <w:rFonts w:cs="Arial"/>
          <w:kern w:val="28"/>
          <w:szCs w:val="24"/>
          <w:lang w:val="en-CA"/>
        </w:rPr>
        <w:t xml:space="preserve"> administrative</w:t>
      </w:r>
      <w:r w:rsidR="00260886" w:rsidRPr="005E07F3">
        <w:rPr>
          <w:rFonts w:cs="Arial"/>
          <w:kern w:val="28"/>
          <w:szCs w:val="24"/>
          <w:lang w:val="en-CA"/>
        </w:rPr>
        <w:t xml:space="preserve"> penalties and other measures, if any, must the Tribunal </w:t>
      </w:r>
      <w:r w:rsidR="00E540E9" w:rsidRPr="005E07F3">
        <w:rPr>
          <w:rFonts w:cs="Arial"/>
          <w:kern w:val="28"/>
          <w:szCs w:val="24"/>
          <w:lang w:val="en-CA"/>
        </w:rPr>
        <w:t xml:space="preserve">impose </w:t>
      </w:r>
      <w:r w:rsidR="00260886" w:rsidRPr="005E07F3">
        <w:rPr>
          <w:rFonts w:cs="Arial"/>
          <w:kern w:val="28"/>
          <w:szCs w:val="24"/>
          <w:lang w:val="en-CA"/>
        </w:rPr>
        <w:t>on Philippe Gauthier and Frédéric Racine?</w:t>
      </w:r>
    </w:p>
    <w:bookmarkEnd w:id="3"/>
    <w:p w14:paraId="71293541" w14:textId="12852E14" w:rsidR="00B06601" w:rsidRPr="0084150A" w:rsidRDefault="00E13568" w:rsidP="001E16C6">
      <w:pPr>
        <w:pStyle w:val="Paragraphe"/>
        <w:rPr>
          <w:rFonts w:cs="Arial"/>
          <w:szCs w:val="24"/>
          <w:lang w:val="en-CA"/>
        </w:rPr>
      </w:pPr>
      <w:r w:rsidRPr="0084150A">
        <w:rPr>
          <w:rFonts w:cs="Arial"/>
          <w:szCs w:val="24"/>
          <w:shd w:val="clear" w:color="auto" w:fill="FFFFFF"/>
          <w:lang w:val="en-CA"/>
        </w:rPr>
        <w:t>After considering the Authority’s re-amended application, the evidence, the applicable la</w:t>
      </w:r>
      <w:r w:rsidR="00652CF8">
        <w:rPr>
          <w:rFonts w:cs="Arial"/>
          <w:szCs w:val="24"/>
          <w:shd w:val="clear" w:color="auto" w:fill="FFFFFF"/>
          <w:lang w:val="en-CA"/>
        </w:rPr>
        <w:t>w</w:t>
      </w:r>
      <w:r w:rsidRPr="0084150A">
        <w:rPr>
          <w:rFonts w:cs="Arial"/>
          <w:szCs w:val="24"/>
          <w:shd w:val="clear" w:color="auto" w:fill="FFFFFF"/>
          <w:lang w:val="en-CA"/>
        </w:rPr>
        <w:t>, and the parties’ arguments, the Tribunal grants the Authority’s application and finds that Philippe Gauthier, while having privileged information, disclosed t</w:t>
      </w:r>
      <w:r w:rsidR="00652CF8">
        <w:rPr>
          <w:rFonts w:cs="Arial"/>
          <w:szCs w:val="24"/>
          <w:shd w:val="clear" w:color="auto" w:fill="FFFFFF"/>
          <w:lang w:val="en-CA"/>
        </w:rPr>
        <w:t>h</w:t>
      </w:r>
      <w:r w:rsidR="00E25A93">
        <w:rPr>
          <w:rFonts w:cs="Arial"/>
          <w:szCs w:val="24"/>
          <w:shd w:val="clear" w:color="auto" w:fill="FFFFFF"/>
          <w:lang w:val="en-CA"/>
        </w:rPr>
        <w:t>is</w:t>
      </w:r>
      <w:r w:rsidRPr="0084150A">
        <w:rPr>
          <w:rFonts w:cs="Arial"/>
          <w:szCs w:val="24"/>
          <w:shd w:val="clear" w:color="auto" w:fill="FFFFFF"/>
          <w:lang w:val="en-CA"/>
        </w:rPr>
        <w:t xml:space="preserve"> information</w:t>
      </w:r>
      <w:r w:rsidR="00652CF8">
        <w:rPr>
          <w:rFonts w:cs="Arial"/>
          <w:szCs w:val="24"/>
          <w:shd w:val="clear" w:color="auto" w:fill="FFFFFF"/>
          <w:lang w:val="en-CA"/>
        </w:rPr>
        <w:t xml:space="preserve"> </w:t>
      </w:r>
      <w:r w:rsidRPr="0084150A">
        <w:rPr>
          <w:rFonts w:cs="Arial"/>
          <w:szCs w:val="24"/>
          <w:shd w:val="clear" w:color="auto" w:fill="FFFFFF"/>
          <w:lang w:val="en-CA"/>
        </w:rPr>
        <w:t xml:space="preserve">and recommended to the two people identified by the Authority that they trade </w:t>
      </w:r>
      <w:r w:rsidR="008604E2">
        <w:rPr>
          <w:rFonts w:cs="Arial"/>
          <w:szCs w:val="24"/>
          <w:shd w:val="clear" w:color="auto" w:fill="FFFFFF"/>
          <w:lang w:val="en-CA"/>
        </w:rPr>
        <w:t xml:space="preserve">in securities of </w:t>
      </w:r>
      <w:r w:rsidRPr="0084150A">
        <w:rPr>
          <w:rFonts w:cs="Arial"/>
          <w:szCs w:val="24"/>
          <w:shd w:val="clear" w:color="auto" w:fill="FFFFFF"/>
          <w:lang w:val="en-CA"/>
        </w:rPr>
        <w:t>Napec and</w:t>
      </w:r>
      <w:r w:rsidR="005F3D44">
        <w:rPr>
          <w:rFonts w:cs="Arial"/>
          <w:szCs w:val="24"/>
          <w:shd w:val="clear" w:color="auto" w:fill="FFFFFF"/>
          <w:lang w:val="en-CA"/>
        </w:rPr>
        <w:t xml:space="preserve"> that he</w:t>
      </w:r>
      <w:r w:rsidRPr="0084150A">
        <w:rPr>
          <w:rFonts w:cs="Arial"/>
          <w:szCs w:val="24"/>
          <w:shd w:val="clear" w:color="auto" w:fill="FFFFFF"/>
          <w:lang w:val="en-CA"/>
        </w:rPr>
        <w:t xml:space="preserve"> recommended to the third person identified by the Authority that they trade Napec securities.</w:t>
      </w:r>
      <w:r w:rsidR="005D25C5" w:rsidRPr="0084150A">
        <w:rPr>
          <w:rFonts w:cs="Arial"/>
          <w:szCs w:val="24"/>
          <w:shd w:val="clear" w:color="auto" w:fill="FFFFFF"/>
          <w:lang w:val="en-CA"/>
        </w:rPr>
        <w:t xml:space="preserve"> </w:t>
      </w:r>
      <w:r w:rsidR="004E1B09" w:rsidRPr="0084150A">
        <w:rPr>
          <w:rFonts w:cs="Arial"/>
          <w:szCs w:val="24"/>
          <w:shd w:val="clear" w:color="auto" w:fill="FFFFFF"/>
          <w:lang w:val="en-CA"/>
        </w:rPr>
        <w:t xml:space="preserve">Consequently, the Tribunal imposes on him an administrative </w:t>
      </w:r>
      <w:r w:rsidR="00CC02A4">
        <w:rPr>
          <w:rFonts w:cs="Arial"/>
          <w:szCs w:val="24"/>
          <w:shd w:val="clear" w:color="auto" w:fill="FFFFFF"/>
          <w:lang w:val="en-CA"/>
        </w:rPr>
        <w:t>penalty</w:t>
      </w:r>
      <w:r w:rsidR="004E1B09" w:rsidRPr="0084150A">
        <w:rPr>
          <w:rFonts w:cs="Arial"/>
          <w:szCs w:val="24"/>
          <w:shd w:val="clear" w:color="auto" w:fill="FFFFFF"/>
          <w:lang w:val="en-CA"/>
        </w:rPr>
        <w:t xml:space="preserve"> of $350,000.</w:t>
      </w:r>
      <w:r w:rsidR="005D25C5" w:rsidRPr="0084150A">
        <w:rPr>
          <w:rFonts w:cs="Arial"/>
          <w:szCs w:val="24"/>
          <w:shd w:val="clear" w:color="auto" w:fill="FFFFFF"/>
          <w:lang w:val="en-CA"/>
        </w:rPr>
        <w:t xml:space="preserve"> </w:t>
      </w:r>
    </w:p>
    <w:p w14:paraId="104A6C6D" w14:textId="21E01735" w:rsidR="00B06601" w:rsidRPr="0084150A" w:rsidRDefault="00467F3A" w:rsidP="00B06601">
      <w:pPr>
        <w:pStyle w:val="Paragraphe"/>
        <w:rPr>
          <w:rFonts w:cs="Arial"/>
          <w:szCs w:val="24"/>
          <w:lang w:val="en-CA"/>
        </w:rPr>
      </w:pPr>
      <w:r w:rsidRPr="0084150A">
        <w:rPr>
          <w:rFonts w:cs="Arial"/>
          <w:szCs w:val="24"/>
          <w:shd w:val="clear" w:color="auto" w:fill="FFFFFF"/>
          <w:lang w:val="en-CA"/>
        </w:rPr>
        <w:t xml:space="preserve">The Tribunal finds that Frédéric Racine, while having privileged information, traded </w:t>
      </w:r>
      <w:r w:rsidR="00F4637C" w:rsidRPr="0084150A">
        <w:rPr>
          <w:rFonts w:cs="Arial"/>
          <w:szCs w:val="24"/>
          <w:shd w:val="clear" w:color="auto" w:fill="FFFFFF"/>
          <w:lang w:val="en-CA"/>
        </w:rPr>
        <w:t xml:space="preserve">in </w:t>
      </w:r>
      <w:r w:rsidR="00122B1B">
        <w:rPr>
          <w:rFonts w:cs="Arial"/>
          <w:szCs w:val="24"/>
          <w:shd w:val="clear" w:color="auto" w:fill="FFFFFF"/>
          <w:lang w:val="en-CA"/>
        </w:rPr>
        <w:t>securities of Napec</w:t>
      </w:r>
      <w:r w:rsidRPr="0084150A">
        <w:rPr>
          <w:rFonts w:cs="Arial"/>
          <w:szCs w:val="24"/>
          <w:shd w:val="clear" w:color="auto" w:fill="FFFFFF"/>
          <w:lang w:val="en-CA"/>
        </w:rPr>
        <w:t xml:space="preserve">, recommended to the two people identified by the Authority that they trade </w:t>
      </w:r>
      <w:r w:rsidR="00122B1B">
        <w:rPr>
          <w:rFonts w:cs="Arial"/>
          <w:szCs w:val="24"/>
          <w:shd w:val="clear" w:color="auto" w:fill="FFFFFF"/>
          <w:lang w:val="en-CA"/>
        </w:rPr>
        <w:t>in</w:t>
      </w:r>
      <w:r w:rsidRPr="0084150A">
        <w:rPr>
          <w:rFonts w:cs="Arial"/>
          <w:szCs w:val="24"/>
          <w:shd w:val="clear" w:color="auto" w:fill="FFFFFF"/>
          <w:lang w:val="en-CA"/>
        </w:rPr>
        <w:t xml:space="preserve"> </w:t>
      </w:r>
      <w:r w:rsidR="00122B1B">
        <w:rPr>
          <w:rFonts w:cs="Arial"/>
          <w:szCs w:val="24"/>
          <w:shd w:val="clear" w:color="auto" w:fill="FFFFFF"/>
          <w:lang w:val="en-CA"/>
        </w:rPr>
        <w:t>the</w:t>
      </w:r>
      <w:r w:rsidR="005F3D44">
        <w:rPr>
          <w:rFonts w:cs="Arial"/>
          <w:szCs w:val="24"/>
          <w:shd w:val="clear" w:color="auto" w:fill="FFFFFF"/>
          <w:lang w:val="en-CA"/>
        </w:rPr>
        <w:t>se</w:t>
      </w:r>
      <w:r w:rsidR="00122B1B">
        <w:rPr>
          <w:rFonts w:cs="Arial"/>
          <w:szCs w:val="24"/>
          <w:shd w:val="clear" w:color="auto" w:fill="FFFFFF"/>
          <w:lang w:val="en-CA"/>
        </w:rPr>
        <w:t xml:space="preserve"> </w:t>
      </w:r>
      <w:r w:rsidRPr="0084150A">
        <w:rPr>
          <w:rFonts w:cs="Arial"/>
          <w:szCs w:val="24"/>
          <w:shd w:val="clear" w:color="auto" w:fill="FFFFFF"/>
          <w:lang w:val="en-CA"/>
        </w:rPr>
        <w:t>securities, and disclosed pr</w:t>
      </w:r>
      <w:r w:rsidR="00FB2277" w:rsidRPr="0084150A">
        <w:rPr>
          <w:rFonts w:cs="Arial"/>
          <w:szCs w:val="24"/>
          <w:shd w:val="clear" w:color="auto" w:fill="FFFFFF"/>
          <w:lang w:val="en-CA"/>
        </w:rPr>
        <w:t>i</w:t>
      </w:r>
      <w:r w:rsidRPr="0084150A">
        <w:rPr>
          <w:rFonts w:cs="Arial"/>
          <w:szCs w:val="24"/>
          <w:shd w:val="clear" w:color="auto" w:fill="FFFFFF"/>
          <w:lang w:val="en-CA"/>
        </w:rPr>
        <w:t xml:space="preserve">vileged information to one of these </w:t>
      </w:r>
      <w:r w:rsidR="00142AAF">
        <w:rPr>
          <w:rFonts w:cs="Arial"/>
          <w:szCs w:val="24"/>
          <w:shd w:val="clear" w:color="auto" w:fill="FFFFFF"/>
          <w:lang w:val="en-CA"/>
        </w:rPr>
        <w:t>individuals</w:t>
      </w:r>
      <w:r w:rsidRPr="0084150A">
        <w:rPr>
          <w:rFonts w:cs="Arial"/>
          <w:szCs w:val="24"/>
          <w:shd w:val="clear" w:color="auto" w:fill="FFFFFF"/>
          <w:lang w:val="en-CA"/>
        </w:rPr>
        <w:t>.</w:t>
      </w:r>
      <w:r w:rsidR="005D25C5" w:rsidRPr="0084150A">
        <w:rPr>
          <w:rFonts w:cs="Arial"/>
          <w:szCs w:val="24"/>
          <w:lang w:val="en-CA"/>
        </w:rPr>
        <w:t xml:space="preserve"> </w:t>
      </w:r>
      <w:r w:rsidR="001A6567" w:rsidRPr="0084150A">
        <w:rPr>
          <w:rFonts w:cs="Arial"/>
          <w:szCs w:val="24"/>
          <w:lang w:val="en-CA"/>
        </w:rPr>
        <w:t xml:space="preserve">The Tribunal imposes on him an administrative </w:t>
      </w:r>
      <w:r w:rsidR="005F3D44">
        <w:rPr>
          <w:rFonts w:cs="Arial"/>
          <w:szCs w:val="24"/>
          <w:lang w:val="en-CA"/>
        </w:rPr>
        <w:t>penalty</w:t>
      </w:r>
      <w:r w:rsidR="005F3D44" w:rsidRPr="0084150A">
        <w:rPr>
          <w:rFonts w:cs="Arial"/>
          <w:szCs w:val="24"/>
          <w:lang w:val="en-CA"/>
        </w:rPr>
        <w:t xml:space="preserve"> </w:t>
      </w:r>
      <w:r w:rsidR="001A6567" w:rsidRPr="0084150A">
        <w:rPr>
          <w:rFonts w:cs="Arial"/>
          <w:szCs w:val="24"/>
          <w:lang w:val="en-CA"/>
        </w:rPr>
        <w:t>of $250,000</w:t>
      </w:r>
      <w:r w:rsidR="005D25C5" w:rsidRPr="0084150A">
        <w:rPr>
          <w:rFonts w:cs="Arial"/>
          <w:szCs w:val="24"/>
          <w:lang w:val="en-CA"/>
        </w:rPr>
        <w:t xml:space="preserve"> </w:t>
      </w:r>
      <w:r w:rsidR="00122B1B">
        <w:rPr>
          <w:rFonts w:cs="Arial"/>
          <w:szCs w:val="24"/>
          <w:lang w:val="en-CA"/>
        </w:rPr>
        <w:t>and</w:t>
      </w:r>
      <w:r w:rsidR="002D2DBF" w:rsidRPr="0084150A">
        <w:rPr>
          <w:rFonts w:cs="Arial"/>
          <w:szCs w:val="24"/>
          <w:lang w:val="en-CA"/>
        </w:rPr>
        <w:t xml:space="preserve"> requires him to disgorge to the Authority the amount of $88,398, which was obtained </w:t>
      </w:r>
      <w:proofErr w:type="gramStart"/>
      <w:r w:rsidR="002D2DBF" w:rsidRPr="0084150A">
        <w:rPr>
          <w:rFonts w:cs="Arial"/>
          <w:szCs w:val="24"/>
          <w:lang w:val="en-CA"/>
        </w:rPr>
        <w:t>as a result of</w:t>
      </w:r>
      <w:proofErr w:type="gramEnd"/>
      <w:r w:rsidR="002D2DBF" w:rsidRPr="0084150A">
        <w:rPr>
          <w:rFonts w:cs="Arial"/>
          <w:szCs w:val="24"/>
          <w:lang w:val="en-CA"/>
        </w:rPr>
        <w:t xml:space="preserve"> the </w:t>
      </w:r>
      <w:r w:rsidR="00C457A4">
        <w:rPr>
          <w:rFonts w:cs="Arial"/>
          <w:szCs w:val="24"/>
          <w:lang w:val="en-CA"/>
        </w:rPr>
        <w:t>non-compliance</w:t>
      </w:r>
      <w:r w:rsidR="002D2DBF" w:rsidRPr="0084150A">
        <w:rPr>
          <w:rFonts w:cs="Arial"/>
          <w:szCs w:val="24"/>
          <w:lang w:val="en-CA"/>
        </w:rPr>
        <w:t>.</w:t>
      </w:r>
      <w:r w:rsidR="005D25C5" w:rsidRPr="0084150A">
        <w:rPr>
          <w:rFonts w:cs="Arial"/>
          <w:szCs w:val="24"/>
          <w:lang w:val="en-CA"/>
        </w:rPr>
        <w:t xml:space="preserve"> </w:t>
      </w:r>
    </w:p>
    <w:p w14:paraId="0A78775E" w14:textId="0239E683" w:rsidR="00604788" w:rsidRPr="0084150A" w:rsidRDefault="00742E46" w:rsidP="00604788">
      <w:pPr>
        <w:pStyle w:val="Paragraphe"/>
        <w:rPr>
          <w:lang w:val="en-CA"/>
        </w:rPr>
      </w:pPr>
      <w:r w:rsidRPr="0084150A">
        <w:rPr>
          <w:shd w:val="clear" w:color="auto" w:fill="FFFFFF"/>
          <w:lang w:val="en-CA"/>
        </w:rPr>
        <w:t xml:space="preserve">Moreover, the Tribunal </w:t>
      </w:r>
      <w:r w:rsidR="007B39E4">
        <w:rPr>
          <w:shd w:val="clear" w:color="auto" w:fill="FFFFFF"/>
          <w:lang w:val="en-CA"/>
        </w:rPr>
        <w:t>orders</w:t>
      </w:r>
      <w:r w:rsidRPr="0084150A">
        <w:rPr>
          <w:shd w:val="clear" w:color="auto" w:fill="FFFFFF"/>
          <w:lang w:val="en-CA"/>
        </w:rPr>
        <w:t xml:space="preserve"> both Philippe Gauthier and Frédéric Racine </w:t>
      </w:r>
      <w:r w:rsidR="007B39E4">
        <w:rPr>
          <w:shd w:val="clear" w:color="auto" w:fill="FFFFFF"/>
          <w:lang w:val="en-CA"/>
        </w:rPr>
        <w:t>to cease</w:t>
      </w:r>
      <w:r w:rsidRPr="0084150A">
        <w:rPr>
          <w:shd w:val="clear" w:color="auto" w:fill="FFFFFF"/>
          <w:lang w:val="en-CA"/>
        </w:rPr>
        <w:t xml:space="preserve"> trading securities except on their own behalf</w:t>
      </w:r>
      <w:r w:rsidR="00016057">
        <w:rPr>
          <w:shd w:val="clear" w:color="auto" w:fill="FFFFFF"/>
          <w:lang w:val="en-CA"/>
        </w:rPr>
        <w:t xml:space="preserve"> and under certain conditions</w:t>
      </w:r>
      <w:r w:rsidR="007B39E4">
        <w:rPr>
          <w:shd w:val="clear" w:color="auto" w:fill="FFFFFF"/>
          <w:lang w:val="en-CA"/>
        </w:rPr>
        <w:t xml:space="preserve"> for a period of five </w:t>
      </w:r>
      <w:proofErr w:type="gramStart"/>
      <w:r w:rsidR="007B39E4">
        <w:rPr>
          <w:shd w:val="clear" w:color="auto" w:fill="FFFFFF"/>
          <w:lang w:val="en-CA"/>
        </w:rPr>
        <w:t>years</w:t>
      </w:r>
      <w:r w:rsidRPr="0084150A">
        <w:rPr>
          <w:shd w:val="clear" w:color="auto" w:fill="FFFFFF"/>
          <w:lang w:val="en-CA"/>
        </w:rPr>
        <w:t>, and</w:t>
      </w:r>
      <w:proofErr w:type="gramEnd"/>
      <w:r w:rsidRPr="0084150A">
        <w:rPr>
          <w:shd w:val="clear" w:color="auto" w:fill="FFFFFF"/>
          <w:lang w:val="en-CA"/>
        </w:rPr>
        <w:t xml:space="preserve"> prohibits them from acting as a director or officer of a reporting issuer, adviser, or investment fund manager during the same period.</w:t>
      </w:r>
    </w:p>
    <w:p w14:paraId="20415EC9" w14:textId="7B1236AE" w:rsidR="00792F51" w:rsidRPr="005E07F3" w:rsidRDefault="00F67F99" w:rsidP="00EE46D8">
      <w:pPr>
        <w:pStyle w:val="Titre1"/>
        <w:keepNext/>
        <w:rPr>
          <w:rFonts w:cs="Arial"/>
          <w:szCs w:val="24"/>
          <w:lang w:val="en-CA"/>
        </w:rPr>
      </w:pPr>
      <w:r w:rsidRPr="005E07F3">
        <w:rPr>
          <w:rFonts w:cs="Arial"/>
          <w:szCs w:val="24"/>
          <w:lang w:val="en-CA"/>
        </w:rPr>
        <w:t>ANALYSIS</w:t>
      </w:r>
    </w:p>
    <w:p w14:paraId="4080DE66" w14:textId="1CDD59B7" w:rsidR="00231026" w:rsidRPr="005E07F3" w:rsidRDefault="001F4962" w:rsidP="00EE46D8">
      <w:pPr>
        <w:pStyle w:val="Titre2"/>
        <w:rPr>
          <w:lang w:val="en-CA"/>
        </w:rPr>
      </w:pPr>
      <w:r w:rsidRPr="005E07F3">
        <w:rPr>
          <w:lang w:val="en-CA"/>
        </w:rPr>
        <w:t>The evidence</w:t>
      </w:r>
      <w:r w:rsidR="005D25C5" w:rsidRPr="005E07F3">
        <w:rPr>
          <w:lang w:val="en-CA"/>
        </w:rPr>
        <w:t xml:space="preserve"> </w:t>
      </w:r>
    </w:p>
    <w:p w14:paraId="35E10785" w14:textId="1BDC9D88" w:rsidR="00AB6AA7" w:rsidRPr="0084150A" w:rsidRDefault="005564F3" w:rsidP="001E16C6">
      <w:pPr>
        <w:pStyle w:val="Paragraphe"/>
        <w:rPr>
          <w:lang w:val="en-CA"/>
        </w:rPr>
      </w:pPr>
      <w:r w:rsidRPr="0084150A">
        <w:rPr>
          <w:lang w:val="en-CA"/>
        </w:rPr>
        <w:t xml:space="preserve">Before ruling on the issues, the Tribunal finds it appropriate to provide an overview of the principles that apply to the analysis of both the legal and factual </w:t>
      </w:r>
      <w:r w:rsidR="00ED1262">
        <w:rPr>
          <w:lang w:val="en-CA"/>
        </w:rPr>
        <w:t>concerns</w:t>
      </w:r>
      <w:r w:rsidR="00ED1262" w:rsidRPr="0084150A">
        <w:rPr>
          <w:lang w:val="en-CA"/>
        </w:rPr>
        <w:t xml:space="preserve"> </w:t>
      </w:r>
      <w:r w:rsidR="00ED1262">
        <w:rPr>
          <w:lang w:val="en-CA"/>
        </w:rPr>
        <w:t>common to</w:t>
      </w:r>
      <w:r w:rsidRPr="0084150A">
        <w:rPr>
          <w:lang w:val="en-CA"/>
        </w:rPr>
        <w:t xml:space="preserve"> all the issues.</w:t>
      </w:r>
    </w:p>
    <w:p w14:paraId="171C9CF2" w14:textId="516631A5" w:rsidR="00AB6AA7" w:rsidRPr="0084150A" w:rsidRDefault="003547C5" w:rsidP="001E16C6">
      <w:pPr>
        <w:pStyle w:val="Paragraphe"/>
        <w:rPr>
          <w:rFonts w:cs="Arial"/>
          <w:szCs w:val="24"/>
          <w:lang w:val="en-CA"/>
        </w:rPr>
      </w:pPr>
      <w:r w:rsidRPr="0084150A">
        <w:rPr>
          <w:rFonts w:cs="Arial"/>
          <w:szCs w:val="24"/>
          <w:lang w:val="en-CA"/>
        </w:rPr>
        <w:t xml:space="preserve">The Authority must establish, on a balance of probabilities, the constituent elements of the </w:t>
      </w:r>
      <w:r w:rsidR="00E06DF9">
        <w:rPr>
          <w:rFonts w:cs="Arial"/>
          <w:szCs w:val="24"/>
          <w:lang w:val="en-CA"/>
        </w:rPr>
        <w:t>contraventions</w:t>
      </w:r>
      <w:r w:rsidR="00E06DF9" w:rsidRPr="0084150A">
        <w:rPr>
          <w:rFonts w:cs="Arial"/>
          <w:szCs w:val="24"/>
          <w:lang w:val="en-CA"/>
        </w:rPr>
        <w:t xml:space="preserve"> </w:t>
      </w:r>
      <w:r w:rsidRPr="0084150A">
        <w:rPr>
          <w:rFonts w:cs="Arial"/>
          <w:szCs w:val="24"/>
          <w:lang w:val="en-CA"/>
        </w:rPr>
        <w:t>alleged against Philippe Gauthier and Frédéric Racine.</w:t>
      </w:r>
      <w:r w:rsidRPr="0084150A">
        <w:rPr>
          <w:rStyle w:val="Appelnotedebasdep"/>
          <w:rFonts w:cs="Arial"/>
          <w:szCs w:val="24"/>
          <w:lang w:val="en-CA"/>
        </w:rPr>
        <w:footnoteReference w:id="3"/>
      </w:r>
      <w:r w:rsidR="005D25C5" w:rsidRPr="0084150A">
        <w:rPr>
          <w:rFonts w:cs="Arial"/>
          <w:szCs w:val="24"/>
          <w:lang w:val="en-CA"/>
        </w:rPr>
        <w:t xml:space="preserve"> </w:t>
      </w:r>
      <w:r w:rsidR="00FE5704" w:rsidRPr="0084150A">
        <w:rPr>
          <w:rFonts w:cs="Arial"/>
          <w:szCs w:val="24"/>
          <w:lang w:val="en-CA"/>
        </w:rPr>
        <w:t xml:space="preserve">The </w:t>
      </w:r>
      <w:r w:rsidR="00AD2F1A">
        <w:rPr>
          <w:rFonts w:cs="Arial"/>
          <w:szCs w:val="24"/>
          <w:lang w:val="en-CA"/>
        </w:rPr>
        <w:t>burden</w:t>
      </w:r>
      <w:r w:rsidR="00FE5704" w:rsidRPr="0084150A">
        <w:rPr>
          <w:rFonts w:cs="Arial"/>
          <w:szCs w:val="24"/>
          <w:lang w:val="en-CA"/>
        </w:rPr>
        <w:t xml:space="preserve"> of proof </w:t>
      </w:r>
      <w:r w:rsidR="00AD2F1A">
        <w:rPr>
          <w:rFonts w:cs="Arial"/>
          <w:szCs w:val="24"/>
          <w:lang w:val="en-CA"/>
        </w:rPr>
        <w:t>rests with</w:t>
      </w:r>
      <w:r w:rsidR="00FE5704" w:rsidRPr="0084150A">
        <w:rPr>
          <w:rFonts w:cs="Arial"/>
          <w:szCs w:val="24"/>
          <w:lang w:val="en-CA"/>
        </w:rPr>
        <w:t xml:space="preserve"> the Authority.</w:t>
      </w:r>
      <w:r w:rsidR="005D25C5" w:rsidRPr="0084150A">
        <w:rPr>
          <w:rFonts w:cs="Arial"/>
          <w:szCs w:val="24"/>
          <w:lang w:val="en-CA"/>
        </w:rPr>
        <w:t xml:space="preserve"> </w:t>
      </w:r>
      <w:r w:rsidR="00B16A65" w:rsidRPr="005E07F3">
        <w:rPr>
          <w:rFonts w:cs="Arial"/>
          <w:szCs w:val="24"/>
          <w:lang w:val="en-CA"/>
        </w:rPr>
        <w:t>Evidence is sufficient if it renders the existence of a fact more probable than its non-existence.</w:t>
      </w:r>
      <w:r w:rsidR="00B16A65" w:rsidRPr="005E07F3">
        <w:rPr>
          <w:rStyle w:val="Appelnotedebasdep"/>
          <w:rFonts w:cs="Arial"/>
          <w:szCs w:val="24"/>
          <w:lang w:val="en-CA"/>
        </w:rPr>
        <w:footnoteReference w:id="4"/>
      </w:r>
      <w:r w:rsidR="00704E90" w:rsidRPr="0084150A">
        <w:rPr>
          <w:rFonts w:cs="Arial"/>
          <w:szCs w:val="24"/>
          <w:lang w:val="en-CA"/>
        </w:rPr>
        <w:t xml:space="preserve"> </w:t>
      </w:r>
      <w:r w:rsidR="00DA75AA" w:rsidRPr="0084150A">
        <w:rPr>
          <w:rFonts w:cs="Arial"/>
          <w:szCs w:val="24"/>
          <w:lang w:val="en-CA"/>
        </w:rPr>
        <w:t xml:space="preserve">Essentially, the Tribunal must determine which </w:t>
      </w:r>
      <w:r w:rsidR="00672FF8">
        <w:rPr>
          <w:rFonts w:cs="Arial"/>
          <w:szCs w:val="24"/>
          <w:lang w:val="en-CA"/>
        </w:rPr>
        <w:t>conclusions</w:t>
      </w:r>
      <w:r w:rsidR="00672FF8" w:rsidRPr="0084150A">
        <w:rPr>
          <w:rFonts w:cs="Arial"/>
          <w:szCs w:val="24"/>
          <w:lang w:val="en-CA"/>
        </w:rPr>
        <w:t xml:space="preserve"> </w:t>
      </w:r>
      <w:r w:rsidR="00DA75AA" w:rsidRPr="0084150A">
        <w:rPr>
          <w:rFonts w:cs="Arial"/>
          <w:szCs w:val="24"/>
          <w:lang w:val="en-CA"/>
        </w:rPr>
        <w:t xml:space="preserve">are most likely based on </w:t>
      </w:r>
      <w:r w:rsidR="00672FF8">
        <w:rPr>
          <w:rFonts w:cs="Arial"/>
          <w:szCs w:val="24"/>
          <w:lang w:val="en-CA"/>
        </w:rPr>
        <w:t>its</w:t>
      </w:r>
      <w:r w:rsidR="00672FF8" w:rsidRPr="0084150A">
        <w:rPr>
          <w:rFonts w:cs="Arial"/>
          <w:szCs w:val="24"/>
          <w:lang w:val="en-CA"/>
        </w:rPr>
        <w:t xml:space="preserve"> </w:t>
      </w:r>
      <w:r w:rsidR="00DA75AA" w:rsidRPr="0084150A">
        <w:rPr>
          <w:rFonts w:cs="Arial"/>
          <w:szCs w:val="24"/>
          <w:lang w:val="en-CA"/>
        </w:rPr>
        <w:t xml:space="preserve">assessment of all the evidence </w:t>
      </w:r>
      <w:r w:rsidR="00DA75AA" w:rsidRPr="0084150A">
        <w:rPr>
          <w:rFonts w:cs="Arial"/>
          <w:szCs w:val="24"/>
          <w:lang w:val="en-CA"/>
        </w:rPr>
        <w:lastRenderedPageBreak/>
        <w:t>presented by the parties.</w:t>
      </w:r>
      <w:r w:rsidR="00704E90" w:rsidRPr="0084150A">
        <w:rPr>
          <w:rFonts w:cs="Arial"/>
          <w:szCs w:val="24"/>
          <w:lang w:val="en-CA"/>
        </w:rPr>
        <w:t xml:space="preserve"> </w:t>
      </w:r>
      <w:r w:rsidR="002D6CD0" w:rsidRPr="0084150A">
        <w:rPr>
          <w:rFonts w:cs="Arial"/>
          <w:szCs w:val="24"/>
          <w:lang w:val="en-CA"/>
        </w:rPr>
        <w:t>This evidence does not require that a level of certainty be reached, but it must exceed mere possibility.</w:t>
      </w:r>
      <w:r w:rsidR="00704E90" w:rsidRPr="0084150A">
        <w:rPr>
          <w:rFonts w:cs="Arial"/>
          <w:szCs w:val="24"/>
          <w:lang w:val="en-CA"/>
        </w:rPr>
        <w:t xml:space="preserve"> </w:t>
      </w:r>
    </w:p>
    <w:p w14:paraId="41881DA9" w14:textId="4AF96E52" w:rsidR="007276FE" w:rsidRPr="0084150A" w:rsidRDefault="00547BA8" w:rsidP="001E16C6">
      <w:pPr>
        <w:pStyle w:val="Paragraphe"/>
        <w:rPr>
          <w:rFonts w:cs="Arial"/>
          <w:szCs w:val="24"/>
          <w:lang w:val="en-CA"/>
        </w:rPr>
      </w:pPr>
      <w:r w:rsidRPr="0084150A">
        <w:rPr>
          <w:rFonts w:cs="Arial"/>
          <w:szCs w:val="24"/>
          <w:lang w:val="en-CA"/>
        </w:rPr>
        <w:t xml:space="preserve">To establish </w:t>
      </w:r>
      <w:r w:rsidR="00AE74F0">
        <w:rPr>
          <w:rFonts w:cs="Arial"/>
          <w:szCs w:val="24"/>
          <w:lang w:val="en-CA"/>
        </w:rPr>
        <w:t>some of the</w:t>
      </w:r>
      <w:r w:rsidR="00AE74F0" w:rsidRPr="0084150A">
        <w:rPr>
          <w:rFonts w:cs="Arial"/>
          <w:szCs w:val="24"/>
          <w:lang w:val="en-CA"/>
        </w:rPr>
        <w:t xml:space="preserve"> </w:t>
      </w:r>
      <w:r w:rsidRPr="0084150A">
        <w:rPr>
          <w:rFonts w:cs="Arial"/>
          <w:szCs w:val="24"/>
          <w:lang w:val="en-CA"/>
        </w:rPr>
        <w:t xml:space="preserve">constituent elements of the </w:t>
      </w:r>
      <w:r w:rsidR="00A006B5" w:rsidRPr="0084150A">
        <w:rPr>
          <w:rFonts w:cs="Arial"/>
          <w:szCs w:val="24"/>
          <w:lang w:val="en-CA"/>
        </w:rPr>
        <w:t>breaches</w:t>
      </w:r>
      <w:r w:rsidRPr="0084150A">
        <w:rPr>
          <w:rFonts w:cs="Arial"/>
          <w:szCs w:val="24"/>
          <w:lang w:val="en-CA"/>
        </w:rPr>
        <w:t xml:space="preserve"> of the provisions </w:t>
      </w:r>
      <w:r w:rsidR="00AE74F0" w:rsidRPr="0084150A">
        <w:rPr>
          <w:rFonts w:cs="Arial"/>
          <w:szCs w:val="24"/>
          <w:lang w:val="en-CA"/>
        </w:rPr>
        <w:t xml:space="preserve">under the </w:t>
      </w:r>
      <w:r w:rsidR="00AE74F0" w:rsidRPr="0084150A">
        <w:rPr>
          <w:rFonts w:cs="Arial"/>
          <w:i/>
          <w:szCs w:val="24"/>
          <w:lang w:val="en-CA"/>
        </w:rPr>
        <w:t>SA</w:t>
      </w:r>
      <w:r w:rsidR="00AE74F0" w:rsidRPr="0084150A">
        <w:rPr>
          <w:rFonts w:cs="Arial"/>
          <w:szCs w:val="24"/>
          <w:lang w:val="en-CA"/>
        </w:rPr>
        <w:t xml:space="preserve"> alleged against Philippe Gauthier and Frédéric Racine</w:t>
      </w:r>
      <w:r w:rsidR="00AE74F0" w:rsidRPr="0084150A" w:rsidDel="00AE74F0">
        <w:rPr>
          <w:rFonts w:cs="Arial"/>
          <w:szCs w:val="24"/>
          <w:lang w:val="en-CA"/>
        </w:rPr>
        <w:t xml:space="preserve"> </w:t>
      </w:r>
      <w:r w:rsidR="00AE74F0">
        <w:rPr>
          <w:rFonts w:cs="Arial"/>
          <w:szCs w:val="24"/>
          <w:lang w:val="en-CA"/>
        </w:rPr>
        <w:t>on</w:t>
      </w:r>
      <w:r w:rsidR="00AE74F0" w:rsidRPr="0084150A">
        <w:rPr>
          <w:rFonts w:cs="Arial"/>
          <w:szCs w:val="24"/>
          <w:lang w:val="en-CA"/>
        </w:rPr>
        <w:t xml:space="preserve"> </w:t>
      </w:r>
      <w:r w:rsidRPr="0084150A">
        <w:rPr>
          <w:rFonts w:cs="Arial"/>
          <w:szCs w:val="24"/>
          <w:lang w:val="en-CA"/>
        </w:rPr>
        <w:t xml:space="preserve">the prohibited use of privileged information, in the absence of direct evidence </w:t>
      </w:r>
      <w:r w:rsidR="00672FF8">
        <w:rPr>
          <w:rFonts w:cs="Arial"/>
          <w:szCs w:val="24"/>
          <w:lang w:val="en-CA"/>
        </w:rPr>
        <w:t>that</w:t>
      </w:r>
      <w:r w:rsidRPr="0084150A">
        <w:rPr>
          <w:rFonts w:cs="Arial"/>
          <w:szCs w:val="24"/>
          <w:lang w:val="en-CA"/>
        </w:rPr>
        <w:t xml:space="preserve"> certain facts</w:t>
      </w:r>
      <w:r w:rsidR="00672FF8">
        <w:rPr>
          <w:rFonts w:cs="Arial"/>
          <w:szCs w:val="24"/>
          <w:lang w:val="en-CA"/>
        </w:rPr>
        <w:t xml:space="preserve"> occu</w:t>
      </w:r>
      <w:r w:rsidR="00AE74F0">
        <w:rPr>
          <w:rFonts w:cs="Arial"/>
          <w:szCs w:val="24"/>
          <w:lang w:val="en-CA"/>
        </w:rPr>
        <w:t>r</w:t>
      </w:r>
      <w:r w:rsidR="00672FF8">
        <w:rPr>
          <w:rFonts w:cs="Arial"/>
          <w:szCs w:val="24"/>
          <w:lang w:val="en-CA"/>
        </w:rPr>
        <w:t>red</w:t>
      </w:r>
      <w:r w:rsidRPr="0084150A">
        <w:rPr>
          <w:rFonts w:cs="Arial"/>
          <w:szCs w:val="24"/>
          <w:lang w:val="en-CA"/>
        </w:rPr>
        <w:t xml:space="preserve">, the Authority presented so-called </w:t>
      </w:r>
      <w:r w:rsidR="00013BE6" w:rsidRPr="0084150A">
        <w:rPr>
          <w:rFonts w:cs="Arial"/>
          <w:szCs w:val="24"/>
          <w:lang w:val="en-CA"/>
        </w:rPr>
        <w:t>[</w:t>
      </w:r>
      <w:r w:rsidR="00013BE6" w:rsidRPr="0084150A">
        <w:rPr>
          <w:rFonts w:cs="Arial"/>
          <w:smallCaps/>
          <w:szCs w:val="24"/>
          <w:lang w:val="en-CA"/>
        </w:rPr>
        <w:t>translation] </w:t>
      </w:r>
      <w:r w:rsidRPr="0084150A">
        <w:rPr>
          <w:rFonts w:cs="Arial"/>
          <w:szCs w:val="24"/>
          <w:lang w:val="en-CA"/>
        </w:rPr>
        <w:t>“circumstantial” evidence, which, as it</w:t>
      </w:r>
      <w:r w:rsidR="004C3A94">
        <w:rPr>
          <w:rFonts w:cs="Arial"/>
          <w:szCs w:val="24"/>
          <w:lang w:val="en-CA"/>
        </w:rPr>
        <w:t>s</w:t>
      </w:r>
      <w:r w:rsidRPr="0084150A">
        <w:rPr>
          <w:rFonts w:cs="Arial"/>
          <w:szCs w:val="24"/>
          <w:lang w:val="en-CA"/>
        </w:rPr>
        <w:t xml:space="preserve"> name </w:t>
      </w:r>
      <w:r w:rsidR="004C3A94">
        <w:rPr>
          <w:rFonts w:cs="Arial"/>
          <w:szCs w:val="24"/>
          <w:lang w:val="en-CA"/>
        </w:rPr>
        <w:t>indicates</w:t>
      </w:r>
      <w:r w:rsidRPr="0084150A">
        <w:rPr>
          <w:rFonts w:cs="Arial"/>
          <w:szCs w:val="24"/>
          <w:lang w:val="en-CA"/>
        </w:rPr>
        <w:t>, depends on the circumstances and is based on presumptions of fact.</w:t>
      </w:r>
      <w:r w:rsidR="00322E93" w:rsidRPr="0084150A">
        <w:rPr>
          <w:rFonts w:cs="Arial"/>
          <w:szCs w:val="24"/>
          <w:lang w:val="en-CA"/>
        </w:rPr>
        <w:t xml:space="preserve"> </w:t>
      </w:r>
    </w:p>
    <w:p w14:paraId="259E5ADD" w14:textId="7AFDE46F" w:rsidR="00C52A77" w:rsidRPr="0084150A" w:rsidRDefault="00443224" w:rsidP="001E16C6">
      <w:pPr>
        <w:pStyle w:val="Paragraphe"/>
        <w:rPr>
          <w:rFonts w:cs="Arial"/>
          <w:szCs w:val="24"/>
          <w:lang w:val="en-CA"/>
        </w:rPr>
      </w:pPr>
      <w:r w:rsidRPr="0084150A">
        <w:rPr>
          <w:shd w:val="clear" w:color="auto" w:fill="FFFFFF"/>
          <w:lang w:val="en-CA"/>
        </w:rPr>
        <w:t xml:space="preserve">In civil law, circumstantial evidence is </w:t>
      </w:r>
      <w:r w:rsidR="0045066B">
        <w:rPr>
          <w:shd w:val="clear" w:color="auto" w:fill="FFFFFF"/>
          <w:lang w:val="en-CA"/>
        </w:rPr>
        <w:t>likened</w:t>
      </w:r>
      <w:r w:rsidR="0045066B" w:rsidRPr="0084150A">
        <w:rPr>
          <w:shd w:val="clear" w:color="auto" w:fill="FFFFFF"/>
          <w:lang w:val="en-CA"/>
        </w:rPr>
        <w:t xml:space="preserve"> </w:t>
      </w:r>
      <w:r w:rsidRPr="0084150A">
        <w:rPr>
          <w:shd w:val="clear" w:color="auto" w:fill="FFFFFF"/>
          <w:lang w:val="en-CA"/>
        </w:rPr>
        <w:t>to proof by presumption, which constitutes a means of proof used to establish a juridical act or a fact.</w:t>
      </w:r>
      <w:r w:rsidRPr="0084150A">
        <w:rPr>
          <w:rStyle w:val="Appelnotedebasdep"/>
          <w:rFonts w:cs="Arial"/>
          <w:color w:val="212529"/>
          <w:szCs w:val="24"/>
          <w:shd w:val="clear" w:color="auto" w:fill="FFFFFF"/>
          <w:lang w:val="en-CA"/>
        </w:rPr>
        <w:footnoteReference w:id="5"/>
      </w:r>
      <w:r w:rsidR="005D25C5" w:rsidRPr="0084150A">
        <w:rPr>
          <w:lang w:val="en-CA"/>
        </w:rPr>
        <w:t xml:space="preserve"> </w:t>
      </w:r>
      <w:r w:rsidR="002F553D" w:rsidRPr="005E07F3">
        <w:rPr>
          <w:shd w:val="clear" w:color="auto" w:fill="FFFFFF"/>
          <w:lang w:val="en-CA"/>
        </w:rPr>
        <w:t>More specifically, a presumption is an inference drawn by the law or the court from a known fact to an unknown fact.</w:t>
      </w:r>
      <w:r w:rsidR="002F553D" w:rsidRPr="005E07F3">
        <w:rPr>
          <w:rStyle w:val="Appelnotedebasdep"/>
          <w:rFonts w:cs="Arial"/>
          <w:color w:val="212529"/>
          <w:szCs w:val="24"/>
          <w:shd w:val="clear" w:color="auto" w:fill="FFFFFF"/>
          <w:lang w:val="en-CA"/>
        </w:rPr>
        <w:footnoteReference w:id="6"/>
      </w:r>
      <w:r w:rsidR="005F0698" w:rsidRPr="0084150A">
        <w:rPr>
          <w:shd w:val="clear" w:color="auto" w:fill="FFFFFF"/>
          <w:lang w:val="en-CA"/>
        </w:rPr>
        <w:t xml:space="preserve"> </w:t>
      </w:r>
      <w:r w:rsidR="0045066B">
        <w:rPr>
          <w:shd w:val="clear" w:color="auto" w:fill="FFFFFF"/>
          <w:lang w:val="en-CA"/>
        </w:rPr>
        <w:t>Based on the facts adduced into evidence</w:t>
      </w:r>
      <w:r w:rsidR="00955678" w:rsidRPr="0084150A">
        <w:rPr>
          <w:shd w:val="clear" w:color="auto" w:fill="FFFFFF"/>
          <w:lang w:val="en-CA"/>
        </w:rPr>
        <w:t xml:space="preserve">, the Tribunal </w:t>
      </w:r>
      <w:r w:rsidR="0045066B">
        <w:rPr>
          <w:shd w:val="clear" w:color="auto" w:fill="FFFFFF"/>
          <w:lang w:val="en-CA"/>
        </w:rPr>
        <w:t>may</w:t>
      </w:r>
      <w:r w:rsidR="0045066B" w:rsidRPr="0084150A">
        <w:rPr>
          <w:shd w:val="clear" w:color="auto" w:fill="FFFFFF"/>
          <w:lang w:val="en-CA"/>
        </w:rPr>
        <w:t xml:space="preserve"> </w:t>
      </w:r>
      <w:r w:rsidR="00955678" w:rsidRPr="0084150A">
        <w:rPr>
          <w:shd w:val="clear" w:color="auto" w:fill="FFFFFF"/>
          <w:lang w:val="en-CA"/>
        </w:rPr>
        <w:t>draw inferences to support the existence of another fact.</w:t>
      </w:r>
      <w:r w:rsidR="005F0698" w:rsidRPr="0084150A">
        <w:rPr>
          <w:shd w:val="clear" w:color="auto" w:fill="FFFFFF"/>
          <w:lang w:val="en-CA"/>
        </w:rPr>
        <w:t xml:space="preserve"> </w:t>
      </w:r>
      <w:r w:rsidR="005013D5" w:rsidRPr="0084150A">
        <w:rPr>
          <w:shd w:val="clear" w:color="auto" w:fill="FFFFFF"/>
          <w:lang w:val="en-CA"/>
        </w:rPr>
        <w:t xml:space="preserve">The Tribunal deduces a fact that has not been </w:t>
      </w:r>
      <w:r w:rsidR="005E5966">
        <w:rPr>
          <w:shd w:val="clear" w:color="auto" w:fill="FFFFFF"/>
          <w:lang w:val="en-CA"/>
        </w:rPr>
        <w:t>proved</w:t>
      </w:r>
      <w:r w:rsidR="005013D5" w:rsidRPr="0084150A">
        <w:rPr>
          <w:shd w:val="clear" w:color="auto" w:fill="FFFFFF"/>
          <w:lang w:val="en-CA"/>
        </w:rPr>
        <w:t xml:space="preserve"> by other means from one or several established facts.</w:t>
      </w:r>
      <w:r w:rsidR="005F0698" w:rsidRPr="0084150A">
        <w:rPr>
          <w:shd w:val="clear" w:color="auto" w:fill="FFFFFF"/>
          <w:lang w:val="en-CA"/>
        </w:rPr>
        <w:t xml:space="preserve"> </w:t>
      </w:r>
    </w:p>
    <w:p w14:paraId="1F958E0C" w14:textId="1D94CDFF" w:rsidR="003E388D" w:rsidRPr="0084150A" w:rsidRDefault="00B609AC" w:rsidP="001E16C6">
      <w:pPr>
        <w:pStyle w:val="Paragraphe"/>
        <w:rPr>
          <w:rFonts w:cs="Arial"/>
          <w:szCs w:val="24"/>
          <w:lang w:val="en-CA"/>
        </w:rPr>
      </w:pPr>
      <w:r w:rsidRPr="0084150A">
        <w:rPr>
          <w:shd w:val="clear" w:color="auto" w:fill="FFFFFF"/>
          <w:lang w:val="en-CA"/>
        </w:rPr>
        <w:t xml:space="preserve">The characterization of presumptions is left to the </w:t>
      </w:r>
      <w:r w:rsidR="00046815">
        <w:rPr>
          <w:shd w:val="clear" w:color="auto" w:fill="FFFFFF"/>
          <w:lang w:val="en-CA"/>
        </w:rPr>
        <w:t>appraisal</w:t>
      </w:r>
      <w:r w:rsidR="00046815" w:rsidRPr="0084150A">
        <w:rPr>
          <w:shd w:val="clear" w:color="auto" w:fill="FFFFFF"/>
          <w:lang w:val="en-CA"/>
        </w:rPr>
        <w:t xml:space="preserve"> </w:t>
      </w:r>
      <w:r w:rsidRPr="0084150A">
        <w:rPr>
          <w:shd w:val="clear" w:color="auto" w:fill="FFFFFF"/>
          <w:lang w:val="en-CA"/>
        </w:rPr>
        <w:t>of the Tribunal, which must only take serious, precise, and concordant presumptions into consideration.</w:t>
      </w:r>
      <w:r w:rsidRPr="0084150A">
        <w:rPr>
          <w:rStyle w:val="Appelnotedebasdep"/>
          <w:shd w:val="clear" w:color="auto" w:fill="FFFFFF"/>
          <w:lang w:val="en-CA"/>
        </w:rPr>
        <w:footnoteReference w:id="7"/>
      </w:r>
      <w:r w:rsidR="003C3FD2" w:rsidRPr="0084150A">
        <w:rPr>
          <w:shd w:val="clear" w:color="auto" w:fill="FFFFFF"/>
          <w:lang w:val="en-CA"/>
        </w:rPr>
        <w:t xml:space="preserve"> </w:t>
      </w:r>
    </w:p>
    <w:p w14:paraId="4875BCF0" w14:textId="1B816E25" w:rsidR="00611C6A" w:rsidRPr="005E07F3" w:rsidRDefault="00A87CF6" w:rsidP="001E16C6">
      <w:pPr>
        <w:pStyle w:val="Paragraphe"/>
        <w:rPr>
          <w:lang w:val="en-CA"/>
        </w:rPr>
      </w:pPr>
      <w:r w:rsidRPr="005E07F3">
        <w:rPr>
          <w:shd w:val="clear" w:color="auto" w:fill="FFFFFF"/>
          <w:lang w:val="en-CA"/>
        </w:rPr>
        <w:t xml:space="preserve">Presumptions are serious when </w:t>
      </w:r>
      <w:r w:rsidR="00777AED" w:rsidRPr="005E07F3">
        <w:rPr>
          <w:shd w:val="clear" w:color="auto" w:fill="FFFFFF"/>
          <w:lang w:val="en-CA"/>
        </w:rPr>
        <w:t>[</w:t>
      </w:r>
      <w:r w:rsidR="00777AED" w:rsidRPr="005E07F3">
        <w:rPr>
          <w:smallCaps/>
          <w:shd w:val="clear" w:color="auto" w:fill="FFFFFF"/>
          <w:lang w:val="en-CA"/>
        </w:rPr>
        <w:t>translation] </w:t>
      </w:r>
      <w:r w:rsidRPr="005E07F3">
        <w:rPr>
          <w:shd w:val="clear" w:color="auto" w:fill="FFFFFF"/>
          <w:lang w:val="en-CA"/>
        </w:rPr>
        <w:t>“the connection between the known fact and the unknown fact is such that the existence of one establishes the existence of the other in a clear and obvious manner”</w:t>
      </w:r>
      <w:r w:rsidR="00046815">
        <w:rPr>
          <w:shd w:val="clear" w:color="auto" w:fill="FFFFFF"/>
          <w:lang w:val="en-CA"/>
        </w:rPr>
        <w:t>.</w:t>
      </w:r>
      <w:r w:rsidRPr="005E07F3">
        <w:rPr>
          <w:rStyle w:val="Appelnotedebasdep"/>
          <w:lang w:val="en-CA"/>
        </w:rPr>
        <w:footnoteReference w:id="8"/>
      </w:r>
    </w:p>
    <w:p w14:paraId="47F6A7A7" w14:textId="5034B69B" w:rsidR="00611C6A" w:rsidRPr="005E07F3" w:rsidRDefault="00362D4F" w:rsidP="00BE16E0">
      <w:pPr>
        <w:pStyle w:val="Paragraphe"/>
        <w:rPr>
          <w:lang w:val="en-CA"/>
        </w:rPr>
      </w:pPr>
      <w:r w:rsidRPr="005E07F3">
        <w:rPr>
          <w:lang w:val="en-CA"/>
        </w:rPr>
        <w:t xml:space="preserve">Presumptions are precise when </w:t>
      </w:r>
      <w:r w:rsidR="00803B39" w:rsidRPr="005E07F3">
        <w:rPr>
          <w:lang w:val="en-CA"/>
        </w:rPr>
        <w:t>[</w:t>
      </w:r>
      <w:r w:rsidR="00803B39" w:rsidRPr="005E07F3">
        <w:rPr>
          <w:smallCaps/>
          <w:lang w:val="en-CA"/>
        </w:rPr>
        <w:t>translation] </w:t>
      </w:r>
      <w:r w:rsidRPr="005E07F3">
        <w:rPr>
          <w:lang w:val="en-CA"/>
        </w:rPr>
        <w:t>“the conclusions that flow from the known fact tend to establish the contested unknown fact in a direct and specific manner”</w:t>
      </w:r>
      <w:r w:rsidR="00046815">
        <w:rPr>
          <w:lang w:val="en-CA"/>
        </w:rPr>
        <w:t>.</w:t>
      </w:r>
      <w:r w:rsidRPr="005E07F3">
        <w:rPr>
          <w:rStyle w:val="Appelnotedebasdep"/>
          <w:lang w:val="en-CA"/>
        </w:rPr>
        <w:footnoteReference w:id="9"/>
      </w:r>
      <w:r w:rsidR="00B10710" w:rsidRPr="005E07F3">
        <w:rPr>
          <w:lang w:val="en-CA"/>
        </w:rPr>
        <w:t xml:space="preserve"> </w:t>
      </w:r>
    </w:p>
    <w:p w14:paraId="10879EAC" w14:textId="78B41556" w:rsidR="00B10710" w:rsidRPr="005E07F3" w:rsidRDefault="000B044D" w:rsidP="006E5FCE">
      <w:pPr>
        <w:pStyle w:val="Paragraphe"/>
        <w:rPr>
          <w:lang w:val="en-CA"/>
        </w:rPr>
      </w:pPr>
      <w:r w:rsidRPr="005E07F3">
        <w:rPr>
          <w:lang w:val="en-CA"/>
        </w:rPr>
        <w:t xml:space="preserve">Finally, they are concordant when </w:t>
      </w:r>
      <w:r w:rsidR="00994974" w:rsidRPr="005E07F3">
        <w:rPr>
          <w:lang w:val="en-CA"/>
        </w:rPr>
        <w:t>[</w:t>
      </w:r>
      <w:r w:rsidR="00994974" w:rsidRPr="005E07F3">
        <w:rPr>
          <w:smallCaps/>
          <w:lang w:val="en-CA"/>
        </w:rPr>
        <w:t>translation] </w:t>
      </w:r>
      <w:r w:rsidRPr="005E07F3">
        <w:rPr>
          <w:lang w:val="en-CA"/>
        </w:rPr>
        <w:t xml:space="preserve">“they tend, as a whole and in how they accord with one another, to establish the fact to be </w:t>
      </w:r>
      <w:r w:rsidR="005E5966">
        <w:rPr>
          <w:lang w:val="en-CA"/>
        </w:rPr>
        <w:t>proved</w:t>
      </w:r>
      <w:r w:rsidRPr="005E07F3">
        <w:rPr>
          <w:lang w:val="en-CA"/>
        </w:rPr>
        <w:t>”</w:t>
      </w:r>
      <w:r w:rsidR="00046815">
        <w:rPr>
          <w:lang w:val="en-CA"/>
        </w:rPr>
        <w:t>.</w:t>
      </w:r>
      <w:r w:rsidRPr="005E07F3">
        <w:rPr>
          <w:rStyle w:val="Appelnotedebasdep"/>
          <w:lang w:val="en-CA"/>
        </w:rPr>
        <w:footnoteReference w:id="10"/>
      </w:r>
      <w:r w:rsidR="005D25C5" w:rsidRPr="005E07F3">
        <w:rPr>
          <w:lang w:val="en-CA"/>
        </w:rPr>
        <w:t xml:space="preserve"> </w:t>
      </w:r>
    </w:p>
    <w:p w14:paraId="236326D9" w14:textId="01B97DB3" w:rsidR="00DF7269" w:rsidRPr="0084150A" w:rsidRDefault="00FF4770" w:rsidP="001E16C6">
      <w:pPr>
        <w:pStyle w:val="Paragraphe"/>
        <w:rPr>
          <w:lang w:val="en-CA"/>
        </w:rPr>
      </w:pPr>
      <w:r w:rsidRPr="0084150A">
        <w:rPr>
          <w:lang w:val="en-CA"/>
        </w:rPr>
        <w:t xml:space="preserve">The Tribunal </w:t>
      </w:r>
      <w:r w:rsidR="003C5C99">
        <w:rPr>
          <w:lang w:val="en-CA"/>
        </w:rPr>
        <w:t>assesses</w:t>
      </w:r>
      <w:r w:rsidR="003C5C99" w:rsidRPr="0084150A">
        <w:rPr>
          <w:lang w:val="en-CA"/>
        </w:rPr>
        <w:t xml:space="preserve"> </w:t>
      </w:r>
      <w:r w:rsidRPr="0084150A">
        <w:rPr>
          <w:lang w:val="en-CA"/>
        </w:rPr>
        <w:t>the existence of presumptions of fact based on the balance of probabilities.</w:t>
      </w:r>
      <w:r w:rsidR="00B01142" w:rsidRPr="0084150A">
        <w:rPr>
          <w:lang w:val="en-CA"/>
        </w:rPr>
        <w:t xml:space="preserve"> </w:t>
      </w:r>
      <w:r w:rsidR="0090125F" w:rsidRPr="0084150A">
        <w:rPr>
          <w:lang w:val="en-CA"/>
        </w:rPr>
        <w:t>It is up to the party rel</w:t>
      </w:r>
      <w:r w:rsidR="003C5C99">
        <w:rPr>
          <w:lang w:val="en-CA"/>
        </w:rPr>
        <w:t>ying</w:t>
      </w:r>
      <w:r w:rsidR="0090125F" w:rsidRPr="0084150A">
        <w:rPr>
          <w:lang w:val="en-CA"/>
        </w:rPr>
        <w:t xml:space="preserve"> on presumptions of fact to prove them.</w:t>
      </w:r>
    </w:p>
    <w:p w14:paraId="08CFD917" w14:textId="53D1FBEE" w:rsidR="003E388D" w:rsidRPr="0084150A" w:rsidRDefault="009A4000" w:rsidP="003833CC">
      <w:pPr>
        <w:pStyle w:val="Paragraphe"/>
        <w:rPr>
          <w:rFonts w:cs="Arial"/>
          <w:szCs w:val="24"/>
          <w:lang w:val="en-CA"/>
        </w:rPr>
      </w:pPr>
      <w:proofErr w:type="gramStart"/>
      <w:r w:rsidRPr="0084150A">
        <w:rPr>
          <w:rFonts w:cs="Arial"/>
          <w:szCs w:val="24"/>
          <w:lang w:val="en-CA"/>
        </w:rPr>
        <w:t>With regard to</w:t>
      </w:r>
      <w:proofErr w:type="gramEnd"/>
      <w:r w:rsidRPr="0084150A">
        <w:rPr>
          <w:rFonts w:cs="Arial"/>
          <w:szCs w:val="24"/>
          <w:lang w:val="en-CA"/>
        </w:rPr>
        <w:t xml:space="preserve"> circumstantial evidence in insider trading cases, the Tribunal refers to a recent decision rendered by Ontario’s Capital Markets Tribunal in </w:t>
      </w:r>
      <w:r w:rsidRPr="0084150A">
        <w:rPr>
          <w:rFonts w:cs="Arial"/>
          <w:i/>
          <w:szCs w:val="24"/>
          <w:lang w:val="en-CA"/>
        </w:rPr>
        <w:t>Kitmitto (Re)</w:t>
      </w:r>
      <w:r w:rsidRPr="0084150A">
        <w:rPr>
          <w:rFonts w:cs="Arial"/>
          <w:szCs w:val="24"/>
          <w:lang w:val="en-CA"/>
        </w:rPr>
        <w:t>.</w:t>
      </w:r>
      <w:r w:rsidRPr="0084150A">
        <w:rPr>
          <w:rStyle w:val="Appelnotedebasdep"/>
          <w:rFonts w:cs="Arial"/>
          <w:szCs w:val="24"/>
          <w:lang w:val="en-CA"/>
        </w:rPr>
        <w:footnoteReference w:id="11"/>
      </w:r>
      <w:r w:rsidR="005D25C5" w:rsidRPr="0084150A">
        <w:rPr>
          <w:rFonts w:cs="Arial"/>
          <w:szCs w:val="24"/>
          <w:lang w:val="en-CA"/>
        </w:rPr>
        <w:t xml:space="preserve"> </w:t>
      </w:r>
      <w:r w:rsidR="003C5C99">
        <w:rPr>
          <w:rFonts w:cs="Arial"/>
          <w:szCs w:val="24"/>
          <w:lang w:val="en-CA"/>
        </w:rPr>
        <w:t>T</w:t>
      </w:r>
      <w:r w:rsidR="00C51B78" w:rsidRPr="0084150A">
        <w:rPr>
          <w:rFonts w:cs="Arial"/>
          <w:szCs w:val="24"/>
          <w:lang w:val="en-CA"/>
        </w:rPr>
        <w:t>hat case refer</w:t>
      </w:r>
      <w:r w:rsidR="003C5C99">
        <w:rPr>
          <w:rFonts w:cs="Arial"/>
          <w:szCs w:val="24"/>
          <w:lang w:val="en-CA"/>
        </w:rPr>
        <w:t>s</w:t>
      </w:r>
      <w:r w:rsidR="00C51B78" w:rsidRPr="0084150A">
        <w:rPr>
          <w:rFonts w:cs="Arial"/>
          <w:szCs w:val="24"/>
          <w:lang w:val="en-CA"/>
        </w:rPr>
        <w:t xml:space="preserve"> to three key insider trading cases (</w:t>
      </w:r>
      <w:r w:rsidR="00C51B78" w:rsidRPr="0084150A">
        <w:rPr>
          <w:rFonts w:cs="Arial"/>
          <w:i/>
          <w:szCs w:val="24"/>
          <w:lang w:val="en-CA"/>
        </w:rPr>
        <w:t>Azeff (Re)</w:t>
      </w:r>
      <w:r w:rsidR="00C51B78" w:rsidRPr="0084150A">
        <w:rPr>
          <w:rFonts w:cs="Arial"/>
          <w:szCs w:val="24"/>
          <w:lang w:val="en-CA"/>
        </w:rPr>
        <w:t>,</w:t>
      </w:r>
      <w:bookmarkStart w:id="5" w:name="_Ref167201703"/>
      <w:r w:rsidR="00C51B78" w:rsidRPr="0084150A">
        <w:rPr>
          <w:rStyle w:val="Appelnotedebasdep"/>
          <w:rFonts w:cs="Arial"/>
          <w:szCs w:val="24"/>
          <w:lang w:val="en-CA"/>
        </w:rPr>
        <w:footnoteReference w:id="12"/>
      </w:r>
      <w:bookmarkEnd w:id="5"/>
      <w:r w:rsidR="00C51B78" w:rsidRPr="0084150A">
        <w:rPr>
          <w:rFonts w:cs="Arial"/>
          <w:szCs w:val="24"/>
          <w:lang w:val="en-CA"/>
        </w:rPr>
        <w:t xml:space="preserve"> </w:t>
      </w:r>
      <w:r w:rsidR="00C51B78" w:rsidRPr="0084150A">
        <w:rPr>
          <w:rFonts w:cs="Arial"/>
          <w:i/>
          <w:szCs w:val="24"/>
          <w:lang w:val="en-CA"/>
        </w:rPr>
        <w:t>Finkelstein v. Ontario (Securities Commission)</w:t>
      </w:r>
      <w:r w:rsidR="00C51B78" w:rsidRPr="0084150A">
        <w:rPr>
          <w:rFonts w:cs="Arial"/>
          <w:szCs w:val="24"/>
          <w:lang w:val="en-CA"/>
        </w:rPr>
        <w:t>,</w:t>
      </w:r>
      <w:r w:rsidR="00C51B78" w:rsidRPr="0084150A">
        <w:rPr>
          <w:rStyle w:val="Appelnotedebasdep"/>
          <w:rFonts w:cs="Arial"/>
          <w:szCs w:val="24"/>
          <w:lang w:val="en-CA"/>
        </w:rPr>
        <w:footnoteReference w:id="13"/>
      </w:r>
      <w:r w:rsidR="00C51B78" w:rsidRPr="0084150A">
        <w:rPr>
          <w:rFonts w:cs="Arial"/>
          <w:szCs w:val="24"/>
          <w:lang w:val="en-CA"/>
        </w:rPr>
        <w:t xml:space="preserve"> and </w:t>
      </w:r>
      <w:r w:rsidR="00C51B78" w:rsidRPr="0084150A">
        <w:rPr>
          <w:rFonts w:cs="Arial"/>
          <w:i/>
          <w:szCs w:val="24"/>
          <w:lang w:val="en-CA"/>
        </w:rPr>
        <w:t>Hutchinson (Re)</w:t>
      </w:r>
      <w:r w:rsidR="00C51B78" w:rsidRPr="0084150A">
        <w:rPr>
          <w:rStyle w:val="Appelnotedebasdep"/>
          <w:rFonts w:cs="Arial"/>
          <w:szCs w:val="24"/>
          <w:lang w:val="en-CA"/>
        </w:rPr>
        <w:footnoteReference w:id="14"/>
      </w:r>
      <w:r w:rsidR="00C51B78" w:rsidRPr="0084150A">
        <w:rPr>
          <w:rFonts w:cs="Arial"/>
          <w:szCs w:val="24"/>
          <w:lang w:val="en-CA"/>
        </w:rPr>
        <w:t>) and summarized the nature and the extent of circumstantial evidence as follows:</w:t>
      </w:r>
    </w:p>
    <w:p w14:paraId="501BB016" w14:textId="221DED16" w:rsidR="00F507C1" w:rsidRPr="0084150A" w:rsidRDefault="000A4A2A" w:rsidP="00F507C1">
      <w:pPr>
        <w:pStyle w:val="Citationendoubleretrait"/>
        <w:spacing w:before="120" w:after="120"/>
      </w:pPr>
      <w:r w:rsidRPr="0084150A">
        <w:lastRenderedPageBreak/>
        <w:t>[146]</w:t>
      </w:r>
      <w:r w:rsidR="001B6067">
        <w:rPr>
          <w:rFonts w:ascii="Times New Roman" w:hAnsi="Times New Roman"/>
          <w:spacing w:val="-1"/>
          <w:sz w:val="20"/>
        </w:rPr>
        <w:t xml:space="preserve">   </w:t>
      </w:r>
      <w:r w:rsidR="005D25C5" w:rsidRPr="0084150A">
        <w:rPr>
          <w:sz w:val="14"/>
          <w:szCs w:val="14"/>
        </w:rPr>
        <w:t> </w:t>
      </w:r>
      <w:r w:rsidR="005D25C5" w:rsidRPr="0084150A">
        <w:t xml:space="preserve">In many cases the elements of insider trading and tipping must be proven by circumstantial evidence rather than direct evidence, because “the only persons who have direct knowledge of relevant communications are the wrongdoers themselves.” Circumstantial evidence can “fill an evidentiary gap” created by the absence of direct evidence. </w:t>
      </w:r>
    </w:p>
    <w:p w14:paraId="513F1DC6" w14:textId="0859B611" w:rsidR="00F507C1" w:rsidRPr="0084150A" w:rsidRDefault="005D25C5" w:rsidP="00F507C1">
      <w:pPr>
        <w:pStyle w:val="Citationendoubleretrait"/>
        <w:spacing w:before="120" w:after="120"/>
      </w:pPr>
      <w:r w:rsidRPr="0084150A">
        <w:t>[</w:t>
      </w:r>
      <w:bookmarkStart w:id="6" w:name="par147"/>
      <w:r w:rsidRPr="0084150A">
        <w:t>147</w:t>
      </w:r>
      <w:bookmarkEnd w:id="6"/>
      <w:proofErr w:type="gramStart"/>
      <w:r w:rsidRPr="0084150A">
        <w:t>]</w:t>
      </w:r>
      <w:r w:rsidR="001B6067">
        <w:rPr>
          <w:rFonts w:ascii="Times New Roman" w:hAnsi="Times New Roman"/>
          <w:sz w:val="14"/>
          <w:szCs w:val="14"/>
        </w:rPr>
        <w:t xml:space="preserve"> </w:t>
      </w:r>
      <w:r w:rsidRPr="0084150A">
        <w:rPr>
          <w:rFonts w:ascii="Times New Roman" w:hAnsi="Times New Roman"/>
          <w:sz w:val="14"/>
          <w:szCs w:val="14"/>
        </w:rPr>
        <w:t> </w:t>
      </w:r>
      <w:r w:rsidRPr="0084150A">
        <w:t>As</w:t>
      </w:r>
      <w:proofErr w:type="gramEnd"/>
      <w:r w:rsidRPr="0084150A">
        <w:t xml:space="preserve"> explained in </w:t>
      </w:r>
      <w:r w:rsidRPr="0084150A">
        <w:rPr>
          <w:i/>
          <w:iCs/>
        </w:rPr>
        <w:t>Hutchinson</w:t>
      </w:r>
      <w:r w:rsidRPr="0084150A">
        <w:t xml:space="preserve">, a panel may draw inferences from circumstantial evidence but those inferences “must be reasonably and logically drawn from a fact or group of facts established by the evidence, should be drawn from the combined weight of the evidence and cannot be drawn from speculated facts.” </w:t>
      </w:r>
    </w:p>
    <w:p w14:paraId="7D661057" w14:textId="4595AFD3" w:rsidR="00F507C1" w:rsidRPr="0084150A" w:rsidRDefault="005D25C5" w:rsidP="00F507C1">
      <w:pPr>
        <w:pStyle w:val="Citationendoubleretrait"/>
        <w:spacing w:before="120" w:after="120"/>
      </w:pPr>
      <w:r w:rsidRPr="0084150A">
        <w:t>[</w:t>
      </w:r>
      <w:bookmarkStart w:id="7" w:name="par148"/>
      <w:r w:rsidRPr="0084150A">
        <w:t>148</w:t>
      </w:r>
      <w:bookmarkEnd w:id="7"/>
      <w:proofErr w:type="gramStart"/>
      <w:r w:rsidRPr="0084150A">
        <w:t>]</w:t>
      </w:r>
      <w:r w:rsidR="001B6067">
        <w:rPr>
          <w:rFonts w:ascii="Times New Roman" w:hAnsi="Times New Roman"/>
          <w:sz w:val="14"/>
          <w:szCs w:val="14"/>
        </w:rPr>
        <w:t xml:space="preserve"> </w:t>
      </w:r>
      <w:r w:rsidRPr="0084150A">
        <w:rPr>
          <w:rFonts w:ascii="Times New Roman" w:hAnsi="Times New Roman"/>
          <w:sz w:val="14"/>
          <w:szCs w:val="14"/>
        </w:rPr>
        <w:t> </w:t>
      </w:r>
      <w:r w:rsidRPr="0084150A">
        <w:t>Also</w:t>
      </w:r>
      <w:proofErr w:type="gramEnd"/>
      <w:r w:rsidRPr="0084150A">
        <w:t xml:space="preserve"> as explained in </w:t>
      </w:r>
      <w:r w:rsidRPr="0084150A">
        <w:rPr>
          <w:i/>
          <w:iCs/>
        </w:rPr>
        <w:t>Hutchinson, </w:t>
      </w:r>
      <w:r w:rsidRPr="0084150A">
        <w:t xml:space="preserve">for an inference to be drawn it does not need to be the only possible, the most obvious or the most easily drawn inference. Staff will not have met its burden of proof “if the circumstantial evidence equally supports two opposing inferences, one in favour of Staff and one in favour of a respondent.” </w:t>
      </w:r>
    </w:p>
    <w:p w14:paraId="487BC4DB" w14:textId="49F330E5" w:rsidR="000A4A2A" w:rsidRPr="0084150A" w:rsidRDefault="005D25C5" w:rsidP="00F507C1">
      <w:pPr>
        <w:pStyle w:val="Citationendoubleretrait"/>
        <w:spacing w:before="120" w:after="120"/>
      </w:pPr>
      <w:r w:rsidRPr="0084150A">
        <w:t>[</w:t>
      </w:r>
      <w:bookmarkStart w:id="8" w:name="par149"/>
      <w:r w:rsidRPr="0084150A">
        <w:t>149</w:t>
      </w:r>
      <w:bookmarkEnd w:id="8"/>
      <w:proofErr w:type="gramStart"/>
      <w:r w:rsidRPr="0084150A">
        <w:t>]</w:t>
      </w:r>
      <w:r w:rsidR="001B6067">
        <w:rPr>
          <w:rFonts w:ascii="Times New Roman" w:hAnsi="Times New Roman"/>
          <w:sz w:val="14"/>
          <w:szCs w:val="14"/>
        </w:rPr>
        <w:t xml:space="preserve"> </w:t>
      </w:r>
      <w:r w:rsidRPr="0084150A">
        <w:rPr>
          <w:rFonts w:ascii="Times New Roman" w:hAnsi="Times New Roman"/>
          <w:sz w:val="14"/>
          <w:szCs w:val="14"/>
        </w:rPr>
        <w:t> </w:t>
      </w:r>
      <w:r w:rsidRPr="0084150A">
        <w:t>Insider</w:t>
      </w:r>
      <w:proofErr w:type="gramEnd"/>
      <w:r w:rsidRPr="0084150A">
        <w:t xml:space="preserve"> trading and tipping cases are “established by a mosaic of circumstantial evidence which, when considered as a whole, leads to the inference that it is more likely than not that the trader, tipper or tippee possessed or communicated material non-public information.” This requires the panel to “assess each piece of evidence on its own, to determine whether the evidence deserves weight, whether it supports a finding of fact, and if so, whether that fact alone or together with other facts then supports a suggested inference”.</w:t>
      </w:r>
    </w:p>
    <w:p w14:paraId="53693022" w14:textId="635149CC" w:rsidR="00417292" w:rsidRPr="005E07F3" w:rsidRDefault="005D25C5" w:rsidP="00417292">
      <w:pPr>
        <w:pStyle w:val="Citationendoubleretrait"/>
      </w:pPr>
      <w:r w:rsidRPr="005E07F3">
        <w:t>[Citations omitted]</w:t>
      </w:r>
    </w:p>
    <w:p w14:paraId="688B7698" w14:textId="49826D45" w:rsidR="00417292" w:rsidRPr="0084150A" w:rsidRDefault="00000D7E" w:rsidP="006837C9">
      <w:pPr>
        <w:pStyle w:val="Titre2"/>
        <w:rPr>
          <w:lang w:val="en-CA"/>
        </w:rPr>
      </w:pPr>
      <w:r>
        <w:rPr>
          <w:lang w:val="en-CA"/>
        </w:rPr>
        <w:t>Prohibitions on u</w:t>
      </w:r>
      <w:r w:rsidR="00B347AD">
        <w:rPr>
          <w:lang w:val="en-CA"/>
        </w:rPr>
        <w:t xml:space="preserve">se of privileged information </w:t>
      </w:r>
    </w:p>
    <w:p w14:paraId="785245F5" w14:textId="5EF6677B" w:rsidR="00417292" w:rsidRPr="0084150A" w:rsidRDefault="003E76B4" w:rsidP="00417292">
      <w:pPr>
        <w:pStyle w:val="Paragraphe"/>
        <w:tabs>
          <w:tab w:val="clear" w:pos="360"/>
          <w:tab w:val="num" w:pos="0"/>
        </w:tabs>
        <w:rPr>
          <w:lang w:val="en-CA"/>
        </w:rPr>
      </w:pPr>
      <w:r w:rsidRPr="0084150A">
        <w:rPr>
          <w:lang w:val="en-CA"/>
        </w:rPr>
        <w:t xml:space="preserve">The </w:t>
      </w:r>
      <w:r w:rsidR="00000D7E">
        <w:rPr>
          <w:lang w:val="en-CA"/>
        </w:rPr>
        <w:t>prohibitions on the</w:t>
      </w:r>
      <w:r w:rsidR="00000D7E" w:rsidRPr="0084150A">
        <w:rPr>
          <w:lang w:val="en-CA"/>
        </w:rPr>
        <w:t xml:space="preserve"> </w:t>
      </w:r>
      <w:r w:rsidR="00B347AD">
        <w:rPr>
          <w:lang w:val="en-CA"/>
        </w:rPr>
        <w:t xml:space="preserve">use of privileged information </w:t>
      </w:r>
      <w:r w:rsidRPr="0084150A">
        <w:rPr>
          <w:lang w:val="en-CA"/>
        </w:rPr>
        <w:t xml:space="preserve">at issue in this case are set out in sections 187 and 188 of the </w:t>
      </w:r>
      <w:r w:rsidRPr="0084150A">
        <w:rPr>
          <w:i/>
          <w:lang w:val="en-CA"/>
        </w:rPr>
        <w:t>SA</w:t>
      </w:r>
      <w:r w:rsidRPr="0084150A">
        <w:rPr>
          <w:lang w:val="en-CA"/>
        </w:rPr>
        <w:t>.</w:t>
      </w:r>
      <w:r w:rsidR="005D25C5" w:rsidRPr="0084150A">
        <w:rPr>
          <w:lang w:val="en-CA"/>
        </w:rPr>
        <w:t xml:space="preserve"> </w:t>
      </w:r>
      <w:r w:rsidR="003D2CBC" w:rsidRPr="0084150A">
        <w:rPr>
          <w:lang w:val="en-CA"/>
        </w:rPr>
        <w:t xml:space="preserve">Section 189 of the </w:t>
      </w:r>
      <w:r w:rsidR="003D2CBC" w:rsidRPr="0084150A">
        <w:rPr>
          <w:i/>
          <w:lang w:val="en-CA"/>
        </w:rPr>
        <w:t>SA</w:t>
      </w:r>
      <w:r w:rsidR="003D2CBC" w:rsidRPr="0084150A">
        <w:rPr>
          <w:lang w:val="en-CA"/>
        </w:rPr>
        <w:t xml:space="preserve"> specifies the persons to whom these prohibitions apply.</w:t>
      </w:r>
      <w:r w:rsidR="005D25C5" w:rsidRPr="0084150A">
        <w:rPr>
          <w:lang w:val="en-CA"/>
        </w:rPr>
        <w:t xml:space="preserve"> </w:t>
      </w:r>
      <w:r w:rsidR="00D658A2" w:rsidRPr="005E07F3">
        <w:rPr>
          <w:lang w:val="en-CA"/>
        </w:rPr>
        <w:t>These sections are worded as follows:</w:t>
      </w:r>
    </w:p>
    <w:p w14:paraId="0752BFF8" w14:textId="2B24F382" w:rsidR="00417292" w:rsidRPr="0084150A" w:rsidRDefault="00330F8D" w:rsidP="00417292">
      <w:pPr>
        <w:pStyle w:val="Citationendoubleretrait"/>
        <w:spacing w:before="120" w:after="120"/>
        <w:ind w:left="1236" w:right="851"/>
        <w:rPr>
          <w:color w:val="auto"/>
        </w:rPr>
      </w:pPr>
      <w:r w:rsidRPr="0084150A">
        <w:rPr>
          <w:b/>
          <w:color w:val="auto"/>
        </w:rPr>
        <w:t>187.</w:t>
      </w:r>
      <w:r w:rsidR="005D25C5" w:rsidRPr="0084150A">
        <w:rPr>
          <w:color w:val="auto"/>
        </w:rPr>
        <w:t> </w:t>
      </w:r>
      <w:r w:rsidR="00BF0F58" w:rsidRPr="005E07F3">
        <w:rPr>
          <w:color w:val="auto"/>
        </w:rPr>
        <w:t>No insider of a reporting issuer having privileged information relating to securities of the issuer may trade in such securities or change an economic interest in a related financial instrument, except if he can prove that:</w:t>
      </w:r>
    </w:p>
    <w:p w14:paraId="0C9B393B" w14:textId="2598A00C" w:rsidR="00417292" w:rsidRPr="005E07F3" w:rsidRDefault="004501C4" w:rsidP="00417292">
      <w:pPr>
        <w:pStyle w:val="Citationendoubleretrait"/>
        <w:spacing w:before="120" w:after="120"/>
        <w:ind w:left="1236" w:right="851"/>
        <w:rPr>
          <w:color w:val="auto"/>
        </w:rPr>
      </w:pPr>
      <w:r w:rsidRPr="005E07F3">
        <w:rPr>
          <w:color w:val="auto"/>
        </w:rPr>
        <w:t xml:space="preserve">(1) he is justified in believing that the information is generally known or known to the other </w:t>
      </w:r>
      <w:proofErr w:type="gramStart"/>
      <w:r w:rsidRPr="005E07F3">
        <w:rPr>
          <w:color w:val="auto"/>
        </w:rPr>
        <w:t>party;</w:t>
      </w:r>
      <w:proofErr w:type="gramEnd"/>
    </w:p>
    <w:p w14:paraId="39EF3F63" w14:textId="734E9DEC" w:rsidR="00417292" w:rsidRPr="005E07F3" w:rsidRDefault="0060713C" w:rsidP="00417292">
      <w:pPr>
        <w:pStyle w:val="Citationendoubleretrait"/>
        <w:spacing w:before="120" w:after="120"/>
        <w:ind w:left="1236" w:right="851"/>
        <w:rPr>
          <w:color w:val="auto"/>
        </w:rPr>
      </w:pPr>
      <w:r w:rsidRPr="005E07F3">
        <w:rPr>
          <w:color w:val="auto"/>
        </w:rPr>
        <w:t>(2) he is availing himself of an automatic dividend reinvestment plan, automatic subscription plan or any other automatic plan established by a reporting issuer, according to conditions set down in writing, before he learned the information; or</w:t>
      </w:r>
    </w:p>
    <w:p w14:paraId="2A5F8039" w14:textId="38D624BE" w:rsidR="00417292" w:rsidRPr="005E07F3" w:rsidRDefault="0098424C" w:rsidP="00417292">
      <w:pPr>
        <w:pStyle w:val="Citationendoubleretrait"/>
        <w:spacing w:before="120" w:after="120"/>
        <w:ind w:left="1236" w:right="851"/>
        <w:rPr>
          <w:color w:val="auto"/>
        </w:rPr>
      </w:pPr>
      <w:r w:rsidRPr="005E07F3">
        <w:rPr>
          <w:color w:val="auto"/>
        </w:rPr>
        <w:t xml:space="preserve">(3) he is required to do so under a contract the terms of which are set out in </w:t>
      </w:r>
      <w:proofErr w:type="gramStart"/>
      <w:r w:rsidRPr="005E07F3">
        <w:rPr>
          <w:color w:val="auto"/>
        </w:rPr>
        <w:t>writing</w:t>
      </w:r>
      <w:proofErr w:type="gramEnd"/>
      <w:r w:rsidRPr="005E07F3">
        <w:rPr>
          <w:color w:val="auto"/>
        </w:rPr>
        <w:t xml:space="preserve"> and which was entered into before he became aware of the information.</w:t>
      </w:r>
    </w:p>
    <w:p w14:paraId="2CC6DA95" w14:textId="15101E5B" w:rsidR="00417292" w:rsidRPr="005E07F3" w:rsidRDefault="009D7943" w:rsidP="00417292">
      <w:pPr>
        <w:pStyle w:val="Citationendoubleretrait"/>
        <w:spacing w:before="120" w:after="120"/>
        <w:ind w:left="1236" w:right="851"/>
        <w:rPr>
          <w:color w:val="auto"/>
        </w:rPr>
      </w:pPr>
      <w:r w:rsidRPr="005E07F3">
        <w:rPr>
          <w:color w:val="auto"/>
        </w:rPr>
        <w:lastRenderedPageBreak/>
        <w:t xml:space="preserve">In the case described in subparagraph 1 of the first paragraph, the insider may not trade in the securities if the other party to the transaction is the reporting </w:t>
      </w:r>
      <w:proofErr w:type="gramStart"/>
      <w:r w:rsidRPr="005E07F3">
        <w:rPr>
          <w:color w:val="auto"/>
        </w:rPr>
        <w:t>issuer</w:t>
      </w:r>
      <w:proofErr w:type="gramEnd"/>
      <w:r w:rsidRPr="005E07F3">
        <w:rPr>
          <w:color w:val="auto"/>
        </w:rPr>
        <w:t xml:space="preserve"> and the transaction is not necessary in the course of the issuer’s business.</w:t>
      </w:r>
    </w:p>
    <w:p w14:paraId="63BC51BB" w14:textId="2C2F3B8A" w:rsidR="00417292" w:rsidRPr="0084150A" w:rsidRDefault="00661184" w:rsidP="00417292">
      <w:pPr>
        <w:pStyle w:val="Citationendoubleretrait"/>
        <w:spacing w:before="120" w:after="120"/>
        <w:ind w:left="1236" w:right="851"/>
        <w:rPr>
          <w:color w:val="auto"/>
        </w:rPr>
      </w:pPr>
      <w:r w:rsidRPr="0084150A">
        <w:rPr>
          <w:b/>
          <w:bCs/>
          <w:color w:val="auto"/>
          <w:szCs w:val="24"/>
        </w:rPr>
        <w:t>188.</w:t>
      </w:r>
      <w:r w:rsidR="005D25C5" w:rsidRPr="0084150A">
        <w:rPr>
          <w:color w:val="auto"/>
        </w:rPr>
        <w:t> </w:t>
      </w:r>
      <w:r w:rsidR="004E6D6C" w:rsidRPr="005E07F3">
        <w:rPr>
          <w:color w:val="auto"/>
        </w:rPr>
        <w:t>No insider of a reporting issuer having privileged information relating to securities of the issuer may disclose that information or recommend that another party trade in the securities of the issuer, except in the following cases:</w:t>
      </w:r>
    </w:p>
    <w:p w14:paraId="4A985756" w14:textId="05791827" w:rsidR="00417292" w:rsidRPr="005E07F3" w:rsidRDefault="002E101A" w:rsidP="00417292">
      <w:pPr>
        <w:pStyle w:val="Citationendoubleretrait"/>
        <w:spacing w:before="120" w:after="120"/>
        <w:ind w:left="1236" w:right="851"/>
        <w:rPr>
          <w:color w:val="auto"/>
        </w:rPr>
      </w:pPr>
      <w:r w:rsidRPr="005E07F3">
        <w:rPr>
          <w:color w:val="auto"/>
        </w:rPr>
        <w:t xml:space="preserve">(1) he is justified in believing that the information is generally known or known to the other </w:t>
      </w:r>
      <w:proofErr w:type="gramStart"/>
      <w:r w:rsidRPr="005E07F3">
        <w:rPr>
          <w:color w:val="auto"/>
        </w:rPr>
        <w:t>party;</w:t>
      </w:r>
      <w:proofErr w:type="gramEnd"/>
    </w:p>
    <w:p w14:paraId="515B675E" w14:textId="4FBBC8FF" w:rsidR="00417292" w:rsidRPr="005E07F3" w:rsidRDefault="001F2607" w:rsidP="00417292">
      <w:pPr>
        <w:pStyle w:val="Citationendoubleretrait"/>
        <w:spacing w:before="120" w:after="120"/>
        <w:ind w:left="1236" w:right="851"/>
        <w:rPr>
          <w:color w:val="auto"/>
        </w:rPr>
      </w:pPr>
      <w:r w:rsidRPr="005E07F3">
        <w:rPr>
          <w:color w:val="auto"/>
        </w:rPr>
        <w:t xml:space="preserve">(2) he must disclose the information </w:t>
      </w:r>
      <w:proofErr w:type="gramStart"/>
      <w:r w:rsidRPr="005E07F3">
        <w:rPr>
          <w:color w:val="auto"/>
        </w:rPr>
        <w:t>in the course of</w:t>
      </w:r>
      <w:proofErr w:type="gramEnd"/>
      <w:r w:rsidRPr="005E07F3">
        <w:rPr>
          <w:color w:val="auto"/>
        </w:rPr>
        <w:t xml:space="preserve"> business, having no ground to believe it will be used or disclosed contrary to section 187, 189 or 189.1 or to this section.</w:t>
      </w:r>
    </w:p>
    <w:p w14:paraId="3A9954EB" w14:textId="78F0B346" w:rsidR="00417292" w:rsidRPr="0084150A" w:rsidRDefault="00B75FB4" w:rsidP="00417292">
      <w:pPr>
        <w:pStyle w:val="Citationendoubleretrait"/>
        <w:spacing w:before="120" w:after="120"/>
        <w:ind w:left="1236" w:right="851"/>
        <w:rPr>
          <w:color w:val="auto"/>
        </w:rPr>
      </w:pPr>
      <w:r w:rsidRPr="0084150A">
        <w:rPr>
          <w:b/>
          <w:bCs/>
          <w:color w:val="auto"/>
          <w:szCs w:val="24"/>
        </w:rPr>
        <w:t>189.</w:t>
      </w:r>
      <w:r w:rsidR="005D25C5" w:rsidRPr="0084150A">
        <w:rPr>
          <w:color w:val="auto"/>
        </w:rPr>
        <w:t> </w:t>
      </w:r>
      <w:r w:rsidR="00AE5ED4" w:rsidRPr="005E07F3">
        <w:rPr>
          <w:color w:val="auto"/>
        </w:rPr>
        <w:t>The prohibitions set out in sections 187 and 188 also apply to the following persons:</w:t>
      </w:r>
    </w:p>
    <w:p w14:paraId="275B980F" w14:textId="7AC764E0" w:rsidR="00417292" w:rsidRPr="005E07F3" w:rsidRDefault="008D1DD8" w:rsidP="00417292">
      <w:pPr>
        <w:pStyle w:val="Citationendoubleretrait"/>
        <w:spacing w:before="120" w:after="120"/>
        <w:ind w:left="1236" w:right="851"/>
        <w:rPr>
          <w:color w:val="auto"/>
        </w:rPr>
      </w:pPr>
      <w:r w:rsidRPr="005E07F3">
        <w:rPr>
          <w:color w:val="auto"/>
        </w:rPr>
        <w:t xml:space="preserve">(1) the officers and directors referred to in Chapter IV of Title </w:t>
      </w:r>
      <w:proofErr w:type="gramStart"/>
      <w:r w:rsidRPr="005E07F3">
        <w:rPr>
          <w:color w:val="auto"/>
        </w:rPr>
        <w:t>III;</w:t>
      </w:r>
      <w:proofErr w:type="gramEnd"/>
    </w:p>
    <w:p w14:paraId="7FE5455F" w14:textId="315403DF" w:rsidR="00417292" w:rsidRPr="005E07F3" w:rsidRDefault="00F6723B" w:rsidP="00417292">
      <w:pPr>
        <w:pStyle w:val="Citationendoubleretrait"/>
        <w:spacing w:before="120" w:after="120"/>
        <w:ind w:left="1236" w:right="851"/>
        <w:rPr>
          <w:color w:val="auto"/>
        </w:rPr>
      </w:pPr>
      <w:r w:rsidRPr="005E07F3">
        <w:rPr>
          <w:color w:val="auto"/>
        </w:rPr>
        <w:t xml:space="preserve">(2) affiliates of the reporting </w:t>
      </w:r>
      <w:proofErr w:type="gramStart"/>
      <w:r w:rsidRPr="005E07F3">
        <w:rPr>
          <w:color w:val="auto"/>
        </w:rPr>
        <w:t>issuer;</w:t>
      </w:r>
      <w:proofErr w:type="gramEnd"/>
    </w:p>
    <w:p w14:paraId="19A34A1F" w14:textId="1BCA8181" w:rsidR="00417292" w:rsidRPr="005E07F3" w:rsidRDefault="00E772CB" w:rsidP="00417292">
      <w:pPr>
        <w:pStyle w:val="Citationendoubleretrait"/>
        <w:spacing w:before="120" w:after="120"/>
        <w:ind w:left="1236" w:right="851"/>
        <w:rPr>
          <w:color w:val="auto"/>
        </w:rPr>
      </w:pPr>
      <w:r w:rsidRPr="005E07F3">
        <w:rPr>
          <w:color w:val="auto"/>
        </w:rPr>
        <w:t xml:space="preserve">(3) an investment fund manager or a person responsible for providing financial advice to an investment fund or for investing its shares or units and every person who is an insider of the investment fund manager or of that </w:t>
      </w:r>
      <w:proofErr w:type="gramStart"/>
      <w:r w:rsidRPr="005E07F3">
        <w:rPr>
          <w:color w:val="auto"/>
        </w:rPr>
        <w:t>person;</w:t>
      </w:r>
      <w:proofErr w:type="gramEnd"/>
    </w:p>
    <w:p w14:paraId="285F3D70" w14:textId="509A6920" w:rsidR="00417292" w:rsidRPr="005E07F3" w:rsidRDefault="00AF14C8" w:rsidP="00417292">
      <w:pPr>
        <w:pStyle w:val="Citationendoubleretrait"/>
        <w:spacing w:before="120" w:after="120"/>
        <w:ind w:left="1236" w:right="851"/>
        <w:rPr>
          <w:color w:val="auto"/>
        </w:rPr>
      </w:pPr>
      <w:r w:rsidRPr="005E07F3">
        <w:rPr>
          <w:color w:val="auto"/>
        </w:rPr>
        <w:t>(4) every person who has acquired privileged information in the course of his relations with or of working for the reporting issuer, as a result of that person’s functions or of his engaging in business or professional </w:t>
      </w:r>
      <w:proofErr w:type="gramStart"/>
      <w:r w:rsidRPr="005E07F3">
        <w:rPr>
          <w:color w:val="auto"/>
        </w:rPr>
        <w:t>activities;</w:t>
      </w:r>
      <w:proofErr w:type="gramEnd"/>
    </w:p>
    <w:p w14:paraId="68C4B1AD" w14:textId="7430EA9E" w:rsidR="00417292" w:rsidRPr="005E07F3" w:rsidRDefault="00040C96" w:rsidP="00417292">
      <w:pPr>
        <w:pStyle w:val="Citationendoubleretrait"/>
        <w:spacing w:before="120" w:after="120"/>
        <w:ind w:left="1236" w:right="851"/>
        <w:rPr>
          <w:color w:val="auto"/>
        </w:rPr>
      </w:pPr>
      <w:r w:rsidRPr="005E07F3">
        <w:rPr>
          <w:color w:val="auto"/>
        </w:rPr>
        <w:t xml:space="preserve">(5) every person having privileged information that, to his knowledge, was disclosed by an insider or a person referred to in this </w:t>
      </w:r>
      <w:proofErr w:type="gramStart"/>
      <w:r w:rsidRPr="005E07F3">
        <w:rPr>
          <w:color w:val="auto"/>
        </w:rPr>
        <w:t>section;</w:t>
      </w:r>
      <w:proofErr w:type="gramEnd"/>
    </w:p>
    <w:p w14:paraId="5CE11855" w14:textId="111D7D6D" w:rsidR="00417292" w:rsidRPr="005E07F3" w:rsidRDefault="00565246" w:rsidP="00417292">
      <w:pPr>
        <w:pStyle w:val="Citationendoubleretrait"/>
        <w:spacing w:before="120" w:after="120"/>
        <w:ind w:left="1236" w:right="851"/>
        <w:rPr>
          <w:color w:val="auto"/>
        </w:rPr>
      </w:pPr>
      <w:r w:rsidRPr="005E07F3">
        <w:rPr>
          <w:color w:val="auto"/>
        </w:rPr>
        <w:t xml:space="preserve">(6) every person who has acquired privileged information that he knows to be such concerning a reporting </w:t>
      </w:r>
      <w:proofErr w:type="gramStart"/>
      <w:r w:rsidRPr="005E07F3">
        <w:rPr>
          <w:color w:val="auto"/>
        </w:rPr>
        <w:t>issuer;</w:t>
      </w:r>
      <w:proofErr w:type="gramEnd"/>
    </w:p>
    <w:p w14:paraId="4A0968AD" w14:textId="5368BFD1" w:rsidR="00417292" w:rsidRPr="005E07F3" w:rsidRDefault="003E5F2C" w:rsidP="00417292">
      <w:pPr>
        <w:pStyle w:val="Citationendoubleretrait"/>
        <w:spacing w:before="120" w:after="120"/>
        <w:ind w:left="1236" w:right="851"/>
        <w:rPr>
          <w:color w:val="auto"/>
        </w:rPr>
      </w:pPr>
      <w:r w:rsidRPr="005E07F3">
        <w:rPr>
          <w:color w:val="auto"/>
        </w:rPr>
        <w:t>(7) every person who is an associate of the reporting issuer, of an insider of the latter or of a person contemplated in this section.</w:t>
      </w:r>
    </w:p>
    <w:p w14:paraId="5820457C" w14:textId="2CED26E6" w:rsidR="00971270" w:rsidRPr="0084150A" w:rsidRDefault="00C44698" w:rsidP="00BD73E4">
      <w:pPr>
        <w:pStyle w:val="Paragraphe"/>
        <w:rPr>
          <w:lang w:val="en-CA"/>
        </w:rPr>
      </w:pPr>
      <w:r w:rsidRPr="0084150A">
        <w:rPr>
          <w:rFonts w:cs="Arial"/>
          <w:szCs w:val="24"/>
          <w:lang w:val="en-CA"/>
        </w:rPr>
        <w:t xml:space="preserve"> To determine whether there was a </w:t>
      </w:r>
      <w:r w:rsidR="00E06DF9">
        <w:rPr>
          <w:rFonts w:cs="Arial"/>
          <w:szCs w:val="24"/>
          <w:lang w:val="en-CA"/>
        </w:rPr>
        <w:t>contravention</w:t>
      </w:r>
      <w:r w:rsidR="00E06DF9" w:rsidRPr="0084150A">
        <w:rPr>
          <w:rFonts w:cs="Arial"/>
          <w:szCs w:val="24"/>
          <w:lang w:val="en-CA"/>
        </w:rPr>
        <w:t xml:space="preserve"> </w:t>
      </w:r>
      <w:r w:rsidRPr="0084150A">
        <w:rPr>
          <w:rFonts w:cs="Arial"/>
          <w:szCs w:val="24"/>
          <w:lang w:val="en-CA"/>
        </w:rPr>
        <w:t xml:space="preserve">of sections 187 and 188 of the </w:t>
      </w:r>
      <w:r w:rsidRPr="0084150A">
        <w:rPr>
          <w:rFonts w:cs="Arial"/>
          <w:i/>
          <w:szCs w:val="24"/>
          <w:lang w:val="en-CA"/>
        </w:rPr>
        <w:t>SA</w:t>
      </w:r>
      <w:r w:rsidRPr="0084150A">
        <w:rPr>
          <w:rFonts w:cs="Arial"/>
          <w:szCs w:val="24"/>
          <w:lang w:val="en-CA"/>
        </w:rPr>
        <w:t>, the Authority must first prove the following three elements:</w:t>
      </w:r>
      <w:r w:rsidR="003B1140" w:rsidRPr="0084150A">
        <w:rPr>
          <w:rFonts w:cs="Arial"/>
          <w:szCs w:val="24"/>
          <w:lang w:val="en-CA"/>
        </w:rPr>
        <w:t xml:space="preserve"> </w:t>
      </w:r>
      <w:r w:rsidR="00166E5C" w:rsidRPr="0084150A">
        <w:rPr>
          <w:rFonts w:cs="Arial"/>
          <w:szCs w:val="24"/>
          <w:lang w:val="en-CA"/>
        </w:rPr>
        <w:t xml:space="preserve">(1) at the time of the alleged </w:t>
      </w:r>
      <w:r w:rsidR="00E06DF9">
        <w:rPr>
          <w:rFonts w:cs="Arial"/>
          <w:szCs w:val="24"/>
          <w:lang w:val="en-CA"/>
        </w:rPr>
        <w:t>contraventions</w:t>
      </w:r>
      <w:r w:rsidR="00166E5C" w:rsidRPr="0084150A">
        <w:rPr>
          <w:rFonts w:cs="Arial"/>
          <w:szCs w:val="24"/>
          <w:lang w:val="en-CA"/>
        </w:rPr>
        <w:t xml:space="preserve">, Philippe Gauthier and Frédéric Racine had information; (2) this information constitutes “privileged information” within the meaning of the </w:t>
      </w:r>
      <w:r w:rsidR="00166E5C" w:rsidRPr="0084150A">
        <w:rPr>
          <w:rFonts w:cs="Arial"/>
          <w:i/>
          <w:szCs w:val="24"/>
          <w:lang w:val="en-CA"/>
        </w:rPr>
        <w:t>SA</w:t>
      </w:r>
      <w:r w:rsidR="00166E5C" w:rsidRPr="0084150A">
        <w:rPr>
          <w:rFonts w:cs="Arial"/>
          <w:szCs w:val="24"/>
          <w:lang w:val="en-CA"/>
        </w:rPr>
        <w:t xml:space="preserve">; and (3) the </w:t>
      </w:r>
      <w:r w:rsidR="00000D7E">
        <w:rPr>
          <w:rFonts w:cs="Arial"/>
          <w:szCs w:val="24"/>
          <w:lang w:val="en-CA"/>
        </w:rPr>
        <w:t>prohibitions on</w:t>
      </w:r>
      <w:r w:rsidR="00000D7E" w:rsidRPr="0084150A">
        <w:rPr>
          <w:rFonts w:cs="Arial"/>
          <w:szCs w:val="24"/>
          <w:lang w:val="en-CA"/>
        </w:rPr>
        <w:t xml:space="preserve"> </w:t>
      </w:r>
      <w:r w:rsidR="00000D7E">
        <w:rPr>
          <w:rFonts w:cs="Arial"/>
          <w:szCs w:val="24"/>
          <w:lang w:val="en-CA"/>
        </w:rPr>
        <w:t xml:space="preserve">the </w:t>
      </w:r>
      <w:r w:rsidR="001B2001">
        <w:rPr>
          <w:rFonts w:cs="Arial"/>
          <w:szCs w:val="24"/>
          <w:lang w:val="en-CA"/>
        </w:rPr>
        <w:t xml:space="preserve">use of privileged information </w:t>
      </w:r>
      <w:r w:rsidR="00166E5C" w:rsidRPr="0084150A">
        <w:rPr>
          <w:rFonts w:cs="Arial"/>
          <w:szCs w:val="24"/>
          <w:lang w:val="en-CA"/>
        </w:rPr>
        <w:t>apply to Philippe Gauthier and Frédéric Racine.</w:t>
      </w:r>
    </w:p>
    <w:p w14:paraId="1101FA92" w14:textId="4671F641" w:rsidR="005A31D6" w:rsidRPr="0084150A" w:rsidRDefault="003E56A3" w:rsidP="00BD73E4">
      <w:pPr>
        <w:pStyle w:val="Paragraphe"/>
        <w:rPr>
          <w:lang w:val="en-CA"/>
        </w:rPr>
      </w:pPr>
      <w:r w:rsidRPr="0084150A">
        <w:rPr>
          <w:rStyle w:val="ui-provider"/>
          <w:lang w:val="en-CA"/>
        </w:rPr>
        <w:t xml:space="preserve">Second, the Authority must prove that Philippe Gauthier and Frédéric Racine disclosed privileged information or recommended to other </w:t>
      </w:r>
      <w:r w:rsidR="00F24FE3">
        <w:rPr>
          <w:rStyle w:val="ui-provider"/>
          <w:lang w:val="en-CA"/>
        </w:rPr>
        <w:t>parties</w:t>
      </w:r>
      <w:r w:rsidRPr="0084150A">
        <w:rPr>
          <w:rStyle w:val="ui-provider"/>
          <w:lang w:val="en-CA"/>
        </w:rPr>
        <w:t xml:space="preserve"> that they trade </w:t>
      </w:r>
      <w:r w:rsidR="0026409F">
        <w:rPr>
          <w:rStyle w:val="ui-provider"/>
          <w:lang w:val="en-CA"/>
        </w:rPr>
        <w:t xml:space="preserve">in securities of </w:t>
      </w:r>
      <w:r w:rsidRPr="0084150A">
        <w:rPr>
          <w:rStyle w:val="ui-provider"/>
          <w:lang w:val="en-CA"/>
        </w:rPr>
        <w:t xml:space="preserve">Napec; moreover, in the case of Frédéric Racine, the Authority must prove that he also traded </w:t>
      </w:r>
      <w:r w:rsidR="00F4637C" w:rsidRPr="0084150A">
        <w:rPr>
          <w:rStyle w:val="ui-provider"/>
          <w:lang w:val="en-CA"/>
        </w:rPr>
        <w:t xml:space="preserve">in </w:t>
      </w:r>
      <w:r w:rsidRPr="0084150A">
        <w:rPr>
          <w:rStyle w:val="ui-provider"/>
          <w:lang w:val="en-CA"/>
        </w:rPr>
        <w:t>th</w:t>
      </w:r>
      <w:r w:rsidR="00AB6889">
        <w:rPr>
          <w:rStyle w:val="ui-provider"/>
          <w:lang w:val="en-CA"/>
        </w:rPr>
        <w:t>o</w:t>
      </w:r>
      <w:r w:rsidRPr="0084150A">
        <w:rPr>
          <w:rStyle w:val="ui-provider"/>
          <w:lang w:val="en-CA"/>
        </w:rPr>
        <w:t>se securities.</w:t>
      </w:r>
    </w:p>
    <w:p w14:paraId="34A7FB88" w14:textId="76D21F67" w:rsidR="004156D9" w:rsidRPr="0084150A" w:rsidRDefault="0002200B" w:rsidP="00BD73E4">
      <w:pPr>
        <w:pStyle w:val="Paragraphe"/>
        <w:rPr>
          <w:lang w:val="en-CA"/>
        </w:rPr>
      </w:pPr>
      <w:r w:rsidRPr="0084150A">
        <w:rPr>
          <w:rFonts w:cs="Arial"/>
          <w:szCs w:val="24"/>
          <w:lang w:val="en-CA"/>
        </w:rPr>
        <w:lastRenderedPageBreak/>
        <w:t xml:space="preserve">The Tribunal points out that there are exceptions to </w:t>
      </w:r>
      <w:r w:rsidR="00966DC2">
        <w:rPr>
          <w:rFonts w:cs="Arial"/>
          <w:szCs w:val="24"/>
          <w:lang w:val="en-CA"/>
        </w:rPr>
        <w:t xml:space="preserve">the prohibitions on the </w:t>
      </w:r>
      <w:r w:rsidR="000D10FB">
        <w:rPr>
          <w:rFonts w:cs="Arial"/>
          <w:szCs w:val="24"/>
          <w:lang w:val="en-CA"/>
        </w:rPr>
        <w:t xml:space="preserve">use of privileged information </w:t>
      </w:r>
      <w:r w:rsidRPr="0084150A">
        <w:rPr>
          <w:rFonts w:cs="Arial"/>
          <w:szCs w:val="24"/>
          <w:lang w:val="en-CA"/>
        </w:rPr>
        <w:t xml:space="preserve">set out in sections 187 and 188 of the </w:t>
      </w:r>
      <w:r w:rsidRPr="0084150A">
        <w:rPr>
          <w:rFonts w:cs="Arial"/>
          <w:i/>
          <w:szCs w:val="24"/>
          <w:lang w:val="en-CA"/>
        </w:rPr>
        <w:t>SA</w:t>
      </w:r>
      <w:r w:rsidRPr="0084150A">
        <w:rPr>
          <w:rFonts w:cs="Arial"/>
          <w:szCs w:val="24"/>
          <w:lang w:val="en-CA"/>
        </w:rPr>
        <w:t>, which are not, however, at issue in this case.</w:t>
      </w:r>
      <w:r w:rsidR="005D25C5" w:rsidRPr="0084150A">
        <w:rPr>
          <w:rFonts w:cs="Arial"/>
          <w:szCs w:val="24"/>
          <w:lang w:val="en-CA"/>
        </w:rPr>
        <w:t xml:space="preserve"> </w:t>
      </w:r>
    </w:p>
    <w:p w14:paraId="7C69DA5B" w14:textId="6FE3C55C" w:rsidR="00BD73E4" w:rsidRPr="0084150A" w:rsidRDefault="002B086D" w:rsidP="00052684">
      <w:pPr>
        <w:pStyle w:val="Paragraphe"/>
        <w:numPr>
          <w:ilvl w:val="0"/>
          <w:numId w:val="19"/>
        </w:numPr>
        <w:rPr>
          <w:b/>
          <w:bCs/>
          <w:lang w:val="en-CA"/>
        </w:rPr>
      </w:pPr>
      <w:r w:rsidRPr="0084150A">
        <w:rPr>
          <w:b/>
          <w:bCs/>
          <w:lang w:val="en-CA"/>
        </w:rPr>
        <w:t xml:space="preserve">What information did Philippe Gauthier and Frédéric Racine have at the time of the </w:t>
      </w:r>
      <w:r w:rsidR="00966DC2" w:rsidRPr="0084150A">
        <w:rPr>
          <w:b/>
          <w:bCs/>
          <w:lang w:val="en-CA"/>
        </w:rPr>
        <w:t xml:space="preserve">facts </w:t>
      </w:r>
      <w:r w:rsidRPr="0084150A">
        <w:rPr>
          <w:b/>
          <w:bCs/>
          <w:lang w:val="en-CA"/>
        </w:rPr>
        <w:t>alleged?</w:t>
      </w:r>
    </w:p>
    <w:p w14:paraId="1BBAAA6C" w14:textId="5B301D8A" w:rsidR="00F551E0" w:rsidRPr="0084150A" w:rsidRDefault="00966DC2" w:rsidP="00452279">
      <w:pPr>
        <w:pStyle w:val="Paragraphe"/>
        <w:rPr>
          <w:lang w:val="en-CA"/>
        </w:rPr>
      </w:pPr>
      <w:r>
        <w:rPr>
          <w:lang w:val="en-CA"/>
        </w:rPr>
        <w:t>The Tribunal will first c</w:t>
      </w:r>
      <w:r w:rsidR="00D7061C" w:rsidRPr="0084150A">
        <w:rPr>
          <w:lang w:val="en-CA"/>
        </w:rPr>
        <w:t>onsider Philippe Gauthier’s situation.</w:t>
      </w:r>
      <w:r w:rsidR="00D7061C" w:rsidRPr="0084150A">
        <w:rPr>
          <w:rStyle w:val="Appelnotedebasdep"/>
          <w:lang w:val="en-CA"/>
        </w:rPr>
        <w:footnoteReference w:id="15"/>
      </w:r>
    </w:p>
    <w:p w14:paraId="3C802507" w14:textId="0A3D3180" w:rsidR="0067498A" w:rsidRPr="0084150A" w:rsidRDefault="00204937" w:rsidP="001E16C6">
      <w:pPr>
        <w:pStyle w:val="Paragraphe"/>
        <w:rPr>
          <w:lang w:val="en-CA"/>
        </w:rPr>
      </w:pPr>
      <w:r w:rsidRPr="0084150A">
        <w:rPr>
          <w:lang w:val="en-CA"/>
        </w:rPr>
        <w:t xml:space="preserve">The Authority argues that </w:t>
      </w:r>
      <w:r w:rsidR="00A900EF">
        <w:rPr>
          <w:lang w:val="en-CA"/>
        </w:rPr>
        <w:t>in the context</w:t>
      </w:r>
      <w:r w:rsidRPr="0084150A">
        <w:rPr>
          <w:lang w:val="en-CA"/>
        </w:rPr>
        <w:t xml:space="preserve"> of his employment, Philippe Gauthier was involved in</w:t>
      </w:r>
      <w:r w:rsidR="000E372A">
        <w:rPr>
          <w:lang w:val="en-CA"/>
        </w:rPr>
        <w:t xml:space="preserve"> a file </w:t>
      </w:r>
      <w:r w:rsidR="00524630">
        <w:rPr>
          <w:lang w:val="en-CA"/>
        </w:rPr>
        <w:t>for</w:t>
      </w:r>
      <w:r w:rsidRPr="0084150A">
        <w:rPr>
          <w:lang w:val="en-CA"/>
        </w:rPr>
        <w:t xml:space="preserve"> the proposed acquisition of all issued and outstanding common shares of one of his clients, Napec (the “</w:t>
      </w:r>
      <w:r w:rsidR="00524630">
        <w:rPr>
          <w:lang w:val="en-CA"/>
        </w:rPr>
        <w:t>T</w:t>
      </w:r>
      <w:r w:rsidRPr="0084150A">
        <w:rPr>
          <w:lang w:val="en-CA"/>
        </w:rPr>
        <w:t>ransaction”)</w:t>
      </w:r>
      <w:r w:rsidR="00C37C6A">
        <w:rPr>
          <w:lang w:val="en-CA"/>
        </w:rPr>
        <w:t>,</w:t>
      </w:r>
      <w:r w:rsidRPr="0084150A">
        <w:rPr>
          <w:lang w:val="en-CA"/>
        </w:rPr>
        <w:t xml:space="preserve"> by Oaktree to prevent Napec from defaulting under a syndicated credit agreement.</w:t>
      </w:r>
      <w:r w:rsidR="00F230DB" w:rsidRPr="0084150A">
        <w:rPr>
          <w:lang w:val="en-CA"/>
        </w:rPr>
        <w:t xml:space="preserve"> </w:t>
      </w:r>
      <w:r w:rsidR="002B59C5" w:rsidRPr="0084150A">
        <w:rPr>
          <w:lang w:val="en-CA"/>
        </w:rPr>
        <w:t xml:space="preserve">The Authority finds that the </w:t>
      </w:r>
      <w:r w:rsidR="006E0D02">
        <w:rPr>
          <w:lang w:val="en-CA"/>
        </w:rPr>
        <w:t>T</w:t>
      </w:r>
      <w:r w:rsidR="002B59C5" w:rsidRPr="0084150A">
        <w:rPr>
          <w:lang w:val="en-CA"/>
        </w:rPr>
        <w:t>ransaction constitute</w:t>
      </w:r>
      <w:r w:rsidR="00861071">
        <w:rPr>
          <w:lang w:val="en-CA"/>
        </w:rPr>
        <w:t>d</w:t>
      </w:r>
      <w:r w:rsidR="002B59C5" w:rsidRPr="0084150A">
        <w:rPr>
          <w:lang w:val="en-CA"/>
        </w:rPr>
        <w:t xml:space="preserve"> privileged information.</w:t>
      </w:r>
      <w:r w:rsidR="00F230DB" w:rsidRPr="0084150A">
        <w:rPr>
          <w:lang w:val="en-CA"/>
        </w:rPr>
        <w:t xml:space="preserve"> </w:t>
      </w:r>
      <w:r w:rsidR="00E25B58" w:rsidRPr="0084150A">
        <w:rPr>
          <w:lang w:val="en-CA"/>
        </w:rPr>
        <w:t>More specifically, the Authority argues that Philippe Gauthier had the privileged information</w:t>
      </w:r>
      <w:r w:rsidR="006E0D02">
        <w:rPr>
          <w:lang w:val="en-CA"/>
        </w:rPr>
        <w:t>, that is,</w:t>
      </w:r>
      <w:r w:rsidR="00E25B58" w:rsidRPr="0084150A">
        <w:rPr>
          <w:lang w:val="en-CA"/>
        </w:rPr>
        <w:t xml:space="preserve"> the </w:t>
      </w:r>
      <w:r w:rsidR="006E0D02">
        <w:rPr>
          <w:lang w:val="en-CA"/>
        </w:rPr>
        <w:t>T</w:t>
      </w:r>
      <w:r w:rsidR="00E25B58" w:rsidRPr="0084150A">
        <w:rPr>
          <w:lang w:val="en-CA"/>
        </w:rPr>
        <w:t>ransaction</w:t>
      </w:r>
      <w:r w:rsidR="006E0D02">
        <w:rPr>
          <w:lang w:val="en-CA"/>
        </w:rPr>
        <w:t>,</w:t>
      </w:r>
      <w:r w:rsidR="00E25B58" w:rsidRPr="0084150A">
        <w:rPr>
          <w:lang w:val="en-CA"/>
        </w:rPr>
        <w:t xml:space="preserve"> as of November 3, 2017.</w:t>
      </w:r>
      <w:r w:rsidR="00F230DB" w:rsidRPr="0084150A">
        <w:rPr>
          <w:lang w:val="en-CA"/>
        </w:rPr>
        <w:t xml:space="preserve"> </w:t>
      </w:r>
      <w:r w:rsidR="0093282E" w:rsidRPr="0084150A">
        <w:rPr>
          <w:lang w:val="en-CA"/>
        </w:rPr>
        <w:t xml:space="preserve">As will be demonstrated, from November 3 to December 4, 2017, the date on which the </w:t>
      </w:r>
      <w:r w:rsidR="000E12C0">
        <w:rPr>
          <w:lang w:val="en-CA"/>
        </w:rPr>
        <w:t>T</w:t>
      </w:r>
      <w:r w:rsidR="0093282E" w:rsidRPr="0084150A">
        <w:rPr>
          <w:lang w:val="en-CA"/>
        </w:rPr>
        <w:t xml:space="preserve">ransaction was publicly announced, all information relevant to the existence and the completion of the </w:t>
      </w:r>
      <w:r w:rsidR="00DC7095">
        <w:rPr>
          <w:lang w:val="en-CA"/>
        </w:rPr>
        <w:t>T</w:t>
      </w:r>
      <w:r w:rsidR="00DC7095" w:rsidRPr="0084150A">
        <w:rPr>
          <w:lang w:val="en-CA"/>
        </w:rPr>
        <w:t>ransaction</w:t>
      </w:r>
      <w:r w:rsidR="0093282E" w:rsidRPr="0084150A">
        <w:rPr>
          <w:lang w:val="en-CA"/>
        </w:rPr>
        <w:t xml:space="preserve"> constituted privileged information.</w:t>
      </w:r>
      <w:r w:rsidR="00F230DB" w:rsidRPr="0084150A">
        <w:rPr>
          <w:lang w:val="en-CA"/>
        </w:rPr>
        <w:t xml:space="preserve"> </w:t>
      </w:r>
    </w:p>
    <w:p w14:paraId="539E6AA9" w14:textId="3D2FC19C" w:rsidR="00417292" w:rsidRPr="0084150A" w:rsidRDefault="00F016F9" w:rsidP="00417292">
      <w:pPr>
        <w:pStyle w:val="Paragraphe"/>
        <w:rPr>
          <w:lang w:val="en-CA"/>
        </w:rPr>
      </w:pPr>
      <w:r w:rsidRPr="0084150A">
        <w:rPr>
          <w:lang w:val="en-CA"/>
        </w:rPr>
        <w:t xml:space="preserve">Philippe Gauthier </w:t>
      </w:r>
      <w:r w:rsidR="000E12C0">
        <w:rPr>
          <w:lang w:val="en-CA"/>
        </w:rPr>
        <w:t>trained as</w:t>
      </w:r>
      <w:r w:rsidR="000E12C0" w:rsidRPr="0084150A">
        <w:rPr>
          <w:lang w:val="en-CA"/>
        </w:rPr>
        <w:t xml:space="preserve"> </w:t>
      </w:r>
      <w:r w:rsidRPr="0084150A">
        <w:rPr>
          <w:lang w:val="en-CA"/>
        </w:rPr>
        <w:t xml:space="preserve">an accountant and holds </w:t>
      </w:r>
      <w:r w:rsidR="005930C9">
        <w:rPr>
          <w:lang w:val="en-CA"/>
        </w:rPr>
        <w:t>an MBA</w:t>
      </w:r>
      <w:r w:rsidRPr="0084150A">
        <w:rPr>
          <w:lang w:val="en-CA"/>
        </w:rPr>
        <w:t xml:space="preserve"> </w:t>
      </w:r>
      <w:r w:rsidR="000E12C0">
        <w:rPr>
          <w:lang w:val="en-CA"/>
        </w:rPr>
        <w:t xml:space="preserve">degree </w:t>
      </w:r>
      <w:r w:rsidRPr="0084150A">
        <w:rPr>
          <w:lang w:val="en-CA"/>
        </w:rPr>
        <w:t>and CPA-CMA</w:t>
      </w:r>
      <w:r w:rsidR="005930C9">
        <w:rPr>
          <w:lang w:val="en-CA"/>
        </w:rPr>
        <w:t xml:space="preserve"> title</w:t>
      </w:r>
      <w:r w:rsidRPr="0084150A">
        <w:rPr>
          <w:lang w:val="en-CA"/>
        </w:rPr>
        <w:t>.</w:t>
      </w:r>
    </w:p>
    <w:p w14:paraId="7F6EC9D4" w14:textId="7A0B6E17" w:rsidR="00417292" w:rsidRPr="0084150A" w:rsidRDefault="00F02141" w:rsidP="00417292">
      <w:pPr>
        <w:pStyle w:val="Paragraphe"/>
        <w:rPr>
          <w:lang w:val="en-CA"/>
        </w:rPr>
      </w:pPr>
      <w:r w:rsidRPr="0084150A">
        <w:rPr>
          <w:lang w:val="en-CA"/>
        </w:rPr>
        <w:t xml:space="preserve">Philippe Gauthier </w:t>
      </w:r>
      <w:r w:rsidR="00736917">
        <w:rPr>
          <w:lang w:val="en-CA"/>
        </w:rPr>
        <w:t xml:space="preserve">had </w:t>
      </w:r>
      <w:r w:rsidRPr="0084150A">
        <w:rPr>
          <w:lang w:val="en-CA"/>
        </w:rPr>
        <w:t>worked for Laurentian Bank of Canada (</w:t>
      </w:r>
      <w:r w:rsidR="00AD42C4">
        <w:rPr>
          <w:lang w:val="en-CA"/>
        </w:rPr>
        <w:t>“</w:t>
      </w:r>
      <w:r w:rsidRPr="0084150A">
        <w:rPr>
          <w:lang w:val="en-CA"/>
        </w:rPr>
        <w:t>LBC”) since August 9, 2013.</w:t>
      </w:r>
      <w:r w:rsidRPr="0084150A">
        <w:rPr>
          <w:rStyle w:val="Appelnotedebasdep"/>
          <w:lang w:val="en-CA"/>
        </w:rPr>
        <w:footnoteReference w:id="16"/>
      </w:r>
      <w:r w:rsidR="005D25C5" w:rsidRPr="0084150A">
        <w:rPr>
          <w:lang w:val="en-CA"/>
        </w:rPr>
        <w:t xml:space="preserve"> </w:t>
      </w:r>
      <w:r w:rsidR="005D01EE" w:rsidRPr="0084150A">
        <w:rPr>
          <w:lang w:val="en-CA"/>
        </w:rPr>
        <w:t xml:space="preserve">He was promoted to the position of </w:t>
      </w:r>
      <w:r w:rsidR="00E702E0">
        <w:rPr>
          <w:lang w:val="en-CA"/>
        </w:rPr>
        <w:t>s</w:t>
      </w:r>
      <w:r w:rsidR="005D01EE" w:rsidRPr="0084150A">
        <w:rPr>
          <w:lang w:val="en-CA"/>
        </w:rPr>
        <w:t xml:space="preserve">enior </w:t>
      </w:r>
      <w:r w:rsidR="00E702E0">
        <w:rPr>
          <w:lang w:val="en-CA"/>
        </w:rPr>
        <w:t>d</w:t>
      </w:r>
      <w:r w:rsidR="005D01EE" w:rsidRPr="0084150A">
        <w:rPr>
          <w:lang w:val="en-CA"/>
        </w:rPr>
        <w:t xml:space="preserve">irector, </w:t>
      </w:r>
      <w:r w:rsidR="00E702E0">
        <w:rPr>
          <w:lang w:val="en-CA"/>
        </w:rPr>
        <w:t>s</w:t>
      </w:r>
      <w:r w:rsidR="005D01EE" w:rsidRPr="0084150A">
        <w:rPr>
          <w:lang w:val="en-CA"/>
        </w:rPr>
        <w:t xml:space="preserve">yndication, </w:t>
      </w:r>
      <w:r w:rsidR="00AD42C4">
        <w:rPr>
          <w:lang w:val="en-CA"/>
        </w:rPr>
        <w:t xml:space="preserve">for </w:t>
      </w:r>
      <w:r w:rsidR="005D01EE" w:rsidRPr="0084150A">
        <w:rPr>
          <w:lang w:val="en-CA"/>
        </w:rPr>
        <w:t xml:space="preserve">Quebec and Eastern Canada, at LBC on March 13, 2017, </w:t>
      </w:r>
      <w:r w:rsidR="00AD42C4">
        <w:rPr>
          <w:lang w:val="en-CA"/>
        </w:rPr>
        <w:t>a position</w:t>
      </w:r>
      <w:r w:rsidR="00AD42C4" w:rsidRPr="0084150A">
        <w:rPr>
          <w:lang w:val="en-CA"/>
        </w:rPr>
        <w:t xml:space="preserve"> </w:t>
      </w:r>
      <w:r w:rsidR="005D01EE" w:rsidRPr="0084150A">
        <w:rPr>
          <w:lang w:val="en-CA"/>
        </w:rPr>
        <w:t>he held until LBC terminated his employment on February 6, 2018.</w:t>
      </w:r>
      <w:r w:rsidR="005D01EE" w:rsidRPr="0084150A">
        <w:rPr>
          <w:rStyle w:val="Appelnotedebasdep"/>
          <w:lang w:val="en-CA"/>
        </w:rPr>
        <w:t xml:space="preserve"> </w:t>
      </w:r>
      <w:r w:rsidR="005D01EE" w:rsidRPr="0084150A">
        <w:rPr>
          <w:rStyle w:val="Appelnotedebasdep"/>
          <w:lang w:val="en-CA"/>
        </w:rPr>
        <w:footnoteReference w:id="17"/>
      </w:r>
    </w:p>
    <w:p w14:paraId="5841D48F" w14:textId="54C96385" w:rsidR="00417292" w:rsidRPr="0084150A" w:rsidRDefault="004C7CC5" w:rsidP="00417292">
      <w:pPr>
        <w:pStyle w:val="Paragraphe"/>
        <w:rPr>
          <w:lang w:val="en-CA"/>
        </w:rPr>
      </w:pPr>
      <w:r w:rsidRPr="0084150A">
        <w:rPr>
          <w:lang w:val="en-CA"/>
        </w:rPr>
        <w:t xml:space="preserve">In a letter to the Authority, LBC explained Philippe Gauthier’s involvement in the </w:t>
      </w:r>
      <w:r w:rsidR="00AD42C4">
        <w:rPr>
          <w:lang w:val="en-CA"/>
        </w:rPr>
        <w:t>T</w:t>
      </w:r>
      <w:r w:rsidRPr="0084150A">
        <w:rPr>
          <w:lang w:val="en-CA"/>
        </w:rPr>
        <w:t>ransaction as follows:</w:t>
      </w:r>
    </w:p>
    <w:p w14:paraId="1C26D341" w14:textId="51AC22B1" w:rsidR="00896BB0" w:rsidRPr="0084150A" w:rsidRDefault="00C65235" w:rsidP="00896BB0">
      <w:pPr>
        <w:pStyle w:val="Paragraphe"/>
        <w:numPr>
          <w:ilvl w:val="0"/>
          <w:numId w:val="0"/>
        </w:numPr>
        <w:ind w:left="1237"/>
        <w:rPr>
          <w:smallCaps/>
          <w:lang w:val="en-CA"/>
        </w:rPr>
      </w:pPr>
      <w:r w:rsidRPr="0084150A">
        <w:rPr>
          <w:lang w:val="en-CA"/>
        </w:rPr>
        <w:t>[</w:t>
      </w:r>
      <w:r w:rsidRPr="0084150A">
        <w:rPr>
          <w:smallCaps/>
          <w:lang w:val="en-CA"/>
        </w:rPr>
        <w:t>translation]</w:t>
      </w:r>
    </w:p>
    <w:p w14:paraId="7084463E" w14:textId="110E36B4" w:rsidR="00417292" w:rsidRPr="0084150A" w:rsidRDefault="005B7CE9" w:rsidP="00D30EE8">
      <w:pPr>
        <w:pStyle w:val="Citationendoubleretrait"/>
      </w:pPr>
      <w:r w:rsidRPr="0084150A">
        <w:t>The analysis of Philippe Gauthier’s emails indicated that Laurentian Bank’s involvement was limited to agreeing to amendments to a syndicated credit agreement with Napec Inc.</w:t>
      </w:r>
      <w:r w:rsidR="005D25C5" w:rsidRPr="0084150A">
        <w:t xml:space="preserve"> </w:t>
      </w:r>
      <w:r w:rsidR="005F49F2" w:rsidRPr="0084150A">
        <w:t>/ Riggs Distler &amp; Company, Inc. so that the transaction did not constitute an event of default</w:t>
      </w:r>
      <w:r w:rsidR="003C303C" w:rsidRPr="0084150A">
        <w:t>.</w:t>
      </w:r>
      <w:r w:rsidR="005D25C5" w:rsidRPr="0084150A">
        <w:rPr>
          <w:rStyle w:val="Appelnotedebasdep"/>
        </w:rPr>
        <w:footnoteReference w:id="18"/>
      </w:r>
    </w:p>
    <w:p w14:paraId="1D879FA1" w14:textId="238935B5" w:rsidR="00417292" w:rsidRPr="0084150A" w:rsidRDefault="00BF2044" w:rsidP="00417292">
      <w:pPr>
        <w:pStyle w:val="Paragraphe"/>
        <w:rPr>
          <w:lang w:val="en-CA"/>
        </w:rPr>
      </w:pPr>
      <w:r w:rsidRPr="0084150A">
        <w:rPr>
          <w:lang w:val="en-CA"/>
        </w:rPr>
        <w:t xml:space="preserve"> As </w:t>
      </w:r>
      <w:r w:rsidR="00E702E0">
        <w:rPr>
          <w:lang w:val="en-CA"/>
        </w:rPr>
        <w:t>s</w:t>
      </w:r>
      <w:r w:rsidRPr="0084150A">
        <w:rPr>
          <w:lang w:val="en-CA"/>
        </w:rPr>
        <w:t xml:space="preserve">enior </w:t>
      </w:r>
      <w:r w:rsidR="00E702E0">
        <w:rPr>
          <w:lang w:val="en-CA"/>
        </w:rPr>
        <w:t>d</w:t>
      </w:r>
      <w:r w:rsidRPr="0084150A">
        <w:rPr>
          <w:lang w:val="en-CA"/>
        </w:rPr>
        <w:t xml:space="preserve">irector, </w:t>
      </w:r>
      <w:r w:rsidR="00E702E0">
        <w:rPr>
          <w:lang w:val="en-CA"/>
        </w:rPr>
        <w:t>s</w:t>
      </w:r>
      <w:r w:rsidRPr="0084150A">
        <w:rPr>
          <w:lang w:val="en-CA"/>
        </w:rPr>
        <w:t xml:space="preserve">yndication, at LBC, Philippe Gauthier was involved in approving amendments to a syndicated credit agreement between Napec and a group of banks that had formed a syndicate of lenders </w:t>
      </w:r>
      <w:r w:rsidR="00F54A0B">
        <w:rPr>
          <w:lang w:val="en-CA"/>
        </w:rPr>
        <w:t>that included</w:t>
      </w:r>
      <w:r w:rsidRPr="0084150A">
        <w:rPr>
          <w:lang w:val="en-CA"/>
        </w:rPr>
        <w:t xml:space="preserve"> LBC.</w:t>
      </w:r>
      <w:r w:rsidR="005D25C5" w:rsidRPr="0084150A">
        <w:rPr>
          <w:lang w:val="en-CA"/>
        </w:rPr>
        <w:t xml:space="preserve"> </w:t>
      </w:r>
      <w:r w:rsidR="004A435E" w:rsidRPr="0084150A">
        <w:rPr>
          <w:lang w:val="en-CA"/>
        </w:rPr>
        <w:t xml:space="preserve">Due to the privatization of Napec, the credit agreement needed to be amended to prevent the </w:t>
      </w:r>
      <w:r w:rsidR="00CD7D37">
        <w:rPr>
          <w:lang w:val="en-CA"/>
        </w:rPr>
        <w:t>T</w:t>
      </w:r>
      <w:r w:rsidR="004A435E" w:rsidRPr="0084150A">
        <w:rPr>
          <w:lang w:val="en-CA"/>
        </w:rPr>
        <w:t xml:space="preserve">ransaction from being an event of default under the terms </w:t>
      </w:r>
      <w:r w:rsidR="008E2A08">
        <w:rPr>
          <w:lang w:val="en-CA"/>
        </w:rPr>
        <w:t xml:space="preserve">and conditions </w:t>
      </w:r>
      <w:r w:rsidR="004A435E" w:rsidRPr="0084150A">
        <w:rPr>
          <w:lang w:val="en-CA"/>
        </w:rPr>
        <w:t>of the existing syndicated credit agreement.</w:t>
      </w:r>
    </w:p>
    <w:p w14:paraId="77039490" w14:textId="200D5B34" w:rsidR="00417292" w:rsidRPr="0084150A" w:rsidRDefault="00B70B69" w:rsidP="00417292">
      <w:pPr>
        <w:pStyle w:val="Paragraphe"/>
        <w:rPr>
          <w:lang w:val="en-CA"/>
        </w:rPr>
      </w:pPr>
      <w:r w:rsidRPr="0084150A">
        <w:rPr>
          <w:lang w:val="en-CA"/>
        </w:rPr>
        <w:lastRenderedPageBreak/>
        <w:t>It was in this context that, on November 3, 2017, more specifically at 12:26 p.m., Philippe Gauthier received an email from one of his colleague</w:t>
      </w:r>
      <w:r w:rsidR="00E702E0">
        <w:rPr>
          <w:lang w:val="en-CA"/>
        </w:rPr>
        <w:t>s</w:t>
      </w:r>
      <w:r w:rsidRPr="0084150A">
        <w:rPr>
          <w:lang w:val="en-CA"/>
        </w:rPr>
        <w:t xml:space="preserve"> informing him that a conference call about Napec was being held from 2:00 p.m. to 2:30 p.m. by Bank of Montreal (</w:t>
      </w:r>
      <w:r w:rsidR="00CD7D37">
        <w:rPr>
          <w:lang w:val="en-CA"/>
        </w:rPr>
        <w:t>“</w:t>
      </w:r>
      <w:r w:rsidRPr="0084150A">
        <w:rPr>
          <w:lang w:val="en-CA"/>
        </w:rPr>
        <w:t>BMO”), one of the member banks of the syndicate of lenders.</w:t>
      </w:r>
      <w:r w:rsidR="005D25C5" w:rsidRPr="0084150A">
        <w:rPr>
          <w:lang w:val="en-CA"/>
        </w:rPr>
        <w:t xml:space="preserve"> </w:t>
      </w:r>
      <w:r w:rsidR="00D404DF" w:rsidRPr="005E07F3">
        <w:rPr>
          <w:lang w:val="en-CA"/>
        </w:rPr>
        <w:t>The subject of the email was</w:t>
      </w:r>
      <w:r w:rsidR="005D25C5" w:rsidRPr="0084150A">
        <w:rPr>
          <w:lang w:val="en-CA"/>
        </w:rPr>
        <w:t xml:space="preserve"> </w:t>
      </w:r>
      <w:r w:rsidR="00DB36FB" w:rsidRPr="0084150A">
        <w:rPr>
          <w:lang w:val="en-CA"/>
        </w:rPr>
        <w:t>“NAPEC - BANK GROUP CONFERENCE CALL - IMPORTANT ALL HANDS REQUIRED</w:t>
      </w:r>
      <w:r w:rsidR="00050601" w:rsidRPr="0084150A">
        <w:rPr>
          <w:lang w:val="en-CA"/>
        </w:rPr>
        <w:t>”</w:t>
      </w:r>
      <w:r w:rsidR="00DB36FB" w:rsidRPr="0084150A">
        <w:rPr>
          <w:lang w:val="en-CA"/>
        </w:rPr>
        <w:t>.</w:t>
      </w:r>
      <w:r w:rsidR="00DB36FB" w:rsidRPr="0084150A">
        <w:rPr>
          <w:rStyle w:val="Appelnotedebasdep"/>
          <w:lang w:val="en-CA"/>
        </w:rPr>
        <w:footnoteReference w:id="19"/>
      </w:r>
      <w:r w:rsidR="005D25C5" w:rsidRPr="0084150A">
        <w:rPr>
          <w:lang w:val="en-CA"/>
        </w:rPr>
        <w:t xml:space="preserve"> </w:t>
      </w:r>
      <w:r w:rsidR="007078A9" w:rsidRPr="0084150A">
        <w:rPr>
          <w:lang w:val="en-CA"/>
        </w:rPr>
        <w:t>His colleague’s message read as follows:</w:t>
      </w:r>
      <w:r w:rsidR="005D25C5" w:rsidRPr="0084150A">
        <w:rPr>
          <w:lang w:val="en-CA"/>
        </w:rPr>
        <w:t xml:space="preserve"> </w:t>
      </w:r>
      <w:r w:rsidR="00050601" w:rsidRPr="0084150A">
        <w:rPr>
          <w:lang w:val="en-CA"/>
        </w:rPr>
        <w:t>“Philippe in case you did not get this.</w:t>
      </w:r>
      <w:r w:rsidR="005D25C5" w:rsidRPr="0084150A">
        <w:rPr>
          <w:i/>
          <w:iCs/>
          <w:lang w:val="en-CA"/>
        </w:rPr>
        <w:t xml:space="preserve"> </w:t>
      </w:r>
      <w:r w:rsidR="00A131BF" w:rsidRPr="0084150A">
        <w:rPr>
          <w:lang w:val="en-CA"/>
        </w:rPr>
        <w:t>You need to be on</w:t>
      </w:r>
      <w:r w:rsidR="00A131BF" w:rsidRPr="0084150A">
        <w:rPr>
          <w:i/>
          <w:iCs/>
          <w:lang w:val="en-CA"/>
        </w:rPr>
        <w:t>.</w:t>
      </w:r>
      <w:r w:rsidR="005D25C5" w:rsidRPr="0084150A">
        <w:rPr>
          <w:i/>
          <w:iCs/>
          <w:lang w:val="en-CA"/>
        </w:rPr>
        <w:t xml:space="preserve"> </w:t>
      </w:r>
      <w:r w:rsidR="00920F12" w:rsidRPr="0084150A">
        <w:rPr>
          <w:lang w:val="en-CA"/>
        </w:rPr>
        <w:t>I will as well”.</w:t>
      </w:r>
      <w:r w:rsidR="00920F12" w:rsidRPr="0084150A">
        <w:rPr>
          <w:rStyle w:val="Appelnotedebasdep"/>
          <w:lang w:val="en-CA"/>
        </w:rPr>
        <w:t xml:space="preserve"> </w:t>
      </w:r>
      <w:r w:rsidR="00920F12" w:rsidRPr="0084150A">
        <w:rPr>
          <w:rStyle w:val="Appelnotedebasdep"/>
          <w:lang w:val="en-CA"/>
        </w:rPr>
        <w:footnoteReference w:id="20"/>
      </w:r>
    </w:p>
    <w:p w14:paraId="7E0F278D" w14:textId="07FF5C3B" w:rsidR="00C56732" w:rsidRPr="0084150A" w:rsidRDefault="000D09F0" w:rsidP="00417292">
      <w:pPr>
        <w:pStyle w:val="Paragraphe"/>
        <w:rPr>
          <w:lang w:val="en-CA"/>
        </w:rPr>
      </w:pPr>
      <w:r w:rsidRPr="0084150A">
        <w:rPr>
          <w:lang w:val="en-CA"/>
        </w:rPr>
        <w:t xml:space="preserve">The </w:t>
      </w:r>
      <w:r w:rsidR="00CD7D37">
        <w:rPr>
          <w:lang w:val="en-CA"/>
        </w:rPr>
        <w:t>description</w:t>
      </w:r>
      <w:r w:rsidR="00CD7D37" w:rsidRPr="0084150A">
        <w:rPr>
          <w:lang w:val="en-CA"/>
        </w:rPr>
        <w:t xml:space="preserve"> </w:t>
      </w:r>
      <w:r w:rsidRPr="0084150A">
        <w:rPr>
          <w:lang w:val="en-CA"/>
        </w:rPr>
        <w:t>of this conference call, the urgency of holding it as soon as possible, and the confirmation that he absolutely had to attend suggest</w:t>
      </w:r>
      <w:r w:rsidR="00CD7D37">
        <w:rPr>
          <w:lang w:val="en-CA"/>
        </w:rPr>
        <w:t>ed</w:t>
      </w:r>
      <w:r w:rsidRPr="0084150A">
        <w:rPr>
          <w:lang w:val="en-CA"/>
        </w:rPr>
        <w:t xml:space="preserve"> that an important situation regarding </w:t>
      </w:r>
      <w:r w:rsidR="00CD7D37">
        <w:rPr>
          <w:lang w:val="en-CA"/>
        </w:rPr>
        <w:t xml:space="preserve">the </w:t>
      </w:r>
      <w:r w:rsidRPr="0084150A">
        <w:rPr>
          <w:lang w:val="en-CA"/>
        </w:rPr>
        <w:t>reporting issuer Napec required immediate intervention by the syndicate of lenders.</w:t>
      </w:r>
      <w:r w:rsidR="005D25C5" w:rsidRPr="0084150A">
        <w:rPr>
          <w:lang w:val="en-CA"/>
        </w:rPr>
        <w:t xml:space="preserve"> </w:t>
      </w:r>
    </w:p>
    <w:p w14:paraId="6AA15C78" w14:textId="701FD633" w:rsidR="00DC749E" w:rsidRPr="0084150A" w:rsidRDefault="004B15D6" w:rsidP="00DC749E">
      <w:pPr>
        <w:pStyle w:val="Paragraphe"/>
        <w:rPr>
          <w:lang w:val="en-CA"/>
        </w:rPr>
      </w:pPr>
      <w:r w:rsidRPr="0084150A">
        <w:rPr>
          <w:lang w:val="en-CA"/>
        </w:rPr>
        <w:t>Philippe Gauthier agreed to participate in the conference call at 1:55 p.m. on November 3, 2017.</w:t>
      </w:r>
      <w:r w:rsidRPr="0084150A">
        <w:rPr>
          <w:rStyle w:val="Appelnotedebasdep"/>
          <w:lang w:val="en-CA"/>
        </w:rPr>
        <w:footnoteReference w:id="21"/>
      </w:r>
      <w:r w:rsidR="00766EC3" w:rsidRPr="0084150A">
        <w:rPr>
          <w:lang w:val="en-CA"/>
        </w:rPr>
        <w:t xml:space="preserve"> </w:t>
      </w:r>
      <w:r w:rsidR="00677608" w:rsidRPr="0084150A">
        <w:rPr>
          <w:lang w:val="en-CA"/>
        </w:rPr>
        <w:t>The conference call with the member banks of the syndicate of lenders was held as scheduled.</w:t>
      </w:r>
    </w:p>
    <w:p w14:paraId="5F67578A" w14:textId="74E494AE" w:rsidR="00417292" w:rsidRPr="0084150A" w:rsidRDefault="002C175B" w:rsidP="0082351B">
      <w:pPr>
        <w:pStyle w:val="Paragraphe"/>
        <w:rPr>
          <w:lang w:val="en-CA"/>
        </w:rPr>
      </w:pPr>
      <w:r>
        <w:rPr>
          <w:lang w:val="en-CA"/>
        </w:rPr>
        <w:t>Other than</w:t>
      </w:r>
      <w:r w:rsidR="00AB7933" w:rsidRPr="0084150A">
        <w:rPr>
          <w:lang w:val="en-CA"/>
        </w:rPr>
        <w:t xml:space="preserve"> Philippe Gauthier’s testimony during the hearing, no other evidence of what was </w:t>
      </w:r>
      <w:proofErr w:type="gramStart"/>
      <w:r w:rsidR="00AB7933" w:rsidRPr="0084150A">
        <w:rPr>
          <w:lang w:val="en-CA"/>
        </w:rPr>
        <w:t>actually discussed</w:t>
      </w:r>
      <w:proofErr w:type="gramEnd"/>
      <w:r w:rsidR="00AB7933" w:rsidRPr="0084150A">
        <w:rPr>
          <w:lang w:val="en-CA"/>
        </w:rPr>
        <w:t xml:space="preserve"> during the conference call of November 3, 2017, was presented to the Tribunal.</w:t>
      </w:r>
    </w:p>
    <w:p w14:paraId="42D7EB5D" w14:textId="10A099E6" w:rsidR="007F35FD" w:rsidRPr="0084150A" w:rsidRDefault="00466691" w:rsidP="00E85EF4">
      <w:pPr>
        <w:pStyle w:val="Paragraphe"/>
        <w:rPr>
          <w:lang w:val="en-CA"/>
        </w:rPr>
      </w:pPr>
      <w:r w:rsidRPr="0084150A">
        <w:rPr>
          <w:lang w:val="en-CA"/>
        </w:rPr>
        <w:t xml:space="preserve">During the hearing, Philippe Gauthier told the Tribunal that the conference call was brief and </w:t>
      </w:r>
      <w:r w:rsidR="002C175B">
        <w:rPr>
          <w:lang w:val="en-CA"/>
        </w:rPr>
        <w:t>did not delve into detail</w:t>
      </w:r>
      <w:r w:rsidRPr="0084150A">
        <w:rPr>
          <w:lang w:val="en-CA"/>
        </w:rPr>
        <w:t>, given that no confidential</w:t>
      </w:r>
      <w:r w:rsidR="001E68F7" w:rsidRPr="0084150A">
        <w:rPr>
          <w:lang w:val="en-CA"/>
        </w:rPr>
        <w:t>i</w:t>
      </w:r>
      <w:r w:rsidRPr="0084150A">
        <w:rPr>
          <w:lang w:val="en-CA"/>
        </w:rPr>
        <w:t xml:space="preserve">ty agreement </w:t>
      </w:r>
      <w:r w:rsidR="008A7921">
        <w:rPr>
          <w:lang w:val="en-CA"/>
        </w:rPr>
        <w:t>had been</w:t>
      </w:r>
      <w:r w:rsidRPr="0084150A">
        <w:rPr>
          <w:lang w:val="en-CA"/>
        </w:rPr>
        <w:t xml:space="preserve"> signed by any of the banks represented and in attendance during the call.</w:t>
      </w:r>
      <w:r w:rsidRPr="0084150A">
        <w:rPr>
          <w:rStyle w:val="Appelnotedebasdep"/>
          <w:lang w:val="en-CA"/>
        </w:rPr>
        <w:footnoteReference w:id="22"/>
      </w:r>
      <w:r w:rsidR="00E85EF4" w:rsidRPr="0084150A">
        <w:rPr>
          <w:lang w:val="en-CA"/>
        </w:rPr>
        <w:t xml:space="preserve"> </w:t>
      </w:r>
      <w:r w:rsidR="008603A8" w:rsidRPr="0084150A">
        <w:rPr>
          <w:lang w:val="en-CA"/>
        </w:rPr>
        <w:t xml:space="preserve">The purpose of the conference call held by BMO was to inform the members of the syndicate of lenders that they would have to sign a joinder agreement, </w:t>
      </w:r>
      <w:r w:rsidR="002C175B">
        <w:rPr>
          <w:lang w:val="en-CA"/>
        </w:rPr>
        <w:t>that</w:t>
      </w:r>
      <w:r w:rsidR="002C175B" w:rsidRPr="0084150A">
        <w:rPr>
          <w:lang w:val="en-CA"/>
        </w:rPr>
        <w:t xml:space="preserve"> </w:t>
      </w:r>
      <w:r w:rsidR="008603A8" w:rsidRPr="0084150A">
        <w:rPr>
          <w:lang w:val="en-CA"/>
        </w:rPr>
        <w:t>is</w:t>
      </w:r>
      <w:r w:rsidR="002C175B">
        <w:rPr>
          <w:lang w:val="en-CA"/>
        </w:rPr>
        <w:t>,</w:t>
      </w:r>
      <w:r w:rsidR="008603A8" w:rsidRPr="0084150A">
        <w:rPr>
          <w:lang w:val="en-CA"/>
        </w:rPr>
        <w:t xml:space="preserve"> a confidentiality agreement that would allow them to obtain the details of the </w:t>
      </w:r>
      <w:r w:rsidR="002C175B">
        <w:rPr>
          <w:lang w:val="en-CA"/>
        </w:rPr>
        <w:t>T</w:t>
      </w:r>
      <w:r w:rsidR="008603A8" w:rsidRPr="0084150A">
        <w:rPr>
          <w:lang w:val="en-CA"/>
        </w:rPr>
        <w:t>ransaction to consent to the amendments to the syndicated credit agreement.</w:t>
      </w:r>
      <w:r w:rsidR="00E85EF4" w:rsidRPr="0084150A">
        <w:rPr>
          <w:lang w:val="en-CA"/>
        </w:rPr>
        <w:t xml:space="preserve"> </w:t>
      </w:r>
      <w:r w:rsidR="000969C4" w:rsidRPr="0084150A">
        <w:rPr>
          <w:lang w:val="en-CA"/>
        </w:rPr>
        <w:t>Indeed, Philippe Gauthier admits that he kn</w:t>
      </w:r>
      <w:r w:rsidR="00E702E0">
        <w:rPr>
          <w:lang w:val="en-CA"/>
        </w:rPr>
        <w:t>e</w:t>
      </w:r>
      <w:r w:rsidR="000969C4" w:rsidRPr="0084150A">
        <w:rPr>
          <w:lang w:val="en-CA"/>
        </w:rPr>
        <w:t>w that the syndicated credit agreement pertaining to Napec had to be amended.</w:t>
      </w:r>
      <w:r w:rsidR="00E85EF4" w:rsidRPr="0084150A">
        <w:rPr>
          <w:lang w:val="en-CA"/>
        </w:rPr>
        <w:t xml:space="preserve"> </w:t>
      </w:r>
      <w:r w:rsidR="00370D5A" w:rsidRPr="0084150A">
        <w:rPr>
          <w:lang w:val="en-CA"/>
        </w:rPr>
        <w:t>He recalled that</w:t>
      </w:r>
      <w:r w:rsidR="00264619">
        <w:rPr>
          <w:lang w:val="en-CA"/>
        </w:rPr>
        <w:t>,</w:t>
      </w:r>
      <w:r w:rsidR="00370D5A" w:rsidRPr="0084150A">
        <w:rPr>
          <w:lang w:val="en-CA"/>
        </w:rPr>
        <w:t xml:space="preserve"> during the conference call of November 3, 2017, it was agreed that he would receive more information, particularly through the Syntrac </w:t>
      </w:r>
      <w:r w:rsidR="008A5983" w:rsidRPr="0084150A">
        <w:rPr>
          <w:lang w:val="en-CA"/>
        </w:rPr>
        <w:t>platform</w:t>
      </w:r>
      <w:r w:rsidR="00370D5A" w:rsidRPr="0084150A">
        <w:rPr>
          <w:lang w:val="en-CA"/>
        </w:rPr>
        <w:t>, which ensures document safety and confidentiality.</w:t>
      </w:r>
      <w:r w:rsidR="00370D5A" w:rsidRPr="0084150A">
        <w:rPr>
          <w:vertAlign w:val="superscript"/>
          <w:lang w:val="en-CA"/>
        </w:rPr>
        <w:footnoteReference w:id="23"/>
      </w:r>
      <w:r w:rsidR="00E85EF4" w:rsidRPr="0084150A">
        <w:rPr>
          <w:lang w:val="en-CA"/>
        </w:rPr>
        <w:t xml:space="preserve"> </w:t>
      </w:r>
    </w:p>
    <w:p w14:paraId="72AAD256" w14:textId="74413E8E" w:rsidR="004D601B" w:rsidRPr="0084150A" w:rsidRDefault="00AD1F22" w:rsidP="004D601B">
      <w:pPr>
        <w:pStyle w:val="Paragraphe"/>
        <w:rPr>
          <w:lang w:val="en-CA"/>
        </w:rPr>
      </w:pPr>
      <w:r w:rsidRPr="0084150A">
        <w:rPr>
          <w:lang w:val="en-CA"/>
        </w:rPr>
        <w:t>And yet, as explained in greater detail hereafter, a few minutes after the</w:t>
      </w:r>
      <w:r w:rsidR="001755C6">
        <w:rPr>
          <w:lang w:val="en-CA"/>
        </w:rPr>
        <w:t xml:space="preserve"> end of the</w:t>
      </w:r>
      <w:r w:rsidRPr="0084150A">
        <w:rPr>
          <w:lang w:val="en-CA"/>
        </w:rPr>
        <w:t xml:space="preserve"> conference call of November 3, 2017, with the members of the syndicate of lenders, Philippe Gauthier contacted his friend Vincent Pouliot, who testified before the Tribunal that, during that call, Philippe Gauthier recommended that he purchase </w:t>
      </w:r>
      <w:r w:rsidR="006D4476">
        <w:rPr>
          <w:lang w:val="en-CA"/>
        </w:rPr>
        <w:t xml:space="preserve">shares of </w:t>
      </w:r>
      <w:r w:rsidRPr="0084150A">
        <w:rPr>
          <w:lang w:val="en-CA"/>
        </w:rPr>
        <w:t>Napec.</w:t>
      </w:r>
      <w:r w:rsidR="005D25C5" w:rsidRPr="0084150A">
        <w:rPr>
          <w:lang w:val="en-CA"/>
        </w:rPr>
        <w:t xml:space="preserve"> </w:t>
      </w:r>
      <w:r w:rsidR="00483AC6" w:rsidRPr="0084150A">
        <w:rPr>
          <w:lang w:val="en-CA"/>
        </w:rPr>
        <w:t xml:space="preserve">Vincent Pouliot did, in fact, purchase </w:t>
      </w:r>
      <w:r w:rsidR="006178B6">
        <w:rPr>
          <w:lang w:val="en-CA"/>
        </w:rPr>
        <w:t xml:space="preserve">shares of </w:t>
      </w:r>
      <w:r w:rsidR="00483AC6" w:rsidRPr="0084150A">
        <w:rPr>
          <w:lang w:val="en-CA"/>
        </w:rPr>
        <w:t>Napec for the first time immediately after his call with Philippe Gauthier.</w:t>
      </w:r>
      <w:r w:rsidR="00483AC6" w:rsidRPr="0084150A">
        <w:rPr>
          <w:rStyle w:val="Appelnotedebasdep"/>
          <w:lang w:val="en-CA"/>
        </w:rPr>
        <w:footnoteReference w:id="24"/>
      </w:r>
    </w:p>
    <w:p w14:paraId="7228B103" w14:textId="0F61F620" w:rsidR="00417292" w:rsidRPr="0084150A" w:rsidRDefault="00582DB3" w:rsidP="00417292">
      <w:pPr>
        <w:pStyle w:val="Paragraphe"/>
        <w:rPr>
          <w:lang w:val="en-CA"/>
        </w:rPr>
      </w:pPr>
      <w:r w:rsidRPr="0084150A">
        <w:rPr>
          <w:lang w:val="en-CA"/>
        </w:rPr>
        <w:lastRenderedPageBreak/>
        <w:t>Also on November 3, and after the conference call, Philippe Gauthier received an email from BMO asking the banks, including LBC, to sign the confidentiality agreement.</w:t>
      </w:r>
      <w:r w:rsidRPr="0084150A">
        <w:rPr>
          <w:rStyle w:val="Appelnotedebasdep"/>
          <w:lang w:val="en-CA"/>
        </w:rPr>
        <w:footnoteReference w:id="25"/>
      </w:r>
    </w:p>
    <w:p w14:paraId="62DC5347" w14:textId="3CF43381" w:rsidR="007F35FD" w:rsidRPr="0084150A" w:rsidRDefault="00921331" w:rsidP="007F35FD">
      <w:pPr>
        <w:pStyle w:val="Paragraphe"/>
        <w:rPr>
          <w:lang w:val="en-CA"/>
        </w:rPr>
      </w:pPr>
      <w:r w:rsidRPr="0084150A">
        <w:rPr>
          <w:lang w:val="en-CA"/>
        </w:rPr>
        <w:t>On</w:t>
      </w:r>
      <w:r w:rsidR="00375283">
        <w:rPr>
          <w:lang w:val="en-CA"/>
        </w:rPr>
        <w:t xml:space="preserve"> Saturday,</w:t>
      </w:r>
      <w:r w:rsidRPr="0084150A">
        <w:rPr>
          <w:lang w:val="en-CA"/>
        </w:rPr>
        <w:t xml:space="preserve"> November 4, 2017, at 9:31 a.m., Philippe Gauthier sent an email to BMO in which he wrote</w:t>
      </w:r>
      <w:r w:rsidR="00EA312D">
        <w:rPr>
          <w:lang w:val="en-CA"/>
        </w:rPr>
        <w:t>,</w:t>
      </w:r>
      <w:r w:rsidR="005D25C5" w:rsidRPr="0084150A">
        <w:rPr>
          <w:lang w:val="en-CA"/>
        </w:rPr>
        <w:t xml:space="preserve"> </w:t>
      </w:r>
      <w:r w:rsidR="00CF3270" w:rsidRPr="0084150A">
        <w:rPr>
          <w:lang w:val="en-CA"/>
        </w:rPr>
        <w:t xml:space="preserve">“Hi Jim, </w:t>
      </w:r>
      <w:proofErr w:type="gramStart"/>
      <w:r w:rsidR="00CF3270" w:rsidRPr="0084150A">
        <w:rPr>
          <w:lang w:val="en-CA"/>
        </w:rPr>
        <w:t>Please</w:t>
      </w:r>
      <w:proofErr w:type="gramEnd"/>
      <w:r w:rsidR="00CF3270" w:rsidRPr="0084150A">
        <w:rPr>
          <w:lang w:val="en-CA"/>
        </w:rPr>
        <w:t xml:space="preserve"> find the joinder </w:t>
      </w:r>
      <w:r w:rsidR="00375283">
        <w:rPr>
          <w:lang w:val="en-CA"/>
        </w:rPr>
        <w:t>A</w:t>
      </w:r>
      <w:r w:rsidR="00CF3270" w:rsidRPr="0084150A">
        <w:rPr>
          <w:lang w:val="en-CA"/>
        </w:rPr>
        <w:t>greement attached”,</w:t>
      </w:r>
      <w:r w:rsidR="00CF3270" w:rsidRPr="0084150A">
        <w:rPr>
          <w:vertAlign w:val="superscript"/>
          <w:lang w:val="en-CA"/>
        </w:rPr>
        <w:footnoteReference w:id="26"/>
      </w:r>
      <w:r w:rsidR="00CF3270" w:rsidRPr="0084150A">
        <w:rPr>
          <w:lang w:val="en-CA"/>
        </w:rPr>
        <w:t xml:space="preserve"> </w:t>
      </w:r>
      <w:r w:rsidR="00EA312D">
        <w:rPr>
          <w:lang w:val="en-CA"/>
        </w:rPr>
        <w:t>with</w:t>
      </w:r>
      <w:r w:rsidR="00CF3270" w:rsidRPr="0084150A">
        <w:rPr>
          <w:lang w:val="en-CA"/>
        </w:rPr>
        <w:t xml:space="preserve"> the duly signed confidentiality agreement</w:t>
      </w:r>
      <w:r w:rsidR="00EA312D">
        <w:rPr>
          <w:lang w:val="en-CA"/>
        </w:rPr>
        <w:t xml:space="preserve"> attached</w:t>
      </w:r>
      <w:r w:rsidR="00CF3270" w:rsidRPr="0084150A">
        <w:rPr>
          <w:lang w:val="en-CA"/>
        </w:rPr>
        <w:t>.</w:t>
      </w:r>
    </w:p>
    <w:p w14:paraId="5B436763" w14:textId="653E397B" w:rsidR="00577BD1" w:rsidRPr="0084150A" w:rsidRDefault="007F35FD" w:rsidP="009B2604">
      <w:pPr>
        <w:pStyle w:val="Paragraphe"/>
        <w:rPr>
          <w:lang w:val="en-CA"/>
        </w:rPr>
      </w:pPr>
      <w:r w:rsidRPr="0084150A">
        <w:rPr>
          <w:lang w:val="en-CA"/>
        </w:rPr>
        <w:t xml:space="preserve"> </w:t>
      </w:r>
      <w:r w:rsidR="00764AF9" w:rsidRPr="0084150A">
        <w:rPr>
          <w:lang w:val="en-CA"/>
        </w:rPr>
        <w:t>On Monday, November 6, 2017, at 9:31 p.m., Philippe Gauthier received an email from BMO, which contained two attachments entitled “Project Drum Discussion Materials” and “BMO NAPEC Bank Model”.</w:t>
      </w:r>
      <w:r w:rsidRPr="0084150A">
        <w:rPr>
          <w:lang w:val="en-CA"/>
        </w:rPr>
        <w:t xml:space="preserve"> </w:t>
      </w:r>
      <w:r w:rsidR="005E26AD" w:rsidRPr="0084150A">
        <w:rPr>
          <w:lang w:val="en-CA"/>
        </w:rPr>
        <w:t>This email included the following statement:</w:t>
      </w:r>
      <w:r w:rsidRPr="0084150A">
        <w:rPr>
          <w:lang w:val="en-CA"/>
        </w:rPr>
        <w:t xml:space="preserve"> </w:t>
      </w:r>
    </w:p>
    <w:p w14:paraId="0CF0248B" w14:textId="052E0458" w:rsidR="00577BD1" w:rsidRPr="0084150A" w:rsidRDefault="005739AE" w:rsidP="001B4382">
      <w:pPr>
        <w:pStyle w:val="Citationendoubleretrait"/>
        <w:spacing w:before="120" w:after="120"/>
        <w:ind w:left="1236" w:right="851"/>
      </w:pPr>
      <w:r w:rsidRPr="005E07F3">
        <w:t xml:space="preserve">As requested by the sponsor, we would like to reiterate that these are really sensitive information that should be kept within your lending group only and on a </w:t>
      </w:r>
      <w:proofErr w:type="gramStart"/>
      <w:r w:rsidRPr="005E07F3">
        <w:t>need to know</w:t>
      </w:r>
      <w:proofErr w:type="gramEnd"/>
      <w:r w:rsidRPr="005E07F3">
        <w:t xml:space="preserve"> basis.</w:t>
      </w:r>
      <w:r w:rsidR="005D25C5" w:rsidRPr="0084150A">
        <w:rPr>
          <w:rStyle w:val="Appelnotedebasdep"/>
        </w:rPr>
        <w:footnoteReference w:id="27"/>
      </w:r>
    </w:p>
    <w:p w14:paraId="3973B7BD" w14:textId="5E06340F" w:rsidR="007F35FD" w:rsidRPr="0084150A" w:rsidRDefault="00343898" w:rsidP="00577BD1">
      <w:pPr>
        <w:pStyle w:val="Paragraphe"/>
        <w:rPr>
          <w:lang w:val="en-CA"/>
        </w:rPr>
      </w:pPr>
      <w:r w:rsidRPr="0084150A">
        <w:rPr>
          <w:lang w:val="en-CA"/>
        </w:rPr>
        <w:t xml:space="preserve">In addition, the </w:t>
      </w:r>
      <w:r w:rsidR="00855C59">
        <w:rPr>
          <w:lang w:val="en-CA"/>
        </w:rPr>
        <w:t>documents</w:t>
      </w:r>
      <w:r w:rsidRPr="0084150A">
        <w:rPr>
          <w:lang w:val="en-CA"/>
        </w:rPr>
        <w:t xml:space="preserve"> attached to the email </w:t>
      </w:r>
      <w:r w:rsidR="008A7413">
        <w:rPr>
          <w:lang w:val="en-CA"/>
        </w:rPr>
        <w:t>dated</w:t>
      </w:r>
      <w:r w:rsidRPr="0084150A">
        <w:rPr>
          <w:lang w:val="en-CA"/>
        </w:rPr>
        <w:t xml:space="preserve"> November 6, 2017</w:t>
      </w:r>
      <w:r w:rsidR="00E702E0">
        <w:rPr>
          <w:lang w:val="en-CA"/>
        </w:rPr>
        <w:t>,</w:t>
      </w:r>
      <w:r w:rsidRPr="0084150A">
        <w:rPr>
          <w:lang w:val="en-CA"/>
        </w:rPr>
        <w:t xml:space="preserve"> had “CONFIDENTIAL” written on several pages.</w:t>
      </w:r>
      <w:r w:rsidRPr="0084150A">
        <w:rPr>
          <w:vertAlign w:val="superscript"/>
          <w:lang w:val="en-CA"/>
        </w:rPr>
        <w:footnoteReference w:id="28"/>
      </w:r>
    </w:p>
    <w:p w14:paraId="6097E678" w14:textId="174B32B3" w:rsidR="007F35FD" w:rsidRPr="0084150A" w:rsidRDefault="005443C5" w:rsidP="007F35FD">
      <w:pPr>
        <w:pStyle w:val="Paragraphe"/>
        <w:rPr>
          <w:lang w:val="en-CA"/>
        </w:rPr>
      </w:pPr>
      <w:r w:rsidRPr="0084150A">
        <w:rPr>
          <w:lang w:val="en-CA"/>
        </w:rPr>
        <w:t xml:space="preserve">The </w:t>
      </w:r>
      <w:r w:rsidR="00D6282E">
        <w:rPr>
          <w:lang w:val="en-CA"/>
        </w:rPr>
        <w:t xml:space="preserve">document </w:t>
      </w:r>
      <w:r w:rsidRPr="0084150A">
        <w:rPr>
          <w:lang w:val="en-CA"/>
        </w:rPr>
        <w:t>attach</w:t>
      </w:r>
      <w:r w:rsidR="00D6282E">
        <w:rPr>
          <w:lang w:val="en-CA"/>
        </w:rPr>
        <w:t>ed</w:t>
      </w:r>
      <w:r w:rsidRPr="0084150A">
        <w:rPr>
          <w:lang w:val="en-CA"/>
        </w:rPr>
        <w:t xml:space="preserve"> to the email </w:t>
      </w:r>
      <w:r w:rsidR="00732422">
        <w:rPr>
          <w:lang w:val="en-CA"/>
        </w:rPr>
        <w:t>dated</w:t>
      </w:r>
      <w:r w:rsidRPr="0084150A">
        <w:rPr>
          <w:lang w:val="en-CA"/>
        </w:rPr>
        <w:t xml:space="preserve"> November 6, 2017, entitled “Project Drum Discussion Materials” included a detailed description of Oaktree</w:t>
      </w:r>
      <w:r w:rsidR="00732422">
        <w:rPr>
          <w:lang w:val="en-CA"/>
        </w:rPr>
        <w:t>,</w:t>
      </w:r>
      <w:r w:rsidRPr="0084150A">
        <w:rPr>
          <w:lang w:val="en-CA"/>
        </w:rPr>
        <w:t xml:space="preserve"> including its offer to acquire </w:t>
      </w:r>
      <w:r w:rsidR="00D6282E">
        <w:rPr>
          <w:lang w:val="en-CA"/>
        </w:rPr>
        <w:t xml:space="preserve">Napec shares </w:t>
      </w:r>
      <w:r w:rsidRPr="0084150A">
        <w:rPr>
          <w:lang w:val="en-CA"/>
        </w:rPr>
        <w:t xml:space="preserve">at </w:t>
      </w:r>
      <w:r w:rsidR="00D6282E">
        <w:rPr>
          <w:lang w:val="en-CA"/>
        </w:rPr>
        <w:t>a purchase</w:t>
      </w:r>
      <w:r w:rsidRPr="0084150A">
        <w:rPr>
          <w:lang w:val="en-CA"/>
        </w:rPr>
        <w:t xml:space="preserve"> price of $1.95 per </w:t>
      </w:r>
      <w:r w:rsidR="00732422">
        <w:rPr>
          <w:lang w:val="en-CA"/>
        </w:rPr>
        <w:t>share</w:t>
      </w:r>
      <w:r w:rsidRPr="0084150A">
        <w:rPr>
          <w:lang w:val="en-CA"/>
        </w:rPr>
        <w:t xml:space="preserve"> and the </w:t>
      </w:r>
      <w:r w:rsidR="00D6282E" w:rsidRPr="0084150A">
        <w:rPr>
          <w:lang w:val="en-CA"/>
        </w:rPr>
        <w:t xml:space="preserve">$320 million </w:t>
      </w:r>
      <w:r w:rsidRPr="0084150A">
        <w:rPr>
          <w:lang w:val="en-CA"/>
        </w:rPr>
        <w:t xml:space="preserve">projected </w:t>
      </w:r>
      <w:r w:rsidR="00D6282E" w:rsidRPr="0084150A">
        <w:rPr>
          <w:lang w:val="en-CA"/>
        </w:rPr>
        <w:t>value</w:t>
      </w:r>
      <w:r w:rsidR="00D6282E">
        <w:rPr>
          <w:lang w:val="en-CA"/>
        </w:rPr>
        <w:t xml:space="preserve"> of the</w:t>
      </w:r>
      <w:r w:rsidR="00D6282E" w:rsidRPr="0084150A">
        <w:rPr>
          <w:lang w:val="en-CA"/>
        </w:rPr>
        <w:t xml:space="preserve"> </w:t>
      </w:r>
      <w:r w:rsidR="00D6282E">
        <w:rPr>
          <w:lang w:val="en-CA"/>
        </w:rPr>
        <w:t>T</w:t>
      </w:r>
      <w:r w:rsidRPr="0084150A">
        <w:rPr>
          <w:lang w:val="en-CA"/>
        </w:rPr>
        <w:t>ransaction.</w:t>
      </w:r>
      <w:r w:rsidRPr="0084150A">
        <w:rPr>
          <w:vertAlign w:val="superscript"/>
          <w:lang w:val="en-CA"/>
        </w:rPr>
        <w:footnoteReference w:id="29"/>
      </w:r>
      <w:r w:rsidR="001857D0" w:rsidRPr="0084150A">
        <w:rPr>
          <w:lang w:val="en-CA"/>
        </w:rPr>
        <w:t xml:space="preserve"> </w:t>
      </w:r>
      <w:r w:rsidR="000E7168" w:rsidRPr="0084150A">
        <w:rPr>
          <w:lang w:val="en-CA"/>
        </w:rPr>
        <w:t xml:space="preserve">This document contained specific, important information regarding the </w:t>
      </w:r>
      <w:r w:rsidR="00D6282E">
        <w:rPr>
          <w:lang w:val="en-CA"/>
        </w:rPr>
        <w:t>T</w:t>
      </w:r>
      <w:r w:rsidR="000E7168" w:rsidRPr="0084150A">
        <w:rPr>
          <w:lang w:val="en-CA"/>
        </w:rPr>
        <w:t xml:space="preserve">ransaction, including a statement that the </w:t>
      </w:r>
      <w:r w:rsidR="00D6282E">
        <w:rPr>
          <w:lang w:val="en-CA"/>
        </w:rPr>
        <w:t>T</w:t>
      </w:r>
      <w:r w:rsidR="000E7168" w:rsidRPr="0084150A">
        <w:rPr>
          <w:lang w:val="en-CA"/>
        </w:rPr>
        <w:t>ransaction had to proceed “on an expediated basis with a high degree of certainty of closing”.</w:t>
      </w:r>
      <w:r w:rsidR="005D25C5" w:rsidRPr="0084150A">
        <w:rPr>
          <w:rStyle w:val="Appelnotedebasdep"/>
          <w:lang w:val="en-CA"/>
        </w:rPr>
        <w:footnoteReference w:id="30"/>
      </w:r>
    </w:p>
    <w:p w14:paraId="2079AF2B" w14:textId="2F7DEBBD" w:rsidR="001857D0" w:rsidRPr="0084150A" w:rsidRDefault="00B057F3" w:rsidP="007F35FD">
      <w:pPr>
        <w:pStyle w:val="Paragraphe"/>
        <w:rPr>
          <w:lang w:val="en-CA"/>
        </w:rPr>
      </w:pPr>
      <w:r w:rsidRPr="0084150A">
        <w:rPr>
          <w:lang w:val="en-CA"/>
        </w:rPr>
        <w:t xml:space="preserve"> </w:t>
      </w:r>
      <w:r w:rsidR="00992B41" w:rsidRPr="0084150A">
        <w:rPr>
          <w:lang w:val="en-CA"/>
        </w:rPr>
        <w:t xml:space="preserve">During the hearing, Philippe Gauthier confirmed that he </w:t>
      </w:r>
      <w:r w:rsidR="00F17131">
        <w:rPr>
          <w:lang w:val="en-CA"/>
        </w:rPr>
        <w:t>read</w:t>
      </w:r>
      <w:r w:rsidR="00992B41" w:rsidRPr="0084150A">
        <w:rPr>
          <w:lang w:val="en-CA"/>
        </w:rPr>
        <w:t xml:space="preserve"> the email dated November 6, 2017, the following day</w:t>
      </w:r>
      <w:r w:rsidR="00876D05">
        <w:rPr>
          <w:lang w:val="en-CA"/>
        </w:rPr>
        <w:t>,</w:t>
      </w:r>
      <w:r w:rsidR="00992B41" w:rsidRPr="0084150A">
        <w:rPr>
          <w:lang w:val="en-CA"/>
        </w:rPr>
        <w:t xml:space="preserve"> on November 7, 2017, without recalling, however, the exact time of the day.</w:t>
      </w:r>
    </w:p>
    <w:p w14:paraId="6CB4837D" w14:textId="5C0E031A" w:rsidR="00D9411A" w:rsidRPr="0084150A" w:rsidRDefault="009C5D41" w:rsidP="007F35FD">
      <w:pPr>
        <w:pStyle w:val="Paragraphe"/>
        <w:rPr>
          <w:lang w:val="en-CA"/>
        </w:rPr>
      </w:pPr>
      <w:r w:rsidRPr="0084150A">
        <w:rPr>
          <w:lang w:val="en-CA"/>
        </w:rPr>
        <w:t xml:space="preserve">However, </w:t>
      </w:r>
      <w:r w:rsidR="00F17131">
        <w:rPr>
          <w:lang w:val="en-CA"/>
        </w:rPr>
        <w:t>at</w:t>
      </w:r>
      <w:r w:rsidR="00F17131" w:rsidRPr="0084150A">
        <w:rPr>
          <w:lang w:val="en-CA"/>
        </w:rPr>
        <w:t xml:space="preserve"> </w:t>
      </w:r>
      <w:r w:rsidRPr="0084150A">
        <w:rPr>
          <w:lang w:val="en-CA"/>
        </w:rPr>
        <w:t xml:space="preserve">the </w:t>
      </w:r>
      <w:r w:rsidR="00F17131">
        <w:rPr>
          <w:lang w:val="en-CA"/>
        </w:rPr>
        <w:t>outset</w:t>
      </w:r>
      <w:r w:rsidRPr="0084150A">
        <w:rPr>
          <w:lang w:val="en-CA"/>
        </w:rPr>
        <w:t xml:space="preserve">, the Tribunal </w:t>
      </w:r>
      <w:r w:rsidR="00F17131">
        <w:rPr>
          <w:lang w:val="en-CA"/>
        </w:rPr>
        <w:t xml:space="preserve">would </w:t>
      </w:r>
      <w:r w:rsidRPr="0084150A">
        <w:rPr>
          <w:lang w:val="en-CA"/>
        </w:rPr>
        <w:t>point out that on Monday</w:t>
      </w:r>
      <w:r w:rsidR="005E5966">
        <w:rPr>
          <w:lang w:val="en-CA"/>
        </w:rPr>
        <w:t>,</w:t>
      </w:r>
      <w:r w:rsidRPr="0084150A">
        <w:rPr>
          <w:lang w:val="en-CA"/>
        </w:rPr>
        <w:t xml:space="preserve"> November 6, 2017, a few minutes after receiving the email that contained the attachments entitled “Project Drum Discussion Materials” and “BMO NAPEC Bank Model”, Philippe Gauthier sent a text message to Frédéric Racine inviting him to have lunch with him the next day.</w:t>
      </w:r>
      <w:r w:rsidRPr="0084150A">
        <w:rPr>
          <w:rStyle w:val="Appelnotedebasdep"/>
          <w:lang w:val="en-CA"/>
        </w:rPr>
        <w:footnoteReference w:id="31"/>
      </w:r>
      <w:r w:rsidR="008E2FA3" w:rsidRPr="0084150A">
        <w:rPr>
          <w:lang w:val="en-CA"/>
        </w:rPr>
        <w:t xml:space="preserve"> </w:t>
      </w:r>
    </w:p>
    <w:p w14:paraId="3B39BE29" w14:textId="47E333E7" w:rsidR="00577BD1" w:rsidRPr="0084150A" w:rsidRDefault="008C19CE" w:rsidP="007F35FD">
      <w:pPr>
        <w:pStyle w:val="Paragraphe"/>
        <w:rPr>
          <w:lang w:val="en-CA"/>
        </w:rPr>
      </w:pPr>
      <w:r w:rsidRPr="0084150A">
        <w:rPr>
          <w:lang w:val="en-CA"/>
        </w:rPr>
        <w:t>Indeed, Philippe Gauthier and Frédéric Racine had lunch together on November 7, 2017.</w:t>
      </w:r>
      <w:r w:rsidR="005D25C5" w:rsidRPr="0084150A">
        <w:rPr>
          <w:lang w:val="en-CA"/>
        </w:rPr>
        <w:t xml:space="preserve"> </w:t>
      </w:r>
      <w:r w:rsidR="00A362C7" w:rsidRPr="0084150A">
        <w:rPr>
          <w:lang w:val="en-CA"/>
        </w:rPr>
        <w:t>Less than an hour after th</w:t>
      </w:r>
      <w:r w:rsidR="00B505D4">
        <w:rPr>
          <w:lang w:val="en-CA"/>
        </w:rPr>
        <w:t>at</w:t>
      </w:r>
      <w:r w:rsidR="00A362C7" w:rsidRPr="0084150A">
        <w:rPr>
          <w:lang w:val="en-CA"/>
        </w:rPr>
        <w:t xml:space="preserve"> lunch, Frédéric Racine purchased</w:t>
      </w:r>
      <w:r w:rsidR="00B505D4">
        <w:rPr>
          <w:lang w:val="en-CA"/>
        </w:rPr>
        <w:t xml:space="preserve"> shares of</w:t>
      </w:r>
      <w:r w:rsidR="00A362C7" w:rsidRPr="0084150A">
        <w:rPr>
          <w:lang w:val="en-CA"/>
        </w:rPr>
        <w:t xml:space="preserve"> Napec for the first time </w:t>
      </w:r>
      <w:r w:rsidR="00D56590" w:rsidRPr="0084150A">
        <w:rPr>
          <w:lang w:val="en-CA"/>
        </w:rPr>
        <w:t>for</w:t>
      </w:r>
      <w:r w:rsidR="00A362C7" w:rsidRPr="0084150A">
        <w:rPr>
          <w:lang w:val="en-CA"/>
        </w:rPr>
        <w:t xml:space="preserve"> $35,691.</w:t>
      </w:r>
      <w:r w:rsidR="00A362C7" w:rsidRPr="0084150A">
        <w:rPr>
          <w:rStyle w:val="Appelnotedebasdep"/>
          <w:lang w:val="en-CA"/>
        </w:rPr>
        <w:footnoteReference w:id="32"/>
      </w:r>
    </w:p>
    <w:p w14:paraId="64D2A70D" w14:textId="310A2AA6" w:rsidR="00F56124" w:rsidRPr="0084150A" w:rsidRDefault="00D85AC6" w:rsidP="00F56124">
      <w:pPr>
        <w:pStyle w:val="Paragraphe"/>
        <w:rPr>
          <w:lang w:val="en-CA"/>
        </w:rPr>
      </w:pPr>
      <w:r w:rsidRPr="0084150A">
        <w:rPr>
          <w:lang w:val="en-CA"/>
        </w:rPr>
        <w:t>On November 7, 2017, Philippe Gauthier received another email that stated</w:t>
      </w:r>
      <w:r w:rsidR="003E7995" w:rsidRPr="0084150A">
        <w:rPr>
          <w:lang w:val="en-CA"/>
        </w:rPr>
        <w:t>,</w:t>
      </w:r>
      <w:r w:rsidRPr="0084150A">
        <w:rPr>
          <w:lang w:val="en-CA"/>
        </w:rPr>
        <w:t xml:space="preserve"> “As previously discussed OAKTREE, through one of its funds, is seeking to take Napec </w:t>
      </w:r>
      <w:r w:rsidRPr="0084150A">
        <w:rPr>
          <w:lang w:val="en-CA"/>
        </w:rPr>
        <w:lastRenderedPageBreak/>
        <w:t>private”.</w:t>
      </w:r>
      <w:r w:rsidRPr="0084150A">
        <w:rPr>
          <w:rStyle w:val="Appelnotedebasdep"/>
          <w:lang w:val="en-CA"/>
        </w:rPr>
        <w:footnoteReference w:id="33"/>
      </w:r>
      <w:r w:rsidR="005D25C5" w:rsidRPr="0084150A">
        <w:rPr>
          <w:lang w:val="en-CA"/>
        </w:rPr>
        <w:t xml:space="preserve"> </w:t>
      </w:r>
      <w:r w:rsidR="006619F9" w:rsidRPr="0084150A">
        <w:rPr>
          <w:lang w:val="en-CA"/>
        </w:rPr>
        <w:t xml:space="preserve">The Tribunal understands that the privatization of Napec had already been </w:t>
      </w:r>
      <w:r w:rsidR="0084150A" w:rsidRPr="0084150A">
        <w:rPr>
          <w:lang w:val="en-CA"/>
        </w:rPr>
        <w:t>discussed</w:t>
      </w:r>
      <w:r w:rsidR="006619F9" w:rsidRPr="0084150A">
        <w:rPr>
          <w:lang w:val="en-CA"/>
        </w:rPr>
        <w:t xml:space="preserve"> </w:t>
      </w:r>
      <w:r w:rsidR="00344315">
        <w:rPr>
          <w:lang w:val="en-CA"/>
        </w:rPr>
        <w:t>by</w:t>
      </w:r>
      <w:r w:rsidR="00344315" w:rsidRPr="0084150A">
        <w:rPr>
          <w:lang w:val="en-CA"/>
        </w:rPr>
        <w:t xml:space="preserve"> </w:t>
      </w:r>
      <w:r w:rsidR="006619F9" w:rsidRPr="0084150A">
        <w:rPr>
          <w:lang w:val="en-CA"/>
        </w:rPr>
        <w:t>the members of the syndicate of lenders and that the only discussion in evidence is the one that took place during the conference call of November 3, 2017.</w:t>
      </w:r>
      <w:r w:rsidR="005D25C5" w:rsidRPr="0084150A">
        <w:rPr>
          <w:lang w:val="en-CA"/>
        </w:rPr>
        <w:t xml:space="preserve"> </w:t>
      </w:r>
    </w:p>
    <w:p w14:paraId="3AABB346" w14:textId="6CDEAD81" w:rsidR="009B2604" w:rsidRPr="0084150A" w:rsidRDefault="0066354F" w:rsidP="00417292">
      <w:pPr>
        <w:pStyle w:val="Paragraphe"/>
        <w:rPr>
          <w:lang w:val="en-CA"/>
        </w:rPr>
      </w:pPr>
      <w:r w:rsidRPr="0084150A">
        <w:rPr>
          <w:lang w:val="en-CA"/>
        </w:rPr>
        <w:t>The Tribunal adds that</w:t>
      </w:r>
      <w:r w:rsidR="00344315">
        <w:rPr>
          <w:lang w:val="en-CA"/>
        </w:rPr>
        <w:t xml:space="preserve"> in</w:t>
      </w:r>
      <w:r w:rsidRPr="0084150A">
        <w:rPr>
          <w:lang w:val="en-CA"/>
        </w:rPr>
        <w:t xml:space="preserve"> November</w:t>
      </w:r>
      <w:r w:rsidR="00344315">
        <w:rPr>
          <w:lang w:val="en-CA"/>
        </w:rPr>
        <w:t>,</w:t>
      </w:r>
      <w:r w:rsidRPr="0084150A">
        <w:rPr>
          <w:lang w:val="en-CA"/>
        </w:rPr>
        <w:t xml:space="preserve"> up </w:t>
      </w:r>
      <w:r w:rsidR="00344315">
        <w:rPr>
          <w:lang w:val="en-CA"/>
        </w:rPr>
        <w:t>until</w:t>
      </w:r>
      <w:r w:rsidRPr="0084150A">
        <w:rPr>
          <w:lang w:val="en-CA"/>
        </w:rPr>
        <w:t xml:space="preserve"> the </w:t>
      </w:r>
      <w:r w:rsidR="00344315">
        <w:rPr>
          <w:lang w:val="en-CA"/>
        </w:rPr>
        <w:t>T</w:t>
      </w:r>
      <w:r w:rsidRPr="0084150A">
        <w:rPr>
          <w:lang w:val="en-CA"/>
        </w:rPr>
        <w:t xml:space="preserve">ransaction was publicly announced, Philippe Gauthier was still involved </w:t>
      </w:r>
      <w:r w:rsidR="00E24C47">
        <w:rPr>
          <w:lang w:val="en-CA"/>
        </w:rPr>
        <w:t>in</w:t>
      </w:r>
      <w:r w:rsidRPr="0084150A">
        <w:rPr>
          <w:lang w:val="en-CA"/>
        </w:rPr>
        <w:t xml:space="preserve"> the file relating to the amendments to the syndicated credit agreement and regularly received information regarding the progress of the </w:t>
      </w:r>
      <w:r w:rsidR="00344315">
        <w:rPr>
          <w:lang w:val="en-CA"/>
        </w:rPr>
        <w:t>T</w:t>
      </w:r>
      <w:r w:rsidRPr="0084150A">
        <w:rPr>
          <w:lang w:val="en-CA"/>
        </w:rPr>
        <w:t>ransaction.</w:t>
      </w:r>
      <w:r w:rsidRPr="0084150A">
        <w:rPr>
          <w:rStyle w:val="Appelnotedebasdep"/>
          <w:lang w:val="en-CA"/>
        </w:rPr>
        <w:footnoteReference w:id="34"/>
      </w:r>
    </w:p>
    <w:p w14:paraId="16209E3C" w14:textId="3CE4B227" w:rsidR="00135B37" w:rsidRPr="0084150A" w:rsidRDefault="00190D7B" w:rsidP="00135B37">
      <w:pPr>
        <w:pStyle w:val="Paragraphe"/>
        <w:rPr>
          <w:lang w:val="en-CA"/>
        </w:rPr>
      </w:pPr>
      <w:r w:rsidRPr="0084150A">
        <w:rPr>
          <w:lang w:val="en-CA"/>
        </w:rPr>
        <w:t xml:space="preserve">Philippe Gauthier denies that he </w:t>
      </w:r>
      <w:r w:rsidR="00344315">
        <w:rPr>
          <w:lang w:val="en-CA"/>
        </w:rPr>
        <w:t>found out</w:t>
      </w:r>
      <w:r w:rsidR="00344315" w:rsidRPr="0084150A">
        <w:rPr>
          <w:lang w:val="en-CA"/>
        </w:rPr>
        <w:t xml:space="preserve"> </w:t>
      </w:r>
      <w:r w:rsidRPr="0084150A">
        <w:rPr>
          <w:lang w:val="en-CA"/>
        </w:rPr>
        <w:t xml:space="preserve">about the </w:t>
      </w:r>
      <w:r w:rsidR="00344315">
        <w:rPr>
          <w:lang w:val="en-CA"/>
        </w:rPr>
        <w:t>T</w:t>
      </w:r>
      <w:r w:rsidRPr="0084150A">
        <w:rPr>
          <w:lang w:val="en-CA"/>
        </w:rPr>
        <w:t>ransaction during the conference call with the member bankers of the syndicate of lenders on November 3, 2017.</w:t>
      </w:r>
      <w:r w:rsidR="005D25C5" w:rsidRPr="0084150A">
        <w:rPr>
          <w:lang w:val="en-CA"/>
        </w:rPr>
        <w:t xml:space="preserve"> </w:t>
      </w:r>
      <w:r w:rsidR="000E665B" w:rsidRPr="0084150A">
        <w:rPr>
          <w:lang w:val="en-CA"/>
        </w:rPr>
        <w:t xml:space="preserve">It should be recalled that </w:t>
      </w:r>
      <w:r w:rsidR="00344315">
        <w:rPr>
          <w:lang w:val="en-CA"/>
        </w:rPr>
        <w:t>according to</w:t>
      </w:r>
      <w:r w:rsidR="000E665B" w:rsidRPr="0084150A">
        <w:rPr>
          <w:lang w:val="en-CA"/>
        </w:rPr>
        <w:t xml:space="preserve"> his testimony, none of the banks were aware of the </w:t>
      </w:r>
      <w:r w:rsidR="00344315">
        <w:rPr>
          <w:lang w:val="en-CA"/>
        </w:rPr>
        <w:t>T</w:t>
      </w:r>
      <w:r w:rsidR="000E665B" w:rsidRPr="0084150A">
        <w:rPr>
          <w:lang w:val="en-CA"/>
        </w:rPr>
        <w:t xml:space="preserve">ransaction </w:t>
      </w:r>
      <w:proofErr w:type="gramStart"/>
      <w:r w:rsidR="000E665B" w:rsidRPr="0084150A">
        <w:rPr>
          <w:lang w:val="en-CA"/>
        </w:rPr>
        <w:t>due to the fact that</w:t>
      </w:r>
      <w:proofErr w:type="gramEnd"/>
      <w:r w:rsidR="000E665B" w:rsidRPr="0084150A">
        <w:rPr>
          <w:lang w:val="en-CA"/>
        </w:rPr>
        <w:t xml:space="preserve"> they had not yet signed the confidentiality agreement.</w:t>
      </w:r>
    </w:p>
    <w:p w14:paraId="1ECB8E44" w14:textId="49B2D533" w:rsidR="00490C53" w:rsidRPr="0084150A" w:rsidRDefault="006D05D8" w:rsidP="00490C53">
      <w:pPr>
        <w:pStyle w:val="Paragraphe"/>
        <w:rPr>
          <w:lang w:val="en-CA"/>
        </w:rPr>
      </w:pPr>
      <w:r w:rsidRPr="0084150A">
        <w:rPr>
          <w:lang w:val="en-CA"/>
        </w:rPr>
        <w:t xml:space="preserve">Contrary to Philippe Gauthier’s submissions, the Tribunal notes that at least one of the banks that participated in the conference call was already aware of the nature of the </w:t>
      </w:r>
      <w:r w:rsidR="00480FE8">
        <w:rPr>
          <w:lang w:val="en-CA"/>
        </w:rPr>
        <w:t>T</w:t>
      </w:r>
      <w:r w:rsidRPr="0084150A">
        <w:rPr>
          <w:lang w:val="en-CA"/>
        </w:rPr>
        <w:t>ransaction at the time of the call.</w:t>
      </w:r>
      <w:r w:rsidR="005D25C5" w:rsidRPr="0084150A">
        <w:rPr>
          <w:lang w:val="en-CA"/>
        </w:rPr>
        <w:t xml:space="preserve"> </w:t>
      </w:r>
      <w:r w:rsidR="007746AC" w:rsidRPr="0084150A">
        <w:rPr>
          <w:lang w:val="en-CA"/>
        </w:rPr>
        <w:t>In</w:t>
      </w:r>
      <w:r w:rsidR="00480FE8">
        <w:rPr>
          <w:lang w:val="en-CA"/>
        </w:rPr>
        <w:t>deed</w:t>
      </w:r>
      <w:r w:rsidR="007746AC" w:rsidRPr="0084150A">
        <w:rPr>
          <w:lang w:val="en-CA"/>
        </w:rPr>
        <w:t>, according to a memo from Borden Ladner Gervais LLP, Lawyers (</w:t>
      </w:r>
      <w:r w:rsidR="00480FE8">
        <w:rPr>
          <w:lang w:val="en-CA"/>
        </w:rPr>
        <w:t>“</w:t>
      </w:r>
      <w:r w:rsidR="007746AC" w:rsidRPr="0084150A">
        <w:rPr>
          <w:lang w:val="en-CA"/>
        </w:rPr>
        <w:t xml:space="preserve">BLG”), BMO retained its services to represent the syndicate of lenders on November 1, 2017, and disclosed information to them regarding the </w:t>
      </w:r>
      <w:r w:rsidR="00480FE8">
        <w:rPr>
          <w:lang w:val="en-CA"/>
        </w:rPr>
        <w:t>T</w:t>
      </w:r>
      <w:r w:rsidR="007746AC" w:rsidRPr="0084150A">
        <w:rPr>
          <w:lang w:val="en-CA"/>
        </w:rPr>
        <w:t>ransaction.</w:t>
      </w:r>
      <w:r w:rsidR="007746AC" w:rsidRPr="0084150A">
        <w:rPr>
          <w:rStyle w:val="Appelnotedebasdep"/>
          <w:lang w:val="en-CA"/>
        </w:rPr>
        <w:footnoteReference w:id="35"/>
      </w:r>
      <w:r w:rsidR="005D25C5" w:rsidRPr="0084150A">
        <w:rPr>
          <w:lang w:val="en-CA"/>
        </w:rPr>
        <w:t xml:space="preserve"> </w:t>
      </w:r>
      <w:r w:rsidR="006A5278" w:rsidRPr="0084150A">
        <w:rPr>
          <w:lang w:val="en-CA"/>
        </w:rPr>
        <w:t xml:space="preserve">Therefore, on November 3, 2017, BMO participated in the conference call </w:t>
      </w:r>
      <w:r w:rsidR="00480FE8">
        <w:rPr>
          <w:lang w:val="en-CA"/>
        </w:rPr>
        <w:t>when</w:t>
      </w:r>
      <w:r w:rsidR="00480FE8" w:rsidRPr="0084150A">
        <w:rPr>
          <w:lang w:val="en-CA"/>
        </w:rPr>
        <w:t xml:space="preserve"> </w:t>
      </w:r>
      <w:r w:rsidR="006A5278" w:rsidRPr="0084150A">
        <w:rPr>
          <w:lang w:val="en-CA"/>
        </w:rPr>
        <w:t xml:space="preserve">it had already </w:t>
      </w:r>
      <w:r w:rsidR="006E1EB1">
        <w:rPr>
          <w:lang w:val="en-CA"/>
        </w:rPr>
        <w:t>kn</w:t>
      </w:r>
      <w:r w:rsidR="005E5966">
        <w:rPr>
          <w:lang w:val="en-CA"/>
        </w:rPr>
        <w:t>own</w:t>
      </w:r>
      <w:r w:rsidR="006E1EB1">
        <w:rPr>
          <w:lang w:val="en-CA"/>
        </w:rPr>
        <w:t xml:space="preserve"> about</w:t>
      </w:r>
      <w:r w:rsidR="006A5278" w:rsidRPr="0084150A">
        <w:rPr>
          <w:lang w:val="en-CA"/>
        </w:rPr>
        <w:t xml:space="preserve"> the </w:t>
      </w:r>
      <w:r w:rsidR="006E1EB1">
        <w:rPr>
          <w:lang w:val="en-CA"/>
        </w:rPr>
        <w:t>T</w:t>
      </w:r>
      <w:r w:rsidR="006A5278" w:rsidRPr="0084150A">
        <w:rPr>
          <w:lang w:val="en-CA"/>
        </w:rPr>
        <w:t>ransaction.</w:t>
      </w:r>
    </w:p>
    <w:p w14:paraId="7411763F" w14:textId="1489D1BC" w:rsidR="00490C53" w:rsidRPr="0084150A" w:rsidRDefault="00DE3939" w:rsidP="00452279">
      <w:pPr>
        <w:pStyle w:val="Paragraphe"/>
        <w:rPr>
          <w:lang w:val="en-CA"/>
        </w:rPr>
      </w:pPr>
      <w:r w:rsidRPr="0084150A">
        <w:rPr>
          <w:lang w:val="en-CA"/>
        </w:rPr>
        <w:t xml:space="preserve">According to the Tribunal, on November 3, 2017, after the conference call with the banks, Philippe Gauthier knew that the syndicated credit agreement of his client, Napec, a reporting issuer, had to be amended to complete the </w:t>
      </w:r>
      <w:r w:rsidR="00ED2EBA">
        <w:rPr>
          <w:lang w:val="en-CA"/>
        </w:rPr>
        <w:t>T</w:t>
      </w:r>
      <w:r w:rsidRPr="0084150A">
        <w:rPr>
          <w:lang w:val="en-CA"/>
        </w:rPr>
        <w:t>ransaction and prevent Napec from being in default.</w:t>
      </w:r>
      <w:r w:rsidR="005D25C5" w:rsidRPr="0084150A">
        <w:rPr>
          <w:lang w:val="en-CA"/>
        </w:rPr>
        <w:t xml:space="preserve"> </w:t>
      </w:r>
      <w:r w:rsidR="00720CDA" w:rsidRPr="0084150A">
        <w:rPr>
          <w:lang w:val="en-CA"/>
        </w:rPr>
        <w:t>The Tribunal also refers to the email dated November 7, which suggests that a discussion was held regarding the privatization of Napec.</w:t>
      </w:r>
      <w:r w:rsidR="00720CDA" w:rsidRPr="0084150A">
        <w:rPr>
          <w:rStyle w:val="Appelnotedebasdep"/>
          <w:lang w:val="en-CA"/>
        </w:rPr>
        <w:footnoteReference w:id="36"/>
      </w:r>
    </w:p>
    <w:p w14:paraId="38002B08" w14:textId="093EB416" w:rsidR="00C901B6" w:rsidRPr="0084150A" w:rsidRDefault="00091A5D" w:rsidP="00452279">
      <w:pPr>
        <w:pStyle w:val="Paragraphe"/>
        <w:rPr>
          <w:lang w:val="en-CA"/>
        </w:rPr>
      </w:pPr>
      <w:r w:rsidRPr="0084150A">
        <w:rPr>
          <w:lang w:val="en-CA"/>
        </w:rPr>
        <w:t xml:space="preserve">Therefore, in the Tribunal’s view, the Authority’s evidence makes it possible to conclude that, on November 3, 2017, </w:t>
      </w:r>
      <w:r w:rsidR="00CD03AE">
        <w:rPr>
          <w:lang w:val="en-CA"/>
        </w:rPr>
        <w:t xml:space="preserve">Philippe Gauthier </w:t>
      </w:r>
      <w:r w:rsidR="00CD03AE" w:rsidRPr="0084150A">
        <w:rPr>
          <w:lang w:val="en-CA"/>
        </w:rPr>
        <w:t xml:space="preserve">learned of the existence of the </w:t>
      </w:r>
      <w:r w:rsidR="00CD03AE">
        <w:rPr>
          <w:lang w:val="en-CA"/>
        </w:rPr>
        <w:t>T</w:t>
      </w:r>
      <w:r w:rsidR="00CD03AE" w:rsidRPr="0084150A">
        <w:rPr>
          <w:lang w:val="en-CA"/>
        </w:rPr>
        <w:t>ransaction</w:t>
      </w:r>
      <w:r w:rsidRPr="0084150A">
        <w:rPr>
          <w:lang w:val="en-CA"/>
        </w:rPr>
        <w:t xml:space="preserve"> </w:t>
      </w:r>
      <w:r w:rsidR="00CD03AE" w:rsidRPr="0084150A">
        <w:rPr>
          <w:lang w:val="en-CA"/>
        </w:rPr>
        <w:t xml:space="preserve">and, therefore, had this information </w:t>
      </w:r>
      <w:r w:rsidRPr="0084150A">
        <w:rPr>
          <w:lang w:val="en-CA"/>
        </w:rPr>
        <w:t xml:space="preserve">prior to </w:t>
      </w:r>
      <w:r w:rsidR="00CD03AE">
        <w:rPr>
          <w:lang w:val="en-CA"/>
        </w:rPr>
        <w:t>his</w:t>
      </w:r>
      <w:r w:rsidRPr="0084150A">
        <w:rPr>
          <w:lang w:val="en-CA"/>
        </w:rPr>
        <w:t xml:space="preserve"> call with Vincent Pouliot during which </w:t>
      </w:r>
      <w:r w:rsidR="00CD03AE">
        <w:rPr>
          <w:lang w:val="en-CA"/>
        </w:rPr>
        <w:t>he</w:t>
      </w:r>
      <w:r w:rsidRPr="0084150A">
        <w:rPr>
          <w:lang w:val="en-CA"/>
        </w:rPr>
        <w:t xml:space="preserve"> recommended that Mr. Pouliot purchase </w:t>
      </w:r>
      <w:r w:rsidR="00477DFB">
        <w:rPr>
          <w:lang w:val="en-CA"/>
        </w:rPr>
        <w:t xml:space="preserve">shares of </w:t>
      </w:r>
      <w:r w:rsidRPr="0084150A">
        <w:rPr>
          <w:lang w:val="en-CA"/>
        </w:rPr>
        <w:t>Napec.</w:t>
      </w:r>
    </w:p>
    <w:p w14:paraId="796D80CC" w14:textId="4A232075" w:rsidR="00135B37" w:rsidRPr="0084150A" w:rsidRDefault="00637EE0" w:rsidP="00135B37">
      <w:pPr>
        <w:pStyle w:val="Paragraphe"/>
        <w:rPr>
          <w:lang w:val="en-CA"/>
        </w:rPr>
      </w:pPr>
      <w:r w:rsidRPr="0084150A">
        <w:rPr>
          <w:lang w:val="en-CA"/>
        </w:rPr>
        <w:t xml:space="preserve">The Authority’s evidence also allows the Tribunal to conclude that, before his lunch with Frédéric Racine on November 7, 2017, Philippe Gauthier had information relating to the terms </w:t>
      </w:r>
      <w:r w:rsidR="008E2A08">
        <w:rPr>
          <w:lang w:val="en-CA"/>
        </w:rPr>
        <w:t xml:space="preserve">and conditions </w:t>
      </w:r>
      <w:r w:rsidRPr="0084150A">
        <w:rPr>
          <w:lang w:val="en-CA"/>
        </w:rPr>
        <w:t xml:space="preserve">of the </w:t>
      </w:r>
      <w:r w:rsidR="005F2498">
        <w:rPr>
          <w:lang w:val="en-CA"/>
        </w:rPr>
        <w:t>T</w:t>
      </w:r>
      <w:r w:rsidRPr="0084150A">
        <w:rPr>
          <w:lang w:val="en-CA"/>
        </w:rPr>
        <w:t>ransaction.</w:t>
      </w:r>
      <w:r w:rsidR="005D25C5" w:rsidRPr="0084150A">
        <w:rPr>
          <w:lang w:val="en-CA"/>
        </w:rPr>
        <w:t xml:space="preserve"> </w:t>
      </w:r>
    </w:p>
    <w:p w14:paraId="7E0F5E17" w14:textId="23F7552B" w:rsidR="00135B37" w:rsidRPr="0084150A" w:rsidRDefault="005D7D38" w:rsidP="00135B37">
      <w:pPr>
        <w:pStyle w:val="Paragraphe"/>
        <w:rPr>
          <w:lang w:val="en-CA"/>
        </w:rPr>
      </w:pPr>
      <w:r w:rsidRPr="0084150A">
        <w:rPr>
          <w:lang w:val="en-CA"/>
        </w:rPr>
        <w:t xml:space="preserve">It remains to be determined if the transaction constitutes </w:t>
      </w:r>
      <w:r w:rsidR="005F2498">
        <w:rPr>
          <w:lang w:val="en-CA"/>
        </w:rPr>
        <w:t>“</w:t>
      </w:r>
      <w:r w:rsidRPr="0084150A">
        <w:rPr>
          <w:lang w:val="en-CA"/>
        </w:rPr>
        <w:t>privileged information</w:t>
      </w:r>
      <w:r w:rsidR="005F2498">
        <w:rPr>
          <w:lang w:val="en-CA"/>
        </w:rPr>
        <w:t>”</w:t>
      </w:r>
      <w:r w:rsidRPr="0084150A">
        <w:rPr>
          <w:lang w:val="en-CA"/>
        </w:rPr>
        <w:t>.</w:t>
      </w:r>
    </w:p>
    <w:p w14:paraId="26603C37" w14:textId="337505C6" w:rsidR="00A0673D" w:rsidRPr="0084150A" w:rsidRDefault="00176F78" w:rsidP="00052684">
      <w:pPr>
        <w:pStyle w:val="Paragraphe"/>
        <w:numPr>
          <w:ilvl w:val="0"/>
          <w:numId w:val="19"/>
        </w:numPr>
        <w:rPr>
          <w:b/>
          <w:bCs/>
          <w:lang w:val="en-CA"/>
        </w:rPr>
      </w:pPr>
      <w:r w:rsidRPr="0084150A">
        <w:rPr>
          <w:b/>
          <w:bCs/>
          <w:lang w:val="en-CA"/>
        </w:rPr>
        <w:t xml:space="preserve">Does the </w:t>
      </w:r>
      <w:r w:rsidR="005F2498">
        <w:rPr>
          <w:b/>
          <w:bCs/>
          <w:lang w:val="en-CA"/>
        </w:rPr>
        <w:t>T</w:t>
      </w:r>
      <w:r w:rsidRPr="0084150A">
        <w:rPr>
          <w:b/>
          <w:bCs/>
          <w:lang w:val="en-CA"/>
        </w:rPr>
        <w:t>ransaction constitute privileged information?</w:t>
      </w:r>
    </w:p>
    <w:p w14:paraId="1B3B3065" w14:textId="6C3D2DD7" w:rsidR="00993926" w:rsidRPr="005E07F3" w:rsidRDefault="0058759A" w:rsidP="00993926">
      <w:pPr>
        <w:pStyle w:val="Paragraphe"/>
        <w:rPr>
          <w:lang w:val="en-CA"/>
        </w:rPr>
      </w:pPr>
      <w:r w:rsidRPr="005E07F3">
        <w:rPr>
          <w:lang w:val="en-CA"/>
        </w:rPr>
        <w:lastRenderedPageBreak/>
        <w:t xml:space="preserve">In Quebec, </w:t>
      </w:r>
      <w:r w:rsidR="00300829">
        <w:rPr>
          <w:lang w:val="en-CA"/>
        </w:rPr>
        <w:t>“</w:t>
      </w:r>
      <w:r w:rsidRPr="005E07F3">
        <w:rPr>
          <w:lang w:val="en-CA"/>
        </w:rPr>
        <w:t>privileged information</w:t>
      </w:r>
      <w:r w:rsidR="00300829">
        <w:rPr>
          <w:lang w:val="en-CA"/>
        </w:rPr>
        <w:t>”</w:t>
      </w:r>
      <w:r w:rsidRPr="005E07F3">
        <w:rPr>
          <w:lang w:val="en-CA"/>
        </w:rPr>
        <w:t xml:space="preserve"> means </w:t>
      </w:r>
      <w:r w:rsidR="00300829">
        <w:rPr>
          <w:lang w:val="en-CA"/>
        </w:rPr>
        <w:t>“</w:t>
      </w:r>
      <w:r w:rsidRPr="005E07F3">
        <w:rPr>
          <w:lang w:val="en-CA"/>
        </w:rPr>
        <w:t>any information that has not been disclosed to the public and that could affect the decision of a reasonable investor</w:t>
      </w:r>
      <w:r w:rsidR="00300829">
        <w:rPr>
          <w:lang w:val="en-CA"/>
        </w:rPr>
        <w:t>”</w:t>
      </w:r>
      <w:r w:rsidRPr="005E07F3">
        <w:rPr>
          <w:lang w:val="en-CA"/>
        </w:rPr>
        <w:t>.</w:t>
      </w:r>
      <w:r w:rsidRPr="005E07F3">
        <w:rPr>
          <w:vertAlign w:val="superscript"/>
          <w:lang w:val="en-CA"/>
        </w:rPr>
        <w:footnoteReference w:id="37"/>
      </w:r>
    </w:p>
    <w:p w14:paraId="48BC632A" w14:textId="5023355F" w:rsidR="00993926" w:rsidRPr="0084150A" w:rsidRDefault="009946CE" w:rsidP="00993926">
      <w:pPr>
        <w:pStyle w:val="Paragraphe"/>
        <w:rPr>
          <w:lang w:val="en-CA"/>
        </w:rPr>
      </w:pPr>
      <w:r w:rsidRPr="0084150A">
        <w:rPr>
          <w:lang w:val="en-CA"/>
        </w:rPr>
        <w:t xml:space="preserve">To make this determination, the Authority must prove the </w:t>
      </w:r>
      <w:r w:rsidR="00881A98">
        <w:rPr>
          <w:lang w:val="en-CA"/>
        </w:rPr>
        <w:t>existence of</w:t>
      </w:r>
      <w:r w:rsidRPr="0084150A">
        <w:rPr>
          <w:lang w:val="en-CA"/>
        </w:rPr>
        <w:t xml:space="preserve"> two elements:</w:t>
      </w:r>
      <w:r w:rsidR="005D25C5" w:rsidRPr="0084150A">
        <w:rPr>
          <w:lang w:val="en-CA"/>
        </w:rPr>
        <w:t xml:space="preserve"> </w:t>
      </w:r>
      <w:r w:rsidR="008D527E" w:rsidRPr="0084150A">
        <w:rPr>
          <w:lang w:val="en-CA"/>
        </w:rPr>
        <w:t>(</w:t>
      </w:r>
      <w:r w:rsidR="00C1691F">
        <w:rPr>
          <w:lang w:val="en-CA"/>
        </w:rPr>
        <w:t>1</w:t>
      </w:r>
      <w:r w:rsidR="008D527E" w:rsidRPr="0084150A">
        <w:rPr>
          <w:lang w:val="en-CA"/>
        </w:rPr>
        <w:t>) this information had not been disclosed to the public; and (2) this information could have affected the decision of a reasonable investor.</w:t>
      </w:r>
      <w:r w:rsidR="005D25C5" w:rsidRPr="0084150A">
        <w:rPr>
          <w:lang w:val="en-CA"/>
        </w:rPr>
        <w:t xml:space="preserve"> </w:t>
      </w:r>
    </w:p>
    <w:p w14:paraId="78DA07DE" w14:textId="4914AE29" w:rsidR="00993926" w:rsidRPr="0084150A" w:rsidRDefault="00300829" w:rsidP="00452279">
      <w:pPr>
        <w:pStyle w:val="Paragraphe"/>
        <w:rPr>
          <w:lang w:val="en-CA"/>
        </w:rPr>
      </w:pPr>
      <w:r>
        <w:rPr>
          <w:lang w:val="en-CA"/>
        </w:rPr>
        <w:t>The Tribunal will now c</w:t>
      </w:r>
      <w:r w:rsidR="007F4BA8" w:rsidRPr="0084150A">
        <w:rPr>
          <w:lang w:val="en-CA"/>
        </w:rPr>
        <w:t xml:space="preserve">onsider how this privileged information </w:t>
      </w:r>
      <w:r>
        <w:rPr>
          <w:lang w:val="en-CA"/>
        </w:rPr>
        <w:t>should be</w:t>
      </w:r>
      <w:r w:rsidRPr="0084150A">
        <w:rPr>
          <w:lang w:val="en-CA"/>
        </w:rPr>
        <w:t xml:space="preserve"> </w:t>
      </w:r>
      <w:r w:rsidR="007F4BA8" w:rsidRPr="0084150A">
        <w:rPr>
          <w:lang w:val="en-CA"/>
        </w:rPr>
        <w:t>characterized in this case.</w:t>
      </w:r>
    </w:p>
    <w:p w14:paraId="3169333B" w14:textId="4C6B9338" w:rsidR="00082F1B" w:rsidRPr="0084150A" w:rsidRDefault="005A7029" w:rsidP="00122A81">
      <w:pPr>
        <w:pStyle w:val="Titre4"/>
        <w:rPr>
          <w:lang w:val="en-CA"/>
        </w:rPr>
      </w:pPr>
      <w:r w:rsidRPr="005E07F3">
        <w:rPr>
          <w:lang w:val="en-CA"/>
        </w:rPr>
        <w:t>First component:</w:t>
      </w:r>
      <w:r w:rsidR="00702E89" w:rsidRPr="0084150A">
        <w:rPr>
          <w:lang w:val="en-CA"/>
        </w:rPr>
        <w:t xml:space="preserve"> </w:t>
      </w:r>
      <w:r w:rsidR="00C00B3A" w:rsidRPr="0084150A">
        <w:rPr>
          <w:lang w:val="en-CA"/>
        </w:rPr>
        <w:t xml:space="preserve">Was the </w:t>
      </w:r>
      <w:r w:rsidR="00300829">
        <w:rPr>
          <w:lang w:val="en-CA"/>
        </w:rPr>
        <w:t>T</w:t>
      </w:r>
      <w:r w:rsidR="00C00B3A" w:rsidRPr="0084150A">
        <w:rPr>
          <w:lang w:val="en-CA"/>
        </w:rPr>
        <w:t>ransaction information that had not been disclosed to the public?</w:t>
      </w:r>
    </w:p>
    <w:p w14:paraId="5302CC69" w14:textId="0DFE03A5" w:rsidR="00E85EF4" w:rsidRPr="0084150A" w:rsidRDefault="001C4AB1" w:rsidP="001E16C6">
      <w:pPr>
        <w:pStyle w:val="Paragraphe"/>
        <w:rPr>
          <w:lang w:val="en-CA"/>
        </w:rPr>
      </w:pPr>
      <w:r w:rsidRPr="0084150A">
        <w:rPr>
          <w:lang w:val="en-CA"/>
        </w:rPr>
        <w:t xml:space="preserve">The confidentiality of the information concerning the </w:t>
      </w:r>
      <w:r w:rsidR="006601DF">
        <w:rPr>
          <w:lang w:val="en-CA"/>
        </w:rPr>
        <w:t>T</w:t>
      </w:r>
      <w:r w:rsidRPr="0084150A">
        <w:rPr>
          <w:lang w:val="en-CA"/>
        </w:rPr>
        <w:t>ransaction is not called into question by Philippe Gauthier.</w:t>
      </w:r>
      <w:r w:rsidR="00D30EE8" w:rsidRPr="0084150A">
        <w:rPr>
          <w:lang w:val="en-CA"/>
        </w:rPr>
        <w:t xml:space="preserve"> </w:t>
      </w:r>
    </w:p>
    <w:p w14:paraId="2CCE74E1" w14:textId="1D5BD4AE" w:rsidR="00E85EF4" w:rsidRPr="0084150A" w:rsidRDefault="00AC5973" w:rsidP="001E16C6">
      <w:pPr>
        <w:pStyle w:val="Paragraphe"/>
        <w:rPr>
          <w:lang w:val="en-CA"/>
        </w:rPr>
      </w:pPr>
      <w:r w:rsidRPr="0084150A">
        <w:rPr>
          <w:lang w:val="en-CA"/>
        </w:rPr>
        <w:t xml:space="preserve">However, because he denies that he was aware of the </w:t>
      </w:r>
      <w:r w:rsidR="006601DF">
        <w:rPr>
          <w:lang w:val="en-CA"/>
        </w:rPr>
        <w:t>T</w:t>
      </w:r>
      <w:r w:rsidRPr="0084150A">
        <w:rPr>
          <w:lang w:val="en-CA"/>
        </w:rPr>
        <w:t xml:space="preserve">ransaction on November 3, 2017, he claims that he was in possession of confidential information only as of November 7, 2017, when he stated that he </w:t>
      </w:r>
      <w:r w:rsidR="006601DF">
        <w:rPr>
          <w:lang w:val="en-CA"/>
        </w:rPr>
        <w:t>read</w:t>
      </w:r>
      <w:r w:rsidRPr="0084150A">
        <w:rPr>
          <w:lang w:val="en-CA"/>
        </w:rPr>
        <w:t xml:space="preserve"> the documents specifying the terms </w:t>
      </w:r>
      <w:r w:rsidR="00987B9C">
        <w:rPr>
          <w:lang w:val="en-CA"/>
        </w:rPr>
        <w:t xml:space="preserve">and conditions </w:t>
      </w:r>
      <w:r w:rsidRPr="0084150A">
        <w:rPr>
          <w:lang w:val="en-CA"/>
        </w:rPr>
        <w:t xml:space="preserve">of the </w:t>
      </w:r>
      <w:r w:rsidR="006601DF">
        <w:rPr>
          <w:lang w:val="en-CA"/>
        </w:rPr>
        <w:t>T</w:t>
      </w:r>
      <w:r w:rsidRPr="0084150A">
        <w:rPr>
          <w:lang w:val="en-CA"/>
        </w:rPr>
        <w:t xml:space="preserve">ransaction such as the name of the purchaser, the </w:t>
      </w:r>
      <w:r w:rsidR="006601DF">
        <w:rPr>
          <w:lang w:val="en-CA"/>
        </w:rPr>
        <w:t xml:space="preserve">Napec share </w:t>
      </w:r>
      <w:r w:rsidRPr="0084150A">
        <w:rPr>
          <w:lang w:val="en-CA"/>
        </w:rPr>
        <w:t>purchas</w:t>
      </w:r>
      <w:r w:rsidR="006601DF">
        <w:rPr>
          <w:lang w:val="en-CA"/>
        </w:rPr>
        <w:t>e</w:t>
      </w:r>
      <w:r w:rsidRPr="0084150A">
        <w:rPr>
          <w:lang w:val="en-CA"/>
        </w:rPr>
        <w:t xml:space="preserve"> price, and the </w:t>
      </w:r>
      <w:r w:rsidR="006601DF">
        <w:rPr>
          <w:lang w:val="en-CA"/>
        </w:rPr>
        <w:t>steps</w:t>
      </w:r>
      <w:r w:rsidR="006601DF" w:rsidRPr="0084150A">
        <w:rPr>
          <w:lang w:val="en-CA"/>
        </w:rPr>
        <w:t xml:space="preserve"> </w:t>
      </w:r>
      <w:r w:rsidRPr="0084150A">
        <w:rPr>
          <w:lang w:val="en-CA"/>
        </w:rPr>
        <w:t xml:space="preserve">of the </w:t>
      </w:r>
      <w:r w:rsidR="006601DF">
        <w:rPr>
          <w:lang w:val="en-CA"/>
        </w:rPr>
        <w:t>T</w:t>
      </w:r>
      <w:r w:rsidRPr="0084150A">
        <w:rPr>
          <w:lang w:val="en-CA"/>
        </w:rPr>
        <w:t>ransaction,</w:t>
      </w:r>
      <w:r w:rsidRPr="0084150A">
        <w:rPr>
          <w:rStyle w:val="Appelnotedebasdep"/>
          <w:lang w:val="en-CA"/>
        </w:rPr>
        <w:footnoteReference w:id="38"/>
      </w:r>
      <w:r w:rsidRPr="0084150A">
        <w:rPr>
          <w:lang w:val="en-CA"/>
        </w:rPr>
        <w:t xml:space="preserve"> which he received on November 6, 2017.</w:t>
      </w:r>
      <w:r w:rsidRPr="0084150A">
        <w:rPr>
          <w:rStyle w:val="Appelnotedebasdep"/>
          <w:lang w:val="en-CA"/>
        </w:rPr>
        <w:footnoteReference w:id="39"/>
      </w:r>
      <w:r w:rsidR="00DB1CA8" w:rsidRPr="0084150A">
        <w:rPr>
          <w:lang w:val="en-CA"/>
        </w:rPr>
        <w:t xml:space="preserve"> </w:t>
      </w:r>
    </w:p>
    <w:p w14:paraId="29FC2DB0" w14:textId="6257E6B8" w:rsidR="00401071" w:rsidRPr="0084150A" w:rsidRDefault="00AE2F71" w:rsidP="001E16C6">
      <w:pPr>
        <w:pStyle w:val="Paragraphe"/>
        <w:rPr>
          <w:lang w:val="en-CA"/>
        </w:rPr>
      </w:pPr>
      <w:r>
        <w:rPr>
          <w:lang w:val="en-CA"/>
        </w:rPr>
        <w:t>In the Tribunal’s view</w:t>
      </w:r>
      <w:r w:rsidR="00534AA9" w:rsidRPr="0084150A">
        <w:rPr>
          <w:lang w:val="en-CA"/>
        </w:rPr>
        <w:t xml:space="preserve">, on November 3, 2017, the </w:t>
      </w:r>
      <w:r w:rsidR="006601DF">
        <w:rPr>
          <w:lang w:val="en-CA"/>
        </w:rPr>
        <w:t>T</w:t>
      </w:r>
      <w:r w:rsidR="00534AA9" w:rsidRPr="0084150A">
        <w:rPr>
          <w:lang w:val="en-CA"/>
        </w:rPr>
        <w:t xml:space="preserve">ransaction constituted </w:t>
      </w:r>
      <w:r w:rsidR="00AE7CD2" w:rsidRPr="0084150A">
        <w:rPr>
          <w:lang w:val="en-CA"/>
        </w:rPr>
        <w:t>information</w:t>
      </w:r>
      <w:r w:rsidR="00534AA9" w:rsidRPr="0084150A">
        <w:rPr>
          <w:lang w:val="en-CA"/>
        </w:rPr>
        <w:t xml:space="preserve"> that had not been disclosed to the public.</w:t>
      </w:r>
      <w:r w:rsidR="005D25C5" w:rsidRPr="0084150A">
        <w:rPr>
          <w:lang w:val="en-CA"/>
        </w:rPr>
        <w:t xml:space="preserve"> </w:t>
      </w:r>
    </w:p>
    <w:p w14:paraId="640F8C1F" w14:textId="5467A100" w:rsidR="00401071" w:rsidRPr="0084150A" w:rsidRDefault="00DF4B59" w:rsidP="001E16C6">
      <w:pPr>
        <w:pStyle w:val="Paragraphe"/>
        <w:rPr>
          <w:lang w:val="en-CA"/>
        </w:rPr>
      </w:pPr>
      <w:r w:rsidRPr="0084150A">
        <w:rPr>
          <w:lang w:val="en-CA"/>
        </w:rPr>
        <w:t xml:space="preserve">The Tribunal </w:t>
      </w:r>
      <w:r w:rsidR="00277AAA">
        <w:rPr>
          <w:lang w:val="en-CA"/>
        </w:rPr>
        <w:t>reiterates</w:t>
      </w:r>
      <w:r w:rsidRPr="0084150A">
        <w:rPr>
          <w:lang w:val="en-CA"/>
        </w:rPr>
        <w:t xml:space="preserve"> that the members of the syndicate of lenders had to sign a confidentiality agreement before receiving details about the </w:t>
      </w:r>
      <w:r w:rsidR="009D58D3">
        <w:rPr>
          <w:lang w:val="en-CA"/>
        </w:rPr>
        <w:t>T</w:t>
      </w:r>
      <w:r w:rsidRPr="0084150A">
        <w:rPr>
          <w:lang w:val="en-CA"/>
        </w:rPr>
        <w:t>ransaction.</w:t>
      </w:r>
      <w:r w:rsidR="00DB6A20" w:rsidRPr="0084150A">
        <w:rPr>
          <w:lang w:val="en-CA"/>
        </w:rPr>
        <w:t xml:space="preserve"> </w:t>
      </w:r>
      <w:r w:rsidR="001D2356" w:rsidRPr="0084150A">
        <w:rPr>
          <w:lang w:val="en-CA"/>
        </w:rPr>
        <w:t>In this context, the signature of a confidentiality agreement is a safeguard against</w:t>
      </w:r>
      <w:r w:rsidR="009D58D3">
        <w:rPr>
          <w:lang w:val="en-CA"/>
        </w:rPr>
        <w:t xml:space="preserve"> the</w:t>
      </w:r>
      <w:r w:rsidR="001D2356" w:rsidRPr="0084150A">
        <w:rPr>
          <w:lang w:val="en-CA"/>
        </w:rPr>
        <w:t xml:space="preserve"> prohibited use of privileged information </w:t>
      </w:r>
      <w:r w:rsidR="009D58D3">
        <w:rPr>
          <w:lang w:val="en-CA"/>
        </w:rPr>
        <w:t>when</w:t>
      </w:r>
      <w:r w:rsidR="009D58D3" w:rsidRPr="0084150A">
        <w:rPr>
          <w:lang w:val="en-CA"/>
        </w:rPr>
        <w:t xml:space="preserve"> </w:t>
      </w:r>
      <w:r w:rsidR="001D2356" w:rsidRPr="0084150A">
        <w:rPr>
          <w:lang w:val="en-CA"/>
        </w:rPr>
        <w:t xml:space="preserve">a person must disclose information </w:t>
      </w:r>
      <w:proofErr w:type="gramStart"/>
      <w:r w:rsidR="001D2356" w:rsidRPr="0084150A">
        <w:rPr>
          <w:lang w:val="en-CA"/>
        </w:rPr>
        <w:t>in the course of</w:t>
      </w:r>
      <w:proofErr w:type="gramEnd"/>
      <w:r w:rsidR="001D2356" w:rsidRPr="0084150A">
        <w:rPr>
          <w:lang w:val="en-CA"/>
        </w:rPr>
        <w:t xml:space="preserve"> business.</w:t>
      </w:r>
      <w:r w:rsidR="00DB6A20" w:rsidRPr="0084150A">
        <w:rPr>
          <w:rStyle w:val="ui-provider"/>
          <w:lang w:val="en-CA"/>
        </w:rPr>
        <w:t xml:space="preserve"> </w:t>
      </w:r>
      <w:r w:rsidR="00386093" w:rsidRPr="0084150A">
        <w:rPr>
          <w:rStyle w:val="ui-provider"/>
          <w:lang w:val="en-CA"/>
        </w:rPr>
        <w:t>However, the signatories of such agreements must comply with their duty to keep the information received confidential.</w:t>
      </w:r>
    </w:p>
    <w:p w14:paraId="50D41AB9" w14:textId="5B495080" w:rsidR="00F64890" w:rsidRPr="0084150A" w:rsidRDefault="007E1E66" w:rsidP="001E16C6">
      <w:pPr>
        <w:pStyle w:val="Paragraphe"/>
        <w:rPr>
          <w:lang w:val="en-CA"/>
        </w:rPr>
      </w:pPr>
      <w:r w:rsidRPr="0084150A">
        <w:rPr>
          <w:lang w:val="en-CA"/>
        </w:rPr>
        <w:t xml:space="preserve">The Tribunal reiterates </w:t>
      </w:r>
      <w:r w:rsidR="009D58D3">
        <w:rPr>
          <w:lang w:val="en-CA"/>
        </w:rPr>
        <w:t>the</w:t>
      </w:r>
      <w:r w:rsidR="009D58D3" w:rsidRPr="0084150A">
        <w:rPr>
          <w:lang w:val="en-CA"/>
        </w:rPr>
        <w:t xml:space="preserve"> </w:t>
      </w:r>
      <w:r w:rsidRPr="0084150A">
        <w:rPr>
          <w:lang w:val="en-CA"/>
        </w:rPr>
        <w:t>BMO</w:t>
      </w:r>
      <w:r w:rsidR="009D58D3">
        <w:rPr>
          <w:lang w:val="en-CA"/>
        </w:rPr>
        <w:t>’s</w:t>
      </w:r>
      <w:r w:rsidRPr="0084150A">
        <w:rPr>
          <w:lang w:val="en-CA"/>
        </w:rPr>
        <w:t xml:space="preserve"> warn</w:t>
      </w:r>
      <w:r w:rsidR="009D58D3">
        <w:rPr>
          <w:lang w:val="en-CA"/>
        </w:rPr>
        <w:t>ing on</w:t>
      </w:r>
      <w:r w:rsidRPr="0084150A">
        <w:rPr>
          <w:lang w:val="en-CA"/>
        </w:rPr>
        <w:t xml:space="preserve"> the highly confidential nature of the information in its email dated November 6, 2017:</w:t>
      </w:r>
    </w:p>
    <w:p w14:paraId="3B454C92" w14:textId="0D9CCB25" w:rsidR="00401071" w:rsidRPr="0084150A" w:rsidRDefault="005739AE" w:rsidP="00BB4CC3">
      <w:pPr>
        <w:pStyle w:val="Citationendoubleretrait"/>
      </w:pPr>
      <w:r w:rsidRPr="005E07F3">
        <w:t xml:space="preserve">As requested by the sponsor, we would like to reiterate that these are really sensitive information that should be kept within your lending group only and on a </w:t>
      </w:r>
      <w:proofErr w:type="gramStart"/>
      <w:r w:rsidRPr="005E07F3">
        <w:t>need to know</w:t>
      </w:r>
      <w:proofErr w:type="gramEnd"/>
      <w:r w:rsidRPr="005E07F3">
        <w:t xml:space="preserve"> basis.</w:t>
      </w:r>
      <w:r w:rsidR="005D25C5" w:rsidRPr="0084150A">
        <w:rPr>
          <w:vertAlign w:val="superscript"/>
        </w:rPr>
        <w:footnoteReference w:id="40"/>
      </w:r>
    </w:p>
    <w:p w14:paraId="3D0A8F14" w14:textId="5945DD41" w:rsidR="00401071" w:rsidRPr="0084150A" w:rsidRDefault="00B65CC1" w:rsidP="00401071">
      <w:pPr>
        <w:pStyle w:val="Paragraphe"/>
        <w:rPr>
          <w:lang w:val="en-CA"/>
        </w:rPr>
      </w:pPr>
      <w:r w:rsidRPr="0084150A">
        <w:rPr>
          <w:lang w:val="en-CA"/>
        </w:rPr>
        <w:t xml:space="preserve"> Moreover, </w:t>
      </w:r>
      <w:r w:rsidR="00FF4670">
        <w:rPr>
          <w:lang w:val="en-CA"/>
        </w:rPr>
        <w:t>most of the pages of</w:t>
      </w:r>
      <w:r w:rsidRPr="0084150A">
        <w:rPr>
          <w:lang w:val="en-CA"/>
        </w:rPr>
        <w:t xml:space="preserve"> the attach</w:t>
      </w:r>
      <w:r w:rsidR="00FF4670">
        <w:rPr>
          <w:lang w:val="en-CA"/>
        </w:rPr>
        <w:t>ed document</w:t>
      </w:r>
      <w:r w:rsidRPr="0084150A">
        <w:rPr>
          <w:lang w:val="en-CA"/>
        </w:rPr>
        <w:t xml:space="preserve"> entitled “Project Drum Discussion Material”</w:t>
      </w:r>
      <w:r w:rsidR="00FF4670">
        <w:rPr>
          <w:lang w:val="en-CA"/>
        </w:rPr>
        <w:t xml:space="preserve"> had the word</w:t>
      </w:r>
      <w:r w:rsidRPr="0084150A">
        <w:rPr>
          <w:lang w:val="en-CA"/>
        </w:rPr>
        <w:t xml:space="preserve"> “CONFIDENTIAL” written on </w:t>
      </w:r>
      <w:r w:rsidR="00FF4670">
        <w:rPr>
          <w:lang w:val="en-CA"/>
        </w:rPr>
        <w:t>them</w:t>
      </w:r>
      <w:r w:rsidRPr="0084150A">
        <w:rPr>
          <w:lang w:val="en-CA"/>
        </w:rPr>
        <w:t>.</w:t>
      </w:r>
      <w:r w:rsidRPr="0084150A">
        <w:rPr>
          <w:rStyle w:val="Appelnotedebasdep"/>
          <w:lang w:val="en-CA"/>
        </w:rPr>
        <w:footnoteReference w:id="41"/>
      </w:r>
    </w:p>
    <w:p w14:paraId="3B63D38F" w14:textId="1C424A5D" w:rsidR="009232CC" w:rsidRPr="0084150A" w:rsidRDefault="003E7995" w:rsidP="00BB4CC3">
      <w:pPr>
        <w:pStyle w:val="Paragraphe"/>
        <w:rPr>
          <w:lang w:val="en-CA"/>
        </w:rPr>
      </w:pPr>
      <w:r w:rsidRPr="0084150A">
        <w:rPr>
          <w:lang w:val="en-CA"/>
        </w:rPr>
        <w:lastRenderedPageBreak/>
        <w:t xml:space="preserve">What is more, the use of the code name “Project Drum” to refer to the </w:t>
      </w:r>
      <w:r w:rsidR="005821EA">
        <w:rPr>
          <w:lang w:val="en-CA"/>
        </w:rPr>
        <w:t>T</w:t>
      </w:r>
      <w:r w:rsidRPr="0084150A">
        <w:rPr>
          <w:lang w:val="en-CA"/>
        </w:rPr>
        <w:t xml:space="preserve">ransaction </w:t>
      </w:r>
      <w:r w:rsidR="005821EA">
        <w:rPr>
          <w:lang w:val="en-CA"/>
        </w:rPr>
        <w:t>between</w:t>
      </w:r>
      <w:r w:rsidR="005821EA" w:rsidRPr="0084150A">
        <w:rPr>
          <w:lang w:val="en-CA"/>
        </w:rPr>
        <w:t xml:space="preserve"> </w:t>
      </w:r>
      <w:r w:rsidRPr="0084150A">
        <w:rPr>
          <w:lang w:val="en-CA"/>
        </w:rPr>
        <w:t xml:space="preserve">the members of the syndicate of lenders is another element that demonstrates the confidential nature of the </w:t>
      </w:r>
      <w:r w:rsidR="005821EA">
        <w:rPr>
          <w:lang w:val="en-CA"/>
        </w:rPr>
        <w:t>T</w:t>
      </w:r>
      <w:r w:rsidRPr="0084150A">
        <w:rPr>
          <w:lang w:val="en-CA"/>
        </w:rPr>
        <w:t>ransaction and its terms.</w:t>
      </w:r>
      <w:r w:rsidR="005D25C5" w:rsidRPr="0084150A">
        <w:rPr>
          <w:lang w:val="en-CA"/>
        </w:rPr>
        <w:t xml:space="preserve"> </w:t>
      </w:r>
    </w:p>
    <w:p w14:paraId="4CB3D0EE" w14:textId="37E9ACA8" w:rsidR="001B6D4C" w:rsidRPr="0084150A" w:rsidRDefault="00A6377F" w:rsidP="00366F20">
      <w:pPr>
        <w:pStyle w:val="Paragraphe"/>
        <w:rPr>
          <w:lang w:val="en-CA"/>
        </w:rPr>
      </w:pPr>
      <w:r w:rsidRPr="0084150A">
        <w:rPr>
          <w:lang w:val="en-CA"/>
        </w:rPr>
        <w:t xml:space="preserve">A substantial portion of Frédéric Racine’s defence involves the claim that the </w:t>
      </w:r>
      <w:r w:rsidR="005821EA">
        <w:rPr>
          <w:lang w:val="en-CA"/>
        </w:rPr>
        <w:t>T</w:t>
      </w:r>
      <w:r w:rsidRPr="0084150A">
        <w:rPr>
          <w:lang w:val="en-CA"/>
        </w:rPr>
        <w:t>ransaction did not constitute privileged information because it had not been disclosed to the public.</w:t>
      </w:r>
      <w:r w:rsidR="005D25C5" w:rsidRPr="0084150A">
        <w:rPr>
          <w:lang w:val="en-CA"/>
        </w:rPr>
        <w:t xml:space="preserve"> </w:t>
      </w:r>
    </w:p>
    <w:p w14:paraId="58E423BB" w14:textId="5E45868C" w:rsidR="00A0673D" w:rsidRPr="0084150A" w:rsidRDefault="00CB3AD5" w:rsidP="001E16C6">
      <w:pPr>
        <w:pStyle w:val="Paragraphe"/>
        <w:rPr>
          <w:lang w:val="en-CA"/>
        </w:rPr>
      </w:pPr>
      <w:r w:rsidRPr="0084150A">
        <w:rPr>
          <w:lang w:val="en-CA"/>
        </w:rPr>
        <w:t xml:space="preserve">Indeed, during the hearing, it was demonstrated that at the time of the alleged events, rumours were circulating </w:t>
      </w:r>
      <w:r w:rsidR="00A2656A" w:rsidRPr="0084150A">
        <w:rPr>
          <w:lang w:val="en-CA"/>
        </w:rPr>
        <w:t xml:space="preserve">on blogs </w:t>
      </w:r>
      <w:r w:rsidRPr="0084150A">
        <w:rPr>
          <w:lang w:val="en-CA"/>
        </w:rPr>
        <w:t>about the potential privatization of Napec.</w:t>
      </w:r>
      <w:r w:rsidRPr="0084150A">
        <w:rPr>
          <w:vertAlign w:val="superscript"/>
          <w:lang w:val="en-CA"/>
        </w:rPr>
        <w:footnoteReference w:id="42"/>
      </w:r>
      <w:r w:rsidR="009075B5" w:rsidRPr="0084150A">
        <w:rPr>
          <w:lang w:val="en-CA"/>
        </w:rPr>
        <w:t xml:space="preserve"> </w:t>
      </w:r>
      <w:r w:rsidR="00A97710" w:rsidRPr="0084150A">
        <w:rPr>
          <w:lang w:val="en-CA"/>
        </w:rPr>
        <w:t>In fact, the Authority admitted the existence of these rumours.</w:t>
      </w:r>
      <w:r w:rsidR="00A97710" w:rsidRPr="0084150A">
        <w:rPr>
          <w:rStyle w:val="Appelnotedebasdep"/>
          <w:lang w:val="en-CA"/>
        </w:rPr>
        <w:footnoteReference w:id="43"/>
      </w:r>
      <w:r w:rsidR="00AB107A" w:rsidRPr="0084150A">
        <w:rPr>
          <w:lang w:val="en-CA"/>
        </w:rPr>
        <w:t xml:space="preserve"> </w:t>
      </w:r>
      <w:r w:rsidR="00C146C8" w:rsidRPr="0084150A">
        <w:rPr>
          <w:lang w:val="en-CA"/>
        </w:rPr>
        <w:t xml:space="preserve">In addition, rumours of a possible merger or acquisition </w:t>
      </w:r>
      <w:r w:rsidR="006C0CE6">
        <w:rPr>
          <w:lang w:val="en-CA"/>
        </w:rPr>
        <w:t>involving</w:t>
      </w:r>
      <w:r w:rsidR="00C146C8" w:rsidRPr="0084150A">
        <w:rPr>
          <w:lang w:val="en-CA"/>
        </w:rPr>
        <w:t xml:space="preserve"> Napec were evoked in </w:t>
      </w:r>
      <w:r w:rsidR="00A2656A">
        <w:rPr>
          <w:lang w:val="en-CA"/>
        </w:rPr>
        <w:t>analyses</w:t>
      </w:r>
      <w:r w:rsidR="00A2656A" w:rsidRPr="0084150A">
        <w:rPr>
          <w:lang w:val="en-CA"/>
        </w:rPr>
        <w:t xml:space="preserve"> </w:t>
      </w:r>
      <w:r w:rsidR="00C146C8" w:rsidRPr="0084150A">
        <w:rPr>
          <w:lang w:val="en-CA"/>
        </w:rPr>
        <w:t xml:space="preserve">and publications of </w:t>
      </w:r>
      <w:r w:rsidR="00A2656A">
        <w:rPr>
          <w:lang w:val="en-CA"/>
        </w:rPr>
        <w:t>analyses</w:t>
      </w:r>
      <w:r w:rsidR="00C146C8" w:rsidRPr="0084150A">
        <w:rPr>
          <w:lang w:val="en-CA"/>
        </w:rPr>
        <w:t>.</w:t>
      </w:r>
      <w:r w:rsidR="00C146C8" w:rsidRPr="0084150A">
        <w:rPr>
          <w:vertAlign w:val="superscript"/>
          <w:lang w:val="en-CA"/>
        </w:rPr>
        <w:footnoteReference w:id="44"/>
      </w:r>
      <w:r w:rsidR="001853C0" w:rsidRPr="0084150A">
        <w:rPr>
          <w:lang w:val="en-CA"/>
        </w:rPr>
        <w:t xml:space="preserve"> </w:t>
      </w:r>
      <w:r w:rsidR="00815368" w:rsidRPr="0084150A">
        <w:rPr>
          <w:lang w:val="en-CA"/>
        </w:rPr>
        <w:t>Frédéric Racine explained</w:t>
      </w:r>
      <w:r w:rsidR="00A66417">
        <w:rPr>
          <w:lang w:val="en-CA"/>
        </w:rPr>
        <w:t xml:space="preserve"> </w:t>
      </w:r>
      <w:r w:rsidR="00A2656A">
        <w:rPr>
          <w:lang w:val="en-CA"/>
        </w:rPr>
        <w:t>to</w:t>
      </w:r>
      <w:r w:rsidR="00815368" w:rsidRPr="0084150A">
        <w:rPr>
          <w:lang w:val="en-CA"/>
        </w:rPr>
        <w:t xml:space="preserve"> the Tribunal that his investment mantra is</w:t>
      </w:r>
      <w:r w:rsidR="001853C0" w:rsidRPr="0084150A">
        <w:rPr>
          <w:lang w:val="en-CA"/>
        </w:rPr>
        <w:t xml:space="preserve"> </w:t>
      </w:r>
      <w:r w:rsidR="006135F6" w:rsidRPr="0084150A">
        <w:rPr>
          <w:lang w:val="en-CA"/>
        </w:rPr>
        <w:t>“buy on the rumor, sell on the news”.</w:t>
      </w:r>
      <w:r w:rsidR="005D25C5" w:rsidRPr="0084150A">
        <w:rPr>
          <w:lang w:val="en-CA"/>
        </w:rPr>
        <w:t xml:space="preserve"> </w:t>
      </w:r>
      <w:r w:rsidR="00BC27BD" w:rsidRPr="0084150A">
        <w:rPr>
          <w:lang w:val="en-CA"/>
        </w:rPr>
        <w:t xml:space="preserve">However, the Tribunal recalls that acquisition rumours do not constitute information disclosed to the public, but rather </w:t>
      </w:r>
      <w:r w:rsidR="00A2656A">
        <w:rPr>
          <w:lang w:val="en-CA"/>
        </w:rPr>
        <w:t>mere</w:t>
      </w:r>
      <w:r w:rsidR="00A2656A" w:rsidRPr="0084150A">
        <w:rPr>
          <w:lang w:val="en-CA"/>
        </w:rPr>
        <w:t xml:space="preserve"> </w:t>
      </w:r>
      <w:r w:rsidR="00BC27BD" w:rsidRPr="0084150A">
        <w:rPr>
          <w:lang w:val="en-CA"/>
        </w:rPr>
        <w:t>speculation.</w:t>
      </w:r>
      <w:r w:rsidR="00BC27BD" w:rsidRPr="0084150A">
        <w:rPr>
          <w:vertAlign w:val="superscript"/>
          <w:lang w:val="en-CA"/>
        </w:rPr>
        <w:footnoteReference w:id="45"/>
      </w:r>
    </w:p>
    <w:p w14:paraId="38767017" w14:textId="3F4D98CA" w:rsidR="00A0673D" w:rsidRPr="0084150A" w:rsidRDefault="00A83AE2" w:rsidP="001E16C6">
      <w:pPr>
        <w:pStyle w:val="Paragraphe"/>
        <w:rPr>
          <w:lang w:val="en-CA"/>
        </w:rPr>
      </w:pPr>
      <w:r w:rsidRPr="0084150A">
        <w:rPr>
          <w:lang w:val="en-CA"/>
        </w:rPr>
        <w:t>Information is generally known to the public when it is widely broadcast for the markets to be duly informed.</w:t>
      </w:r>
      <w:r w:rsidR="005D25C5" w:rsidRPr="0084150A">
        <w:rPr>
          <w:lang w:val="en-CA"/>
        </w:rPr>
        <w:t xml:space="preserve"> </w:t>
      </w:r>
      <w:r w:rsidR="00BA618C" w:rsidRPr="0084150A">
        <w:rPr>
          <w:lang w:val="en-CA"/>
        </w:rPr>
        <w:t>The immediate issuance of a news release followed by the filing of a material change report is the method dictated by securities regulations to ensure that information is disseminated when there is a material change in a reporting issuer’s business.</w:t>
      </w:r>
      <w:r w:rsidR="00BA618C" w:rsidRPr="0084150A">
        <w:rPr>
          <w:vertAlign w:val="superscript"/>
          <w:lang w:val="en-CA"/>
        </w:rPr>
        <w:footnoteReference w:id="46"/>
      </w:r>
    </w:p>
    <w:p w14:paraId="264837F8" w14:textId="1765E5C7" w:rsidR="00456C5D" w:rsidRPr="0084150A" w:rsidRDefault="008425D1" w:rsidP="001E16C6">
      <w:pPr>
        <w:pStyle w:val="Paragraphe"/>
        <w:rPr>
          <w:lang w:val="en-CA"/>
        </w:rPr>
      </w:pPr>
      <w:r w:rsidRPr="0084150A">
        <w:rPr>
          <w:lang w:val="en-CA"/>
        </w:rPr>
        <w:t>“</w:t>
      </w:r>
      <w:r w:rsidR="0057082C">
        <w:rPr>
          <w:lang w:val="en-CA"/>
        </w:rPr>
        <w:t>[</w:t>
      </w:r>
      <w:r w:rsidRPr="0084150A">
        <w:rPr>
          <w:lang w:val="en-CA"/>
        </w:rPr>
        <w:t>I</w:t>
      </w:r>
      <w:r w:rsidR="0057082C">
        <w:rPr>
          <w:lang w:val="en-CA"/>
        </w:rPr>
        <w:t>]</w:t>
      </w:r>
      <w:r w:rsidRPr="0084150A">
        <w:rPr>
          <w:lang w:val="en-CA"/>
        </w:rPr>
        <w:t>nformation has been generally disclosed if:</w:t>
      </w:r>
      <w:r w:rsidR="005D25C5" w:rsidRPr="0084150A">
        <w:rPr>
          <w:lang w:val="en-CA"/>
        </w:rPr>
        <w:t xml:space="preserve"> </w:t>
      </w:r>
      <w:r w:rsidR="00297688" w:rsidRPr="0084150A">
        <w:rPr>
          <w:lang w:val="en-CA"/>
        </w:rPr>
        <w:t>(a) the information has been disseminated in a manner calculated to effectively reach the marketplace; and (b) public investors have been given a reasonable amount of time to analyze th</w:t>
      </w:r>
      <w:r w:rsidR="0057082C">
        <w:rPr>
          <w:lang w:val="en-CA"/>
        </w:rPr>
        <w:t>e</w:t>
      </w:r>
      <w:r w:rsidR="00297688" w:rsidRPr="0084150A">
        <w:rPr>
          <w:lang w:val="en-CA"/>
        </w:rPr>
        <w:t xml:space="preserve"> information”.</w:t>
      </w:r>
      <w:r w:rsidR="00297688" w:rsidRPr="0084150A">
        <w:rPr>
          <w:vertAlign w:val="superscript"/>
          <w:lang w:val="en-CA"/>
        </w:rPr>
        <w:footnoteReference w:id="47"/>
      </w:r>
    </w:p>
    <w:p w14:paraId="25138859" w14:textId="47BA62BB" w:rsidR="00456C5D" w:rsidRPr="0084150A" w:rsidRDefault="00FF0F90" w:rsidP="001E16C6">
      <w:pPr>
        <w:pStyle w:val="Paragraphe"/>
        <w:rPr>
          <w:lang w:val="en-CA"/>
        </w:rPr>
      </w:pPr>
      <w:r w:rsidRPr="0084150A">
        <w:rPr>
          <w:lang w:val="en-CA"/>
        </w:rPr>
        <w:t xml:space="preserve">On December 4, 2017, </w:t>
      </w:r>
      <w:r w:rsidR="009E3598" w:rsidRPr="0084150A">
        <w:rPr>
          <w:lang w:val="en-CA"/>
        </w:rPr>
        <w:t>by issuing a news release and filing a material change report</w:t>
      </w:r>
      <w:r w:rsidR="009E3598">
        <w:rPr>
          <w:lang w:val="en-CA"/>
        </w:rPr>
        <w:t>,</w:t>
      </w:r>
      <w:r w:rsidR="009E3598" w:rsidRPr="0084150A">
        <w:rPr>
          <w:lang w:val="en-CA"/>
        </w:rPr>
        <w:t xml:space="preserve"> </w:t>
      </w:r>
      <w:r w:rsidRPr="0084150A">
        <w:rPr>
          <w:lang w:val="en-CA"/>
        </w:rPr>
        <w:t xml:space="preserve">Napec announced that a final arrangement </w:t>
      </w:r>
      <w:r w:rsidR="009E3598">
        <w:rPr>
          <w:lang w:val="en-CA"/>
        </w:rPr>
        <w:t xml:space="preserve">had been signed, thereby allowing </w:t>
      </w:r>
      <w:r w:rsidRPr="0084150A">
        <w:rPr>
          <w:lang w:val="en-CA"/>
        </w:rPr>
        <w:t xml:space="preserve">the </w:t>
      </w:r>
      <w:r w:rsidR="009E3598">
        <w:rPr>
          <w:lang w:val="en-CA"/>
        </w:rPr>
        <w:t>T</w:t>
      </w:r>
      <w:r w:rsidRPr="0084150A">
        <w:rPr>
          <w:lang w:val="en-CA"/>
        </w:rPr>
        <w:t>ransaction</w:t>
      </w:r>
      <w:r w:rsidR="009E3598">
        <w:rPr>
          <w:lang w:val="en-CA"/>
        </w:rPr>
        <w:t xml:space="preserve"> to come to fruition</w:t>
      </w:r>
      <w:r w:rsidRPr="0084150A">
        <w:rPr>
          <w:lang w:val="en-CA"/>
        </w:rPr>
        <w:t>.</w:t>
      </w:r>
      <w:r w:rsidRPr="0084150A">
        <w:rPr>
          <w:vertAlign w:val="superscript"/>
          <w:lang w:val="en-CA"/>
        </w:rPr>
        <w:footnoteReference w:id="48"/>
      </w:r>
    </w:p>
    <w:p w14:paraId="1D17B2E2" w14:textId="16A9D0D5" w:rsidR="00A0673D" w:rsidRPr="0084150A" w:rsidRDefault="00F16658" w:rsidP="003833CC">
      <w:pPr>
        <w:pStyle w:val="Paragraphe"/>
        <w:rPr>
          <w:lang w:val="en-CA"/>
        </w:rPr>
      </w:pPr>
      <w:r w:rsidRPr="0084150A">
        <w:rPr>
          <w:lang w:val="en-CA"/>
        </w:rPr>
        <w:t xml:space="preserve">The Tribunal finds that it was only on </w:t>
      </w:r>
      <w:r w:rsidR="00A42CDD" w:rsidRPr="0084150A">
        <w:rPr>
          <w:lang w:val="en-CA"/>
        </w:rPr>
        <w:t>December</w:t>
      </w:r>
      <w:r w:rsidRPr="0084150A">
        <w:rPr>
          <w:lang w:val="en-CA"/>
        </w:rPr>
        <w:t xml:space="preserve"> 4, 2017, that the information regarding the </w:t>
      </w:r>
      <w:r w:rsidR="009E3598">
        <w:rPr>
          <w:lang w:val="en-CA"/>
        </w:rPr>
        <w:t>T</w:t>
      </w:r>
      <w:r w:rsidRPr="0084150A">
        <w:rPr>
          <w:lang w:val="en-CA"/>
        </w:rPr>
        <w:t xml:space="preserve">ransaction was generally known once the </w:t>
      </w:r>
      <w:r w:rsidR="004029E3">
        <w:rPr>
          <w:lang w:val="en-CA"/>
        </w:rPr>
        <w:t>news release</w:t>
      </w:r>
      <w:r w:rsidRPr="0084150A">
        <w:rPr>
          <w:lang w:val="en-CA"/>
        </w:rPr>
        <w:t xml:space="preserve"> from Napec and the material change report were disclosed to the market</w:t>
      </w:r>
      <w:r w:rsidR="009E3598">
        <w:rPr>
          <w:lang w:val="en-CA"/>
        </w:rPr>
        <w:t>place</w:t>
      </w:r>
      <w:r w:rsidRPr="0084150A">
        <w:rPr>
          <w:lang w:val="en-CA"/>
        </w:rPr>
        <w:t xml:space="preserve"> and the investors were able </w:t>
      </w:r>
      <w:r w:rsidRPr="0084150A">
        <w:rPr>
          <w:lang w:val="en-CA"/>
        </w:rPr>
        <w:lastRenderedPageBreak/>
        <w:t>to analyze the information.</w:t>
      </w:r>
      <w:r w:rsidR="0088690B" w:rsidRPr="0084150A">
        <w:rPr>
          <w:lang w:val="en-CA"/>
        </w:rPr>
        <w:t xml:space="preserve"> </w:t>
      </w:r>
      <w:r w:rsidR="00E704C4" w:rsidRPr="0084150A">
        <w:rPr>
          <w:lang w:val="en-CA"/>
        </w:rPr>
        <w:t xml:space="preserve">From November 3, 2017, to December 4, 2017, the information regarding the </w:t>
      </w:r>
      <w:r w:rsidR="009E3598">
        <w:rPr>
          <w:lang w:val="en-CA"/>
        </w:rPr>
        <w:t>T</w:t>
      </w:r>
      <w:r w:rsidR="00E704C4" w:rsidRPr="0084150A">
        <w:rPr>
          <w:lang w:val="en-CA"/>
        </w:rPr>
        <w:t>ransaction had not been disclosed to the public.</w:t>
      </w:r>
      <w:r w:rsidR="0088690B" w:rsidRPr="0084150A">
        <w:rPr>
          <w:lang w:val="en-CA"/>
        </w:rPr>
        <w:t xml:space="preserve"> </w:t>
      </w:r>
    </w:p>
    <w:p w14:paraId="0B36304F" w14:textId="12355DF0" w:rsidR="00A0673D" w:rsidRPr="0084150A" w:rsidRDefault="00C04E43" w:rsidP="00122A81">
      <w:pPr>
        <w:pStyle w:val="Titre4"/>
        <w:rPr>
          <w:lang w:val="en-CA"/>
        </w:rPr>
      </w:pPr>
      <w:r w:rsidRPr="005E07F3">
        <w:rPr>
          <w:lang w:val="en-CA"/>
        </w:rPr>
        <w:t>Second component:</w:t>
      </w:r>
      <w:r w:rsidR="00702E89" w:rsidRPr="0084150A">
        <w:rPr>
          <w:lang w:val="en-CA"/>
        </w:rPr>
        <w:t xml:space="preserve"> </w:t>
      </w:r>
      <w:r w:rsidR="00F95966" w:rsidRPr="0084150A">
        <w:rPr>
          <w:lang w:val="en-CA"/>
        </w:rPr>
        <w:t xml:space="preserve">Could learning about the </w:t>
      </w:r>
      <w:r w:rsidR="00741833">
        <w:rPr>
          <w:lang w:val="en-CA"/>
        </w:rPr>
        <w:t>T</w:t>
      </w:r>
      <w:r w:rsidR="00F95966" w:rsidRPr="0084150A">
        <w:rPr>
          <w:lang w:val="en-CA"/>
        </w:rPr>
        <w:t>ransaction affect the decision of a reasonable investor?</w:t>
      </w:r>
    </w:p>
    <w:p w14:paraId="38E7F89A" w14:textId="384F1C87" w:rsidR="00A0673D" w:rsidRPr="0084150A" w:rsidRDefault="00A83CC2" w:rsidP="001E16C6">
      <w:pPr>
        <w:pStyle w:val="Paragraphe"/>
        <w:rPr>
          <w:lang w:val="en-CA"/>
        </w:rPr>
      </w:pPr>
      <w:r w:rsidRPr="0084150A">
        <w:rPr>
          <w:lang w:val="en-CA"/>
        </w:rPr>
        <w:t xml:space="preserve">This second component was summarized by the Court of Quebec in </w:t>
      </w:r>
      <w:r w:rsidRPr="0084150A">
        <w:rPr>
          <w:i/>
          <w:lang w:val="en-CA"/>
        </w:rPr>
        <w:t>Live</w:t>
      </w:r>
      <w:r w:rsidRPr="0084150A">
        <w:rPr>
          <w:lang w:val="en-CA"/>
        </w:rPr>
        <w:t xml:space="preserve">, which cites the principles developed </w:t>
      </w:r>
      <w:r w:rsidR="00741833">
        <w:rPr>
          <w:lang w:val="en-CA"/>
        </w:rPr>
        <w:t>in</w:t>
      </w:r>
      <w:r w:rsidR="00741833" w:rsidRPr="0084150A">
        <w:rPr>
          <w:lang w:val="en-CA"/>
        </w:rPr>
        <w:t xml:space="preserve"> </w:t>
      </w:r>
      <w:r w:rsidRPr="0084150A">
        <w:rPr>
          <w:lang w:val="en-CA"/>
        </w:rPr>
        <w:t>the Tribunal</w:t>
      </w:r>
      <w:r w:rsidR="00741833">
        <w:rPr>
          <w:lang w:val="en-CA"/>
        </w:rPr>
        <w:t>’s case law</w:t>
      </w:r>
      <w:r w:rsidRPr="0084150A">
        <w:rPr>
          <w:lang w:val="en-CA"/>
        </w:rPr>
        <w:t xml:space="preserve">, particularly in </w:t>
      </w:r>
      <w:r w:rsidRPr="0084150A">
        <w:rPr>
          <w:i/>
          <w:lang w:val="en-CA"/>
        </w:rPr>
        <w:t>Bertrand</w:t>
      </w:r>
      <w:r w:rsidRPr="0084150A">
        <w:rPr>
          <w:lang w:val="en-CA"/>
        </w:rPr>
        <w:t>:</w:t>
      </w:r>
      <w:r w:rsidRPr="0084150A">
        <w:rPr>
          <w:rStyle w:val="Appelnotedebasdep"/>
          <w:lang w:val="en-CA"/>
        </w:rPr>
        <w:footnoteReference w:id="49"/>
      </w:r>
    </w:p>
    <w:p w14:paraId="46B8E306" w14:textId="07E9B368" w:rsidR="00557E24" w:rsidRPr="0084150A" w:rsidRDefault="00557E24" w:rsidP="00557E24">
      <w:pPr>
        <w:pStyle w:val="Sous-paragraphe"/>
        <w:numPr>
          <w:ilvl w:val="0"/>
          <w:numId w:val="0"/>
        </w:numPr>
        <w:ind w:left="1236"/>
        <w:rPr>
          <w:smallCaps/>
          <w:sz w:val="22"/>
          <w:szCs w:val="22"/>
          <w:lang w:val="en-CA"/>
        </w:rPr>
      </w:pPr>
      <w:r w:rsidRPr="0084150A">
        <w:rPr>
          <w:sz w:val="22"/>
          <w:szCs w:val="22"/>
          <w:lang w:val="en-CA"/>
        </w:rPr>
        <w:t>[</w:t>
      </w:r>
      <w:r w:rsidRPr="0084150A">
        <w:rPr>
          <w:smallCaps/>
          <w:sz w:val="22"/>
          <w:szCs w:val="22"/>
          <w:lang w:val="en-CA"/>
        </w:rPr>
        <w:t>translation]</w:t>
      </w:r>
    </w:p>
    <w:p w14:paraId="363904BC" w14:textId="79E5B902" w:rsidR="00A0673D" w:rsidRPr="0084150A" w:rsidRDefault="000A28B5" w:rsidP="006F1D83">
      <w:pPr>
        <w:pStyle w:val="Citationendoubleretrait"/>
        <w:spacing w:before="120" w:after="120"/>
        <w:ind w:left="1236" w:right="851"/>
      </w:pPr>
      <w:r w:rsidRPr="0084150A">
        <w:t xml:space="preserve">[33] </w:t>
      </w:r>
      <w:r w:rsidR="00C417B6">
        <w:t xml:space="preserve">… </w:t>
      </w:r>
      <w:r w:rsidRPr="0084150A">
        <w:t xml:space="preserve">The use of the term “could” </w:t>
      </w:r>
      <w:proofErr w:type="gramStart"/>
      <w:r w:rsidRPr="0084150A">
        <w:t>requires</w:t>
      </w:r>
      <w:proofErr w:type="gramEnd"/>
      <w:r w:rsidRPr="0084150A">
        <w:t xml:space="preserve"> </w:t>
      </w:r>
      <w:r w:rsidR="00C417B6">
        <w:t>proof</w:t>
      </w:r>
      <w:r w:rsidR="00C417B6" w:rsidRPr="0084150A">
        <w:t xml:space="preserve"> </w:t>
      </w:r>
      <w:r w:rsidRPr="0084150A">
        <w:t>of a possibility, not a certainty, and the criterion of a reasonable investor refers to the investor</w:t>
      </w:r>
      <w:r w:rsidR="00C417B6">
        <w:t>s</w:t>
      </w:r>
      <w:r w:rsidRPr="0084150A">
        <w:t xml:space="preserve"> who transact on the stock market </w:t>
      </w:r>
      <w:r w:rsidR="00C417B6">
        <w:t>with</w:t>
      </w:r>
      <w:r w:rsidRPr="0084150A">
        <w:t xml:space="preserve"> the information at their disposal.</w:t>
      </w:r>
      <w:r w:rsidR="005D25C5" w:rsidRPr="0084150A">
        <w:t xml:space="preserve"> </w:t>
      </w:r>
      <w:r w:rsidR="00672A88" w:rsidRPr="0084150A">
        <w:t>Th</w:t>
      </w:r>
      <w:r w:rsidR="00C417B6">
        <w:t>ese</w:t>
      </w:r>
      <w:r w:rsidR="00672A88" w:rsidRPr="0084150A">
        <w:t xml:space="preserve"> investor</w:t>
      </w:r>
      <w:r w:rsidR="00C417B6">
        <w:t>s</w:t>
      </w:r>
      <w:r w:rsidR="00672A88" w:rsidRPr="0084150A">
        <w:t xml:space="preserve"> may have transacted differently </w:t>
      </w:r>
      <w:r w:rsidR="00C417B6">
        <w:t xml:space="preserve">had they </w:t>
      </w:r>
      <w:r w:rsidR="00672A88" w:rsidRPr="0084150A">
        <w:t>had all the information.</w:t>
      </w:r>
      <w:r w:rsidR="005D25C5" w:rsidRPr="0084150A">
        <w:t xml:space="preserve"> </w:t>
      </w:r>
    </w:p>
    <w:p w14:paraId="44778381" w14:textId="4B191443" w:rsidR="00A0673D" w:rsidRPr="0084150A" w:rsidRDefault="00F629BF" w:rsidP="006F1D83">
      <w:pPr>
        <w:pStyle w:val="Citationendoubleretrait"/>
        <w:spacing w:before="120" w:after="120"/>
        <w:ind w:left="1236" w:right="851"/>
      </w:pPr>
      <w:r w:rsidRPr="0084150A">
        <w:t>[34] The criterion for determining whether the information could affect the decision of a reasonable investor must b</w:t>
      </w:r>
      <w:r w:rsidR="005E5966">
        <w:t>e</w:t>
      </w:r>
      <w:r w:rsidRPr="0084150A">
        <w:t xml:space="preserve"> assessed</w:t>
      </w:r>
      <w:r w:rsidR="001B6067">
        <w:t xml:space="preserve"> </w:t>
      </w:r>
      <w:proofErr w:type="gramStart"/>
      <w:r w:rsidR="00E129C4">
        <w:t>taking into account</w:t>
      </w:r>
      <w:proofErr w:type="gramEnd"/>
      <w:r w:rsidRPr="0084150A">
        <w:t xml:space="preserve"> the facts as a whole</w:t>
      </w:r>
      <w:r w:rsidR="00E129C4">
        <w:t>,</w:t>
      </w:r>
      <w:r w:rsidRPr="0084150A">
        <w:t xml:space="preserve"> all the information that was known to the defendant</w:t>
      </w:r>
      <w:r w:rsidR="004F4AA0">
        <w:t xml:space="preserve">, </w:t>
      </w:r>
      <w:r w:rsidRPr="0084150A">
        <w:t xml:space="preserve">not </w:t>
      </w:r>
      <w:r w:rsidR="00E129C4">
        <w:t>in isolation</w:t>
      </w:r>
      <w:r w:rsidRPr="0084150A">
        <w:t>.</w:t>
      </w:r>
      <w:r w:rsidR="005D25C5" w:rsidRPr="0084150A">
        <w:t xml:space="preserve"> </w:t>
      </w:r>
      <w:r w:rsidR="00F9696E" w:rsidRPr="0084150A">
        <w:t>The factual context of the information available during the relevant period</w:t>
      </w:r>
      <w:r w:rsidR="004F4AA0">
        <w:t xml:space="preserve"> must be </w:t>
      </w:r>
      <w:proofErr w:type="gramStart"/>
      <w:r w:rsidR="004F4AA0">
        <w:t>taken into account</w:t>
      </w:r>
      <w:proofErr w:type="gramEnd"/>
      <w:r w:rsidR="00F9696E" w:rsidRPr="0084150A">
        <w:t>.</w:t>
      </w:r>
      <w:r w:rsidR="005D25C5" w:rsidRPr="0084150A">
        <w:t xml:space="preserve"> </w:t>
      </w:r>
      <w:r w:rsidR="00240259" w:rsidRPr="0084150A">
        <w:t>The reasonable investor is a thoughtful and rational investor who, without being a professional of the market, has sufficient knowledge of financial markets and products.</w:t>
      </w:r>
      <w:r w:rsidR="005D25C5" w:rsidRPr="0084150A">
        <w:t xml:space="preserve"> </w:t>
      </w:r>
      <w:r w:rsidR="0017322B" w:rsidRPr="005E07F3">
        <w:t>This is an objective criterion.</w:t>
      </w:r>
      <w:r w:rsidR="005D25C5" w:rsidRPr="0084150A">
        <w:rPr>
          <w:vertAlign w:val="superscript"/>
        </w:rPr>
        <w:footnoteReference w:id="50"/>
      </w:r>
    </w:p>
    <w:p w14:paraId="2F93A464" w14:textId="27A616F7" w:rsidR="00330AC8" w:rsidRPr="005E07F3" w:rsidRDefault="005D25C5" w:rsidP="006A4F52">
      <w:pPr>
        <w:pStyle w:val="Citationendoubleretrait"/>
        <w:spacing w:before="120" w:after="120"/>
        <w:ind w:left="1236" w:right="851"/>
      </w:pPr>
      <w:r w:rsidRPr="005E07F3">
        <w:t>[Citations omitted]</w:t>
      </w:r>
    </w:p>
    <w:p w14:paraId="744DFDAF" w14:textId="37102193" w:rsidR="00A0673D" w:rsidRPr="0084150A" w:rsidRDefault="00EF2218" w:rsidP="001E16C6">
      <w:pPr>
        <w:pStyle w:val="Paragraphe"/>
        <w:rPr>
          <w:lang w:val="en-CA"/>
        </w:rPr>
      </w:pPr>
      <w:r w:rsidRPr="0084150A">
        <w:rPr>
          <w:lang w:val="en-CA"/>
        </w:rPr>
        <w:t>The importance of the information is fundamental in determining whether it constitutes privileged information.</w:t>
      </w:r>
      <w:r w:rsidR="00770D64" w:rsidRPr="0084150A">
        <w:rPr>
          <w:lang w:val="en-CA"/>
        </w:rPr>
        <w:t xml:space="preserve"> </w:t>
      </w:r>
      <w:r w:rsidR="00324F71">
        <w:rPr>
          <w:lang w:val="en-CA"/>
        </w:rPr>
        <w:t>In fact</w:t>
      </w:r>
      <w:r w:rsidR="007462AA" w:rsidRPr="0084150A">
        <w:rPr>
          <w:lang w:val="en-CA"/>
        </w:rPr>
        <w:t>, it is recognized that a material fact or material change with respect to a reporting issuer will be considered information that could affect the decision of a reasonable investor.</w:t>
      </w:r>
      <w:r w:rsidR="007462AA" w:rsidRPr="0084150A">
        <w:rPr>
          <w:rStyle w:val="Appelnotedebasdep"/>
          <w:lang w:val="en-CA"/>
        </w:rPr>
        <w:footnoteReference w:id="51"/>
      </w:r>
      <w:r w:rsidR="000D56C1" w:rsidRPr="0084150A">
        <w:rPr>
          <w:lang w:val="en-CA"/>
        </w:rPr>
        <w:t xml:space="preserve"> </w:t>
      </w:r>
      <w:r w:rsidR="00B2463F" w:rsidRPr="0084150A">
        <w:rPr>
          <w:lang w:val="en-CA"/>
        </w:rPr>
        <w:t>These are converging criteria.</w:t>
      </w:r>
      <w:r w:rsidR="000D56C1" w:rsidRPr="0084150A">
        <w:rPr>
          <w:lang w:val="en-CA"/>
        </w:rPr>
        <w:t xml:space="preserve"> </w:t>
      </w:r>
    </w:p>
    <w:p w14:paraId="5CF6E2A0" w14:textId="48CD6BD5" w:rsidR="00A0673D" w:rsidRPr="0084150A" w:rsidRDefault="00DF743A" w:rsidP="001E16C6">
      <w:pPr>
        <w:pStyle w:val="Paragraphe"/>
        <w:rPr>
          <w:lang w:val="en-CA"/>
        </w:rPr>
      </w:pPr>
      <w:bookmarkStart w:id="9" w:name="_Ref158379231"/>
      <w:r w:rsidRPr="0084150A">
        <w:rPr>
          <w:lang w:val="en-CA"/>
        </w:rPr>
        <w:t xml:space="preserve">The Tribunal is of the view that the acquisition of a reporting issuer, if it </w:t>
      </w:r>
      <w:r w:rsidR="001107F3">
        <w:rPr>
          <w:lang w:val="en-CA"/>
        </w:rPr>
        <w:t>could</w:t>
      </w:r>
      <w:r w:rsidR="001107F3" w:rsidRPr="0084150A">
        <w:rPr>
          <w:lang w:val="en-CA"/>
        </w:rPr>
        <w:t xml:space="preserve"> </w:t>
      </w:r>
      <w:r w:rsidRPr="0084150A">
        <w:rPr>
          <w:lang w:val="en-CA"/>
        </w:rPr>
        <w:t xml:space="preserve">seriously happen, is in itself important information because such </w:t>
      </w:r>
      <w:r w:rsidR="0035602F">
        <w:rPr>
          <w:lang w:val="en-CA"/>
        </w:rPr>
        <w:t>a transaction</w:t>
      </w:r>
      <w:r w:rsidRPr="0084150A">
        <w:rPr>
          <w:lang w:val="en-CA"/>
        </w:rPr>
        <w:t xml:space="preserve"> typically involves a significant premium relative to the </w:t>
      </w:r>
      <w:r w:rsidR="001107F3">
        <w:rPr>
          <w:lang w:val="en-CA"/>
        </w:rPr>
        <w:t xml:space="preserve">security </w:t>
      </w:r>
      <w:r w:rsidRPr="0084150A">
        <w:rPr>
          <w:lang w:val="en-CA"/>
        </w:rPr>
        <w:t xml:space="preserve">price to encourage shareholders to approve the </w:t>
      </w:r>
      <w:r w:rsidR="001107F3">
        <w:rPr>
          <w:lang w:val="en-CA"/>
        </w:rPr>
        <w:t>offer they received</w:t>
      </w:r>
      <w:r w:rsidRPr="0084150A">
        <w:rPr>
          <w:lang w:val="en-CA"/>
        </w:rPr>
        <w:t>.</w:t>
      </w:r>
      <w:r w:rsidR="005D25C5" w:rsidRPr="0084150A">
        <w:rPr>
          <w:lang w:val="en-CA"/>
        </w:rPr>
        <w:t xml:space="preserve"> </w:t>
      </w:r>
      <w:r w:rsidR="00A64DB7" w:rsidRPr="0084150A">
        <w:rPr>
          <w:lang w:val="en-CA"/>
        </w:rPr>
        <w:t>Learning about such information could affect the decision of a reasonable investor.</w:t>
      </w:r>
      <w:r w:rsidR="005D25C5" w:rsidRPr="0084150A">
        <w:rPr>
          <w:lang w:val="en-CA"/>
        </w:rPr>
        <w:t xml:space="preserve"> </w:t>
      </w:r>
      <w:r w:rsidR="00050899" w:rsidRPr="0084150A">
        <w:rPr>
          <w:lang w:val="en-CA"/>
        </w:rPr>
        <w:t xml:space="preserve">However, the proposed acquisition must </w:t>
      </w:r>
      <w:r w:rsidR="001107F3">
        <w:rPr>
          <w:lang w:val="en-CA"/>
        </w:rPr>
        <w:t>have reached</w:t>
      </w:r>
      <w:r w:rsidR="00050899" w:rsidRPr="0084150A">
        <w:rPr>
          <w:lang w:val="en-CA"/>
        </w:rPr>
        <w:t xml:space="preserve"> a certain degree of transactional certainty.</w:t>
      </w:r>
      <w:r w:rsidR="005D25C5" w:rsidRPr="0084150A">
        <w:rPr>
          <w:lang w:val="en-CA"/>
        </w:rPr>
        <w:t xml:space="preserve"> </w:t>
      </w:r>
      <w:r w:rsidR="0023200C" w:rsidRPr="0084150A">
        <w:rPr>
          <w:lang w:val="en-CA"/>
        </w:rPr>
        <w:t xml:space="preserve">The proposed acquisition must not be at a preliminary stage or </w:t>
      </w:r>
      <w:r w:rsidR="001107F3">
        <w:rPr>
          <w:lang w:val="en-CA"/>
        </w:rPr>
        <w:t>be uncertain</w:t>
      </w:r>
      <w:r w:rsidR="0023200C" w:rsidRPr="0084150A">
        <w:rPr>
          <w:lang w:val="en-CA"/>
        </w:rPr>
        <w:t>.</w:t>
      </w:r>
      <w:r w:rsidR="005D25C5" w:rsidRPr="0084150A">
        <w:rPr>
          <w:lang w:val="en-CA"/>
        </w:rPr>
        <w:t xml:space="preserve"> </w:t>
      </w:r>
      <w:r w:rsidR="00F42891" w:rsidRPr="0084150A">
        <w:rPr>
          <w:lang w:val="en-CA"/>
        </w:rPr>
        <w:t xml:space="preserve">As Professor Raymonde Crête points out, </w:t>
      </w:r>
      <w:r w:rsidR="00CB6D96">
        <w:rPr>
          <w:lang w:val="en-CA"/>
        </w:rPr>
        <w:t>[</w:t>
      </w:r>
      <w:r w:rsidR="00CB6D96">
        <w:rPr>
          <w:smallCaps/>
          <w:lang w:val="en-CA"/>
        </w:rPr>
        <w:t xml:space="preserve">translation] </w:t>
      </w:r>
      <w:r w:rsidR="00F42891" w:rsidRPr="0084150A">
        <w:rPr>
          <w:lang w:val="en-CA"/>
        </w:rPr>
        <w:t xml:space="preserve">“the </w:t>
      </w:r>
      <w:r w:rsidR="00F42891" w:rsidRPr="0084150A">
        <w:rPr>
          <w:lang w:val="en-CA"/>
        </w:rPr>
        <w:lastRenderedPageBreak/>
        <w:t xml:space="preserve">criterion of privileged information is difficult to apply to </w:t>
      </w:r>
      <w:r w:rsidR="001107F3">
        <w:rPr>
          <w:lang w:val="en-CA"/>
        </w:rPr>
        <w:t>unpredictable</w:t>
      </w:r>
      <w:r w:rsidR="00F42891" w:rsidRPr="0084150A">
        <w:rPr>
          <w:lang w:val="en-CA"/>
        </w:rPr>
        <w:t xml:space="preserve">, uncertain, or contingent events, such as </w:t>
      </w:r>
      <w:r w:rsidR="00DB262D">
        <w:rPr>
          <w:lang w:val="en-CA"/>
        </w:rPr>
        <w:t xml:space="preserve">the </w:t>
      </w:r>
      <w:r w:rsidR="00F42891" w:rsidRPr="0084150A">
        <w:rPr>
          <w:lang w:val="en-CA"/>
        </w:rPr>
        <w:t>information regarding negotiations to acquire a business”</w:t>
      </w:r>
      <w:r w:rsidR="00817D7D" w:rsidRPr="0084150A">
        <w:rPr>
          <w:lang w:val="en-CA"/>
        </w:rPr>
        <w:t>.</w:t>
      </w:r>
      <w:r w:rsidR="005D25C5" w:rsidRPr="0084150A">
        <w:rPr>
          <w:vertAlign w:val="superscript"/>
          <w:lang w:val="en-CA"/>
        </w:rPr>
        <w:footnoteReference w:id="52"/>
      </w:r>
      <w:bookmarkEnd w:id="9"/>
    </w:p>
    <w:p w14:paraId="4A32DF43" w14:textId="6E7F868C" w:rsidR="004438AB" w:rsidRPr="0084150A" w:rsidRDefault="007E059B" w:rsidP="001E16C6">
      <w:pPr>
        <w:pStyle w:val="Paragraphe"/>
        <w:rPr>
          <w:lang w:val="en-CA"/>
        </w:rPr>
      </w:pPr>
      <w:r w:rsidRPr="0084150A">
        <w:rPr>
          <w:lang w:val="en-CA"/>
        </w:rPr>
        <w:t xml:space="preserve"> In </w:t>
      </w:r>
      <w:r w:rsidRPr="0084150A">
        <w:rPr>
          <w:i/>
          <w:lang w:val="en-CA"/>
        </w:rPr>
        <w:t>Autorité des marchés financiers c. Roy</w:t>
      </w:r>
      <w:r w:rsidRPr="0084150A">
        <w:rPr>
          <w:lang w:val="en-CA"/>
        </w:rPr>
        <w:t>,</w:t>
      </w:r>
      <w:r w:rsidRPr="0084150A">
        <w:rPr>
          <w:rStyle w:val="Appelnotedebasdep"/>
          <w:lang w:val="en-CA"/>
        </w:rPr>
        <w:footnoteReference w:id="53"/>
      </w:r>
      <w:r w:rsidRPr="0084150A">
        <w:rPr>
          <w:lang w:val="en-CA"/>
        </w:rPr>
        <w:t xml:space="preserve"> the Tribunal concluded that the possibility that </w:t>
      </w:r>
      <w:r w:rsidR="00A42CDD" w:rsidRPr="0084150A">
        <w:rPr>
          <w:lang w:val="en-CA"/>
        </w:rPr>
        <w:t>negotiations</w:t>
      </w:r>
      <w:r w:rsidRPr="0084150A">
        <w:rPr>
          <w:lang w:val="en-CA"/>
        </w:rPr>
        <w:t xml:space="preserve"> </w:t>
      </w:r>
      <w:r w:rsidR="00DB262D">
        <w:rPr>
          <w:lang w:val="en-CA"/>
        </w:rPr>
        <w:t>may</w:t>
      </w:r>
      <w:r w:rsidR="00DB262D" w:rsidRPr="0084150A">
        <w:rPr>
          <w:lang w:val="en-CA"/>
        </w:rPr>
        <w:t xml:space="preserve"> </w:t>
      </w:r>
      <w:r w:rsidRPr="0084150A">
        <w:rPr>
          <w:lang w:val="en-CA"/>
        </w:rPr>
        <w:t xml:space="preserve">materialize </w:t>
      </w:r>
      <w:r w:rsidR="00DB262D">
        <w:rPr>
          <w:lang w:val="en-CA"/>
        </w:rPr>
        <w:t>could</w:t>
      </w:r>
      <w:r w:rsidR="00DB262D" w:rsidRPr="0084150A">
        <w:rPr>
          <w:lang w:val="en-CA"/>
        </w:rPr>
        <w:t xml:space="preserve"> </w:t>
      </w:r>
      <w:r w:rsidRPr="0084150A">
        <w:rPr>
          <w:lang w:val="en-CA"/>
        </w:rPr>
        <w:t>affect the decision of a reasonable investor and stated:</w:t>
      </w:r>
    </w:p>
    <w:p w14:paraId="20BAB0AB" w14:textId="3E921D92" w:rsidR="00806047" w:rsidRPr="0084150A" w:rsidRDefault="00806047" w:rsidP="00806047">
      <w:pPr>
        <w:pStyle w:val="Sous-paragraphe"/>
        <w:numPr>
          <w:ilvl w:val="0"/>
          <w:numId w:val="0"/>
        </w:numPr>
        <w:ind w:left="1669" w:hanging="432"/>
        <w:rPr>
          <w:smallCaps/>
          <w:lang w:val="en-CA"/>
        </w:rPr>
      </w:pPr>
      <w:r w:rsidRPr="0084150A">
        <w:rPr>
          <w:lang w:val="en-CA"/>
        </w:rPr>
        <w:t>[</w:t>
      </w:r>
      <w:r w:rsidRPr="0084150A">
        <w:rPr>
          <w:smallCaps/>
          <w:lang w:val="en-CA"/>
        </w:rPr>
        <w:t>translation]</w:t>
      </w:r>
    </w:p>
    <w:p w14:paraId="3385FE75" w14:textId="4B414388" w:rsidR="004438AB" w:rsidRPr="0084150A" w:rsidRDefault="00894AAF" w:rsidP="00D67327">
      <w:pPr>
        <w:pStyle w:val="Citationendoubleretrait"/>
      </w:pPr>
      <w:r w:rsidRPr="0084150A">
        <w:t xml:space="preserve">[144] In </w:t>
      </w:r>
      <w:r w:rsidRPr="0084150A">
        <w:rPr>
          <w:i/>
        </w:rPr>
        <w:t>Laliberté</w:t>
      </w:r>
      <w:r w:rsidRPr="0084150A">
        <w:t>, the Court of Qu</w:t>
      </w:r>
      <w:r w:rsidR="00543F7A">
        <w:t>é</w:t>
      </w:r>
      <w:r w:rsidRPr="0084150A">
        <w:t>bec</w:t>
      </w:r>
      <w:r w:rsidR="001B6067">
        <w:t xml:space="preserve"> </w:t>
      </w:r>
      <w:r w:rsidRPr="0084150A">
        <w:t xml:space="preserve">adopted the principles in Siddiqi and concluded that negotiations </w:t>
      </w:r>
      <w:r w:rsidR="00DB262D">
        <w:t>could</w:t>
      </w:r>
      <w:r w:rsidR="00DB262D" w:rsidRPr="0084150A">
        <w:t xml:space="preserve"> </w:t>
      </w:r>
      <w:r w:rsidRPr="0084150A">
        <w:t xml:space="preserve">affect the decision of an investor, to the extent that they are likely to materialize and have a potential impact on the </w:t>
      </w:r>
      <w:r w:rsidR="00DB262D">
        <w:t xml:space="preserve">security </w:t>
      </w:r>
      <w:r w:rsidRPr="0084150A">
        <w:t>price.</w:t>
      </w:r>
    </w:p>
    <w:p w14:paraId="35EF0E39" w14:textId="55B51C5C" w:rsidR="004438AB" w:rsidRPr="005E07F3" w:rsidRDefault="00D67327" w:rsidP="00D67327">
      <w:pPr>
        <w:pStyle w:val="Citationendoubleretrait"/>
        <w:spacing w:before="120" w:after="120"/>
        <w:ind w:left="1236" w:right="851"/>
      </w:pPr>
      <w:r w:rsidRPr="0084150A">
        <w:t xml:space="preserve"> </w:t>
      </w:r>
      <w:r w:rsidR="003E6007" w:rsidRPr="005E07F3">
        <w:t>[</w:t>
      </w:r>
      <w:r w:rsidR="00DB262D">
        <w:t>Citations</w:t>
      </w:r>
      <w:r w:rsidR="00DB262D" w:rsidRPr="005E07F3">
        <w:t xml:space="preserve"> </w:t>
      </w:r>
      <w:r w:rsidR="003E6007" w:rsidRPr="005E07F3">
        <w:t>omitted]</w:t>
      </w:r>
    </w:p>
    <w:p w14:paraId="5289EC64" w14:textId="43F279CC" w:rsidR="00A0673D" w:rsidRPr="0084150A" w:rsidRDefault="003468A8" w:rsidP="001E16C6">
      <w:pPr>
        <w:pStyle w:val="Paragraphe"/>
        <w:rPr>
          <w:lang w:val="en-CA"/>
        </w:rPr>
      </w:pPr>
      <w:r w:rsidRPr="0084150A">
        <w:rPr>
          <w:lang w:val="en-CA"/>
        </w:rPr>
        <w:t>The Ontario Securities Commission analyzed the criterion of importance in the case of an acquisition and ruled as follows:</w:t>
      </w:r>
      <w:r w:rsidR="005D25C5" w:rsidRPr="0084150A">
        <w:rPr>
          <w:lang w:val="en-CA"/>
        </w:rPr>
        <w:t xml:space="preserve"> </w:t>
      </w:r>
    </w:p>
    <w:p w14:paraId="49F63EC0" w14:textId="4CC34285" w:rsidR="00A0673D" w:rsidRPr="0084150A" w:rsidRDefault="005D25C5" w:rsidP="007B27DA">
      <w:pPr>
        <w:pStyle w:val="Citationendoubleretrait"/>
        <w:spacing w:before="120" w:after="120"/>
        <w:ind w:left="1236" w:right="851"/>
      </w:pPr>
      <w:r w:rsidRPr="0084150A">
        <w:t xml:space="preserve">[119] Materiality is to be determined objectively, </w:t>
      </w:r>
      <w:proofErr w:type="gramStart"/>
      <w:r w:rsidRPr="0084150A">
        <w:t>taking into account</w:t>
      </w:r>
      <w:proofErr w:type="gramEnd"/>
      <w:r w:rsidRPr="0084150A">
        <w:t xml:space="preserve"> all the relevant circumstances. Several facts may be material when considered together, even when one or more of the facts do not appear to be material when considered alone.</w:t>
      </w:r>
    </w:p>
    <w:p w14:paraId="49CA6311" w14:textId="3DBA0981" w:rsidR="00A0673D" w:rsidRPr="0084150A" w:rsidRDefault="005D25C5" w:rsidP="007B27DA">
      <w:pPr>
        <w:pStyle w:val="Citationendoubleretrait"/>
        <w:spacing w:before="120" w:after="120"/>
        <w:ind w:left="1236" w:right="851"/>
      </w:pPr>
      <w:r w:rsidRPr="0084150A">
        <w:t xml:space="preserve">[120] I agree with the statement of the Alberta Securities Commission in </w:t>
      </w:r>
      <w:r w:rsidRPr="0084150A">
        <w:rPr>
          <w:i/>
          <w:iCs/>
        </w:rPr>
        <w:t>Holtby (Re)</w:t>
      </w:r>
      <w:r w:rsidRPr="0084150A">
        <w:t>, that information that an entity is seriously considering the acquisition of a publicly</w:t>
      </w:r>
      <w:r w:rsidR="005E5966">
        <w:t xml:space="preserve"> </w:t>
      </w:r>
      <w:r w:rsidRPr="0084150A">
        <w:t>traded issuer would generally have a significant effect on the target issuer’s securities</w:t>
      </w:r>
      <w:r w:rsidR="00160C46" w:rsidRPr="0084150A">
        <w:t>.</w:t>
      </w:r>
      <w:r w:rsidRPr="0084150A">
        <w:rPr>
          <w:vertAlign w:val="superscript"/>
        </w:rPr>
        <w:footnoteReference w:id="54"/>
      </w:r>
    </w:p>
    <w:p w14:paraId="3B2BDB1B" w14:textId="786E8BED" w:rsidR="00C616F0" w:rsidRPr="005E07F3" w:rsidRDefault="005D25C5" w:rsidP="007B27DA">
      <w:pPr>
        <w:pStyle w:val="Citationendoubleretrait"/>
        <w:spacing w:before="120" w:after="120"/>
        <w:ind w:left="1236" w:right="851"/>
      </w:pPr>
      <w:r w:rsidRPr="005E07F3">
        <w:t>[</w:t>
      </w:r>
      <w:r w:rsidR="00543F7A" w:rsidRPr="005E07F3">
        <w:t>References</w:t>
      </w:r>
      <w:r w:rsidRPr="005E07F3">
        <w:t xml:space="preserve"> omitted]</w:t>
      </w:r>
    </w:p>
    <w:p w14:paraId="4F1937DF" w14:textId="10A028F4" w:rsidR="003320A5" w:rsidRPr="0084150A" w:rsidRDefault="00E64755" w:rsidP="001E16C6">
      <w:pPr>
        <w:pStyle w:val="Paragraphe"/>
        <w:rPr>
          <w:lang w:val="en-CA"/>
        </w:rPr>
      </w:pPr>
      <w:r w:rsidRPr="0084150A">
        <w:rPr>
          <w:lang w:val="en-CA"/>
        </w:rPr>
        <w:t xml:space="preserve">The Tribunal </w:t>
      </w:r>
      <w:r w:rsidR="0008300C">
        <w:rPr>
          <w:lang w:val="en-CA"/>
        </w:rPr>
        <w:t>agrees with</w:t>
      </w:r>
      <w:r w:rsidR="0008300C" w:rsidRPr="0084150A">
        <w:rPr>
          <w:lang w:val="en-CA"/>
        </w:rPr>
        <w:t xml:space="preserve"> </w:t>
      </w:r>
      <w:r w:rsidRPr="0084150A">
        <w:rPr>
          <w:lang w:val="en-CA"/>
        </w:rPr>
        <w:t>this analysis from its Canadian counterparts.</w:t>
      </w:r>
      <w:r w:rsidR="005D25C5" w:rsidRPr="0084150A">
        <w:rPr>
          <w:lang w:val="en-CA"/>
        </w:rPr>
        <w:t xml:space="preserve"> </w:t>
      </w:r>
    </w:p>
    <w:p w14:paraId="338B85AA" w14:textId="4F564227" w:rsidR="0028320C" w:rsidRPr="0084150A" w:rsidRDefault="00F808F3" w:rsidP="001E16C6">
      <w:pPr>
        <w:pStyle w:val="Paragraphe"/>
        <w:rPr>
          <w:lang w:val="en-CA"/>
        </w:rPr>
      </w:pPr>
      <w:r w:rsidRPr="0084150A">
        <w:rPr>
          <w:lang w:val="en-CA"/>
        </w:rPr>
        <w:t xml:space="preserve">Discussions about </w:t>
      </w:r>
      <w:r w:rsidR="0008300C">
        <w:rPr>
          <w:lang w:val="en-CA"/>
        </w:rPr>
        <w:t>the</w:t>
      </w:r>
      <w:r w:rsidRPr="0084150A">
        <w:rPr>
          <w:lang w:val="en-CA"/>
        </w:rPr>
        <w:t xml:space="preserve"> potential merger or acquisition of a business must be serious and advanced to constitute privileged information.</w:t>
      </w:r>
      <w:r w:rsidR="00A0673D" w:rsidRPr="0084150A">
        <w:rPr>
          <w:lang w:val="en-CA"/>
        </w:rPr>
        <w:t xml:space="preserve"> </w:t>
      </w:r>
    </w:p>
    <w:p w14:paraId="70ED9271" w14:textId="7B08324A" w:rsidR="00A0673D" w:rsidRPr="0084150A" w:rsidRDefault="00DF4E9B" w:rsidP="00542C5A">
      <w:pPr>
        <w:pStyle w:val="Paragraphe"/>
        <w:keepNext/>
        <w:rPr>
          <w:lang w:val="en-CA"/>
        </w:rPr>
      </w:pPr>
      <w:r w:rsidRPr="0084150A">
        <w:rPr>
          <w:lang w:val="en-CA"/>
        </w:rPr>
        <w:t>As Professor Raymonde Crête states:</w:t>
      </w:r>
      <w:r w:rsidRPr="0084150A">
        <w:rPr>
          <w:vertAlign w:val="superscript"/>
          <w:lang w:val="en-CA"/>
        </w:rPr>
        <w:footnoteReference w:id="55"/>
      </w:r>
    </w:p>
    <w:p w14:paraId="77D93A16" w14:textId="423A1315" w:rsidR="008C48E7" w:rsidRPr="0084150A" w:rsidRDefault="008C48E7" w:rsidP="00542C5A">
      <w:pPr>
        <w:pStyle w:val="Paragraphe"/>
        <w:keepNext/>
        <w:numPr>
          <w:ilvl w:val="0"/>
          <w:numId w:val="0"/>
        </w:numPr>
        <w:ind w:left="1236"/>
        <w:rPr>
          <w:smallCaps/>
          <w:lang w:val="en-CA"/>
        </w:rPr>
      </w:pPr>
      <w:r w:rsidRPr="0084150A">
        <w:rPr>
          <w:lang w:val="en-CA"/>
        </w:rPr>
        <w:t>[</w:t>
      </w:r>
      <w:r w:rsidRPr="0084150A">
        <w:rPr>
          <w:smallCaps/>
          <w:lang w:val="en-CA"/>
        </w:rPr>
        <w:t>translation]</w:t>
      </w:r>
    </w:p>
    <w:p w14:paraId="616C1F42" w14:textId="26B58149" w:rsidR="00A0673D" w:rsidRPr="00A36FF7" w:rsidRDefault="00555572" w:rsidP="00FD05E3">
      <w:pPr>
        <w:pStyle w:val="Citationendoubleretrait"/>
        <w:spacing w:before="120" w:after="120"/>
        <w:ind w:left="1236" w:right="851"/>
      </w:pPr>
      <w:r w:rsidRPr="00A36FF7">
        <w:t xml:space="preserve">The question then </w:t>
      </w:r>
      <w:r w:rsidR="00A36FF7">
        <w:t>becomes</w:t>
      </w:r>
      <w:r w:rsidR="00A36FF7" w:rsidRPr="00A36FF7">
        <w:t xml:space="preserve"> </w:t>
      </w:r>
      <w:r w:rsidRPr="00A36FF7">
        <w:t xml:space="preserve">when did the negotiations </w:t>
      </w:r>
      <w:r w:rsidR="00A36FF7">
        <w:t>reach</w:t>
      </w:r>
      <w:r w:rsidR="00A36FF7" w:rsidRPr="00A36FF7">
        <w:t xml:space="preserve"> </w:t>
      </w:r>
      <w:r w:rsidR="00A36FF7">
        <w:t xml:space="preserve">a sufficiently </w:t>
      </w:r>
      <w:r w:rsidRPr="00A36FF7">
        <w:t>advanced</w:t>
      </w:r>
      <w:r w:rsidR="00A36FF7">
        <w:t xml:space="preserve"> stage</w:t>
      </w:r>
      <w:r w:rsidRPr="00A36FF7">
        <w:t xml:space="preserve"> for the information to be considered privileged or material information?</w:t>
      </w:r>
      <w:r w:rsidR="005D25C5" w:rsidRPr="00A36FF7">
        <w:t> </w:t>
      </w:r>
    </w:p>
    <w:p w14:paraId="47382196" w14:textId="0E1210AF" w:rsidR="00A0673D" w:rsidRPr="0084150A" w:rsidRDefault="004F4823" w:rsidP="00BC2605">
      <w:pPr>
        <w:pStyle w:val="Citationendoubleretrait"/>
        <w:spacing w:before="120" w:after="120"/>
        <w:ind w:left="1236" w:right="851"/>
      </w:pPr>
      <w:r w:rsidRPr="00A36FF7">
        <w:t xml:space="preserve">In this context, securities </w:t>
      </w:r>
      <w:r w:rsidR="004942BA">
        <w:t>authorities</w:t>
      </w:r>
      <w:r w:rsidR="004942BA" w:rsidRPr="00A36FF7">
        <w:t xml:space="preserve"> </w:t>
      </w:r>
      <w:r w:rsidRPr="00A36FF7">
        <w:t>and tribunals take various factors into consideration.</w:t>
      </w:r>
      <w:r w:rsidR="00743099" w:rsidRPr="0084150A">
        <w:t xml:space="preserve"> </w:t>
      </w:r>
    </w:p>
    <w:p w14:paraId="4F6D4737" w14:textId="57B3C31D" w:rsidR="00A0673D" w:rsidRPr="0084150A" w:rsidRDefault="00D54B8D" w:rsidP="00BC2605">
      <w:pPr>
        <w:pStyle w:val="Citationendoubleretrait"/>
        <w:spacing w:before="120" w:after="120"/>
        <w:ind w:left="1236" w:right="851"/>
      </w:pPr>
      <w:r w:rsidRPr="0084150A">
        <w:lastRenderedPageBreak/>
        <w:t xml:space="preserve">First, the tribunals assess the imminence of the transaction, </w:t>
      </w:r>
      <w:r w:rsidR="004942BA">
        <w:t>the high degree of progress of</w:t>
      </w:r>
      <w:r w:rsidRPr="0084150A">
        <w:t xml:space="preserve"> negotiations, and how serious they are.</w:t>
      </w:r>
      <w:r w:rsidR="005D25C5" w:rsidRPr="0084150A">
        <w:t xml:space="preserve"> </w:t>
      </w:r>
      <w:r w:rsidR="00017F5F">
        <w:t xml:space="preserve">If </w:t>
      </w:r>
      <w:r w:rsidR="00503CAC" w:rsidRPr="0084150A">
        <w:t>an agreement-in-principle</w:t>
      </w:r>
      <w:r w:rsidR="00017F5F">
        <w:t xml:space="preserve"> has been entered into</w:t>
      </w:r>
      <w:r w:rsidR="00503CAC" w:rsidRPr="0084150A">
        <w:t xml:space="preserve"> or </w:t>
      </w:r>
      <w:r w:rsidR="00017F5F" w:rsidRPr="0084150A">
        <w:t xml:space="preserve">significant details, such as the ask price for the shares, </w:t>
      </w:r>
      <w:r w:rsidR="00017F5F">
        <w:t xml:space="preserve">are </w:t>
      </w:r>
      <w:r w:rsidR="00503CAC" w:rsidRPr="0084150A">
        <w:t>know</w:t>
      </w:r>
      <w:r w:rsidR="00017F5F">
        <w:t>n,</w:t>
      </w:r>
      <w:r w:rsidR="00503CAC" w:rsidRPr="0084150A">
        <w:t xml:space="preserve"> </w:t>
      </w:r>
      <w:r w:rsidR="00017F5F">
        <w:t xml:space="preserve">this is </w:t>
      </w:r>
      <w:r w:rsidR="00503CAC" w:rsidRPr="0084150A">
        <w:t>important.</w:t>
      </w:r>
    </w:p>
    <w:p w14:paraId="2E51ED03" w14:textId="3872767C" w:rsidR="00A0673D" w:rsidRPr="0084150A" w:rsidRDefault="00B40758" w:rsidP="00BC2605">
      <w:pPr>
        <w:pStyle w:val="Citationendoubleretrait"/>
        <w:spacing w:before="120" w:after="120"/>
        <w:ind w:left="1236" w:right="851"/>
      </w:pPr>
      <w:r w:rsidRPr="0084150A">
        <w:t xml:space="preserve">Second, decision-making bodies examine whether the parties hired professionals (investment banks, legal counsel, accountants) with a view to </w:t>
      </w:r>
      <w:r w:rsidR="00F14A2D">
        <w:t>carrying out</w:t>
      </w:r>
      <w:r w:rsidR="00F14A2D" w:rsidRPr="0084150A">
        <w:t xml:space="preserve"> </w:t>
      </w:r>
      <w:r w:rsidRPr="0084150A">
        <w:t>the transaction.</w:t>
      </w:r>
      <w:r w:rsidR="005D25C5" w:rsidRPr="0084150A">
        <w:t xml:space="preserve"> </w:t>
      </w:r>
    </w:p>
    <w:p w14:paraId="17FE5260" w14:textId="0298D40E" w:rsidR="00A0673D" w:rsidRPr="0084150A" w:rsidRDefault="009B5BE7" w:rsidP="00BC2605">
      <w:pPr>
        <w:pStyle w:val="Citationendoubleretrait"/>
        <w:spacing w:before="120" w:after="120"/>
        <w:ind w:left="1236" w:right="851"/>
      </w:pPr>
      <w:r w:rsidRPr="0084150A">
        <w:t xml:space="preserve">Third, direct discussions between the key stakeholders, and not merely between professional intermediaries, will </w:t>
      </w:r>
      <w:proofErr w:type="gramStart"/>
      <w:r w:rsidRPr="0084150A">
        <w:t xml:space="preserve">be considered </w:t>
      </w:r>
      <w:r w:rsidR="00F14A2D">
        <w:t>to be</w:t>
      </w:r>
      <w:proofErr w:type="gramEnd"/>
      <w:r w:rsidR="00F14A2D" w:rsidRPr="0084150A">
        <w:t xml:space="preserve"> </w:t>
      </w:r>
      <w:r w:rsidR="00F14A2D">
        <w:t>probative</w:t>
      </w:r>
      <w:r w:rsidR="00F14A2D" w:rsidRPr="0084150A">
        <w:t xml:space="preserve"> </w:t>
      </w:r>
      <w:r w:rsidRPr="0084150A">
        <w:t>indicators</w:t>
      </w:r>
      <w:r w:rsidR="00B57BDD" w:rsidRPr="0084150A">
        <w:t>.</w:t>
      </w:r>
      <w:r w:rsidR="005D25C5" w:rsidRPr="0084150A">
        <w:rPr>
          <w:rStyle w:val="Appelnotedebasdep"/>
        </w:rPr>
        <w:footnoteReference w:id="56"/>
      </w:r>
      <w:r w:rsidR="00427578" w:rsidRPr="0084150A">
        <w:t> </w:t>
      </w:r>
    </w:p>
    <w:p w14:paraId="3DB08816" w14:textId="665DC6CD" w:rsidR="00BC2605" w:rsidRPr="005E07F3" w:rsidRDefault="005D25C5" w:rsidP="00BC2605">
      <w:pPr>
        <w:pStyle w:val="Citationendoubleretrait"/>
        <w:spacing w:before="120" w:after="120"/>
        <w:ind w:left="1236" w:right="851"/>
      </w:pPr>
      <w:r w:rsidRPr="005E07F3">
        <w:t>[Citations omitted.]</w:t>
      </w:r>
    </w:p>
    <w:p w14:paraId="6790714D" w14:textId="1C256A87" w:rsidR="00270C13" w:rsidRPr="0084150A" w:rsidRDefault="007D60C2" w:rsidP="001E1CFA">
      <w:pPr>
        <w:pStyle w:val="Paragraphe"/>
        <w:rPr>
          <w:lang w:val="en-CA"/>
        </w:rPr>
      </w:pPr>
      <w:r w:rsidRPr="0084150A">
        <w:rPr>
          <w:lang w:val="en-CA"/>
        </w:rPr>
        <w:t xml:space="preserve">The Tribunal already concluded that, on November 3, 2017, </w:t>
      </w:r>
      <w:r w:rsidR="007F0FAC">
        <w:rPr>
          <w:lang w:val="en-CA"/>
        </w:rPr>
        <w:t>following</w:t>
      </w:r>
      <w:r w:rsidR="007F0FAC" w:rsidRPr="0084150A">
        <w:rPr>
          <w:lang w:val="en-CA"/>
        </w:rPr>
        <w:t xml:space="preserve"> </w:t>
      </w:r>
      <w:r w:rsidRPr="0084150A">
        <w:rPr>
          <w:lang w:val="en-CA"/>
        </w:rPr>
        <w:t xml:space="preserve">the conference call with the </w:t>
      </w:r>
      <w:r w:rsidR="00C97E65">
        <w:rPr>
          <w:lang w:val="en-CA"/>
        </w:rPr>
        <w:t xml:space="preserve">member </w:t>
      </w:r>
      <w:r w:rsidRPr="0084150A">
        <w:rPr>
          <w:lang w:val="en-CA"/>
        </w:rPr>
        <w:t xml:space="preserve">banks of the syndicate of lenders, Philippe Gauthier knew that the syndicated credit agreement had to be amended to avoid an event of default and thereby allow the </w:t>
      </w:r>
      <w:r w:rsidR="005B1F63">
        <w:rPr>
          <w:lang w:val="en-CA"/>
        </w:rPr>
        <w:t>T</w:t>
      </w:r>
      <w:r w:rsidRPr="0084150A">
        <w:rPr>
          <w:lang w:val="en-CA"/>
        </w:rPr>
        <w:t xml:space="preserve">ransaction to </w:t>
      </w:r>
      <w:r w:rsidR="0096373C">
        <w:rPr>
          <w:lang w:val="en-CA"/>
        </w:rPr>
        <w:t>be completed</w:t>
      </w:r>
      <w:r w:rsidRPr="0084150A">
        <w:rPr>
          <w:lang w:val="en-CA"/>
        </w:rPr>
        <w:t>.</w:t>
      </w:r>
      <w:r w:rsidR="005D25C5" w:rsidRPr="0084150A">
        <w:rPr>
          <w:lang w:val="en-CA"/>
        </w:rPr>
        <w:t xml:space="preserve"> </w:t>
      </w:r>
    </w:p>
    <w:p w14:paraId="62EE2C9E" w14:textId="2551DB90" w:rsidR="003F5319" w:rsidRPr="0084150A" w:rsidRDefault="00396557" w:rsidP="00DB456E">
      <w:pPr>
        <w:pStyle w:val="Paragraphe"/>
        <w:rPr>
          <w:lang w:val="en-CA"/>
        </w:rPr>
      </w:pPr>
      <w:r w:rsidRPr="0084150A">
        <w:rPr>
          <w:lang w:val="en-CA"/>
        </w:rPr>
        <w:t>Credit agreements usually foresee an event of default when there is a change of control, as was the case with Napec, because this can result in a change in the debtor’s financial situation or a change in debtor.</w:t>
      </w:r>
      <w:r w:rsidR="005D25C5" w:rsidRPr="0084150A">
        <w:rPr>
          <w:lang w:val="en-CA"/>
        </w:rPr>
        <w:t xml:space="preserve"> </w:t>
      </w:r>
      <w:r w:rsidR="0043414B" w:rsidRPr="0084150A">
        <w:rPr>
          <w:lang w:val="en-CA"/>
        </w:rPr>
        <w:t>Credit agreements must</w:t>
      </w:r>
      <w:r w:rsidR="00DD28D5">
        <w:rPr>
          <w:lang w:val="en-CA"/>
        </w:rPr>
        <w:t xml:space="preserve"> therefore</w:t>
      </w:r>
      <w:r w:rsidR="0043414B" w:rsidRPr="0084150A">
        <w:rPr>
          <w:lang w:val="en-CA"/>
        </w:rPr>
        <w:t xml:space="preserve"> be amended to </w:t>
      </w:r>
      <w:r w:rsidR="00CA7AE7">
        <w:rPr>
          <w:lang w:val="en-CA"/>
        </w:rPr>
        <w:t>complete</w:t>
      </w:r>
      <w:r w:rsidR="00D34CF8" w:rsidRPr="0084150A">
        <w:rPr>
          <w:lang w:val="en-CA"/>
        </w:rPr>
        <w:t xml:space="preserve"> transactions</w:t>
      </w:r>
      <w:r w:rsidR="0043414B" w:rsidRPr="0084150A">
        <w:rPr>
          <w:lang w:val="en-CA"/>
        </w:rPr>
        <w:t xml:space="preserve"> that </w:t>
      </w:r>
      <w:r w:rsidR="00657A21">
        <w:rPr>
          <w:lang w:val="en-CA"/>
        </w:rPr>
        <w:t>cause</w:t>
      </w:r>
      <w:r w:rsidR="0043414B" w:rsidRPr="0084150A">
        <w:rPr>
          <w:lang w:val="en-CA"/>
        </w:rPr>
        <w:t xml:space="preserve"> a change of control of the debtor.</w:t>
      </w:r>
      <w:r w:rsidR="005D25C5" w:rsidRPr="0084150A">
        <w:rPr>
          <w:lang w:val="en-CA"/>
        </w:rPr>
        <w:t xml:space="preserve"> </w:t>
      </w:r>
      <w:r w:rsidR="00907FAD" w:rsidRPr="0084150A">
        <w:rPr>
          <w:lang w:val="en-CA"/>
        </w:rPr>
        <w:t xml:space="preserve">Such amendments are not made during the preliminary negotiations of a transaction, but rather when the negotiations are serious so that the parties can finalize their </w:t>
      </w:r>
      <w:r w:rsidR="00DD28D5">
        <w:rPr>
          <w:lang w:val="en-CA"/>
        </w:rPr>
        <w:t>project</w:t>
      </w:r>
      <w:r w:rsidR="00907FAD" w:rsidRPr="0084150A">
        <w:rPr>
          <w:lang w:val="en-CA"/>
        </w:rPr>
        <w:t>.</w:t>
      </w:r>
      <w:r w:rsidR="005D25C5" w:rsidRPr="0084150A">
        <w:rPr>
          <w:lang w:val="en-CA"/>
        </w:rPr>
        <w:t xml:space="preserve"> </w:t>
      </w:r>
      <w:r w:rsidR="00072EEE" w:rsidRPr="0084150A">
        <w:rPr>
          <w:lang w:val="en-CA"/>
        </w:rPr>
        <w:t>In practice, when a change of control is</w:t>
      </w:r>
      <w:r w:rsidR="00DD28D5">
        <w:rPr>
          <w:lang w:val="en-CA"/>
        </w:rPr>
        <w:t xml:space="preserve"> being</w:t>
      </w:r>
      <w:r w:rsidR="00072EEE" w:rsidRPr="0084150A">
        <w:rPr>
          <w:lang w:val="en-CA"/>
        </w:rPr>
        <w:t xml:space="preserve"> seriously considered, the parties then</w:t>
      </w:r>
      <w:r w:rsidR="001B6067">
        <w:rPr>
          <w:lang w:val="en-CA"/>
        </w:rPr>
        <w:t xml:space="preserve"> </w:t>
      </w:r>
      <w:r w:rsidR="005B1F63">
        <w:rPr>
          <w:lang w:val="en-CA"/>
        </w:rPr>
        <w:t xml:space="preserve">complete </w:t>
      </w:r>
      <w:r w:rsidR="00DD28D5">
        <w:rPr>
          <w:lang w:val="en-CA"/>
        </w:rPr>
        <w:t>due diligence</w:t>
      </w:r>
      <w:r w:rsidR="00072EEE" w:rsidRPr="0084150A">
        <w:rPr>
          <w:lang w:val="en-CA"/>
        </w:rPr>
        <w:t xml:space="preserve"> and examine, among other things, </w:t>
      </w:r>
      <w:r w:rsidR="00A42CDD" w:rsidRPr="0084150A">
        <w:rPr>
          <w:lang w:val="en-CA"/>
        </w:rPr>
        <w:t>all</w:t>
      </w:r>
      <w:r w:rsidR="00072EEE" w:rsidRPr="0084150A">
        <w:rPr>
          <w:lang w:val="en-CA"/>
        </w:rPr>
        <w:t xml:space="preserve"> the agreements that may be affected by this change of control, such as credit agreements.</w:t>
      </w:r>
      <w:r w:rsidR="005D25C5" w:rsidRPr="0084150A">
        <w:rPr>
          <w:lang w:val="en-CA"/>
        </w:rPr>
        <w:t xml:space="preserve"> </w:t>
      </w:r>
    </w:p>
    <w:p w14:paraId="06C5F0D4" w14:textId="30B1F750" w:rsidR="00BC0044" w:rsidRPr="0084150A" w:rsidRDefault="00CE20EA" w:rsidP="00BC0044">
      <w:pPr>
        <w:pStyle w:val="Paragraphe"/>
        <w:rPr>
          <w:lang w:val="en-CA"/>
        </w:rPr>
      </w:pPr>
      <w:r w:rsidRPr="0084150A">
        <w:rPr>
          <w:lang w:val="en-CA"/>
        </w:rPr>
        <w:t xml:space="preserve">Due to </w:t>
      </w:r>
      <w:r w:rsidR="005872CC">
        <w:rPr>
          <w:lang w:val="en-CA"/>
        </w:rPr>
        <w:t>his position</w:t>
      </w:r>
      <w:r w:rsidRPr="0084150A">
        <w:rPr>
          <w:lang w:val="en-CA"/>
        </w:rPr>
        <w:t xml:space="preserve"> at </w:t>
      </w:r>
      <w:r w:rsidR="00A432AF" w:rsidRPr="0084150A">
        <w:rPr>
          <w:lang w:val="en-CA"/>
        </w:rPr>
        <w:t>LBC</w:t>
      </w:r>
      <w:r w:rsidRPr="0084150A">
        <w:rPr>
          <w:lang w:val="en-CA"/>
        </w:rPr>
        <w:t xml:space="preserve">, as well as the nature of his functions and his experience, the Tribunal is of the view that Philippe Gauthier knew the circumstances that trigger a change of control </w:t>
      </w:r>
      <w:r w:rsidR="00FD0DD8">
        <w:rPr>
          <w:lang w:val="en-CA"/>
        </w:rPr>
        <w:t>requiring</w:t>
      </w:r>
      <w:r w:rsidRPr="0084150A">
        <w:rPr>
          <w:lang w:val="en-CA"/>
        </w:rPr>
        <w:t xml:space="preserve"> amendments to the credit agreement.</w:t>
      </w:r>
      <w:r w:rsidR="001B6067">
        <w:rPr>
          <w:lang w:val="en-CA"/>
        </w:rPr>
        <w:t xml:space="preserve"> </w:t>
      </w:r>
    </w:p>
    <w:p w14:paraId="0BEA31AD" w14:textId="02F469F5" w:rsidR="0084538E" w:rsidRPr="0084150A" w:rsidRDefault="002B1D88" w:rsidP="003F5319">
      <w:pPr>
        <w:pStyle w:val="Paragraphe"/>
        <w:rPr>
          <w:lang w:val="en-CA"/>
        </w:rPr>
      </w:pPr>
      <w:r w:rsidRPr="0084150A">
        <w:rPr>
          <w:lang w:val="en-CA"/>
        </w:rPr>
        <w:t xml:space="preserve">The Tribunal also recalls that the attachment to the email dated November 6, 2017, entitled “Project Drum Discussion Material”, </w:t>
      </w:r>
      <w:r w:rsidR="00A42CDD" w:rsidRPr="0084150A">
        <w:rPr>
          <w:lang w:val="en-CA"/>
        </w:rPr>
        <w:t>which</w:t>
      </w:r>
      <w:r w:rsidRPr="0084150A">
        <w:rPr>
          <w:lang w:val="en-CA"/>
        </w:rPr>
        <w:t xml:space="preserve"> also included a </w:t>
      </w:r>
      <w:r w:rsidR="00A42CDD" w:rsidRPr="0084150A">
        <w:rPr>
          <w:lang w:val="en-CA"/>
        </w:rPr>
        <w:t>detailed</w:t>
      </w:r>
      <w:r w:rsidRPr="0084150A">
        <w:rPr>
          <w:lang w:val="en-CA"/>
        </w:rPr>
        <w:t xml:space="preserve"> description of the </w:t>
      </w:r>
      <w:r w:rsidR="002F34B6">
        <w:rPr>
          <w:lang w:val="en-CA"/>
        </w:rPr>
        <w:t>T</w:t>
      </w:r>
      <w:r w:rsidRPr="0084150A">
        <w:rPr>
          <w:lang w:val="en-CA"/>
        </w:rPr>
        <w:t xml:space="preserve">ransaction—including a bid at a </w:t>
      </w:r>
      <w:r w:rsidR="00553891">
        <w:rPr>
          <w:lang w:val="en-CA"/>
        </w:rPr>
        <w:t>price</w:t>
      </w:r>
      <w:r w:rsidRPr="0084150A">
        <w:rPr>
          <w:lang w:val="en-CA"/>
        </w:rPr>
        <w:t xml:space="preserve"> of $1.95—contain</w:t>
      </w:r>
      <w:r w:rsidR="00A42CDD" w:rsidRPr="0084150A">
        <w:rPr>
          <w:lang w:val="en-CA"/>
        </w:rPr>
        <w:t>ed</w:t>
      </w:r>
      <w:r w:rsidRPr="0084150A">
        <w:rPr>
          <w:lang w:val="en-CA"/>
        </w:rPr>
        <w:t xml:space="preserve"> a statement that the </w:t>
      </w:r>
      <w:r w:rsidR="002F34B6">
        <w:rPr>
          <w:lang w:val="en-CA"/>
        </w:rPr>
        <w:t>T</w:t>
      </w:r>
      <w:r w:rsidRPr="0084150A">
        <w:rPr>
          <w:lang w:val="en-CA"/>
        </w:rPr>
        <w:t>ransaction had to proceed “on an expediated basis with a high degree of certainty of closing”.</w:t>
      </w:r>
      <w:r w:rsidRPr="0084150A">
        <w:rPr>
          <w:rStyle w:val="Appelnotedebasdep"/>
          <w:lang w:val="en-CA"/>
        </w:rPr>
        <w:footnoteReference w:id="57"/>
      </w:r>
    </w:p>
    <w:p w14:paraId="4608B462" w14:textId="104F6BA0" w:rsidR="00BC0044" w:rsidRPr="0084150A" w:rsidRDefault="005D25C5" w:rsidP="005403B9">
      <w:pPr>
        <w:pStyle w:val="Paragraphe"/>
        <w:rPr>
          <w:lang w:val="en-CA"/>
        </w:rPr>
      </w:pPr>
      <w:r w:rsidRPr="0084150A">
        <w:rPr>
          <w:lang w:val="en-CA"/>
        </w:rPr>
        <w:t xml:space="preserve"> </w:t>
      </w:r>
      <w:r w:rsidR="009A3706" w:rsidRPr="0084150A">
        <w:rPr>
          <w:lang w:val="en-CA"/>
        </w:rPr>
        <w:t xml:space="preserve">The Tribunal is of the view that, </w:t>
      </w:r>
      <w:r w:rsidR="005B1F63">
        <w:rPr>
          <w:lang w:val="en-CA"/>
        </w:rPr>
        <w:t>as of</w:t>
      </w:r>
      <w:r w:rsidR="005B1F63" w:rsidRPr="0084150A">
        <w:rPr>
          <w:lang w:val="en-CA"/>
        </w:rPr>
        <w:t xml:space="preserve"> </w:t>
      </w:r>
      <w:r w:rsidR="009A3706" w:rsidRPr="0084150A">
        <w:rPr>
          <w:lang w:val="en-CA"/>
        </w:rPr>
        <w:t>November 3, 2017</w:t>
      </w:r>
      <w:r w:rsidR="00E702E0">
        <w:rPr>
          <w:lang w:val="en-CA"/>
        </w:rPr>
        <w:t>,</w:t>
      </w:r>
      <w:r w:rsidR="009A3706" w:rsidRPr="0084150A">
        <w:rPr>
          <w:lang w:val="en-CA"/>
        </w:rPr>
        <w:t xml:space="preserve"> </w:t>
      </w:r>
      <w:r w:rsidR="005B1F63">
        <w:rPr>
          <w:lang w:val="en-CA"/>
        </w:rPr>
        <w:t>until</w:t>
      </w:r>
      <w:r w:rsidR="009A3706" w:rsidRPr="0084150A">
        <w:rPr>
          <w:lang w:val="en-CA"/>
        </w:rPr>
        <w:t xml:space="preserve"> December 4, 2017, the </w:t>
      </w:r>
      <w:r w:rsidR="005B1F63">
        <w:rPr>
          <w:lang w:val="en-CA"/>
        </w:rPr>
        <w:t>T</w:t>
      </w:r>
      <w:r w:rsidR="009A3706" w:rsidRPr="0084150A">
        <w:rPr>
          <w:lang w:val="en-CA"/>
        </w:rPr>
        <w:t xml:space="preserve">ransaction and any other relevant information associated with the existence and completion thereof had not been disclosed to the public and that, if they had been generally known, they would </w:t>
      </w:r>
      <w:r w:rsidR="00553891">
        <w:rPr>
          <w:lang w:val="en-CA"/>
        </w:rPr>
        <w:t xml:space="preserve">have </w:t>
      </w:r>
      <w:r w:rsidR="009A3706" w:rsidRPr="0084150A">
        <w:rPr>
          <w:lang w:val="en-CA"/>
        </w:rPr>
        <w:t>likely affect</w:t>
      </w:r>
      <w:r w:rsidR="00553891">
        <w:rPr>
          <w:lang w:val="en-CA"/>
        </w:rPr>
        <w:t>ed</w:t>
      </w:r>
      <w:r w:rsidR="009A3706" w:rsidRPr="0084150A">
        <w:rPr>
          <w:lang w:val="en-CA"/>
        </w:rPr>
        <w:t xml:space="preserve"> the decision of a reasonable investor.</w:t>
      </w:r>
      <w:r w:rsidRPr="0084150A">
        <w:rPr>
          <w:lang w:val="en-CA"/>
        </w:rPr>
        <w:t xml:space="preserve"> </w:t>
      </w:r>
    </w:p>
    <w:p w14:paraId="1240E210" w14:textId="60E8A6A7" w:rsidR="00D4744A" w:rsidRPr="0084150A" w:rsidRDefault="000D3ACA" w:rsidP="001E16C6">
      <w:pPr>
        <w:pStyle w:val="Paragraphe"/>
        <w:rPr>
          <w:lang w:val="en-CA"/>
        </w:rPr>
      </w:pPr>
      <w:r w:rsidRPr="0084150A">
        <w:rPr>
          <w:lang w:val="en-CA"/>
        </w:rPr>
        <w:lastRenderedPageBreak/>
        <w:t>Finally, the Tribunal refers to the information circular from Napec management,</w:t>
      </w:r>
      <w:r w:rsidRPr="0084150A">
        <w:rPr>
          <w:rStyle w:val="Appelnotedebasdep"/>
          <w:lang w:val="en-CA"/>
        </w:rPr>
        <w:footnoteReference w:id="58"/>
      </w:r>
      <w:r w:rsidRPr="0084150A">
        <w:rPr>
          <w:lang w:val="en-CA"/>
        </w:rPr>
        <w:t xml:space="preserve"> which confirms the Tribunal’s conclusion as to the characterization of the </w:t>
      </w:r>
      <w:r w:rsidR="00810A19">
        <w:rPr>
          <w:lang w:val="en-CA"/>
        </w:rPr>
        <w:t>T</w:t>
      </w:r>
      <w:r w:rsidRPr="0084150A">
        <w:rPr>
          <w:lang w:val="en-CA"/>
        </w:rPr>
        <w:t xml:space="preserve">ransaction as privileged information within the meaning of the </w:t>
      </w:r>
      <w:r w:rsidRPr="0084150A">
        <w:rPr>
          <w:i/>
          <w:lang w:val="en-CA"/>
        </w:rPr>
        <w:t>SA.</w:t>
      </w:r>
    </w:p>
    <w:p w14:paraId="429B5547" w14:textId="0242D609" w:rsidR="00A0673D" w:rsidRPr="0084150A" w:rsidRDefault="00BA6B9F" w:rsidP="001E16C6">
      <w:pPr>
        <w:pStyle w:val="Paragraphe"/>
        <w:rPr>
          <w:lang w:val="en-CA"/>
        </w:rPr>
      </w:pPr>
      <w:r w:rsidRPr="0084150A">
        <w:rPr>
          <w:lang w:val="en-CA"/>
        </w:rPr>
        <w:t xml:space="preserve">First, the Tribunal points out that Oaktree was a very serious </w:t>
      </w:r>
      <w:r w:rsidR="00035CA9">
        <w:rPr>
          <w:lang w:val="en-CA"/>
        </w:rPr>
        <w:t>buyer</w:t>
      </w:r>
      <w:r w:rsidRPr="0084150A">
        <w:rPr>
          <w:lang w:val="en-CA"/>
        </w:rPr>
        <w:t>.</w:t>
      </w:r>
      <w:r w:rsidR="005D25C5" w:rsidRPr="0084150A">
        <w:rPr>
          <w:lang w:val="en-CA"/>
        </w:rPr>
        <w:t xml:space="preserve"> </w:t>
      </w:r>
      <w:r w:rsidR="001943B4" w:rsidRPr="0084150A">
        <w:rPr>
          <w:lang w:val="en-CA"/>
        </w:rPr>
        <w:t>It is an investment manager based in the United States that ha</w:t>
      </w:r>
      <w:r w:rsidR="00810A19">
        <w:rPr>
          <w:lang w:val="en-CA"/>
        </w:rPr>
        <w:t>s</w:t>
      </w:r>
      <w:r w:rsidR="001943B4" w:rsidRPr="0084150A">
        <w:rPr>
          <w:lang w:val="en-CA"/>
        </w:rPr>
        <w:t xml:space="preserve"> US$100 billion in assets under management as </w:t>
      </w:r>
      <w:proofErr w:type="gramStart"/>
      <w:r w:rsidR="001943B4" w:rsidRPr="0084150A">
        <w:rPr>
          <w:lang w:val="en-CA"/>
        </w:rPr>
        <w:t>at</w:t>
      </w:r>
      <w:proofErr w:type="gramEnd"/>
      <w:r w:rsidR="001943B4" w:rsidRPr="0084150A">
        <w:rPr>
          <w:lang w:val="en-CA"/>
        </w:rPr>
        <w:t xml:space="preserve"> September 30, 2017.</w:t>
      </w:r>
      <w:r w:rsidR="001943B4" w:rsidRPr="0084150A">
        <w:rPr>
          <w:vertAlign w:val="superscript"/>
          <w:lang w:val="en-CA"/>
        </w:rPr>
        <w:footnoteReference w:id="59"/>
      </w:r>
      <w:r w:rsidR="005D25C5" w:rsidRPr="0084150A">
        <w:rPr>
          <w:lang w:val="en-CA"/>
        </w:rPr>
        <w:t xml:space="preserve"> </w:t>
      </w:r>
      <w:r w:rsidR="00C25F03" w:rsidRPr="0084150A">
        <w:rPr>
          <w:lang w:val="en-CA"/>
        </w:rPr>
        <w:t>On November 3, 2017, negotiations between Napec and Oaktree were advanced.</w:t>
      </w:r>
      <w:r w:rsidR="005D25C5" w:rsidRPr="0084150A">
        <w:rPr>
          <w:lang w:val="en-CA"/>
        </w:rPr>
        <w:t xml:space="preserve"> </w:t>
      </w:r>
      <w:r w:rsidR="0065474C" w:rsidRPr="0084150A">
        <w:rPr>
          <w:lang w:val="en-CA"/>
        </w:rPr>
        <w:t xml:space="preserve">The </w:t>
      </w:r>
      <w:r w:rsidR="00810A19">
        <w:rPr>
          <w:lang w:val="en-CA"/>
        </w:rPr>
        <w:t>T</w:t>
      </w:r>
      <w:r w:rsidR="0065474C" w:rsidRPr="0084150A">
        <w:rPr>
          <w:lang w:val="en-CA"/>
        </w:rPr>
        <w:t>ransaction was imminent</w:t>
      </w:r>
      <w:r w:rsidR="00810A19">
        <w:rPr>
          <w:lang w:val="en-CA"/>
        </w:rPr>
        <w:t>.</w:t>
      </w:r>
      <w:r w:rsidR="0065474C" w:rsidRPr="0084150A">
        <w:rPr>
          <w:lang w:val="en-CA"/>
        </w:rPr>
        <w:t xml:space="preserve"> </w:t>
      </w:r>
      <w:r w:rsidR="00810A19">
        <w:rPr>
          <w:lang w:val="en-CA"/>
        </w:rPr>
        <w:t>H</w:t>
      </w:r>
      <w:r w:rsidR="0065474C" w:rsidRPr="0084150A">
        <w:rPr>
          <w:lang w:val="en-CA"/>
        </w:rPr>
        <w:t>ere is why:</w:t>
      </w:r>
    </w:p>
    <w:p w14:paraId="5C236453" w14:textId="4465EBC5" w:rsidR="00A0673D" w:rsidRPr="0084150A" w:rsidRDefault="00A94EAE" w:rsidP="00487717">
      <w:pPr>
        <w:pStyle w:val="Paragraphe"/>
        <w:numPr>
          <w:ilvl w:val="0"/>
          <w:numId w:val="2"/>
        </w:numPr>
        <w:rPr>
          <w:lang w:val="en-CA"/>
        </w:rPr>
      </w:pPr>
      <w:r w:rsidRPr="0084150A">
        <w:rPr>
          <w:lang w:val="en-CA"/>
        </w:rPr>
        <w:t>The parties concluded a confidentiality agreement on January 11, 2017.</w:t>
      </w:r>
      <w:r w:rsidRPr="0084150A">
        <w:rPr>
          <w:vertAlign w:val="superscript"/>
          <w:lang w:val="en-CA"/>
        </w:rPr>
        <w:footnoteReference w:id="60"/>
      </w:r>
    </w:p>
    <w:p w14:paraId="54CCB4B2" w14:textId="4DB8AFAD" w:rsidR="00A0673D" w:rsidRPr="0084150A" w:rsidRDefault="00DC5342" w:rsidP="00487717">
      <w:pPr>
        <w:pStyle w:val="Paragraphe"/>
        <w:numPr>
          <w:ilvl w:val="0"/>
          <w:numId w:val="2"/>
        </w:numPr>
        <w:rPr>
          <w:lang w:val="en-CA"/>
        </w:rPr>
      </w:pPr>
      <w:r>
        <w:rPr>
          <w:lang w:val="en-CA"/>
        </w:rPr>
        <w:t>Following</w:t>
      </w:r>
      <w:r w:rsidR="005A1F30" w:rsidRPr="0084150A">
        <w:rPr>
          <w:lang w:val="en-CA"/>
        </w:rPr>
        <w:t xml:space="preserve"> the receipt of an initial proposal by Oaktree, the members of Napec’s board of directors created a special committee on March 7, 2017.</w:t>
      </w:r>
      <w:r w:rsidR="005A1F30" w:rsidRPr="0084150A">
        <w:rPr>
          <w:vertAlign w:val="superscript"/>
          <w:lang w:val="en-CA"/>
        </w:rPr>
        <w:footnoteReference w:id="61"/>
      </w:r>
      <w:r w:rsidR="005D25C5" w:rsidRPr="0084150A">
        <w:rPr>
          <w:lang w:val="en-CA"/>
        </w:rPr>
        <w:t xml:space="preserve"> </w:t>
      </w:r>
    </w:p>
    <w:p w14:paraId="4C3CE3C2" w14:textId="4D7EDE01" w:rsidR="00A0673D" w:rsidRPr="0084150A" w:rsidRDefault="00587F8A" w:rsidP="00487717">
      <w:pPr>
        <w:pStyle w:val="Paragraphe"/>
        <w:numPr>
          <w:ilvl w:val="0"/>
          <w:numId w:val="2"/>
        </w:numPr>
        <w:rPr>
          <w:lang w:val="en-CA"/>
        </w:rPr>
      </w:pPr>
      <w:r w:rsidRPr="0084150A">
        <w:rPr>
          <w:lang w:val="en-CA"/>
        </w:rPr>
        <w:t xml:space="preserve">On March 13, 2017, the special committee recommended </w:t>
      </w:r>
      <w:r w:rsidR="005F5057">
        <w:rPr>
          <w:lang w:val="en-CA"/>
        </w:rPr>
        <w:t>that</w:t>
      </w:r>
      <w:r w:rsidR="005F5057" w:rsidRPr="0084150A">
        <w:rPr>
          <w:lang w:val="en-CA"/>
        </w:rPr>
        <w:t xml:space="preserve"> </w:t>
      </w:r>
      <w:r w:rsidRPr="0084150A">
        <w:rPr>
          <w:lang w:val="en-CA"/>
        </w:rPr>
        <w:t>the board of directors retain legal counsel with respect to Oaktree’s proposal.</w:t>
      </w:r>
      <w:r w:rsidR="005D25C5" w:rsidRPr="0084150A">
        <w:rPr>
          <w:lang w:val="en-CA"/>
        </w:rPr>
        <w:t xml:space="preserve"> </w:t>
      </w:r>
    </w:p>
    <w:p w14:paraId="56FA742C" w14:textId="584AB87C" w:rsidR="00A0673D" w:rsidRPr="0084150A" w:rsidRDefault="006F067D" w:rsidP="00487717">
      <w:pPr>
        <w:pStyle w:val="Paragraphe"/>
        <w:numPr>
          <w:ilvl w:val="0"/>
          <w:numId w:val="2"/>
        </w:numPr>
        <w:rPr>
          <w:lang w:val="en-CA"/>
        </w:rPr>
      </w:pPr>
      <w:r w:rsidRPr="0084150A">
        <w:rPr>
          <w:lang w:val="en-CA"/>
        </w:rPr>
        <w:t>On March 27, 2017, the services of financial advisors were retained.</w:t>
      </w:r>
      <w:r w:rsidRPr="0084150A">
        <w:rPr>
          <w:vertAlign w:val="superscript"/>
          <w:lang w:val="en-CA"/>
        </w:rPr>
        <w:footnoteReference w:id="62"/>
      </w:r>
      <w:r w:rsidR="005D25C5" w:rsidRPr="0084150A">
        <w:rPr>
          <w:lang w:val="en-CA"/>
        </w:rPr>
        <w:t xml:space="preserve"> </w:t>
      </w:r>
    </w:p>
    <w:p w14:paraId="6147AEFF" w14:textId="69720DC7" w:rsidR="00A0673D" w:rsidRPr="0084150A" w:rsidRDefault="00314F03" w:rsidP="00487717">
      <w:pPr>
        <w:pStyle w:val="Paragraphe"/>
        <w:numPr>
          <w:ilvl w:val="0"/>
          <w:numId w:val="2"/>
        </w:numPr>
        <w:rPr>
          <w:lang w:val="en-CA"/>
        </w:rPr>
      </w:pPr>
      <w:r w:rsidRPr="0084150A">
        <w:rPr>
          <w:lang w:val="en-CA"/>
        </w:rPr>
        <w:t xml:space="preserve">The negotiations </w:t>
      </w:r>
      <w:r w:rsidR="00B42B71">
        <w:rPr>
          <w:lang w:val="en-CA"/>
        </w:rPr>
        <w:t>then</w:t>
      </w:r>
      <w:r w:rsidR="00B42B71" w:rsidRPr="0084150A">
        <w:rPr>
          <w:lang w:val="en-CA"/>
        </w:rPr>
        <w:t xml:space="preserve"> </w:t>
      </w:r>
      <w:proofErr w:type="gramStart"/>
      <w:r w:rsidRPr="0084150A">
        <w:rPr>
          <w:lang w:val="en-CA"/>
        </w:rPr>
        <w:t>continued</w:t>
      </w:r>
      <w:proofErr w:type="gramEnd"/>
      <w:r w:rsidRPr="0084150A">
        <w:rPr>
          <w:lang w:val="en-CA"/>
        </w:rPr>
        <w:t xml:space="preserve"> and Oaktree presented other acquisition proposals to Napec.</w:t>
      </w:r>
      <w:r w:rsidR="005D25C5" w:rsidRPr="0084150A">
        <w:rPr>
          <w:lang w:val="en-CA"/>
        </w:rPr>
        <w:t xml:space="preserve"> </w:t>
      </w:r>
      <w:r w:rsidR="004B395E" w:rsidRPr="0084150A">
        <w:rPr>
          <w:lang w:val="en-CA"/>
        </w:rPr>
        <w:t xml:space="preserve">On August 30, 2017, Oaktree presented an </w:t>
      </w:r>
      <w:r w:rsidR="00B42B71">
        <w:rPr>
          <w:lang w:val="en-CA"/>
        </w:rPr>
        <w:t>improved</w:t>
      </w:r>
      <w:r w:rsidR="00B42B71" w:rsidRPr="0084150A">
        <w:rPr>
          <w:lang w:val="en-CA"/>
        </w:rPr>
        <w:t xml:space="preserve"> </w:t>
      </w:r>
      <w:r w:rsidR="004B395E" w:rsidRPr="0084150A">
        <w:rPr>
          <w:lang w:val="en-CA"/>
        </w:rPr>
        <w:t xml:space="preserve">revised offer </w:t>
      </w:r>
      <w:r w:rsidR="00B42B71">
        <w:rPr>
          <w:lang w:val="en-CA"/>
        </w:rPr>
        <w:t>in respect of</w:t>
      </w:r>
      <w:r w:rsidR="00B42B71" w:rsidRPr="0084150A">
        <w:rPr>
          <w:lang w:val="en-CA"/>
        </w:rPr>
        <w:t xml:space="preserve"> </w:t>
      </w:r>
      <w:r w:rsidR="004B395E" w:rsidRPr="0084150A">
        <w:rPr>
          <w:lang w:val="en-CA"/>
        </w:rPr>
        <w:t>its proposal to acquire Napec at a</w:t>
      </w:r>
      <w:r w:rsidR="00B42B71">
        <w:rPr>
          <w:lang w:val="en-CA"/>
        </w:rPr>
        <w:t xml:space="preserve">n increased </w:t>
      </w:r>
      <w:r w:rsidR="004B2A87">
        <w:rPr>
          <w:lang w:val="en-CA"/>
        </w:rPr>
        <w:t xml:space="preserve">share </w:t>
      </w:r>
      <w:r w:rsidR="00B42B71">
        <w:rPr>
          <w:lang w:val="en-CA"/>
        </w:rPr>
        <w:t>price</w:t>
      </w:r>
      <w:r w:rsidR="004B395E" w:rsidRPr="0084150A">
        <w:rPr>
          <w:lang w:val="en-CA"/>
        </w:rPr>
        <w:t xml:space="preserve"> of $1.95.</w:t>
      </w:r>
      <w:r w:rsidR="004B395E" w:rsidRPr="0084150A">
        <w:rPr>
          <w:vertAlign w:val="superscript"/>
          <w:lang w:val="en-CA"/>
        </w:rPr>
        <w:footnoteReference w:id="63"/>
      </w:r>
    </w:p>
    <w:p w14:paraId="161165E0" w14:textId="13617B95" w:rsidR="00A0673D" w:rsidRPr="0084150A" w:rsidRDefault="000F0CFE" w:rsidP="00487717">
      <w:pPr>
        <w:pStyle w:val="Paragraphe"/>
        <w:numPr>
          <w:ilvl w:val="0"/>
          <w:numId w:val="2"/>
        </w:numPr>
        <w:rPr>
          <w:lang w:val="en-CA"/>
        </w:rPr>
      </w:pPr>
      <w:r w:rsidRPr="0084150A">
        <w:rPr>
          <w:lang w:val="en-CA"/>
        </w:rPr>
        <w:t>On September 19, 2017, Napec’s special committee recommended that the board of directors authorize Napec to sign a letter of intent with Oaktree with respect to the proposed acquisition at a</w:t>
      </w:r>
      <w:r w:rsidR="004B2A87">
        <w:rPr>
          <w:lang w:val="en-CA"/>
        </w:rPr>
        <w:t xml:space="preserve"> share</w:t>
      </w:r>
      <w:r w:rsidRPr="0084150A">
        <w:rPr>
          <w:lang w:val="en-CA"/>
        </w:rPr>
        <w:t xml:space="preserve"> price of $1.95.</w:t>
      </w:r>
      <w:r w:rsidRPr="0084150A">
        <w:rPr>
          <w:vertAlign w:val="superscript"/>
          <w:lang w:val="en-CA"/>
        </w:rPr>
        <w:footnoteReference w:id="64"/>
      </w:r>
    </w:p>
    <w:p w14:paraId="347DF1CE" w14:textId="78802224" w:rsidR="00A0673D" w:rsidRPr="0084150A" w:rsidRDefault="009F5F0B" w:rsidP="00487717">
      <w:pPr>
        <w:pStyle w:val="Paragraphe"/>
        <w:numPr>
          <w:ilvl w:val="0"/>
          <w:numId w:val="2"/>
        </w:numPr>
        <w:rPr>
          <w:lang w:val="en-CA"/>
        </w:rPr>
      </w:pPr>
      <w:r w:rsidRPr="0084150A">
        <w:rPr>
          <w:lang w:val="en-CA"/>
        </w:rPr>
        <w:t xml:space="preserve">On October 6, 2017, the special committee retained the services of financial advisors to </w:t>
      </w:r>
      <w:r w:rsidR="004B2A87">
        <w:rPr>
          <w:lang w:val="en-CA"/>
        </w:rPr>
        <w:t>obtain</w:t>
      </w:r>
      <w:r w:rsidR="004B2A87" w:rsidRPr="0084150A">
        <w:rPr>
          <w:lang w:val="en-CA"/>
        </w:rPr>
        <w:t xml:space="preserve"> </w:t>
      </w:r>
      <w:r w:rsidRPr="0084150A">
        <w:rPr>
          <w:lang w:val="en-CA"/>
        </w:rPr>
        <w:t xml:space="preserve">an </w:t>
      </w:r>
      <w:r w:rsidR="007D6D9A">
        <w:rPr>
          <w:lang w:val="en-CA"/>
        </w:rPr>
        <w:t xml:space="preserve">independent fairness </w:t>
      </w:r>
      <w:r w:rsidRPr="0084150A">
        <w:rPr>
          <w:lang w:val="en-CA"/>
        </w:rPr>
        <w:t xml:space="preserve">opinion </w:t>
      </w:r>
      <w:r w:rsidR="00723369">
        <w:rPr>
          <w:lang w:val="en-CA"/>
        </w:rPr>
        <w:t>regarding</w:t>
      </w:r>
      <w:r w:rsidR="001B6067">
        <w:rPr>
          <w:lang w:val="en-CA"/>
        </w:rPr>
        <w:t xml:space="preserve"> </w:t>
      </w:r>
      <w:r w:rsidRPr="0084150A">
        <w:rPr>
          <w:lang w:val="en-CA"/>
        </w:rPr>
        <w:t xml:space="preserve">a </w:t>
      </w:r>
      <w:r w:rsidR="00131E5A">
        <w:rPr>
          <w:lang w:val="en-CA"/>
        </w:rPr>
        <w:t>transaction</w:t>
      </w:r>
      <w:r w:rsidRPr="0084150A">
        <w:rPr>
          <w:lang w:val="en-CA"/>
        </w:rPr>
        <w:t xml:space="preserve"> with Oaktree.</w:t>
      </w:r>
      <w:r w:rsidRPr="0084150A">
        <w:rPr>
          <w:vertAlign w:val="superscript"/>
          <w:lang w:val="en-CA"/>
        </w:rPr>
        <w:footnoteReference w:id="65"/>
      </w:r>
    </w:p>
    <w:p w14:paraId="3AA063F8" w14:textId="0793FE27" w:rsidR="00252B9E" w:rsidRPr="0084150A" w:rsidRDefault="00E97173" w:rsidP="00487717">
      <w:pPr>
        <w:pStyle w:val="Paragraphe"/>
        <w:numPr>
          <w:ilvl w:val="0"/>
          <w:numId w:val="2"/>
        </w:numPr>
        <w:rPr>
          <w:lang w:val="en-CA"/>
        </w:rPr>
      </w:pPr>
      <w:r w:rsidRPr="0084150A">
        <w:rPr>
          <w:lang w:val="en-CA"/>
        </w:rPr>
        <w:t xml:space="preserve">Starting on October 25, 2017, representatives of Napec and Oaktree, accompanied by their respective legal counsel, continued negotiations regarding the conditions of the </w:t>
      </w:r>
      <w:r w:rsidR="00554335">
        <w:rPr>
          <w:lang w:val="en-CA"/>
        </w:rPr>
        <w:t>transaction</w:t>
      </w:r>
      <w:r w:rsidR="00863501">
        <w:rPr>
          <w:lang w:val="en-CA"/>
        </w:rPr>
        <w:t xml:space="preserve"> that</w:t>
      </w:r>
      <w:r w:rsidRPr="0084150A">
        <w:rPr>
          <w:lang w:val="en-CA"/>
        </w:rPr>
        <w:t xml:space="preserve"> were still </w:t>
      </w:r>
      <w:r w:rsidR="00F7476F">
        <w:rPr>
          <w:lang w:val="en-CA"/>
        </w:rPr>
        <w:t>outstanding</w:t>
      </w:r>
      <w:r w:rsidRPr="0084150A">
        <w:rPr>
          <w:lang w:val="en-CA"/>
        </w:rPr>
        <w:t>.</w:t>
      </w:r>
      <w:r w:rsidRPr="0084150A">
        <w:rPr>
          <w:vertAlign w:val="superscript"/>
          <w:lang w:val="en-CA"/>
        </w:rPr>
        <w:footnoteReference w:id="66"/>
      </w:r>
    </w:p>
    <w:p w14:paraId="5B674DE6" w14:textId="1C8C84FC" w:rsidR="00A0673D" w:rsidRPr="0084150A" w:rsidRDefault="00C00D85" w:rsidP="00487717">
      <w:pPr>
        <w:pStyle w:val="Paragraphe"/>
        <w:numPr>
          <w:ilvl w:val="0"/>
          <w:numId w:val="2"/>
        </w:numPr>
        <w:rPr>
          <w:lang w:val="en-CA"/>
        </w:rPr>
      </w:pPr>
      <w:r w:rsidRPr="0084150A">
        <w:rPr>
          <w:lang w:val="en-CA"/>
        </w:rPr>
        <w:t xml:space="preserve">On November 1, 2017, BMO retained the services of BLG to represent it and the syndicate of lenders </w:t>
      </w:r>
      <w:r w:rsidR="00863501">
        <w:rPr>
          <w:lang w:val="en-CA"/>
        </w:rPr>
        <w:t>and</w:t>
      </w:r>
      <w:r w:rsidR="00863501" w:rsidRPr="0084150A">
        <w:rPr>
          <w:lang w:val="en-CA"/>
        </w:rPr>
        <w:t xml:space="preserve"> </w:t>
      </w:r>
      <w:r w:rsidRPr="0084150A">
        <w:rPr>
          <w:lang w:val="en-CA"/>
        </w:rPr>
        <w:t>prepar</w:t>
      </w:r>
      <w:r w:rsidR="00863501">
        <w:rPr>
          <w:lang w:val="en-CA"/>
        </w:rPr>
        <w:t>e</w:t>
      </w:r>
      <w:r w:rsidRPr="0084150A">
        <w:rPr>
          <w:lang w:val="en-CA"/>
        </w:rPr>
        <w:t xml:space="preserve"> an agreement to amend the syndicated credit agreement with a view to</w:t>
      </w:r>
      <w:r w:rsidR="00554335">
        <w:rPr>
          <w:lang w:val="en-CA"/>
        </w:rPr>
        <w:t xml:space="preserve">, among other things, </w:t>
      </w:r>
      <w:r w:rsidRPr="0084150A">
        <w:rPr>
          <w:lang w:val="en-CA"/>
        </w:rPr>
        <w:t xml:space="preserve">authorizing the </w:t>
      </w:r>
      <w:r w:rsidR="00863501">
        <w:rPr>
          <w:lang w:val="en-CA"/>
        </w:rPr>
        <w:t>T</w:t>
      </w:r>
      <w:r w:rsidRPr="0084150A">
        <w:rPr>
          <w:lang w:val="en-CA"/>
        </w:rPr>
        <w:t>ransaction.</w:t>
      </w:r>
      <w:r w:rsidRPr="0084150A">
        <w:rPr>
          <w:rStyle w:val="Appelnotedebasdep"/>
          <w:lang w:val="en-CA"/>
        </w:rPr>
        <w:footnoteReference w:id="67"/>
      </w:r>
    </w:p>
    <w:p w14:paraId="6CBC6E2B" w14:textId="6F4FADF0" w:rsidR="00837D2C" w:rsidRPr="0084150A" w:rsidRDefault="006835A8" w:rsidP="00837D2C">
      <w:pPr>
        <w:pStyle w:val="Paragraphe"/>
        <w:rPr>
          <w:lang w:val="en-CA"/>
        </w:rPr>
      </w:pPr>
      <w:r w:rsidRPr="0084150A">
        <w:rPr>
          <w:lang w:val="en-CA"/>
        </w:rPr>
        <w:lastRenderedPageBreak/>
        <w:t xml:space="preserve">Thus, </w:t>
      </w:r>
      <w:r w:rsidR="00F44B12">
        <w:rPr>
          <w:lang w:val="en-CA"/>
        </w:rPr>
        <w:t>t</w:t>
      </w:r>
      <w:r w:rsidRPr="0084150A">
        <w:rPr>
          <w:lang w:val="en-CA"/>
        </w:rPr>
        <w:t xml:space="preserve">he Tribunal finds that, according to the evidence adduced by the Authority, on November 3, 2017, the </w:t>
      </w:r>
      <w:r w:rsidR="00863501">
        <w:rPr>
          <w:lang w:val="en-CA"/>
        </w:rPr>
        <w:t>T</w:t>
      </w:r>
      <w:r w:rsidRPr="0084150A">
        <w:rPr>
          <w:lang w:val="en-CA"/>
        </w:rPr>
        <w:t>ransaction was confidential, it was important to Napec, and it was imminent.</w:t>
      </w:r>
      <w:r w:rsidR="00A0673D" w:rsidRPr="0084150A">
        <w:rPr>
          <w:lang w:val="en-CA"/>
        </w:rPr>
        <w:t xml:space="preserve"> </w:t>
      </w:r>
      <w:r w:rsidR="00770E29" w:rsidRPr="0084150A">
        <w:rPr>
          <w:lang w:val="en-CA"/>
        </w:rPr>
        <w:t xml:space="preserve">According to the Tribunal, the </w:t>
      </w:r>
      <w:r w:rsidR="00863501">
        <w:rPr>
          <w:lang w:val="en-CA"/>
        </w:rPr>
        <w:t>T</w:t>
      </w:r>
      <w:r w:rsidR="00770E29" w:rsidRPr="0084150A">
        <w:rPr>
          <w:lang w:val="en-CA"/>
        </w:rPr>
        <w:t>ransaction constituted, on that date, privileged information, that is, information that had not been disclosed to the public and that could affect the decision of a reasonable investor.</w:t>
      </w:r>
    </w:p>
    <w:p w14:paraId="632E08E6" w14:textId="2F6D578B" w:rsidR="00303866" w:rsidRPr="0084150A" w:rsidRDefault="008B5732" w:rsidP="00303866">
      <w:pPr>
        <w:pStyle w:val="Paragraphe"/>
        <w:rPr>
          <w:lang w:val="en-CA"/>
        </w:rPr>
      </w:pPr>
      <w:r w:rsidRPr="0084150A">
        <w:rPr>
          <w:lang w:val="en-CA"/>
        </w:rPr>
        <w:t xml:space="preserve">Having </w:t>
      </w:r>
      <w:r w:rsidR="005E5966">
        <w:rPr>
          <w:lang w:val="en-CA"/>
        </w:rPr>
        <w:t>proved</w:t>
      </w:r>
      <w:r w:rsidRPr="0084150A">
        <w:rPr>
          <w:lang w:val="en-CA"/>
        </w:rPr>
        <w:t xml:space="preserve"> that Philippe Gauthier </w:t>
      </w:r>
      <w:r w:rsidR="00671859">
        <w:rPr>
          <w:lang w:val="en-CA"/>
        </w:rPr>
        <w:t>knew</w:t>
      </w:r>
      <w:r w:rsidRPr="0084150A">
        <w:rPr>
          <w:lang w:val="en-CA"/>
        </w:rPr>
        <w:t xml:space="preserve"> of the transaction as early as November 3, 2017, and had, therefore, acquired privileged information, it remains to be established whether Philippe Gauthier was a person </w:t>
      </w:r>
      <w:r w:rsidR="00EE5C1D">
        <w:rPr>
          <w:lang w:val="en-CA"/>
        </w:rPr>
        <w:t>concerned by the prohibitions on</w:t>
      </w:r>
      <w:r w:rsidRPr="0084150A">
        <w:rPr>
          <w:lang w:val="en-CA"/>
        </w:rPr>
        <w:t xml:space="preserve"> the use of privileged information as of November 3, 2017.</w:t>
      </w:r>
    </w:p>
    <w:p w14:paraId="6DE05A0F" w14:textId="7CF64A9F" w:rsidR="00231026" w:rsidRPr="0084150A" w:rsidRDefault="007D6D9A" w:rsidP="00303866">
      <w:pPr>
        <w:pStyle w:val="Paragraphedeliste"/>
        <w:numPr>
          <w:ilvl w:val="0"/>
          <w:numId w:val="19"/>
        </w:numPr>
        <w:jc w:val="both"/>
        <w:rPr>
          <w:b/>
          <w:bCs/>
          <w:kern w:val="28"/>
          <w:lang w:val="en-CA"/>
        </w:rPr>
      </w:pPr>
      <w:r>
        <w:rPr>
          <w:b/>
          <w:bCs/>
          <w:kern w:val="28"/>
          <w:lang w:val="en-CA"/>
        </w:rPr>
        <w:t>Did</w:t>
      </w:r>
      <w:r w:rsidR="00EE5C1D">
        <w:rPr>
          <w:b/>
          <w:bCs/>
          <w:kern w:val="28"/>
          <w:lang w:val="en-CA"/>
        </w:rPr>
        <w:t xml:space="preserve"> the prohibitions on</w:t>
      </w:r>
      <w:r w:rsidR="008F16AD" w:rsidRPr="0084150A">
        <w:rPr>
          <w:b/>
          <w:bCs/>
          <w:kern w:val="28"/>
          <w:lang w:val="en-CA"/>
        </w:rPr>
        <w:t xml:space="preserve"> the use of privileged information</w:t>
      </w:r>
      <w:r>
        <w:rPr>
          <w:b/>
          <w:bCs/>
          <w:kern w:val="28"/>
          <w:lang w:val="en-CA"/>
        </w:rPr>
        <w:t xml:space="preserve"> apply to Philippe Gauthier</w:t>
      </w:r>
      <w:r w:rsidR="008F16AD" w:rsidRPr="0084150A">
        <w:rPr>
          <w:b/>
          <w:bCs/>
          <w:kern w:val="28"/>
          <w:lang w:val="en-CA"/>
        </w:rPr>
        <w:t xml:space="preserve"> as of November 3, 2017?</w:t>
      </w:r>
    </w:p>
    <w:p w14:paraId="142A55E2" w14:textId="00F58E9B" w:rsidR="00231026" w:rsidRPr="0084150A" w:rsidRDefault="004F0E0B" w:rsidP="00231026">
      <w:pPr>
        <w:pStyle w:val="Paragraphe"/>
        <w:rPr>
          <w:lang w:val="en-CA"/>
        </w:rPr>
      </w:pPr>
      <w:r w:rsidRPr="0084150A">
        <w:rPr>
          <w:lang w:val="en-CA"/>
        </w:rPr>
        <w:t xml:space="preserve">Philippe Gauthier was neither a director nor an officer of Napec, and nothing shows that he held </w:t>
      </w:r>
      <w:r w:rsidR="00B047AF">
        <w:rPr>
          <w:lang w:val="en-CA"/>
        </w:rPr>
        <w:t>securities of Napec</w:t>
      </w:r>
      <w:r w:rsidRPr="0084150A">
        <w:rPr>
          <w:lang w:val="en-CA"/>
        </w:rPr>
        <w:t>.</w:t>
      </w:r>
      <w:r w:rsidR="005D25C5" w:rsidRPr="0084150A">
        <w:rPr>
          <w:lang w:val="en-CA"/>
        </w:rPr>
        <w:t xml:space="preserve"> </w:t>
      </w:r>
      <w:r w:rsidR="00C47546" w:rsidRPr="0084150A">
        <w:rPr>
          <w:lang w:val="en-CA"/>
        </w:rPr>
        <w:t xml:space="preserve">Therefore, he was not an insider of Napec pursuant to section 89 of the </w:t>
      </w:r>
      <w:r w:rsidR="00C47546" w:rsidRPr="0084150A">
        <w:rPr>
          <w:i/>
          <w:lang w:val="en-CA"/>
        </w:rPr>
        <w:t>SA</w:t>
      </w:r>
      <w:r w:rsidR="00C47546" w:rsidRPr="0084150A">
        <w:rPr>
          <w:lang w:val="en-CA"/>
        </w:rPr>
        <w:t>.</w:t>
      </w:r>
      <w:r w:rsidR="00C47546" w:rsidRPr="0084150A">
        <w:rPr>
          <w:rStyle w:val="Appelnotedebasdep"/>
          <w:lang w:val="en-CA"/>
        </w:rPr>
        <w:footnoteReference w:id="68"/>
      </w:r>
    </w:p>
    <w:p w14:paraId="372D8862" w14:textId="21C23072" w:rsidR="00231026" w:rsidRPr="0084150A" w:rsidRDefault="00C83594" w:rsidP="00231026">
      <w:pPr>
        <w:pStyle w:val="Paragraphe"/>
        <w:rPr>
          <w:lang w:val="en-CA"/>
        </w:rPr>
      </w:pPr>
      <w:r w:rsidRPr="0084150A">
        <w:rPr>
          <w:lang w:val="en-CA"/>
        </w:rPr>
        <w:t xml:space="preserve">However, the </w:t>
      </w:r>
      <w:r w:rsidR="00E000DF" w:rsidRPr="0084150A">
        <w:rPr>
          <w:lang w:val="en-CA"/>
        </w:rPr>
        <w:t xml:space="preserve">prohibitions </w:t>
      </w:r>
      <w:r w:rsidR="00E000DF">
        <w:rPr>
          <w:lang w:val="en-CA"/>
        </w:rPr>
        <w:t xml:space="preserve">on the </w:t>
      </w:r>
      <w:r w:rsidRPr="0084150A">
        <w:rPr>
          <w:lang w:val="en-CA"/>
        </w:rPr>
        <w:t xml:space="preserve">use of privileged information set forth in sections 187 and 188 of the </w:t>
      </w:r>
      <w:r w:rsidRPr="0084150A">
        <w:rPr>
          <w:i/>
          <w:lang w:val="en-CA"/>
        </w:rPr>
        <w:t xml:space="preserve">SA </w:t>
      </w:r>
      <w:r w:rsidRPr="0084150A">
        <w:rPr>
          <w:lang w:val="en-CA"/>
        </w:rPr>
        <w:t xml:space="preserve">apply to Philippe Gauthier </w:t>
      </w:r>
      <w:r w:rsidR="00C34693">
        <w:rPr>
          <w:lang w:val="en-CA"/>
        </w:rPr>
        <w:t>in accordance with</w:t>
      </w:r>
      <w:r w:rsidRPr="0084150A">
        <w:rPr>
          <w:lang w:val="en-CA"/>
        </w:rPr>
        <w:t xml:space="preserve"> section 189(4) of the </w:t>
      </w:r>
      <w:r w:rsidRPr="0084150A">
        <w:rPr>
          <w:i/>
          <w:lang w:val="en-CA"/>
        </w:rPr>
        <w:t>SA</w:t>
      </w:r>
      <w:r w:rsidRPr="0084150A">
        <w:rPr>
          <w:lang w:val="en-CA"/>
        </w:rPr>
        <w:t xml:space="preserve"> because he had privileged information regarding Napec as part of his work </w:t>
      </w:r>
      <w:r w:rsidR="00B047AF">
        <w:rPr>
          <w:lang w:val="en-CA"/>
        </w:rPr>
        <w:t>at</w:t>
      </w:r>
      <w:r w:rsidRPr="0084150A">
        <w:rPr>
          <w:lang w:val="en-CA"/>
        </w:rPr>
        <w:t xml:space="preserve"> </w:t>
      </w:r>
      <w:r w:rsidR="00A432AF" w:rsidRPr="0084150A">
        <w:rPr>
          <w:lang w:val="en-CA"/>
        </w:rPr>
        <w:t>LBC</w:t>
      </w:r>
      <w:r w:rsidRPr="0084150A">
        <w:rPr>
          <w:lang w:val="en-CA"/>
        </w:rPr>
        <w:t>.</w:t>
      </w:r>
    </w:p>
    <w:p w14:paraId="68D5E3CD" w14:textId="4E0340E5" w:rsidR="00231026" w:rsidRPr="0084150A" w:rsidRDefault="00B365D7" w:rsidP="00231026">
      <w:pPr>
        <w:pStyle w:val="Paragraphe"/>
        <w:rPr>
          <w:lang w:val="en-CA"/>
        </w:rPr>
      </w:pPr>
      <w:r w:rsidRPr="0084150A">
        <w:rPr>
          <w:lang w:val="en-CA"/>
        </w:rPr>
        <w:t xml:space="preserve">Section 189(4) of the </w:t>
      </w:r>
      <w:r w:rsidRPr="0084150A">
        <w:rPr>
          <w:i/>
          <w:lang w:val="en-CA"/>
        </w:rPr>
        <w:t xml:space="preserve">SA </w:t>
      </w:r>
      <w:r w:rsidRPr="0084150A">
        <w:rPr>
          <w:lang w:val="en-CA"/>
        </w:rPr>
        <w:t>states:</w:t>
      </w:r>
    </w:p>
    <w:p w14:paraId="70912542" w14:textId="6A1E3448" w:rsidR="00231026" w:rsidRPr="005E07F3" w:rsidRDefault="00EB0EDD" w:rsidP="00231026">
      <w:pPr>
        <w:pStyle w:val="Citationendoubleretrait"/>
      </w:pPr>
      <w:r w:rsidRPr="005E07F3">
        <w:t>“</w:t>
      </w:r>
      <w:proofErr w:type="gramStart"/>
      <w:r w:rsidRPr="005E07F3">
        <w:t>every</w:t>
      </w:r>
      <w:proofErr w:type="gramEnd"/>
      <w:r w:rsidRPr="005E07F3">
        <w:t xml:space="preserve"> person who has acquired privileged information in the course of his relations with or of working for the reporting issuer, as a result of that person’s functions or of his engaging in business or professional activities;”</w:t>
      </w:r>
    </w:p>
    <w:p w14:paraId="0B4F4380" w14:textId="52D722C7" w:rsidR="00231026" w:rsidRPr="0084150A" w:rsidRDefault="00F76BBD" w:rsidP="00231026">
      <w:pPr>
        <w:pStyle w:val="Paragraphe"/>
        <w:rPr>
          <w:lang w:val="en-CA"/>
        </w:rPr>
      </w:pPr>
      <w:r w:rsidRPr="0084150A">
        <w:rPr>
          <w:lang w:val="en-CA"/>
        </w:rPr>
        <w:t xml:space="preserve">Moreover, the respondents do not contest that section 189(4) of the </w:t>
      </w:r>
      <w:r w:rsidRPr="0084150A">
        <w:rPr>
          <w:i/>
          <w:lang w:val="en-CA"/>
        </w:rPr>
        <w:t xml:space="preserve">SA </w:t>
      </w:r>
      <w:r w:rsidRPr="0084150A">
        <w:rPr>
          <w:lang w:val="en-CA"/>
        </w:rPr>
        <w:t>applies to Philippe Gauthier due to the functions he held at BCL.</w:t>
      </w:r>
      <w:r w:rsidRPr="0084150A">
        <w:rPr>
          <w:rStyle w:val="Appelnotedebasdep"/>
          <w:lang w:val="en-CA"/>
        </w:rPr>
        <w:footnoteReference w:id="69"/>
      </w:r>
      <w:r w:rsidR="005D25C5" w:rsidRPr="0084150A">
        <w:rPr>
          <w:rFonts w:cs="Arial"/>
          <w:szCs w:val="24"/>
          <w:lang w:val="en-CA"/>
        </w:rPr>
        <w:t xml:space="preserve"> </w:t>
      </w:r>
    </w:p>
    <w:p w14:paraId="7ADD35FA" w14:textId="27C9955E" w:rsidR="00231026" w:rsidRPr="0084150A" w:rsidRDefault="00C41096" w:rsidP="00231026">
      <w:pPr>
        <w:pStyle w:val="Paragraphe"/>
        <w:rPr>
          <w:lang w:val="en-CA"/>
        </w:rPr>
      </w:pPr>
      <w:r w:rsidRPr="0084150A">
        <w:rPr>
          <w:lang w:val="en-CA"/>
        </w:rPr>
        <w:t xml:space="preserve">Consequently, the prohibitions set out in sections 187 and 188 of the </w:t>
      </w:r>
      <w:r w:rsidRPr="0084150A">
        <w:rPr>
          <w:i/>
          <w:lang w:val="en-CA"/>
        </w:rPr>
        <w:t xml:space="preserve">SA </w:t>
      </w:r>
      <w:r w:rsidRPr="0084150A">
        <w:rPr>
          <w:lang w:val="en-CA"/>
        </w:rPr>
        <w:t xml:space="preserve">apply to Philippe Gauthier in accordance with section 189(4) of the </w:t>
      </w:r>
      <w:r w:rsidRPr="0084150A">
        <w:rPr>
          <w:i/>
          <w:lang w:val="en-CA"/>
        </w:rPr>
        <w:t>SA</w:t>
      </w:r>
      <w:r w:rsidRPr="0084150A">
        <w:rPr>
          <w:lang w:val="en-CA"/>
        </w:rPr>
        <w:t>.</w:t>
      </w:r>
      <w:r w:rsidR="005D25C5" w:rsidRPr="0084150A">
        <w:rPr>
          <w:lang w:val="en-CA"/>
        </w:rPr>
        <w:t xml:space="preserve"> </w:t>
      </w:r>
    </w:p>
    <w:p w14:paraId="3B10516B" w14:textId="2AA40C46" w:rsidR="00231026" w:rsidRPr="0084150A" w:rsidRDefault="006C1CDD" w:rsidP="00231026">
      <w:pPr>
        <w:pStyle w:val="Paragraphe"/>
        <w:rPr>
          <w:lang w:val="en-CA"/>
        </w:rPr>
      </w:pPr>
      <w:r w:rsidRPr="0084150A">
        <w:rPr>
          <w:lang w:val="en-CA"/>
        </w:rPr>
        <w:t>Thus, Philippe Gauthier could not trade in Napec securities as of November 3, 2017.</w:t>
      </w:r>
      <w:r w:rsidR="005D25C5" w:rsidRPr="0084150A">
        <w:rPr>
          <w:lang w:val="en-CA"/>
        </w:rPr>
        <w:t xml:space="preserve"> </w:t>
      </w:r>
      <w:r w:rsidR="00F4637C" w:rsidRPr="0084150A">
        <w:rPr>
          <w:lang w:val="en-CA"/>
        </w:rPr>
        <w:t xml:space="preserve">He also could not disclose the privileged information he had acquired regarding Napec or recommend that another party trade in </w:t>
      </w:r>
      <w:r w:rsidR="00C63928">
        <w:rPr>
          <w:lang w:val="en-CA"/>
        </w:rPr>
        <w:t>securities of Napec</w:t>
      </w:r>
      <w:r w:rsidR="00F4637C" w:rsidRPr="0084150A">
        <w:rPr>
          <w:lang w:val="en-CA"/>
        </w:rPr>
        <w:t>.</w:t>
      </w:r>
    </w:p>
    <w:p w14:paraId="53BBD31D" w14:textId="209BC95D" w:rsidR="00D14818" w:rsidRPr="0084150A" w:rsidRDefault="00587214" w:rsidP="005403B9">
      <w:pPr>
        <w:pStyle w:val="Paragraphe"/>
        <w:rPr>
          <w:lang w:val="en-CA"/>
        </w:rPr>
      </w:pPr>
      <w:r w:rsidRPr="0084150A">
        <w:rPr>
          <w:lang w:val="en-CA"/>
        </w:rPr>
        <w:t>Let us now examine the various issues.</w:t>
      </w:r>
    </w:p>
    <w:p w14:paraId="73261ED1" w14:textId="756E0EBB" w:rsidR="00D14818" w:rsidRPr="0084150A" w:rsidRDefault="000527A4" w:rsidP="006837C9">
      <w:pPr>
        <w:pStyle w:val="Titre2"/>
        <w:numPr>
          <w:ilvl w:val="0"/>
          <w:numId w:val="4"/>
        </w:numPr>
        <w:rPr>
          <w:lang w:val="en-CA"/>
        </w:rPr>
      </w:pPr>
      <w:r w:rsidRPr="0084150A">
        <w:rPr>
          <w:lang w:val="en-CA"/>
        </w:rPr>
        <w:lastRenderedPageBreak/>
        <w:t>Did Philippe Gauthier, while having privileged information, disclose privileged information or recommend to Vincent Poulio</w:t>
      </w:r>
      <w:r w:rsidR="00FB20F5" w:rsidRPr="0084150A">
        <w:rPr>
          <w:lang w:val="en-CA"/>
        </w:rPr>
        <w:t>t</w:t>
      </w:r>
      <w:r w:rsidRPr="0084150A">
        <w:rPr>
          <w:lang w:val="en-CA"/>
        </w:rPr>
        <w:t xml:space="preserve"> that he trade in </w:t>
      </w:r>
      <w:r w:rsidR="00830970">
        <w:rPr>
          <w:lang w:val="en-CA"/>
        </w:rPr>
        <w:t>securities of Napec</w:t>
      </w:r>
      <w:r w:rsidRPr="0084150A">
        <w:rPr>
          <w:lang w:val="en-CA"/>
        </w:rPr>
        <w:t>?</w:t>
      </w:r>
    </w:p>
    <w:p w14:paraId="7CA7421C" w14:textId="7A9E70F4" w:rsidR="00D14818" w:rsidRPr="0084150A" w:rsidRDefault="0002178C" w:rsidP="00D14818">
      <w:pPr>
        <w:pStyle w:val="Paragraphe"/>
        <w:rPr>
          <w:rFonts w:cs="Arial"/>
          <w:szCs w:val="24"/>
          <w:lang w:val="en-CA"/>
        </w:rPr>
      </w:pPr>
      <w:r w:rsidRPr="0084150A">
        <w:rPr>
          <w:rFonts w:cs="Arial"/>
          <w:szCs w:val="24"/>
          <w:lang w:val="en-CA"/>
        </w:rPr>
        <w:t xml:space="preserve">To determine whether there was a </w:t>
      </w:r>
      <w:r w:rsidR="00E06DF9">
        <w:rPr>
          <w:rFonts w:cs="Arial"/>
          <w:szCs w:val="24"/>
          <w:lang w:val="en-CA"/>
        </w:rPr>
        <w:t>contravention</w:t>
      </w:r>
      <w:r w:rsidR="00E06DF9" w:rsidRPr="0084150A">
        <w:rPr>
          <w:rFonts w:cs="Arial"/>
          <w:szCs w:val="24"/>
          <w:lang w:val="en-CA"/>
        </w:rPr>
        <w:t xml:space="preserve"> </w:t>
      </w:r>
      <w:r w:rsidRPr="0084150A">
        <w:rPr>
          <w:rFonts w:cs="Arial"/>
          <w:szCs w:val="24"/>
          <w:lang w:val="en-CA"/>
        </w:rPr>
        <w:t xml:space="preserve">of section 188 of the </w:t>
      </w:r>
      <w:r w:rsidRPr="0084150A">
        <w:rPr>
          <w:rFonts w:cs="Arial"/>
          <w:i/>
          <w:szCs w:val="24"/>
          <w:lang w:val="en-CA"/>
        </w:rPr>
        <w:t>SA</w:t>
      </w:r>
      <w:r w:rsidRPr="0084150A">
        <w:rPr>
          <w:rFonts w:cs="Arial"/>
          <w:szCs w:val="24"/>
          <w:lang w:val="en-CA"/>
        </w:rPr>
        <w:t>, the Authority must prove that Philippe Gauthier:</w:t>
      </w:r>
    </w:p>
    <w:p w14:paraId="37A0252F" w14:textId="4F1E3174" w:rsidR="00D14818" w:rsidRPr="0084150A" w:rsidRDefault="004F6B65" w:rsidP="0018539F">
      <w:pPr>
        <w:pStyle w:val="Paragraphedeliste"/>
        <w:numPr>
          <w:ilvl w:val="0"/>
          <w:numId w:val="7"/>
        </w:numPr>
        <w:spacing w:before="120" w:after="120" w:line="259" w:lineRule="auto"/>
        <w:ind w:left="714" w:hanging="357"/>
        <w:contextualSpacing w:val="0"/>
        <w:jc w:val="both"/>
        <w:rPr>
          <w:rFonts w:cs="Arial"/>
          <w:i/>
          <w:iCs/>
          <w:szCs w:val="24"/>
          <w:lang w:val="en-CA"/>
        </w:rPr>
      </w:pPr>
      <w:r w:rsidRPr="0084150A">
        <w:rPr>
          <w:rFonts w:cs="Arial"/>
          <w:szCs w:val="24"/>
          <w:lang w:val="en-CA"/>
        </w:rPr>
        <w:t xml:space="preserve">had privileged information regarding the securities of a reporting issuer within the meaning of section 5 of the </w:t>
      </w:r>
      <w:proofErr w:type="gramStart"/>
      <w:r w:rsidRPr="0084150A">
        <w:rPr>
          <w:rFonts w:cs="Arial"/>
          <w:i/>
          <w:szCs w:val="24"/>
          <w:lang w:val="en-CA"/>
        </w:rPr>
        <w:t>SA</w:t>
      </w:r>
      <w:r w:rsidRPr="0084150A">
        <w:rPr>
          <w:rFonts w:cs="Arial"/>
          <w:szCs w:val="24"/>
          <w:lang w:val="en-CA"/>
        </w:rPr>
        <w:t>;</w:t>
      </w:r>
      <w:proofErr w:type="gramEnd"/>
    </w:p>
    <w:p w14:paraId="64956E9D" w14:textId="66A9A8A4" w:rsidR="00D14818" w:rsidRPr="0084150A" w:rsidRDefault="00CB767B" w:rsidP="0018539F">
      <w:pPr>
        <w:pStyle w:val="Paragraphedeliste"/>
        <w:numPr>
          <w:ilvl w:val="0"/>
          <w:numId w:val="7"/>
        </w:numPr>
        <w:spacing w:before="120" w:after="120" w:line="259" w:lineRule="auto"/>
        <w:ind w:left="714" w:hanging="357"/>
        <w:contextualSpacing w:val="0"/>
        <w:jc w:val="both"/>
        <w:rPr>
          <w:rFonts w:cs="Arial"/>
          <w:szCs w:val="24"/>
          <w:lang w:val="en-CA"/>
        </w:rPr>
      </w:pPr>
      <w:r w:rsidRPr="0084150A">
        <w:rPr>
          <w:rFonts w:cs="Arial"/>
          <w:szCs w:val="24"/>
          <w:lang w:val="en-CA"/>
        </w:rPr>
        <w:t xml:space="preserve">was, at the time of the relevant facts, and pursuant to section 187 of the </w:t>
      </w:r>
      <w:r w:rsidRPr="0084150A">
        <w:rPr>
          <w:rFonts w:cs="Arial"/>
          <w:i/>
          <w:szCs w:val="24"/>
          <w:lang w:val="en-CA"/>
        </w:rPr>
        <w:t>SA</w:t>
      </w:r>
      <w:r w:rsidRPr="0084150A">
        <w:rPr>
          <w:rFonts w:cs="Arial"/>
          <w:szCs w:val="24"/>
          <w:lang w:val="en-CA"/>
        </w:rPr>
        <w:t xml:space="preserve">, either an “insider” of a reporting issuer within the meaning of section 89 of the </w:t>
      </w:r>
      <w:r w:rsidRPr="0084150A">
        <w:rPr>
          <w:rFonts w:cs="Arial"/>
          <w:i/>
          <w:szCs w:val="24"/>
          <w:lang w:val="en-CA"/>
        </w:rPr>
        <w:t xml:space="preserve">SA </w:t>
      </w:r>
      <w:r w:rsidRPr="0084150A">
        <w:rPr>
          <w:rFonts w:cs="Arial"/>
          <w:szCs w:val="24"/>
          <w:lang w:val="en-CA"/>
        </w:rPr>
        <w:t xml:space="preserve">or a person subject to section 189 of the </w:t>
      </w:r>
      <w:r w:rsidRPr="0084150A">
        <w:rPr>
          <w:rFonts w:cs="Arial"/>
          <w:i/>
          <w:szCs w:val="24"/>
          <w:lang w:val="en-CA"/>
        </w:rPr>
        <w:t>SA</w:t>
      </w:r>
      <w:r w:rsidRPr="0084150A">
        <w:rPr>
          <w:rFonts w:cs="Arial"/>
          <w:szCs w:val="24"/>
          <w:lang w:val="en-CA"/>
        </w:rPr>
        <w:t>;</w:t>
      </w:r>
      <w:r w:rsidR="005403B9" w:rsidRPr="0084150A">
        <w:rPr>
          <w:rFonts w:cs="Arial"/>
          <w:i/>
          <w:iCs/>
          <w:szCs w:val="24"/>
          <w:lang w:val="en-CA"/>
        </w:rPr>
        <w:t xml:space="preserve"> </w:t>
      </w:r>
      <w:r w:rsidR="004005A9" w:rsidRPr="005E07F3">
        <w:rPr>
          <w:rStyle w:val="paragraph"/>
          <w:rFonts w:cs="Arial"/>
          <w:color w:val="212529"/>
          <w:shd w:val="clear" w:color="auto" w:fill="FFFFFF"/>
          <w:lang w:val="en-CA"/>
        </w:rPr>
        <w:t>and</w:t>
      </w:r>
    </w:p>
    <w:p w14:paraId="5A28EE71" w14:textId="1CAEDD23" w:rsidR="00D14818" w:rsidRPr="0084150A" w:rsidRDefault="00DF73C2" w:rsidP="0018539F">
      <w:pPr>
        <w:pStyle w:val="Paragraphedeliste"/>
        <w:numPr>
          <w:ilvl w:val="0"/>
          <w:numId w:val="7"/>
        </w:numPr>
        <w:spacing w:before="120" w:after="120" w:line="259" w:lineRule="auto"/>
        <w:ind w:left="714" w:hanging="357"/>
        <w:contextualSpacing w:val="0"/>
        <w:jc w:val="both"/>
        <w:rPr>
          <w:rFonts w:cs="Arial"/>
          <w:szCs w:val="24"/>
          <w:lang w:val="en-CA"/>
        </w:rPr>
      </w:pPr>
      <w:r w:rsidRPr="0084150A">
        <w:rPr>
          <w:rFonts w:cs="Arial"/>
          <w:szCs w:val="24"/>
          <w:lang w:val="en-CA"/>
        </w:rPr>
        <w:t>disclosed privileged information relating to the securities of a reporting issuer to another party or recommended that they trade in the securities of said issuer.</w:t>
      </w:r>
    </w:p>
    <w:p w14:paraId="5D17EC7C" w14:textId="25F17019" w:rsidR="000C6DE5" w:rsidRPr="0084150A" w:rsidRDefault="00542540" w:rsidP="000C6DE5">
      <w:pPr>
        <w:pStyle w:val="Paragraphe"/>
        <w:rPr>
          <w:lang w:val="en-CA" w:eastAsia="fr-CA"/>
        </w:rPr>
      </w:pPr>
      <w:r w:rsidRPr="0084150A">
        <w:rPr>
          <w:lang w:val="en-CA" w:eastAsia="fr-CA"/>
        </w:rPr>
        <w:t xml:space="preserve">The Tribunal has already </w:t>
      </w:r>
      <w:r w:rsidR="009513D9">
        <w:rPr>
          <w:lang w:val="en-CA" w:eastAsia="fr-CA"/>
        </w:rPr>
        <w:t>determined</w:t>
      </w:r>
      <w:r w:rsidR="009513D9" w:rsidRPr="0084150A">
        <w:rPr>
          <w:lang w:val="en-CA" w:eastAsia="fr-CA"/>
        </w:rPr>
        <w:t xml:space="preserve"> </w:t>
      </w:r>
      <w:r w:rsidRPr="0084150A">
        <w:rPr>
          <w:lang w:val="en-CA" w:eastAsia="fr-CA"/>
        </w:rPr>
        <w:t xml:space="preserve">that Philippe Gauthier had privileged information as </w:t>
      </w:r>
      <w:r w:rsidR="009513D9">
        <w:rPr>
          <w:lang w:val="en-CA" w:eastAsia="fr-CA"/>
        </w:rPr>
        <w:t>of</w:t>
      </w:r>
      <w:r w:rsidRPr="0084150A">
        <w:rPr>
          <w:lang w:val="en-CA" w:eastAsia="fr-CA"/>
        </w:rPr>
        <w:t xml:space="preserve"> November 3, 2017, and that he was a person subject to the </w:t>
      </w:r>
      <w:r w:rsidR="009513D9">
        <w:rPr>
          <w:lang w:val="en-CA" w:eastAsia="fr-CA"/>
        </w:rPr>
        <w:t xml:space="preserve">prohibitions on the </w:t>
      </w:r>
      <w:r w:rsidRPr="0084150A">
        <w:rPr>
          <w:lang w:val="en-CA" w:eastAsia="fr-CA"/>
        </w:rPr>
        <w:t>use of privileged information.</w:t>
      </w:r>
    </w:p>
    <w:p w14:paraId="03A75A6D" w14:textId="4AD8D968" w:rsidR="00A0673D" w:rsidRPr="0084150A" w:rsidRDefault="002A2270" w:rsidP="001E16C6">
      <w:pPr>
        <w:pStyle w:val="Paragraphe"/>
        <w:rPr>
          <w:lang w:val="en-CA"/>
        </w:rPr>
      </w:pPr>
      <w:r w:rsidRPr="0084150A">
        <w:rPr>
          <w:lang w:val="en-CA"/>
        </w:rPr>
        <w:t xml:space="preserve">The Tribunal </w:t>
      </w:r>
      <w:r w:rsidR="00F41826">
        <w:rPr>
          <w:lang w:val="en-CA"/>
        </w:rPr>
        <w:t>is of the view</w:t>
      </w:r>
      <w:r w:rsidRPr="0084150A">
        <w:rPr>
          <w:lang w:val="en-CA"/>
        </w:rPr>
        <w:t xml:space="preserve"> that the Authority has proved on a balance of probabilities that, on November 3, 2017, Philippe Gauthier disclosed privileged information to Vincent Pouliot</w:t>
      </w:r>
      <w:r w:rsidR="00AB7C0A">
        <w:rPr>
          <w:lang w:val="en-CA"/>
        </w:rPr>
        <w:t>,</w:t>
      </w:r>
      <w:r w:rsidRPr="0084150A">
        <w:rPr>
          <w:lang w:val="en-CA"/>
        </w:rPr>
        <w:t xml:space="preserve"> that is, the existence of the </w:t>
      </w:r>
      <w:r w:rsidR="00AB7C0A">
        <w:rPr>
          <w:lang w:val="en-CA"/>
        </w:rPr>
        <w:t>T</w:t>
      </w:r>
      <w:r w:rsidRPr="0084150A">
        <w:rPr>
          <w:lang w:val="en-CA"/>
        </w:rPr>
        <w:t>ransaction</w:t>
      </w:r>
      <w:r w:rsidR="00AB7C0A">
        <w:rPr>
          <w:lang w:val="en-CA"/>
        </w:rPr>
        <w:t>,</w:t>
      </w:r>
      <w:r w:rsidRPr="0084150A">
        <w:rPr>
          <w:lang w:val="en-CA"/>
        </w:rPr>
        <w:t xml:space="preserve"> and recommended that he trade in </w:t>
      </w:r>
      <w:r w:rsidR="00740F95">
        <w:rPr>
          <w:lang w:val="en-CA"/>
        </w:rPr>
        <w:t>securities of Napec</w:t>
      </w:r>
      <w:r w:rsidRPr="0084150A">
        <w:rPr>
          <w:lang w:val="en-CA"/>
        </w:rPr>
        <w:t xml:space="preserve"> while having privileged information.</w:t>
      </w:r>
      <w:r w:rsidR="00E536A2" w:rsidRPr="0084150A">
        <w:rPr>
          <w:lang w:val="en-CA"/>
        </w:rPr>
        <w:t xml:space="preserve"> </w:t>
      </w:r>
    </w:p>
    <w:p w14:paraId="12C0F64E" w14:textId="24AC0754" w:rsidR="004E32A3" w:rsidRPr="0084150A" w:rsidRDefault="00056079" w:rsidP="001E16C6">
      <w:pPr>
        <w:pStyle w:val="Paragraphe"/>
        <w:rPr>
          <w:lang w:val="en-CA"/>
        </w:rPr>
      </w:pPr>
      <w:r w:rsidRPr="0084150A">
        <w:rPr>
          <w:lang w:val="en-CA"/>
        </w:rPr>
        <w:t>Vincent Pouliot is a childhood friend of Philippe Gauthier.</w:t>
      </w:r>
      <w:r w:rsidR="007369FA" w:rsidRPr="0084150A">
        <w:rPr>
          <w:lang w:val="en-CA"/>
        </w:rPr>
        <w:t xml:space="preserve"> </w:t>
      </w:r>
      <w:r w:rsidR="00EB562D" w:rsidRPr="0084150A">
        <w:rPr>
          <w:lang w:val="en-CA"/>
        </w:rPr>
        <w:t xml:space="preserve">He works in the automotive </w:t>
      </w:r>
      <w:r w:rsidR="00AB7C0A">
        <w:rPr>
          <w:lang w:val="en-CA"/>
        </w:rPr>
        <w:t>industry</w:t>
      </w:r>
      <w:r w:rsidR="00EB562D" w:rsidRPr="0084150A">
        <w:rPr>
          <w:lang w:val="en-CA"/>
        </w:rPr>
        <w:t>, a passion that he shares with Philippe Gauthier.</w:t>
      </w:r>
      <w:r w:rsidR="007369FA" w:rsidRPr="0084150A">
        <w:rPr>
          <w:lang w:val="en-CA"/>
        </w:rPr>
        <w:t xml:space="preserve"> </w:t>
      </w:r>
    </w:p>
    <w:p w14:paraId="716DDB7C" w14:textId="07036F1A" w:rsidR="00690761" w:rsidRPr="0084150A" w:rsidRDefault="00134906" w:rsidP="001E16C6">
      <w:pPr>
        <w:pStyle w:val="Paragraphe"/>
        <w:rPr>
          <w:lang w:val="en-CA"/>
        </w:rPr>
      </w:pPr>
      <w:r w:rsidRPr="0084150A">
        <w:rPr>
          <w:lang w:val="en-CA"/>
        </w:rPr>
        <w:t>During the hearing, Vincent Pouliot testified that, at the time of the alleged facts, he often discussed stock market investments with Philippe Gauthier.</w:t>
      </w:r>
      <w:r w:rsidR="005D25C5" w:rsidRPr="0084150A">
        <w:rPr>
          <w:lang w:val="en-CA"/>
        </w:rPr>
        <w:t xml:space="preserve"> </w:t>
      </w:r>
      <w:r w:rsidR="00DA6244" w:rsidRPr="0084150A">
        <w:rPr>
          <w:lang w:val="en-CA"/>
        </w:rPr>
        <w:t>At the time, he followed the investment recommendations that the respondent made to him.</w:t>
      </w:r>
    </w:p>
    <w:p w14:paraId="559E7B83" w14:textId="022641A0" w:rsidR="00A0673D" w:rsidRPr="0084150A" w:rsidRDefault="00623519" w:rsidP="001E16C6">
      <w:pPr>
        <w:pStyle w:val="Paragraphe"/>
        <w:rPr>
          <w:lang w:val="en-CA"/>
        </w:rPr>
      </w:pPr>
      <w:r w:rsidRPr="0084150A">
        <w:rPr>
          <w:lang w:val="en-CA"/>
        </w:rPr>
        <w:t xml:space="preserve">As previously </w:t>
      </w:r>
      <w:r w:rsidR="00493DE5">
        <w:rPr>
          <w:lang w:val="en-CA"/>
        </w:rPr>
        <w:t>stated</w:t>
      </w:r>
      <w:r w:rsidRPr="0084150A">
        <w:rPr>
          <w:lang w:val="en-CA"/>
        </w:rPr>
        <w:t xml:space="preserve">, on November 3, 2017, at 3:01 p.m., Philippe Gauthier called Vincent Pouliot once the conference call with the members of </w:t>
      </w:r>
      <w:r w:rsidR="00AB7C0A">
        <w:rPr>
          <w:lang w:val="en-CA"/>
        </w:rPr>
        <w:t xml:space="preserve">Napec’s </w:t>
      </w:r>
      <w:r w:rsidRPr="0084150A">
        <w:rPr>
          <w:lang w:val="en-CA"/>
        </w:rPr>
        <w:t>syndicate of lenders had ended.</w:t>
      </w:r>
      <w:r w:rsidR="005D25C5" w:rsidRPr="0084150A">
        <w:rPr>
          <w:lang w:val="en-CA"/>
        </w:rPr>
        <w:t xml:space="preserve"> </w:t>
      </w:r>
      <w:r w:rsidR="004E733C" w:rsidRPr="0084150A">
        <w:rPr>
          <w:lang w:val="en-CA"/>
        </w:rPr>
        <w:t xml:space="preserve">The </w:t>
      </w:r>
      <w:r w:rsidR="00302710">
        <w:rPr>
          <w:lang w:val="en-CA"/>
        </w:rPr>
        <w:t>tele</w:t>
      </w:r>
      <w:r w:rsidR="004E733C" w:rsidRPr="0084150A">
        <w:rPr>
          <w:lang w:val="en-CA"/>
        </w:rPr>
        <w:t>phone call lasted 6 minutes and 25 seconds.</w:t>
      </w:r>
      <w:r w:rsidR="004E733C" w:rsidRPr="0084150A">
        <w:rPr>
          <w:vertAlign w:val="superscript"/>
          <w:lang w:val="en-CA"/>
        </w:rPr>
        <w:footnoteReference w:id="70"/>
      </w:r>
    </w:p>
    <w:p w14:paraId="201F1121" w14:textId="0301B927" w:rsidR="00807CA9" w:rsidRPr="0084150A" w:rsidRDefault="00207A38" w:rsidP="00C82272">
      <w:pPr>
        <w:pStyle w:val="Paragraphe"/>
        <w:rPr>
          <w:lang w:val="en-CA"/>
        </w:rPr>
      </w:pPr>
      <w:r w:rsidRPr="0084150A">
        <w:rPr>
          <w:lang w:val="en-CA"/>
        </w:rPr>
        <w:t>On November 3, 2017, at 3:17 p.m., in the minutes following the call with Philippe Gauthier, Vincent Pouliot quickly made an initial purchase of six thousand (6,000) shares of Napec for $5,169.</w:t>
      </w:r>
      <w:r w:rsidRPr="0084150A">
        <w:rPr>
          <w:vertAlign w:val="superscript"/>
          <w:lang w:val="en-CA"/>
        </w:rPr>
        <w:footnoteReference w:id="71"/>
      </w:r>
      <w:r w:rsidR="005D25C5" w:rsidRPr="0084150A">
        <w:rPr>
          <w:lang w:val="en-CA"/>
        </w:rPr>
        <w:t xml:space="preserve"> </w:t>
      </w:r>
    </w:p>
    <w:p w14:paraId="547362C8" w14:textId="3F265895" w:rsidR="00C82272" w:rsidRPr="0084150A" w:rsidRDefault="003D60F1" w:rsidP="00C82272">
      <w:pPr>
        <w:pStyle w:val="Paragraphe"/>
        <w:rPr>
          <w:lang w:val="en-CA"/>
        </w:rPr>
      </w:pPr>
      <w:r w:rsidRPr="0084150A">
        <w:rPr>
          <w:lang w:val="en-CA"/>
        </w:rPr>
        <w:t xml:space="preserve">As a result of the </w:t>
      </w:r>
      <w:r w:rsidR="00AB7C0A">
        <w:rPr>
          <w:lang w:val="en-CA"/>
        </w:rPr>
        <w:t>T</w:t>
      </w:r>
      <w:r w:rsidRPr="0084150A">
        <w:rPr>
          <w:lang w:val="en-CA"/>
        </w:rPr>
        <w:t>ransaction, Vincent Pouliot made a profit of approximately $2,600.</w:t>
      </w:r>
    </w:p>
    <w:p w14:paraId="72BCB6B1" w14:textId="48147938" w:rsidR="008D1BB5" w:rsidRPr="0084150A" w:rsidRDefault="00287D89" w:rsidP="001E16C6">
      <w:pPr>
        <w:pStyle w:val="Paragraphe"/>
        <w:rPr>
          <w:lang w:val="en-CA"/>
        </w:rPr>
      </w:pPr>
      <w:r w:rsidRPr="0084150A">
        <w:rPr>
          <w:lang w:val="en-CA"/>
        </w:rPr>
        <w:t xml:space="preserve">As part of the Authority’s investigation, Vincent Pouliot first agreed to </w:t>
      </w:r>
      <w:r w:rsidR="00AB7C0A" w:rsidRPr="0084150A">
        <w:rPr>
          <w:lang w:val="en-CA"/>
        </w:rPr>
        <w:t xml:space="preserve">freely and voluntarily </w:t>
      </w:r>
      <w:r w:rsidRPr="0084150A">
        <w:rPr>
          <w:lang w:val="en-CA"/>
        </w:rPr>
        <w:t>submit to an examination by investigators.</w:t>
      </w:r>
      <w:r w:rsidRPr="0084150A">
        <w:rPr>
          <w:rStyle w:val="Appelnotedebasdep"/>
          <w:lang w:val="en-CA"/>
        </w:rPr>
        <w:footnoteReference w:id="72"/>
      </w:r>
    </w:p>
    <w:p w14:paraId="480512C5" w14:textId="07EA8E24" w:rsidR="004B5981" w:rsidRPr="0084150A" w:rsidRDefault="00036B5A" w:rsidP="001E16C6">
      <w:pPr>
        <w:pStyle w:val="Paragraphe"/>
        <w:rPr>
          <w:lang w:val="en-CA"/>
        </w:rPr>
      </w:pPr>
      <w:r w:rsidRPr="0084150A">
        <w:rPr>
          <w:lang w:val="en-CA"/>
        </w:rPr>
        <w:lastRenderedPageBreak/>
        <w:t>During the initial examination, Vincent Pouliot essentially denied that he</w:t>
      </w:r>
      <w:r w:rsidR="00B72A2C">
        <w:rPr>
          <w:lang w:val="en-CA"/>
        </w:rPr>
        <w:t xml:space="preserve"> had</w:t>
      </w:r>
      <w:r w:rsidRPr="0084150A">
        <w:rPr>
          <w:lang w:val="en-CA"/>
        </w:rPr>
        <w:t xml:space="preserve"> received a recommendation from Philippe Gauthier.</w:t>
      </w:r>
      <w:r w:rsidR="00A0673D" w:rsidRPr="0084150A">
        <w:rPr>
          <w:lang w:val="en-CA"/>
        </w:rPr>
        <w:t xml:space="preserve"> </w:t>
      </w:r>
      <w:r w:rsidR="00B66CB5" w:rsidRPr="0084150A">
        <w:rPr>
          <w:lang w:val="en-CA"/>
        </w:rPr>
        <w:t>He claim</w:t>
      </w:r>
      <w:r w:rsidR="007E60BE">
        <w:rPr>
          <w:lang w:val="en-CA"/>
        </w:rPr>
        <w:t>ed</w:t>
      </w:r>
      <w:r w:rsidR="00B66CB5" w:rsidRPr="0084150A">
        <w:rPr>
          <w:lang w:val="en-CA"/>
        </w:rPr>
        <w:t xml:space="preserve"> that he purchased the shares of Napec after conducting his own research.</w:t>
      </w:r>
      <w:r w:rsidR="00B66CB5" w:rsidRPr="0084150A">
        <w:rPr>
          <w:vertAlign w:val="superscript"/>
          <w:lang w:val="en-CA"/>
        </w:rPr>
        <w:footnoteReference w:id="73"/>
      </w:r>
      <w:r w:rsidR="004E32A3" w:rsidRPr="0084150A">
        <w:rPr>
          <w:lang w:val="en-CA"/>
        </w:rPr>
        <w:t xml:space="preserve"> </w:t>
      </w:r>
    </w:p>
    <w:p w14:paraId="4ADC07EE" w14:textId="2819498F" w:rsidR="00A0673D" w:rsidRPr="0084150A" w:rsidRDefault="00617DF7" w:rsidP="001E16C6">
      <w:pPr>
        <w:pStyle w:val="Paragraphe"/>
        <w:rPr>
          <w:lang w:val="en-CA"/>
        </w:rPr>
      </w:pPr>
      <w:r w:rsidRPr="0084150A">
        <w:rPr>
          <w:lang w:val="en-CA"/>
        </w:rPr>
        <w:t>However, later, the Authority’s investigators subpoenaed Vincent Pouliot to testify.</w:t>
      </w:r>
      <w:r w:rsidR="000C3F94" w:rsidRPr="0084150A">
        <w:rPr>
          <w:lang w:val="en-CA"/>
        </w:rPr>
        <w:t xml:space="preserve"> </w:t>
      </w:r>
      <w:r w:rsidR="00DB08C1" w:rsidRPr="0084150A">
        <w:rPr>
          <w:lang w:val="en-CA"/>
        </w:rPr>
        <w:t>During th</w:t>
      </w:r>
      <w:r w:rsidR="00842824">
        <w:rPr>
          <w:lang w:val="en-CA"/>
        </w:rPr>
        <w:t>is</w:t>
      </w:r>
      <w:r w:rsidR="00DB08C1" w:rsidRPr="0084150A">
        <w:rPr>
          <w:lang w:val="en-CA"/>
        </w:rPr>
        <w:t xml:space="preserve"> second examination, he gave a different version than the one given during the first</w:t>
      </w:r>
      <w:r w:rsidR="001369E9">
        <w:rPr>
          <w:lang w:val="en-CA"/>
        </w:rPr>
        <w:t xml:space="preserve"> examination</w:t>
      </w:r>
      <w:r w:rsidR="00DB08C1" w:rsidRPr="0084150A">
        <w:rPr>
          <w:lang w:val="en-CA"/>
        </w:rPr>
        <w:t>.</w:t>
      </w:r>
      <w:r w:rsidR="000C3F94" w:rsidRPr="0084150A">
        <w:rPr>
          <w:lang w:val="en-CA"/>
        </w:rPr>
        <w:t xml:space="preserve"> </w:t>
      </w:r>
      <w:r w:rsidR="00B17E0B" w:rsidRPr="0084150A">
        <w:rPr>
          <w:lang w:val="en-CA"/>
        </w:rPr>
        <w:t>In addition, during the hearing, he explained to the Tribunal why he had answered some of the investigators’ questions differently than during his first examination.</w:t>
      </w:r>
      <w:r w:rsidR="000C3F94" w:rsidRPr="0084150A">
        <w:rPr>
          <w:lang w:val="en-CA"/>
        </w:rPr>
        <w:t xml:space="preserve"> </w:t>
      </w:r>
      <w:r w:rsidR="003B1B02" w:rsidRPr="0084150A">
        <w:rPr>
          <w:lang w:val="en-CA"/>
        </w:rPr>
        <w:t>The Tribunal understands that he was afraid of the consequences of his testimony.</w:t>
      </w:r>
    </w:p>
    <w:p w14:paraId="1480B9A9" w14:textId="46E817B3" w:rsidR="00674FFD" w:rsidRPr="0084150A" w:rsidRDefault="00AC23C0" w:rsidP="001E16C6">
      <w:pPr>
        <w:pStyle w:val="Paragraphe"/>
        <w:rPr>
          <w:lang w:val="en-CA"/>
        </w:rPr>
      </w:pPr>
      <w:r w:rsidRPr="0084150A">
        <w:rPr>
          <w:lang w:val="en-CA"/>
        </w:rPr>
        <w:t xml:space="preserve">During the second examination, Vincent Pouliot, who was </w:t>
      </w:r>
      <w:r w:rsidR="00BB79DC">
        <w:rPr>
          <w:lang w:val="en-CA"/>
        </w:rPr>
        <w:t xml:space="preserve">then </w:t>
      </w:r>
      <w:r w:rsidRPr="0084150A">
        <w:rPr>
          <w:lang w:val="en-CA"/>
        </w:rPr>
        <w:t xml:space="preserve">accompanied by his counsel, told investigators that it was Philippe Gauthier who suggested that he purchase shares of Napec and mentioned to him </w:t>
      </w:r>
      <w:r w:rsidR="00842824">
        <w:rPr>
          <w:lang w:val="en-CA"/>
        </w:rPr>
        <w:t xml:space="preserve">the possibility </w:t>
      </w:r>
      <w:r w:rsidRPr="0084150A">
        <w:rPr>
          <w:lang w:val="en-CA"/>
        </w:rPr>
        <w:t>that Napec w</w:t>
      </w:r>
      <w:r w:rsidR="00842824">
        <w:rPr>
          <w:lang w:val="en-CA"/>
        </w:rPr>
        <w:t>ould</w:t>
      </w:r>
      <w:r w:rsidRPr="0084150A">
        <w:rPr>
          <w:lang w:val="en-CA"/>
        </w:rPr>
        <w:t xml:space="preserve"> be </w:t>
      </w:r>
      <w:r w:rsidR="00C57C2F">
        <w:rPr>
          <w:lang w:val="en-CA"/>
        </w:rPr>
        <w:t>acquired</w:t>
      </w:r>
      <w:r w:rsidRPr="0084150A">
        <w:rPr>
          <w:lang w:val="en-CA"/>
        </w:rPr>
        <w:t xml:space="preserve">: </w:t>
      </w:r>
    </w:p>
    <w:p w14:paraId="0F6F025B" w14:textId="016875A8" w:rsidR="004E0EEA" w:rsidRPr="0084150A" w:rsidRDefault="004E0EEA" w:rsidP="004E0EEA">
      <w:pPr>
        <w:pStyle w:val="Paragraphe"/>
        <w:numPr>
          <w:ilvl w:val="0"/>
          <w:numId w:val="0"/>
        </w:numPr>
        <w:ind w:left="1237"/>
        <w:rPr>
          <w:smallCaps/>
          <w:lang w:val="en-CA"/>
        </w:rPr>
      </w:pPr>
      <w:r w:rsidRPr="0084150A">
        <w:rPr>
          <w:lang w:val="en-CA"/>
        </w:rPr>
        <w:t>[</w:t>
      </w:r>
      <w:r w:rsidRPr="0084150A">
        <w:rPr>
          <w:smallCaps/>
          <w:lang w:val="en-CA"/>
        </w:rPr>
        <w:t>translation]</w:t>
      </w:r>
    </w:p>
    <w:p w14:paraId="4299F975" w14:textId="602038F7" w:rsidR="0038402C" w:rsidRPr="0084150A" w:rsidRDefault="000268B1" w:rsidP="001E16C6">
      <w:pPr>
        <w:pStyle w:val="Citationendoubleretrait"/>
      </w:pPr>
      <w:r w:rsidRPr="0084150A">
        <w:t>PIERRE HAMELIN:</w:t>
      </w:r>
    </w:p>
    <w:p w14:paraId="2803D672" w14:textId="01354E89" w:rsidR="0038402C" w:rsidRPr="0084150A" w:rsidRDefault="005E6C9D" w:rsidP="00C33BFC">
      <w:pPr>
        <w:pStyle w:val="Citationendoubleretrait"/>
      </w:pPr>
      <w:r w:rsidRPr="0084150A">
        <w:t>Q- Explain to me how you came to, how you came to</w:t>
      </w:r>
    </w:p>
    <w:p w14:paraId="36469E32" w14:textId="4405662B" w:rsidR="0038402C" w:rsidRPr="0084150A" w:rsidRDefault="006B69F1" w:rsidP="001E16C6">
      <w:pPr>
        <w:pStyle w:val="Citationendoubleretrait"/>
      </w:pPr>
      <w:r w:rsidRPr="0084150A">
        <w:t>buy NAPEC, and why did you buy NAPEC in</w:t>
      </w:r>
    </w:p>
    <w:p w14:paraId="4E2FA247" w14:textId="089B4907" w:rsidR="0038402C" w:rsidRPr="0084150A" w:rsidRDefault="001976F5" w:rsidP="001E16C6">
      <w:pPr>
        <w:pStyle w:val="Citationendoubleretrait"/>
      </w:pPr>
      <w:r w:rsidRPr="0084150A">
        <w:t>early November two thousand seventeen (2017)?</w:t>
      </w:r>
    </w:p>
    <w:p w14:paraId="14716DE4" w14:textId="535AB8C4" w:rsidR="0038402C" w:rsidRPr="0084150A" w:rsidRDefault="0038402C" w:rsidP="00946B41">
      <w:pPr>
        <w:pStyle w:val="Citationendoubleretrait"/>
        <w:ind w:left="0"/>
      </w:pPr>
    </w:p>
    <w:p w14:paraId="5E916D1D" w14:textId="2435A000" w:rsidR="0038402C" w:rsidRPr="0084150A" w:rsidRDefault="005146DA" w:rsidP="001E16C6">
      <w:pPr>
        <w:pStyle w:val="Citationendoubleretrait"/>
      </w:pPr>
      <w:r w:rsidRPr="0084150A">
        <w:t>R- It was information that was given to me by Philippe</w:t>
      </w:r>
    </w:p>
    <w:p w14:paraId="0C13CE99" w14:textId="57A26AA9" w:rsidR="0038402C" w:rsidRPr="005E07F3" w:rsidRDefault="00010E4B" w:rsidP="001E16C6">
      <w:pPr>
        <w:pStyle w:val="Citationendoubleretrait"/>
      </w:pPr>
      <w:r w:rsidRPr="005E07F3">
        <w:t>Gauthier.</w:t>
      </w:r>
    </w:p>
    <w:p w14:paraId="6EE98DFC" w14:textId="3F918F4F" w:rsidR="0038402C" w:rsidRPr="0084150A" w:rsidRDefault="00056593" w:rsidP="001E16C6">
      <w:pPr>
        <w:pStyle w:val="Citationendoubleretrait"/>
      </w:pPr>
      <w:r w:rsidRPr="0084150A">
        <w:t xml:space="preserve">Q- What did Mr. Gauthier </w:t>
      </w:r>
      <w:r w:rsidR="00786CD6">
        <w:t>tell</w:t>
      </w:r>
      <w:r w:rsidRPr="0084150A">
        <w:t xml:space="preserve"> you?</w:t>
      </w:r>
    </w:p>
    <w:p w14:paraId="10F8E48D" w14:textId="37E5D9E1" w:rsidR="0038402C" w:rsidRPr="0084150A" w:rsidRDefault="00E32F5D" w:rsidP="001E16C6">
      <w:pPr>
        <w:pStyle w:val="Citationendoubleretrait"/>
      </w:pPr>
      <w:r w:rsidRPr="0084150A">
        <w:t xml:space="preserve">A- I couldn’t tell you </w:t>
      </w:r>
      <w:r w:rsidR="00E97517">
        <w:t>the exact words</w:t>
      </w:r>
      <w:r w:rsidRPr="0084150A">
        <w:t>, but</w:t>
      </w:r>
    </w:p>
    <w:p w14:paraId="3764AD32" w14:textId="3A75E3C4" w:rsidR="0038402C" w:rsidRPr="0084150A" w:rsidRDefault="00AB03BE" w:rsidP="001E16C6">
      <w:pPr>
        <w:pStyle w:val="Citationendoubleretrait"/>
      </w:pPr>
      <w:r w:rsidRPr="0084150A">
        <w:t xml:space="preserve">it </w:t>
      </w:r>
      <w:r w:rsidR="00842824">
        <w:t>was</w:t>
      </w:r>
      <w:r w:rsidRPr="0084150A">
        <w:t>... he suggested either as an investment</w:t>
      </w:r>
    </w:p>
    <w:p w14:paraId="582011A9" w14:textId="14C7F420" w:rsidR="0038402C" w:rsidRPr="0084150A" w:rsidRDefault="00892188" w:rsidP="001E16C6">
      <w:pPr>
        <w:pStyle w:val="Citationendoubleretrait"/>
      </w:pPr>
      <w:r w:rsidRPr="0084150A">
        <w:t>like he does in several other investments</w:t>
      </w:r>
    </w:p>
    <w:p w14:paraId="20EEC67A" w14:textId="3EA08543" w:rsidR="00674FFD" w:rsidRPr="0084150A" w:rsidRDefault="00564754" w:rsidP="001E16C6">
      <w:pPr>
        <w:pStyle w:val="Citationendoubleretrait"/>
      </w:pPr>
      <w:r w:rsidRPr="0084150A">
        <w:t>how it was an interesting company</w:t>
      </w:r>
    </w:p>
    <w:p w14:paraId="03410167" w14:textId="090BBF60" w:rsidR="00674FFD" w:rsidRPr="0084150A" w:rsidRDefault="00590EEA" w:rsidP="001E16C6">
      <w:pPr>
        <w:pStyle w:val="Citationendoubleretrait"/>
      </w:pPr>
      <w:r w:rsidRPr="0084150A">
        <w:t>and that chances were that the company</w:t>
      </w:r>
    </w:p>
    <w:p w14:paraId="204B2E00" w14:textId="05EC2788" w:rsidR="00A0673D" w:rsidRPr="0084150A" w:rsidRDefault="00842824" w:rsidP="00842824">
      <w:pPr>
        <w:pStyle w:val="Citationendoubleretrait"/>
      </w:pPr>
      <w:r>
        <w:t>might</w:t>
      </w:r>
      <w:r w:rsidRPr="0084150A">
        <w:t xml:space="preserve"> </w:t>
      </w:r>
      <w:r w:rsidR="00383A78" w:rsidRPr="0084150A">
        <w:t xml:space="preserve">be </w:t>
      </w:r>
      <w:r w:rsidR="00C57C2F">
        <w:t>acquired</w:t>
      </w:r>
      <w:r w:rsidR="00383A78" w:rsidRPr="0084150A">
        <w:t xml:space="preserve">, so there could be </w:t>
      </w:r>
      <w:r>
        <w:t>some value to that</w:t>
      </w:r>
      <w:r w:rsidR="00F337E1" w:rsidRPr="0084150A">
        <w:t>.</w:t>
      </w:r>
      <w:r w:rsidR="005D25C5" w:rsidRPr="0084150A">
        <w:rPr>
          <w:vertAlign w:val="superscript"/>
        </w:rPr>
        <w:footnoteReference w:id="74"/>
      </w:r>
    </w:p>
    <w:p w14:paraId="0F4734EB" w14:textId="5DA35D4C" w:rsidR="00A0673D" w:rsidRPr="0084150A" w:rsidRDefault="00322DF6" w:rsidP="005870FD">
      <w:pPr>
        <w:pStyle w:val="Paragraphe"/>
        <w:rPr>
          <w:lang w:val="en-CA"/>
        </w:rPr>
      </w:pPr>
      <w:r w:rsidRPr="0084150A">
        <w:rPr>
          <w:lang w:val="en-CA"/>
        </w:rPr>
        <w:t>The Tribunal notes that Vincent Pouliot maintained this version of the facts during the hearing.</w:t>
      </w:r>
      <w:r w:rsidR="00E810F7" w:rsidRPr="0084150A">
        <w:rPr>
          <w:lang w:val="en-CA"/>
        </w:rPr>
        <w:t xml:space="preserve"> </w:t>
      </w:r>
      <w:r w:rsidR="00AD2513" w:rsidRPr="0084150A">
        <w:rPr>
          <w:lang w:val="en-CA"/>
        </w:rPr>
        <w:t xml:space="preserve">Indeed, he reiterated that Philippe Gauthier spoke to him about the possibility that Napec would be </w:t>
      </w:r>
      <w:r w:rsidR="00C57C2F">
        <w:rPr>
          <w:lang w:val="en-CA"/>
        </w:rPr>
        <w:t>acquired</w:t>
      </w:r>
      <w:r w:rsidR="00AD2513" w:rsidRPr="0084150A">
        <w:rPr>
          <w:lang w:val="en-CA"/>
        </w:rPr>
        <w:t xml:space="preserve"> and suggested that he invest in Napec shares without specifying when Napec would be </w:t>
      </w:r>
      <w:r w:rsidR="00C57C2F">
        <w:rPr>
          <w:lang w:val="en-CA"/>
        </w:rPr>
        <w:t>acquired</w:t>
      </w:r>
      <w:r w:rsidR="00AD2513" w:rsidRPr="0084150A">
        <w:rPr>
          <w:lang w:val="en-CA"/>
        </w:rPr>
        <w:t xml:space="preserve"> or the purchase price.</w:t>
      </w:r>
      <w:r w:rsidR="00E810F7" w:rsidRPr="0084150A">
        <w:rPr>
          <w:lang w:val="en-CA"/>
        </w:rPr>
        <w:t xml:space="preserve"> </w:t>
      </w:r>
    </w:p>
    <w:p w14:paraId="7E5836AA" w14:textId="706C4E89" w:rsidR="007455F7" w:rsidRPr="0084150A" w:rsidRDefault="001F7A7F" w:rsidP="001E16C6">
      <w:pPr>
        <w:pStyle w:val="Paragraphe"/>
        <w:rPr>
          <w:lang w:val="en-CA"/>
        </w:rPr>
      </w:pPr>
      <w:r w:rsidRPr="0084150A">
        <w:rPr>
          <w:lang w:val="en-CA"/>
        </w:rPr>
        <w:t>Philippe Gauthier denies that he disclosed privileged information to Vincent Pouliot and recommended that he purchase shares of Napec.</w:t>
      </w:r>
    </w:p>
    <w:p w14:paraId="577D4F98" w14:textId="69B7BBB5" w:rsidR="00B731C0" w:rsidRPr="0084150A" w:rsidRDefault="00F01777" w:rsidP="00B731C0">
      <w:pPr>
        <w:pStyle w:val="Paragraphe"/>
        <w:rPr>
          <w:lang w:val="en-CA"/>
        </w:rPr>
      </w:pPr>
      <w:r w:rsidRPr="0084150A">
        <w:rPr>
          <w:lang w:val="en-CA"/>
        </w:rPr>
        <w:t>Philippe Gauthier admitted before the Tribunal that he mentioned to Vincent Pouliot, on November 3, 2017, that he would be working on a file with Mr. Pouliot’s spouse.</w:t>
      </w:r>
    </w:p>
    <w:p w14:paraId="19361066" w14:textId="7D17BEAF" w:rsidR="007455F7" w:rsidRPr="0084150A" w:rsidRDefault="003D67E9" w:rsidP="001E16C6">
      <w:pPr>
        <w:pStyle w:val="Paragraphe"/>
        <w:rPr>
          <w:lang w:val="en-CA"/>
        </w:rPr>
      </w:pPr>
      <w:r w:rsidRPr="0084150A">
        <w:rPr>
          <w:lang w:val="en-CA"/>
        </w:rPr>
        <w:lastRenderedPageBreak/>
        <w:t>Vincent Pouliot’s spouse was a paralegal who worked for BLG.</w:t>
      </w:r>
      <w:r w:rsidR="005D25C5" w:rsidRPr="0084150A">
        <w:rPr>
          <w:lang w:val="en-CA"/>
        </w:rPr>
        <w:t xml:space="preserve"> </w:t>
      </w:r>
      <w:r w:rsidR="004B1FF2" w:rsidRPr="0084150A">
        <w:rPr>
          <w:lang w:val="en-CA"/>
        </w:rPr>
        <w:t xml:space="preserve">According to Philippe Gauthier, Vincent Pouliot seemed to be </w:t>
      </w:r>
      <w:r w:rsidR="001A2AF6">
        <w:rPr>
          <w:lang w:val="en-CA"/>
        </w:rPr>
        <w:t>[</w:t>
      </w:r>
      <w:r w:rsidR="001A2AF6">
        <w:rPr>
          <w:smallCaps/>
          <w:lang w:val="en-CA"/>
        </w:rPr>
        <w:t xml:space="preserve">translation] </w:t>
      </w:r>
      <w:r w:rsidR="004B1FF2" w:rsidRPr="0084150A">
        <w:rPr>
          <w:lang w:val="en-CA"/>
        </w:rPr>
        <w:t xml:space="preserve">“aware” of the existence of a </w:t>
      </w:r>
      <w:r w:rsidR="001A2AF6">
        <w:rPr>
          <w:lang w:val="en-CA"/>
        </w:rPr>
        <w:t>[</w:t>
      </w:r>
      <w:r w:rsidR="001A2AF6">
        <w:rPr>
          <w:smallCaps/>
          <w:lang w:val="en-CA"/>
        </w:rPr>
        <w:t xml:space="preserve">translation] </w:t>
      </w:r>
      <w:r w:rsidR="004B1FF2" w:rsidRPr="0084150A">
        <w:rPr>
          <w:lang w:val="en-CA"/>
        </w:rPr>
        <w:t>“transaction” involving his spouse.</w:t>
      </w:r>
      <w:r w:rsidR="005D25C5" w:rsidRPr="0084150A">
        <w:rPr>
          <w:lang w:val="en-CA"/>
        </w:rPr>
        <w:t xml:space="preserve"> </w:t>
      </w:r>
    </w:p>
    <w:p w14:paraId="4A1FCE2E" w14:textId="40F74DA1" w:rsidR="007455F7" w:rsidRPr="0084150A" w:rsidRDefault="001345A7" w:rsidP="001E16C6">
      <w:pPr>
        <w:pStyle w:val="Paragraphe"/>
        <w:rPr>
          <w:lang w:val="en-CA"/>
        </w:rPr>
      </w:pPr>
      <w:r w:rsidRPr="0084150A">
        <w:rPr>
          <w:lang w:val="en-CA"/>
        </w:rPr>
        <w:t xml:space="preserve">From this testimony, the Tribunal </w:t>
      </w:r>
      <w:r w:rsidR="00640405">
        <w:rPr>
          <w:lang w:val="en-CA"/>
        </w:rPr>
        <w:t>understands</w:t>
      </w:r>
      <w:r w:rsidRPr="0084150A">
        <w:rPr>
          <w:lang w:val="en-CA"/>
        </w:rPr>
        <w:t xml:space="preserve"> that Philippe Gauthier was looking for reasons that would justify Vincent Pouliot’s purchasing shares of Napec a few minutes after their conversation.</w:t>
      </w:r>
      <w:r w:rsidR="005D25C5" w:rsidRPr="0084150A">
        <w:rPr>
          <w:lang w:val="en-CA"/>
        </w:rPr>
        <w:t xml:space="preserve"> </w:t>
      </w:r>
      <w:r w:rsidR="00FB20F5" w:rsidRPr="0084150A">
        <w:rPr>
          <w:lang w:val="en-CA"/>
        </w:rPr>
        <w:t>He was likely attempting to establish that, contrary to the testimony of Vincent Pouliot</w:t>
      </w:r>
      <w:r w:rsidR="00E93B24">
        <w:rPr>
          <w:lang w:val="en-CA"/>
        </w:rPr>
        <w:t>—</w:t>
      </w:r>
      <w:r w:rsidR="00FB20F5" w:rsidRPr="0084150A">
        <w:rPr>
          <w:lang w:val="en-CA"/>
        </w:rPr>
        <w:t xml:space="preserve">who </w:t>
      </w:r>
      <w:r w:rsidR="00F2607E">
        <w:rPr>
          <w:lang w:val="en-CA"/>
        </w:rPr>
        <w:t>claimed</w:t>
      </w:r>
      <w:r w:rsidR="00F2607E" w:rsidRPr="0084150A">
        <w:rPr>
          <w:lang w:val="en-CA"/>
        </w:rPr>
        <w:t xml:space="preserve"> </w:t>
      </w:r>
      <w:r w:rsidR="00FB20F5" w:rsidRPr="0084150A">
        <w:rPr>
          <w:lang w:val="en-CA"/>
        </w:rPr>
        <w:t xml:space="preserve">that he purchased the shares of Napec </w:t>
      </w:r>
      <w:r w:rsidR="00F2607E">
        <w:rPr>
          <w:lang w:val="en-CA"/>
        </w:rPr>
        <w:t>on</w:t>
      </w:r>
      <w:r w:rsidR="00FB20F5" w:rsidRPr="0084150A">
        <w:rPr>
          <w:lang w:val="en-CA"/>
        </w:rPr>
        <w:t xml:space="preserve"> Philippe Gauthier’s recommendation</w:t>
      </w:r>
      <w:r w:rsidR="00E93B24">
        <w:rPr>
          <w:lang w:val="en-CA"/>
        </w:rPr>
        <w:t>—</w:t>
      </w:r>
      <w:r w:rsidR="00FB20F5" w:rsidRPr="0084150A">
        <w:rPr>
          <w:lang w:val="en-CA"/>
        </w:rPr>
        <w:t xml:space="preserve">Vincent Pouliot </w:t>
      </w:r>
      <w:r w:rsidR="00F2607E">
        <w:rPr>
          <w:lang w:val="en-CA"/>
        </w:rPr>
        <w:t>instead</w:t>
      </w:r>
      <w:r w:rsidR="00F2607E" w:rsidRPr="0084150A">
        <w:rPr>
          <w:lang w:val="en-CA"/>
        </w:rPr>
        <w:t xml:space="preserve"> </w:t>
      </w:r>
      <w:r w:rsidR="00FB20F5" w:rsidRPr="0084150A">
        <w:rPr>
          <w:lang w:val="en-CA"/>
        </w:rPr>
        <w:t xml:space="preserve">traded in Napec securities because of information </w:t>
      </w:r>
      <w:r w:rsidR="00451776">
        <w:rPr>
          <w:lang w:val="en-CA"/>
        </w:rPr>
        <w:t>provided</w:t>
      </w:r>
      <w:r w:rsidR="00FB20F5" w:rsidRPr="0084150A">
        <w:rPr>
          <w:lang w:val="en-CA"/>
        </w:rPr>
        <w:t>, or a recommendation made, by his spouse.</w:t>
      </w:r>
      <w:r w:rsidR="001B6067">
        <w:rPr>
          <w:lang w:val="en-CA"/>
        </w:rPr>
        <w:t xml:space="preserve"> </w:t>
      </w:r>
    </w:p>
    <w:p w14:paraId="41358C3C" w14:textId="0BFB4C86" w:rsidR="007455F7" w:rsidRPr="0084150A" w:rsidRDefault="00C2774B" w:rsidP="00871B94">
      <w:pPr>
        <w:pStyle w:val="Paragraphe"/>
        <w:rPr>
          <w:lang w:val="en-CA"/>
        </w:rPr>
      </w:pPr>
      <w:r w:rsidRPr="0084150A">
        <w:rPr>
          <w:lang w:val="en-CA"/>
        </w:rPr>
        <w:t xml:space="preserve">Not only </w:t>
      </w:r>
      <w:r w:rsidR="0083548F">
        <w:rPr>
          <w:lang w:val="en-CA"/>
        </w:rPr>
        <w:t>is this testimony uncorroborated by</w:t>
      </w:r>
      <w:r w:rsidR="0083548F" w:rsidRPr="0084150A">
        <w:rPr>
          <w:lang w:val="en-CA"/>
        </w:rPr>
        <w:t xml:space="preserve"> </w:t>
      </w:r>
      <w:r w:rsidRPr="0084150A">
        <w:rPr>
          <w:lang w:val="en-CA"/>
        </w:rPr>
        <w:t xml:space="preserve">the evidence, </w:t>
      </w:r>
      <w:proofErr w:type="gramStart"/>
      <w:r w:rsidRPr="0084150A">
        <w:rPr>
          <w:lang w:val="en-CA"/>
        </w:rPr>
        <w:t>it</w:t>
      </w:r>
      <w:proofErr w:type="gramEnd"/>
      <w:r w:rsidRPr="0084150A">
        <w:rPr>
          <w:lang w:val="en-CA"/>
        </w:rPr>
        <w:t xml:space="preserve"> is</w:t>
      </w:r>
      <w:r w:rsidR="0083548F">
        <w:rPr>
          <w:lang w:val="en-CA"/>
        </w:rPr>
        <w:t xml:space="preserve"> also</w:t>
      </w:r>
      <w:r w:rsidRPr="0084150A">
        <w:rPr>
          <w:lang w:val="en-CA"/>
        </w:rPr>
        <w:t xml:space="preserve"> contradicted by BLG, which </w:t>
      </w:r>
      <w:r w:rsidR="0083548F">
        <w:rPr>
          <w:lang w:val="en-CA"/>
        </w:rPr>
        <w:t>attested</w:t>
      </w:r>
      <w:r w:rsidR="0083548F" w:rsidRPr="0084150A">
        <w:rPr>
          <w:lang w:val="en-CA"/>
        </w:rPr>
        <w:t xml:space="preserve"> </w:t>
      </w:r>
      <w:r w:rsidRPr="0084150A">
        <w:rPr>
          <w:lang w:val="en-CA"/>
        </w:rPr>
        <w:t xml:space="preserve">that Vincent Pouliot’s spouse was not exposed to the </w:t>
      </w:r>
      <w:r w:rsidR="0083548F">
        <w:rPr>
          <w:lang w:val="en-CA"/>
        </w:rPr>
        <w:t>T</w:t>
      </w:r>
      <w:r w:rsidRPr="0084150A">
        <w:rPr>
          <w:lang w:val="en-CA"/>
        </w:rPr>
        <w:t>ransaction.</w:t>
      </w:r>
      <w:r w:rsidR="00B52AED" w:rsidRPr="0084150A">
        <w:rPr>
          <w:lang w:val="en-CA"/>
        </w:rPr>
        <w:t xml:space="preserve"> </w:t>
      </w:r>
      <w:r w:rsidR="00182E7F" w:rsidRPr="0084150A">
        <w:rPr>
          <w:lang w:val="en-CA"/>
        </w:rPr>
        <w:t xml:space="preserve">In fact, as part of the investigation, BLG provided the Authority with the list of all the individuals from BLG who had information regarding the </w:t>
      </w:r>
      <w:r w:rsidR="0083548F">
        <w:rPr>
          <w:lang w:val="en-CA"/>
        </w:rPr>
        <w:t>T</w:t>
      </w:r>
      <w:r w:rsidR="00182E7F" w:rsidRPr="0084150A">
        <w:rPr>
          <w:lang w:val="en-CA"/>
        </w:rPr>
        <w:t>ransaction.</w:t>
      </w:r>
      <w:r w:rsidR="00B52AED" w:rsidRPr="0084150A">
        <w:rPr>
          <w:lang w:val="en-CA"/>
        </w:rPr>
        <w:t xml:space="preserve"> </w:t>
      </w:r>
      <w:r w:rsidR="00913FF7" w:rsidRPr="0084150A">
        <w:rPr>
          <w:lang w:val="en-CA"/>
        </w:rPr>
        <w:t xml:space="preserve">The name of the paralegal, Vincent Pouliot’s spouse, is nowhere </w:t>
      </w:r>
      <w:r w:rsidR="0083548F">
        <w:rPr>
          <w:lang w:val="en-CA"/>
        </w:rPr>
        <w:t xml:space="preserve">to be found </w:t>
      </w:r>
      <w:r w:rsidR="00913FF7" w:rsidRPr="0084150A">
        <w:rPr>
          <w:lang w:val="en-CA"/>
        </w:rPr>
        <w:t>on this list.</w:t>
      </w:r>
      <w:r w:rsidR="00913FF7" w:rsidRPr="0084150A">
        <w:rPr>
          <w:rStyle w:val="Appelnotedebasdep"/>
          <w:rFonts w:cs="Arial"/>
          <w:szCs w:val="24"/>
          <w:lang w:val="en-CA"/>
        </w:rPr>
        <w:footnoteReference w:id="75"/>
      </w:r>
    </w:p>
    <w:p w14:paraId="1CF211A6" w14:textId="4FE65F93" w:rsidR="008E64B3" w:rsidRPr="0084150A" w:rsidRDefault="007E4D1B" w:rsidP="001E16C6">
      <w:pPr>
        <w:pStyle w:val="Paragraphe"/>
        <w:rPr>
          <w:lang w:val="en-CA"/>
        </w:rPr>
      </w:pPr>
      <w:r w:rsidRPr="0084150A">
        <w:rPr>
          <w:lang w:val="en-CA"/>
        </w:rPr>
        <w:t>Therefore, the Tribunal cannot accept Philippe Gauthier’s testimony</w:t>
      </w:r>
      <w:r w:rsidR="000A1D7F">
        <w:rPr>
          <w:lang w:val="en-CA"/>
        </w:rPr>
        <w:t xml:space="preserve"> </w:t>
      </w:r>
      <w:r w:rsidR="00DE2F0E">
        <w:rPr>
          <w:lang w:val="en-CA"/>
        </w:rPr>
        <w:t>to the effect</w:t>
      </w:r>
      <w:r w:rsidRPr="0084150A">
        <w:rPr>
          <w:lang w:val="en-CA"/>
        </w:rPr>
        <w:t xml:space="preserve"> that Vincent Pouliot seemed to be </w:t>
      </w:r>
      <w:r w:rsidR="00DE2F0E" w:rsidRPr="0084150A">
        <w:rPr>
          <w:lang w:val="en-CA"/>
        </w:rPr>
        <w:t xml:space="preserve">already </w:t>
      </w:r>
      <w:r w:rsidRPr="0084150A">
        <w:rPr>
          <w:lang w:val="en-CA"/>
        </w:rPr>
        <w:t xml:space="preserve">aware of the </w:t>
      </w:r>
      <w:r w:rsidR="00DE2F0E">
        <w:rPr>
          <w:lang w:val="en-CA"/>
        </w:rPr>
        <w:t>T</w:t>
      </w:r>
      <w:r w:rsidRPr="0084150A">
        <w:rPr>
          <w:lang w:val="en-CA"/>
        </w:rPr>
        <w:t>ransaction.</w:t>
      </w:r>
    </w:p>
    <w:p w14:paraId="39AF7ADB" w14:textId="20238E2E" w:rsidR="00B37245" w:rsidRPr="0084150A" w:rsidRDefault="005D25C5" w:rsidP="001E16C6">
      <w:pPr>
        <w:pStyle w:val="Paragraphe"/>
        <w:rPr>
          <w:lang w:val="en-CA"/>
        </w:rPr>
      </w:pPr>
      <w:r w:rsidRPr="0084150A">
        <w:rPr>
          <w:lang w:val="en-CA"/>
        </w:rPr>
        <w:t xml:space="preserve"> </w:t>
      </w:r>
      <w:r w:rsidR="006450EB" w:rsidRPr="0084150A">
        <w:rPr>
          <w:lang w:val="en-CA"/>
        </w:rPr>
        <w:t xml:space="preserve">Vincent Pouliot’s testimony and his purchase </w:t>
      </w:r>
      <w:r w:rsidR="006D671C">
        <w:rPr>
          <w:lang w:val="en-CA"/>
        </w:rPr>
        <w:t xml:space="preserve">of </w:t>
      </w:r>
      <w:r w:rsidR="002B3DA3">
        <w:rPr>
          <w:lang w:val="en-CA"/>
        </w:rPr>
        <w:t>Napec</w:t>
      </w:r>
      <w:r w:rsidR="002B3DA3" w:rsidRPr="0084150A">
        <w:rPr>
          <w:lang w:val="en-CA"/>
        </w:rPr>
        <w:t xml:space="preserve"> </w:t>
      </w:r>
      <w:r w:rsidR="006D671C">
        <w:rPr>
          <w:lang w:val="en-CA"/>
        </w:rPr>
        <w:t xml:space="preserve">shares </w:t>
      </w:r>
      <w:r w:rsidR="006450EB" w:rsidRPr="0084150A">
        <w:rPr>
          <w:lang w:val="en-CA"/>
        </w:rPr>
        <w:t xml:space="preserve">a few minutes after a </w:t>
      </w:r>
      <w:r w:rsidR="002B3DA3">
        <w:rPr>
          <w:lang w:val="en-CA"/>
        </w:rPr>
        <w:t>tele</w:t>
      </w:r>
      <w:r w:rsidR="006450EB" w:rsidRPr="0084150A">
        <w:rPr>
          <w:lang w:val="en-CA"/>
        </w:rPr>
        <w:t>phone c</w:t>
      </w:r>
      <w:r w:rsidR="002B3DA3">
        <w:rPr>
          <w:lang w:val="en-CA"/>
        </w:rPr>
        <w:t>onversation</w:t>
      </w:r>
      <w:r w:rsidR="006450EB" w:rsidRPr="0084150A">
        <w:rPr>
          <w:lang w:val="en-CA"/>
        </w:rPr>
        <w:t xml:space="preserve"> with Philippe Gauthier, make it possible for the Tribunal to confirm that Philippe Gauthier, while being aware of the </w:t>
      </w:r>
      <w:r w:rsidR="009D6A56">
        <w:rPr>
          <w:lang w:val="en-CA"/>
        </w:rPr>
        <w:t>T</w:t>
      </w:r>
      <w:r w:rsidR="009D6A56" w:rsidRPr="0084150A">
        <w:rPr>
          <w:lang w:val="en-CA"/>
        </w:rPr>
        <w:t xml:space="preserve">ransaction </w:t>
      </w:r>
      <w:r w:rsidR="006450EB" w:rsidRPr="0084150A">
        <w:rPr>
          <w:lang w:val="en-CA"/>
        </w:rPr>
        <w:t xml:space="preserve">on November 3, 2017, </w:t>
      </w:r>
      <w:r w:rsidR="002B3DA3">
        <w:rPr>
          <w:lang w:val="en-CA"/>
        </w:rPr>
        <w:t>spoke</w:t>
      </w:r>
      <w:r w:rsidR="002B3DA3" w:rsidRPr="0084150A">
        <w:rPr>
          <w:lang w:val="en-CA"/>
        </w:rPr>
        <w:t xml:space="preserve"> </w:t>
      </w:r>
      <w:r w:rsidR="006450EB" w:rsidRPr="0084150A">
        <w:rPr>
          <w:lang w:val="en-CA"/>
        </w:rPr>
        <w:t xml:space="preserve">about the </w:t>
      </w:r>
      <w:r w:rsidR="002B3DA3">
        <w:rPr>
          <w:lang w:val="en-CA"/>
        </w:rPr>
        <w:t>T</w:t>
      </w:r>
      <w:r w:rsidR="006450EB" w:rsidRPr="0084150A">
        <w:rPr>
          <w:lang w:val="en-CA"/>
        </w:rPr>
        <w:t xml:space="preserve">ransaction to Vincent Pouliot and that he suggested to Mr. Pouliot that he purchase </w:t>
      </w:r>
      <w:r w:rsidR="002B3DA3">
        <w:rPr>
          <w:lang w:val="en-CA"/>
        </w:rPr>
        <w:t xml:space="preserve">Napec </w:t>
      </w:r>
      <w:r w:rsidR="006D671C">
        <w:rPr>
          <w:lang w:val="en-CA"/>
        </w:rPr>
        <w:t>shares</w:t>
      </w:r>
      <w:r w:rsidR="006450EB" w:rsidRPr="0084150A">
        <w:rPr>
          <w:lang w:val="en-CA"/>
        </w:rPr>
        <w:t xml:space="preserve">. </w:t>
      </w:r>
    </w:p>
    <w:p w14:paraId="219350AD" w14:textId="34928881" w:rsidR="00A0673D" w:rsidRPr="0084150A" w:rsidRDefault="00FF0489" w:rsidP="00A16C98">
      <w:pPr>
        <w:pStyle w:val="Paragraphe"/>
        <w:rPr>
          <w:lang w:val="en-CA"/>
        </w:rPr>
      </w:pPr>
      <w:r w:rsidRPr="0084150A">
        <w:rPr>
          <w:lang w:val="en-CA"/>
        </w:rPr>
        <w:t xml:space="preserve">The Tribunal finds that, by disclosing privileged information and recommending to Vincent Pouliot that he trade in </w:t>
      </w:r>
      <w:r w:rsidR="006D671C">
        <w:rPr>
          <w:lang w:val="en-CA"/>
        </w:rPr>
        <w:t>shares of Napec</w:t>
      </w:r>
      <w:r w:rsidRPr="0084150A">
        <w:rPr>
          <w:lang w:val="en-CA"/>
        </w:rPr>
        <w:t xml:space="preserve"> on November 3, </w:t>
      </w:r>
      <w:proofErr w:type="gramStart"/>
      <w:r w:rsidRPr="0084150A">
        <w:rPr>
          <w:lang w:val="en-CA"/>
        </w:rPr>
        <w:t>2017</w:t>
      </w:r>
      <w:r w:rsidR="002B3DA3">
        <w:rPr>
          <w:lang w:val="en-CA"/>
        </w:rPr>
        <w:t>,</w:t>
      </w:r>
      <w:proofErr w:type="gramEnd"/>
      <w:r w:rsidRPr="0084150A">
        <w:rPr>
          <w:lang w:val="en-CA"/>
        </w:rPr>
        <w:t xml:space="preserve"> while having privileged information, Philippe Gauthier committed a </w:t>
      </w:r>
      <w:r w:rsidR="00E06DF9">
        <w:rPr>
          <w:lang w:val="en-CA"/>
        </w:rPr>
        <w:t>contravention</w:t>
      </w:r>
      <w:r w:rsidR="00E06DF9" w:rsidRPr="0084150A">
        <w:rPr>
          <w:lang w:val="en-CA"/>
        </w:rPr>
        <w:t xml:space="preserve"> </w:t>
      </w:r>
      <w:r w:rsidRPr="0084150A">
        <w:rPr>
          <w:lang w:val="en-CA"/>
        </w:rPr>
        <w:t xml:space="preserve">of section 188 of the </w:t>
      </w:r>
      <w:r w:rsidRPr="0084150A">
        <w:rPr>
          <w:i/>
          <w:lang w:val="en-CA"/>
        </w:rPr>
        <w:t>SA.</w:t>
      </w:r>
    </w:p>
    <w:p w14:paraId="2288B9A8" w14:textId="0D5ACCFC" w:rsidR="00A346FB" w:rsidRPr="005E07F3" w:rsidRDefault="00662805" w:rsidP="006837C9">
      <w:pPr>
        <w:pStyle w:val="Titre2"/>
        <w:numPr>
          <w:ilvl w:val="0"/>
          <w:numId w:val="4"/>
        </w:numPr>
        <w:rPr>
          <w:lang w:val="en-CA"/>
        </w:rPr>
      </w:pPr>
      <w:bookmarkStart w:id="12" w:name="_Hlk160114971"/>
      <w:r w:rsidRPr="005E07F3">
        <w:rPr>
          <w:lang w:val="en-CA"/>
        </w:rPr>
        <w:t xml:space="preserve">Did Philippe Gauthier, while having privileged information, recommend to Paul Ayoub that he trade in </w:t>
      </w:r>
      <w:r w:rsidR="00DF2743" w:rsidRPr="005E07F3">
        <w:rPr>
          <w:lang w:val="en-CA"/>
        </w:rPr>
        <w:t>securities of Napec</w:t>
      </w:r>
      <w:r w:rsidRPr="005E07F3">
        <w:rPr>
          <w:lang w:val="en-CA"/>
        </w:rPr>
        <w:t>?</w:t>
      </w:r>
    </w:p>
    <w:p w14:paraId="7247168E" w14:textId="1F08274E" w:rsidR="00A346FB" w:rsidRPr="0084150A" w:rsidRDefault="0016570A" w:rsidP="00A346FB">
      <w:pPr>
        <w:pStyle w:val="Paragraphe"/>
        <w:rPr>
          <w:lang w:val="en-CA" w:eastAsia="fr-CA"/>
        </w:rPr>
      </w:pPr>
      <w:r w:rsidRPr="0084150A">
        <w:rPr>
          <w:lang w:val="en-CA" w:eastAsia="fr-CA"/>
        </w:rPr>
        <w:t xml:space="preserve">The Tribunal finds that the Authority has proved, on a balance of probabilities, that Philippe Gauthier, while having privileged information, recommended to Paul Ayoub that he trade in </w:t>
      </w:r>
      <w:r w:rsidR="00FE0803">
        <w:rPr>
          <w:lang w:val="en-CA" w:eastAsia="fr-CA"/>
        </w:rPr>
        <w:t>securities of Napec</w:t>
      </w:r>
      <w:r w:rsidRPr="0084150A">
        <w:rPr>
          <w:lang w:val="en-CA" w:eastAsia="fr-CA"/>
        </w:rPr>
        <w:t>.</w:t>
      </w:r>
    </w:p>
    <w:p w14:paraId="2C392C17" w14:textId="49F9A187" w:rsidR="00A346FB" w:rsidRPr="0084150A" w:rsidRDefault="001A4A6C" w:rsidP="00A346FB">
      <w:pPr>
        <w:pStyle w:val="Paragraphe"/>
        <w:rPr>
          <w:lang w:val="en-CA" w:eastAsia="fr-CA"/>
        </w:rPr>
      </w:pPr>
      <w:r w:rsidRPr="0084150A">
        <w:rPr>
          <w:lang w:val="en-CA" w:eastAsia="fr-CA"/>
        </w:rPr>
        <w:t xml:space="preserve">Paul Ayoub testified at the hearing that, at the time of the facts alleged against Philippe Gauthier, their friendship was just beginning, and </w:t>
      </w:r>
      <w:r w:rsidR="004F68E5">
        <w:rPr>
          <w:lang w:val="en-CA" w:eastAsia="fr-CA"/>
        </w:rPr>
        <w:t>they had met</w:t>
      </w:r>
      <w:r w:rsidRPr="0084150A">
        <w:rPr>
          <w:lang w:val="en-CA" w:eastAsia="fr-CA"/>
        </w:rPr>
        <w:t xml:space="preserve"> through his ex-spouse </w:t>
      </w:r>
      <w:r w:rsidR="004F68E5">
        <w:rPr>
          <w:lang w:val="en-CA" w:eastAsia="fr-CA"/>
        </w:rPr>
        <w:t>who</w:t>
      </w:r>
      <w:r w:rsidRPr="0084150A">
        <w:rPr>
          <w:lang w:val="en-CA" w:eastAsia="fr-CA"/>
        </w:rPr>
        <w:t xml:space="preserve"> also worked in the banking industry.</w:t>
      </w:r>
      <w:r w:rsidR="005D25C5" w:rsidRPr="0084150A">
        <w:rPr>
          <w:lang w:val="en-CA" w:eastAsia="fr-CA"/>
        </w:rPr>
        <w:t xml:space="preserve"> </w:t>
      </w:r>
      <w:r w:rsidR="00A10B8B" w:rsidRPr="0084150A">
        <w:rPr>
          <w:lang w:val="en-CA" w:eastAsia="fr-CA"/>
        </w:rPr>
        <w:t>Philippe Gauthier and Paul Ayoub are still friends and even closer today.</w:t>
      </w:r>
      <w:r w:rsidR="005D25C5" w:rsidRPr="0084150A">
        <w:rPr>
          <w:lang w:val="en-CA" w:eastAsia="fr-CA"/>
        </w:rPr>
        <w:t xml:space="preserve"> </w:t>
      </w:r>
    </w:p>
    <w:p w14:paraId="285D346A" w14:textId="600D0E7F" w:rsidR="00A346FB" w:rsidRPr="0084150A" w:rsidRDefault="000D4418" w:rsidP="00A346FB">
      <w:pPr>
        <w:pStyle w:val="Paragraphe"/>
        <w:rPr>
          <w:lang w:val="en-CA" w:eastAsia="fr-CA"/>
        </w:rPr>
      </w:pPr>
      <w:r w:rsidRPr="0084150A">
        <w:rPr>
          <w:lang w:val="en-CA" w:eastAsia="fr-CA"/>
        </w:rPr>
        <w:t xml:space="preserve">Paul Ayoub told the Tribunal that, at the time, he </w:t>
      </w:r>
      <w:r w:rsidR="00C9613C">
        <w:rPr>
          <w:lang w:val="en-CA" w:eastAsia="fr-CA"/>
        </w:rPr>
        <w:t>took part</w:t>
      </w:r>
      <w:r w:rsidR="00C9613C" w:rsidRPr="0084150A">
        <w:rPr>
          <w:lang w:val="en-CA" w:eastAsia="fr-CA"/>
        </w:rPr>
        <w:t xml:space="preserve"> </w:t>
      </w:r>
      <w:r w:rsidRPr="0084150A">
        <w:rPr>
          <w:lang w:val="en-CA" w:eastAsia="fr-CA"/>
        </w:rPr>
        <w:t xml:space="preserve">in numerous social events </w:t>
      </w:r>
      <w:r w:rsidR="004F68E5">
        <w:rPr>
          <w:lang w:val="en-CA" w:eastAsia="fr-CA"/>
        </w:rPr>
        <w:t>where</w:t>
      </w:r>
      <w:r w:rsidRPr="0084150A">
        <w:rPr>
          <w:lang w:val="en-CA" w:eastAsia="fr-CA"/>
        </w:rPr>
        <w:t xml:space="preserve"> friends would discuss </w:t>
      </w:r>
      <w:r w:rsidR="00DF4A19">
        <w:rPr>
          <w:lang w:val="en-CA" w:eastAsia="fr-CA"/>
        </w:rPr>
        <w:t>stocks</w:t>
      </w:r>
      <w:r w:rsidRPr="0084150A">
        <w:rPr>
          <w:lang w:val="en-CA" w:eastAsia="fr-CA"/>
        </w:rPr>
        <w:t>.</w:t>
      </w:r>
    </w:p>
    <w:p w14:paraId="1AB099FB" w14:textId="17025DBF" w:rsidR="00A346FB" w:rsidRPr="0084150A" w:rsidRDefault="0042450D" w:rsidP="00A346FB">
      <w:pPr>
        <w:pStyle w:val="Paragraphe"/>
        <w:rPr>
          <w:lang w:val="en-CA" w:eastAsia="fr-CA"/>
        </w:rPr>
      </w:pPr>
      <w:r w:rsidRPr="0084150A">
        <w:rPr>
          <w:lang w:val="en-CA" w:eastAsia="fr-CA"/>
        </w:rPr>
        <w:lastRenderedPageBreak/>
        <w:t>As part of the Authority’s investigation, Paul Ayoub agreed to answer</w:t>
      </w:r>
      <w:r w:rsidR="004F68E5">
        <w:rPr>
          <w:lang w:val="en-CA" w:eastAsia="fr-CA"/>
        </w:rPr>
        <w:t xml:space="preserve"> the</w:t>
      </w:r>
      <w:r w:rsidRPr="0084150A">
        <w:rPr>
          <w:lang w:val="en-CA" w:eastAsia="fr-CA"/>
        </w:rPr>
        <w:t xml:space="preserve"> investigators’ questions.</w:t>
      </w:r>
      <w:r w:rsidR="005D25C5" w:rsidRPr="0084150A">
        <w:rPr>
          <w:lang w:val="en-CA" w:eastAsia="fr-CA"/>
        </w:rPr>
        <w:t xml:space="preserve"> </w:t>
      </w:r>
      <w:r w:rsidR="00771E39" w:rsidRPr="0084150A">
        <w:rPr>
          <w:lang w:val="en-CA" w:eastAsia="fr-CA"/>
        </w:rPr>
        <w:t>Paul Ayoub told them that, during a night out in a restaurant or bar in Griffintown, a group of friends, which included Philippe Gauthier, talked about the stock market and several securities, including Napec</w:t>
      </w:r>
      <w:r w:rsidR="00AE042A">
        <w:rPr>
          <w:lang w:val="en-CA" w:eastAsia="fr-CA"/>
        </w:rPr>
        <w:t>’s</w:t>
      </w:r>
      <w:r w:rsidR="00771E39" w:rsidRPr="0084150A">
        <w:rPr>
          <w:lang w:val="en-CA" w:eastAsia="fr-CA"/>
        </w:rPr>
        <w:t>.</w:t>
      </w:r>
      <w:r w:rsidR="005D25C5" w:rsidRPr="0084150A">
        <w:rPr>
          <w:lang w:val="en-CA" w:eastAsia="fr-CA"/>
        </w:rPr>
        <w:t xml:space="preserve"> </w:t>
      </w:r>
      <w:r w:rsidR="00B60C2E" w:rsidRPr="0084150A">
        <w:rPr>
          <w:lang w:val="en-CA" w:eastAsia="fr-CA"/>
        </w:rPr>
        <w:t>He was allegedly told that Napec was the former “CV Tech”.</w:t>
      </w:r>
      <w:r w:rsidR="005D25C5" w:rsidRPr="0084150A">
        <w:rPr>
          <w:lang w:val="en-CA" w:eastAsia="fr-CA"/>
        </w:rPr>
        <w:t xml:space="preserve"> </w:t>
      </w:r>
      <w:r w:rsidR="00D633ED" w:rsidRPr="0084150A">
        <w:rPr>
          <w:lang w:val="en-CA" w:eastAsia="fr-CA"/>
        </w:rPr>
        <w:t xml:space="preserve">As this issuer had previously drawn his attention, Paul Ayoub </w:t>
      </w:r>
      <w:r w:rsidR="004F68E5">
        <w:rPr>
          <w:lang w:val="en-CA" w:eastAsia="fr-CA"/>
        </w:rPr>
        <w:t>did some</w:t>
      </w:r>
      <w:r w:rsidR="004F68E5" w:rsidRPr="0084150A">
        <w:rPr>
          <w:lang w:val="en-CA" w:eastAsia="fr-CA"/>
        </w:rPr>
        <w:t xml:space="preserve"> </w:t>
      </w:r>
      <w:r w:rsidR="00D633ED" w:rsidRPr="0084150A">
        <w:rPr>
          <w:lang w:val="en-CA" w:eastAsia="fr-CA"/>
        </w:rPr>
        <w:t>research and ultimately purchased shares of Napec a few weeks later.</w:t>
      </w:r>
      <w:r w:rsidR="005D25C5" w:rsidRPr="0084150A">
        <w:rPr>
          <w:lang w:val="en-CA" w:eastAsia="fr-CA"/>
        </w:rPr>
        <w:t xml:space="preserve"> </w:t>
      </w:r>
    </w:p>
    <w:p w14:paraId="040FF300" w14:textId="24EFE7A0" w:rsidR="00A346FB" w:rsidRPr="0084150A" w:rsidRDefault="00D61D4D" w:rsidP="00A346FB">
      <w:pPr>
        <w:pStyle w:val="Paragraphe"/>
        <w:rPr>
          <w:lang w:val="en-CA" w:eastAsia="fr-CA"/>
        </w:rPr>
      </w:pPr>
      <w:r w:rsidRPr="0084150A">
        <w:rPr>
          <w:lang w:val="en-CA" w:eastAsia="fr-CA"/>
        </w:rPr>
        <w:t xml:space="preserve">Indeed, on November 21, 2017, Paul Ayoub made an initial purchase of </w:t>
      </w:r>
      <w:r w:rsidR="004F68E5">
        <w:rPr>
          <w:lang w:val="en-CA" w:eastAsia="fr-CA"/>
        </w:rPr>
        <w:t xml:space="preserve">Napec </w:t>
      </w:r>
      <w:r w:rsidR="00E0736B">
        <w:rPr>
          <w:lang w:val="en-CA" w:eastAsia="fr-CA"/>
        </w:rPr>
        <w:t xml:space="preserve">shares </w:t>
      </w:r>
      <w:r w:rsidRPr="0084150A">
        <w:rPr>
          <w:lang w:val="en-CA" w:eastAsia="fr-CA"/>
        </w:rPr>
        <w:t>through his company for $4,644.95.</w:t>
      </w:r>
      <w:r w:rsidR="005D25C5" w:rsidRPr="0084150A">
        <w:rPr>
          <w:lang w:val="en-CA" w:eastAsia="fr-CA"/>
        </w:rPr>
        <w:t xml:space="preserve"> </w:t>
      </w:r>
      <w:r w:rsidR="00DA05FB" w:rsidRPr="0084150A">
        <w:rPr>
          <w:lang w:val="en-CA" w:eastAsia="fr-CA"/>
        </w:rPr>
        <w:t xml:space="preserve">As a result of the </w:t>
      </w:r>
      <w:r w:rsidR="004F68E5">
        <w:rPr>
          <w:lang w:val="en-CA" w:eastAsia="fr-CA"/>
        </w:rPr>
        <w:t>T</w:t>
      </w:r>
      <w:r w:rsidR="0084150A" w:rsidRPr="0084150A">
        <w:rPr>
          <w:lang w:val="en-CA" w:eastAsia="fr-CA"/>
        </w:rPr>
        <w:t>ransaction</w:t>
      </w:r>
      <w:r w:rsidR="00DA05FB" w:rsidRPr="0084150A">
        <w:rPr>
          <w:lang w:val="en-CA" w:eastAsia="fr-CA"/>
        </w:rPr>
        <w:t>, he made a profit of $2,150.10.</w:t>
      </w:r>
      <w:r w:rsidR="005D25C5" w:rsidRPr="0084150A">
        <w:rPr>
          <w:lang w:val="en-CA" w:eastAsia="fr-CA"/>
        </w:rPr>
        <w:t xml:space="preserve"> </w:t>
      </w:r>
    </w:p>
    <w:p w14:paraId="72E9FF0B" w14:textId="0F18EEC0" w:rsidR="00A346FB" w:rsidRPr="0084150A" w:rsidRDefault="00327946" w:rsidP="00A346FB">
      <w:pPr>
        <w:pStyle w:val="Paragraphe"/>
        <w:rPr>
          <w:lang w:val="en-CA" w:eastAsia="fr-CA"/>
        </w:rPr>
      </w:pPr>
      <w:r w:rsidRPr="0084150A">
        <w:rPr>
          <w:lang w:val="en-CA" w:eastAsia="fr-CA"/>
        </w:rPr>
        <w:t>After his examination, Paul Ayoub wrote to one of the investigators to clarify answers to the questions contained in their questionnaire.</w:t>
      </w:r>
      <w:r w:rsidR="005D25C5" w:rsidRPr="0084150A">
        <w:rPr>
          <w:lang w:val="en-CA" w:eastAsia="fr-CA"/>
        </w:rPr>
        <w:t xml:space="preserve"> </w:t>
      </w:r>
      <w:r w:rsidR="00C04DC9" w:rsidRPr="0084150A">
        <w:rPr>
          <w:lang w:val="en-CA" w:eastAsia="fr-CA"/>
        </w:rPr>
        <w:t xml:space="preserve">Paul Ayoub </w:t>
      </w:r>
      <w:r w:rsidR="004F68E5">
        <w:rPr>
          <w:lang w:val="en-CA" w:eastAsia="fr-CA"/>
        </w:rPr>
        <w:t>added</w:t>
      </w:r>
      <w:r w:rsidR="00C04DC9" w:rsidRPr="0084150A">
        <w:rPr>
          <w:lang w:val="en-CA" w:eastAsia="fr-CA"/>
        </w:rPr>
        <w:t>:</w:t>
      </w:r>
      <w:r w:rsidR="005D25C5" w:rsidRPr="0084150A">
        <w:rPr>
          <w:lang w:val="en-CA" w:eastAsia="fr-CA"/>
        </w:rPr>
        <w:t xml:space="preserve"> </w:t>
      </w:r>
    </w:p>
    <w:p w14:paraId="7CF7060D" w14:textId="7B402C2F" w:rsidR="00972743" w:rsidRPr="0084150A" w:rsidRDefault="00972743" w:rsidP="00972743">
      <w:pPr>
        <w:pStyle w:val="Paragraphe"/>
        <w:numPr>
          <w:ilvl w:val="0"/>
          <w:numId w:val="0"/>
        </w:numPr>
        <w:ind w:left="1237"/>
        <w:rPr>
          <w:smallCaps/>
          <w:lang w:val="en-CA" w:eastAsia="fr-CA"/>
        </w:rPr>
      </w:pPr>
      <w:r w:rsidRPr="0084150A">
        <w:rPr>
          <w:lang w:val="en-CA" w:eastAsia="fr-CA"/>
        </w:rPr>
        <w:t>[</w:t>
      </w:r>
      <w:r w:rsidRPr="0084150A">
        <w:rPr>
          <w:smallCaps/>
          <w:lang w:val="en-CA" w:eastAsia="fr-CA"/>
        </w:rPr>
        <w:t>translation]</w:t>
      </w:r>
    </w:p>
    <w:p w14:paraId="15EA441B" w14:textId="350CE796" w:rsidR="00A346FB" w:rsidRPr="0084150A" w:rsidRDefault="001070BD" w:rsidP="00A346FB">
      <w:pPr>
        <w:pStyle w:val="Citationendoubleretrait"/>
      </w:pPr>
      <w:r w:rsidRPr="0084150A">
        <w:t>There is a strong probability that my</w:t>
      </w:r>
      <w:r w:rsidR="004F68E5">
        <w:t xml:space="preserve"> renewed</w:t>
      </w:r>
      <w:r w:rsidRPr="0084150A">
        <w:t xml:space="preserve"> interest in that security originated (or arose</w:t>
      </w:r>
      <w:r w:rsidR="004F68E5">
        <w:t xml:space="preserve"> from</w:t>
      </w:r>
      <w:r w:rsidRPr="0084150A">
        <w:t xml:space="preserve">), </w:t>
      </w:r>
      <w:proofErr w:type="gramStart"/>
      <w:r w:rsidRPr="0084150A">
        <w:t>whether or not</w:t>
      </w:r>
      <w:proofErr w:type="gramEnd"/>
      <w:r w:rsidRPr="0084150A">
        <w:t xml:space="preserve"> it was involuntary or even unbeknownst to him, from Mr. Gauthier.</w:t>
      </w:r>
      <w:r w:rsidR="00972D86" w:rsidRPr="0084150A">
        <w:t xml:space="preserve">…As stated in the questionnaire, it is possible that this was during a discussion among friends about several </w:t>
      </w:r>
      <w:r w:rsidR="00084327">
        <w:t>stocks</w:t>
      </w:r>
      <w:r w:rsidR="00084327" w:rsidRPr="0084150A">
        <w:t xml:space="preserve"> </w:t>
      </w:r>
      <w:r w:rsidR="00972D86" w:rsidRPr="0084150A">
        <w:t>without specifically being about that security.</w:t>
      </w:r>
      <w:r w:rsidR="00972D86" w:rsidRPr="0084150A">
        <w:rPr>
          <w:rStyle w:val="Appelnotedebasdep"/>
        </w:rPr>
        <w:footnoteReference w:id="76"/>
      </w:r>
    </w:p>
    <w:p w14:paraId="57438411" w14:textId="64E496D5" w:rsidR="00A346FB" w:rsidRPr="0084150A" w:rsidRDefault="00972743" w:rsidP="00A346FB">
      <w:pPr>
        <w:pStyle w:val="Paragraphe"/>
        <w:rPr>
          <w:lang w:val="en-CA" w:eastAsia="fr-CA"/>
        </w:rPr>
      </w:pPr>
      <w:r w:rsidRPr="0084150A">
        <w:rPr>
          <w:lang w:val="en-CA" w:eastAsia="fr-CA"/>
        </w:rPr>
        <w:t>During his testimony before the Tribunal, Paul Ayoub could not clarify the circumstances of the discussion about Napec or the exact date of the discussion.</w:t>
      </w:r>
      <w:r w:rsidR="005D25C5" w:rsidRPr="0084150A">
        <w:rPr>
          <w:lang w:val="en-CA" w:eastAsia="fr-CA"/>
        </w:rPr>
        <w:t xml:space="preserve"> </w:t>
      </w:r>
      <w:r w:rsidR="00364739" w:rsidRPr="0084150A">
        <w:rPr>
          <w:lang w:val="en-CA" w:eastAsia="fr-CA"/>
        </w:rPr>
        <w:t>However, he reiterated that it was during a night out</w:t>
      </w:r>
      <w:r w:rsidR="00C219A5">
        <w:rPr>
          <w:lang w:val="en-CA" w:eastAsia="fr-CA"/>
        </w:rPr>
        <w:t>,</w:t>
      </w:r>
      <w:r w:rsidR="00364739" w:rsidRPr="0084150A">
        <w:rPr>
          <w:lang w:val="en-CA" w:eastAsia="fr-CA"/>
        </w:rPr>
        <w:t xml:space="preserve"> </w:t>
      </w:r>
      <w:r w:rsidR="00C219A5">
        <w:rPr>
          <w:lang w:val="en-CA" w:eastAsia="fr-CA"/>
        </w:rPr>
        <w:t>where</w:t>
      </w:r>
      <w:r w:rsidR="00364739" w:rsidRPr="0084150A">
        <w:rPr>
          <w:lang w:val="en-CA" w:eastAsia="fr-CA"/>
        </w:rPr>
        <w:t xml:space="preserve"> Philippe Gauthier was </w:t>
      </w:r>
      <w:r w:rsidR="00C219A5">
        <w:rPr>
          <w:lang w:val="en-CA" w:eastAsia="fr-CA"/>
        </w:rPr>
        <w:t>present,</w:t>
      </w:r>
      <w:r w:rsidR="00364739" w:rsidRPr="0084150A">
        <w:rPr>
          <w:lang w:val="en-CA" w:eastAsia="fr-CA"/>
        </w:rPr>
        <w:t xml:space="preserve"> that they discussed </w:t>
      </w:r>
      <w:r w:rsidR="007516B7">
        <w:rPr>
          <w:lang w:val="en-CA" w:eastAsia="fr-CA"/>
        </w:rPr>
        <w:t>Napec’s</w:t>
      </w:r>
      <w:r w:rsidR="00364739" w:rsidRPr="0084150A">
        <w:rPr>
          <w:lang w:val="en-CA" w:eastAsia="fr-CA"/>
        </w:rPr>
        <w:t xml:space="preserve"> security, which was characterized as a </w:t>
      </w:r>
      <w:r w:rsidR="00AC1C5E" w:rsidRPr="0084150A">
        <w:rPr>
          <w:lang w:val="en-CA" w:eastAsia="fr-CA"/>
        </w:rPr>
        <w:t>[</w:t>
      </w:r>
      <w:r w:rsidR="00AC1C5E" w:rsidRPr="0084150A">
        <w:rPr>
          <w:smallCaps/>
          <w:lang w:val="en-CA" w:eastAsia="fr-CA"/>
        </w:rPr>
        <w:t xml:space="preserve">translation] </w:t>
      </w:r>
      <w:r w:rsidR="00364739" w:rsidRPr="0084150A">
        <w:rPr>
          <w:lang w:val="en-CA" w:eastAsia="fr-CA"/>
        </w:rPr>
        <w:t xml:space="preserve">“good stock” to the extent that it </w:t>
      </w:r>
      <w:r w:rsidR="00C219A5">
        <w:rPr>
          <w:lang w:val="en-CA" w:eastAsia="fr-CA"/>
        </w:rPr>
        <w:t>renewed</w:t>
      </w:r>
      <w:r w:rsidR="00C219A5" w:rsidRPr="0084150A">
        <w:rPr>
          <w:lang w:val="en-CA" w:eastAsia="fr-CA"/>
        </w:rPr>
        <w:t xml:space="preserve"> </w:t>
      </w:r>
      <w:r w:rsidR="00364739" w:rsidRPr="0084150A">
        <w:rPr>
          <w:lang w:val="en-CA" w:eastAsia="fr-CA"/>
        </w:rPr>
        <w:t xml:space="preserve">his interest in the security and led him to purchase shares during the </w:t>
      </w:r>
      <w:r w:rsidR="00C219A5">
        <w:rPr>
          <w:lang w:val="en-CA" w:eastAsia="fr-CA"/>
        </w:rPr>
        <w:t>critical juncture</w:t>
      </w:r>
      <w:r w:rsidR="00364739" w:rsidRPr="0084150A">
        <w:rPr>
          <w:lang w:val="en-CA" w:eastAsia="fr-CA"/>
        </w:rPr>
        <w:t>.</w:t>
      </w:r>
      <w:r w:rsidR="005D25C5" w:rsidRPr="0084150A">
        <w:rPr>
          <w:lang w:val="en-CA" w:eastAsia="fr-CA"/>
        </w:rPr>
        <w:t xml:space="preserve"> </w:t>
      </w:r>
    </w:p>
    <w:p w14:paraId="542E6C39" w14:textId="52CDC757" w:rsidR="00A346FB" w:rsidRPr="0084150A" w:rsidRDefault="00B60A2D" w:rsidP="00A346FB">
      <w:pPr>
        <w:pStyle w:val="Paragraphe"/>
        <w:rPr>
          <w:lang w:val="en-CA" w:eastAsia="fr-CA"/>
        </w:rPr>
      </w:pPr>
      <w:r w:rsidRPr="0084150A">
        <w:rPr>
          <w:lang w:val="en-CA" w:eastAsia="fr-CA"/>
        </w:rPr>
        <w:t xml:space="preserve">Is this sufficient for the Tribunal to conclude that Philippe Gauthier committed a </w:t>
      </w:r>
      <w:r w:rsidR="00E06DF9">
        <w:rPr>
          <w:lang w:val="en-CA" w:eastAsia="fr-CA"/>
        </w:rPr>
        <w:t>contravention</w:t>
      </w:r>
      <w:r w:rsidR="00E06DF9" w:rsidRPr="0084150A">
        <w:rPr>
          <w:lang w:val="en-CA" w:eastAsia="fr-CA"/>
        </w:rPr>
        <w:t xml:space="preserve"> </w:t>
      </w:r>
      <w:r w:rsidRPr="0084150A">
        <w:rPr>
          <w:lang w:val="en-CA" w:eastAsia="fr-CA"/>
        </w:rPr>
        <w:t xml:space="preserve">of section 188 of the </w:t>
      </w:r>
      <w:r w:rsidRPr="0084150A">
        <w:rPr>
          <w:i/>
          <w:lang w:val="en-CA" w:eastAsia="fr-CA"/>
        </w:rPr>
        <w:t>SA</w:t>
      </w:r>
      <w:r w:rsidRPr="0084150A">
        <w:rPr>
          <w:lang w:val="en-CA" w:eastAsia="fr-CA"/>
        </w:rPr>
        <w:t>?</w:t>
      </w:r>
    </w:p>
    <w:p w14:paraId="13FA9DB4" w14:textId="62C769F4" w:rsidR="00A346FB" w:rsidRPr="0084150A" w:rsidRDefault="00992CDC" w:rsidP="00A346FB">
      <w:pPr>
        <w:pStyle w:val="Paragraphe"/>
        <w:rPr>
          <w:lang w:val="en-CA" w:eastAsia="fr-CA"/>
        </w:rPr>
      </w:pPr>
      <w:r w:rsidRPr="0084150A">
        <w:rPr>
          <w:lang w:val="en-CA" w:eastAsia="fr-CA"/>
        </w:rPr>
        <w:t xml:space="preserve">The Tribunal understands that Paul Ayoub did not seem to be aware of the existence of the </w:t>
      </w:r>
      <w:r w:rsidR="00C219A5">
        <w:rPr>
          <w:lang w:val="en-CA" w:eastAsia="fr-CA"/>
        </w:rPr>
        <w:t>T</w:t>
      </w:r>
      <w:r w:rsidRPr="0084150A">
        <w:rPr>
          <w:lang w:val="en-CA" w:eastAsia="fr-CA"/>
        </w:rPr>
        <w:t>ransaction when he purchased the shares of Napec.</w:t>
      </w:r>
      <w:r w:rsidR="005D25C5" w:rsidRPr="0084150A">
        <w:rPr>
          <w:lang w:val="en-CA" w:eastAsia="fr-CA"/>
        </w:rPr>
        <w:t xml:space="preserve"> </w:t>
      </w:r>
      <w:r w:rsidR="00542F4F" w:rsidRPr="0084150A">
        <w:rPr>
          <w:lang w:val="en-CA" w:eastAsia="fr-CA"/>
        </w:rPr>
        <w:t>Thus, the evidence does not make it possible to establish that Philippe Gauthier disclosed privileged information.</w:t>
      </w:r>
      <w:r w:rsidR="005D25C5" w:rsidRPr="0084150A">
        <w:rPr>
          <w:lang w:val="en-CA" w:eastAsia="fr-CA"/>
        </w:rPr>
        <w:t xml:space="preserve"> </w:t>
      </w:r>
    </w:p>
    <w:p w14:paraId="1080B173" w14:textId="022C755C" w:rsidR="00A346FB" w:rsidRPr="0084150A" w:rsidRDefault="00276DA4" w:rsidP="00A346FB">
      <w:pPr>
        <w:pStyle w:val="Paragraphe"/>
        <w:rPr>
          <w:lang w:val="en-CA" w:eastAsia="fr-CA"/>
        </w:rPr>
      </w:pPr>
      <w:r w:rsidRPr="0084150A">
        <w:rPr>
          <w:lang w:val="en-CA" w:eastAsia="fr-CA"/>
        </w:rPr>
        <w:t xml:space="preserve">However, the Tribunal recalls that, under section 188 of the </w:t>
      </w:r>
      <w:r w:rsidRPr="0084150A">
        <w:rPr>
          <w:i/>
          <w:lang w:val="en-CA" w:eastAsia="fr-CA"/>
        </w:rPr>
        <w:t>SA</w:t>
      </w:r>
      <w:r w:rsidRPr="0084150A">
        <w:rPr>
          <w:lang w:val="en-CA" w:eastAsia="fr-CA"/>
        </w:rPr>
        <w:t>, a person having privileged information regarding the securities of a reporting issuer, as is the case with Philippe Gauthier, cannot “recommend” that another party trade in the securities of that issuer.</w:t>
      </w:r>
    </w:p>
    <w:p w14:paraId="34243EF4" w14:textId="7186C5B5" w:rsidR="00A346FB" w:rsidRPr="0084150A" w:rsidRDefault="00C077B5" w:rsidP="00A346FB">
      <w:pPr>
        <w:pStyle w:val="Paragraphe"/>
        <w:rPr>
          <w:lang w:val="en-CA" w:eastAsia="fr-CA"/>
        </w:rPr>
      </w:pPr>
      <w:r w:rsidRPr="0084150A">
        <w:rPr>
          <w:lang w:val="en-CA" w:eastAsia="fr-CA"/>
        </w:rPr>
        <w:t xml:space="preserve">According to </w:t>
      </w:r>
      <w:r w:rsidRPr="00884EDC">
        <w:rPr>
          <w:i/>
          <w:iCs/>
          <w:lang w:val="en-CA" w:eastAsia="fr-CA"/>
        </w:rPr>
        <w:t>Le Robert</w:t>
      </w:r>
      <w:r w:rsidRPr="0084150A">
        <w:rPr>
          <w:lang w:val="en-CA" w:eastAsia="fr-CA"/>
        </w:rPr>
        <w:t xml:space="preserve"> dictionary, recommend means </w:t>
      </w:r>
      <w:r w:rsidR="009F4F84" w:rsidRPr="0084150A">
        <w:rPr>
          <w:lang w:val="en-CA" w:eastAsia="fr-CA"/>
        </w:rPr>
        <w:t>[</w:t>
      </w:r>
      <w:r w:rsidR="009F4F84" w:rsidRPr="0084150A">
        <w:rPr>
          <w:smallCaps/>
          <w:lang w:val="en-CA" w:eastAsia="fr-CA"/>
        </w:rPr>
        <w:t xml:space="preserve">translation] </w:t>
      </w:r>
      <w:r w:rsidRPr="0084150A">
        <w:rPr>
          <w:lang w:val="en-CA" w:eastAsia="fr-CA"/>
        </w:rPr>
        <w:t>“to bring (something) to somebody’s attention;</w:t>
      </w:r>
      <w:r w:rsidR="005D25C5" w:rsidRPr="0084150A">
        <w:rPr>
          <w:lang w:val="en-CA" w:eastAsia="fr-CA"/>
        </w:rPr>
        <w:t xml:space="preserve"> </w:t>
      </w:r>
      <w:r w:rsidR="00AE7D95" w:rsidRPr="0084150A">
        <w:rPr>
          <w:lang w:val="en-CA" w:eastAsia="fr-CA"/>
        </w:rPr>
        <w:t xml:space="preserve">to </w:t>
      </w:r>
      <w:r w:rsidR="00C219A5">
        <w:rPr>
          <w:lang w:val="en-CA" w:eastAsia="fr-CA"/>
        </w:rPr>
        <w:t>praise</w:t>
      </w:r>
      <w:r w:rsidR="00AE7D95" w:rsidRPr="0084150A">
        <w:rPr>
          <w:lang w:val="en-CA" w:eastAsia="fr-CA"/>
        </w:rPr>
        <w:t xml:space="preserve"> the benefits of”.</w:t>
      </w:r>
      <w:r w:rsidR="00AE7D95" w:rsidRPr="0084150A">
        <w:rPr>
          <w:rStyle w:val="Appelnotedebasdep"/>
          <w:lang w:val="en-CA" w:eastAsia="fr-CA"/>
        </w:rPr>
        <w:footnoteReference w:id="77"/>
      </w:r>
      <w:r w:rsidR="005D25C5" w:rsidRPr="0084150A">
        <w:rPr>
          <w:lang w:val="en-CA" w:eastAsia="fr-CA"/>
        </w:rPr>
        <w:t xml:space="preserve"> </w:t>
      </w:r>
      <w:r w:rsidR="009F4F84" w:rsidRPr="0084150A">
        <w:rPr>
          <w:lang w:val="en-CA" w:eastAsia="fr-CA"/>
        </w:rPr>
        <w:t>This dictionary gives the example of recommending a book to friends.</w:t>
      </w:r>
    </w:p>
    <w:p w14:paraId="6D8FD6A0" w14:textId="2A1F17E3" w:rsidR="00A346FB" w:rsidRPr="0084150A" w:rsidRDefault="00674EFF" w:rsidP="00A346FB">
      <w:pPr>
        <w:pStyle w:val="Paragraphe"/>
        <w:rPr>
          <w:lang w:val="en-CA" w:eastAsia="fr-CA"/>
        </w:rPr>
      </w:pPr>
      <w:r w:rsidRPr="0084150A">
        <w:rPr>
          <w:lang w:val="en-CA" w:eastAsia="fr-CA"/>
        </w:rPr>
        <w:lastRenderedPageBreak/>
        <w:t>A person having privileged information relating to the securities of a reporting issuer should abstain</w:t>
      </w:r>
      <w:r w:rsidR="005A3561">
        <w:rPr>
          <w:lang w:val="en-CA" w:eastAsia="fr-CA"/>
        </w:rPr>
        <w:t xml:space="preserve"> from</w:t>
      </w:r>
      <w:r w:rsidRPr="0084150A">
        <w:rPr>
          <w:lang w:val="en-CA" w:eastAsia="fr-CA"/>
        </w:rPr>
        <w:t xml:space="preserve"> discussing such securities, especially if this discussion is likely to </w:t>
      </w:r>
      <w:r w:rsidR="005A3561">
        <w:rPr>
          <w:lang w:val="en-CA" w:eastAsia="fr-CA"/>
        </w:rPr>
        <w:t>lead</w:t>
      </w:r>
      <w:r w:rsidR="005A3561" w:rsidRPr="0084150A">
        <w:rPr>
          <w:lang w:val="en-CA" w:eastAsia="fr-CA"/>
        </w:rPr>
        <w:t xml:space="preserve"> </w:t>
      </w:r>
      <w:r w:rsidRPr="0084150A">
        <w:rPr>
          <w:lang w:val="en-CA" w:eastAsia="fr-CA"/>
        </w:rPr>
        <w:t>a person</w:t>
      </w:r>
      <w:r w:rsidR="005A3561">
        <w:rPr>
          <w:lang w:val="en-CA" w:eastAsia="fr-CA"/>
        </w:rPr>
        <w:t xml:space="preserve"> to</w:t>
      </w:r>
      <w:r w:rsidRPr="0084150A">
        <w:rPr>
          <w:lang w:val="en-CA" w:eastAsia="fr-CA"/>
        </w:rPr>
        <w:t xml:space="preserve"> trade in these securities.</w:t>
      </w:r>
    </w:p>
    <w:p w14:paraId="24BA84E3" w14:textId="577A9415" w:rsidR="00A346FB" w:rsidRPr="0084150A" w:rsidRDefault="005D6B64" w:rsidP="00A346FB">
      <w:pPr>
        <w:pStyle w:val="Paragraphe"/>
        <w:rPr>
          <w:lang w:val="en-CA"/>
        </w:rPr>
      </w:pPr>
      <w:r w:rsidRPr="0084150A">
        <w:rPr>
          <w:lang w:val="en-CA" w:eastAsia="fr-CA"/>
        </w:rPr>
        <w:t xml:space="preserve">When assessing the evidence adduced to the Tribunal as a whole, including the testimony of Paul Ayoub, </w:t>
      </w:r>
      <w:r w:rsidR="0095193C">
        <w:rPr>
          <w:lang w:val="en-CA" w:eastAsia="fr-CA"/>
        </w:rPr>
        <w:t xml:space="preserve">according to </w:t>
      </w:r>
      <w:r w:rsidR="005A3561">
        <w:rPr>
          <w:lang w:val="en-CA" w:eastAsia="fr-CA"/>
        </w:rPr>
        <w:t xml:space="preserve">whom </w:t>
      </w:r>
      <w:r w:rsidRPr="0084150A">
        <w:rPr>
          <w:lang w:val="en-CA" w:eastAsia="fr-CA"/>
        </w:rPr>
        <w:t xml:space="preserve">it is highly likely that his renewed interest in Napec originated from Philippe Gauthier, and the fact that Napec was characterized as a </w:t>
      </w:r>
      <w:r w:rsidR="00EB330A">
        <w:rPr>
          <w:lang w:val="en-CA" w:eastAsia="fr-CA"/>
        </w:rPr>
        <w:t>[</w:t>
      </w:r>
      <w:r w:rsidR="00EB330A">
        <w:rPr>
          <w:smallCaps/>
          <w:lang w:val="en-CA" w:eastAsia="fr-CA"/>
        </w:rPr>
        <w:t xml:space="preserve">translation] </w:t>
      </w:r>
      <w:r w:rsidRPr="0084150A">
        <w:rPr>
          <w:lang w:val="en-CA" w:eastAsia="fr-CA"/>
        </w:rPr>
        <w:t>“good stock”, it is more likely than unlikely that Philippe Gauthier, while having privileged information, recommended to Paul Ayoub that he purchase shares of Napec.</w:t>
      </w:r>
      <w:r w:rsidR="005D25C5" w:rsidRPr="0084150A">
        <w:rPr>
          <w:lang w:val="en-CA" w:eastAsia="fr-CA"/>
        </w:rPr>
        <w:t xml:space="preserve"> </w:t>
      </w:r>
      <w:bookmarkEnd w:id="12"/>
      <w:r w:rsidR="00A904C3" w:rsidRPr="0084150A">
        <w:rPr>
          <w:lang w:val="en-CA" w:eastAsia="fr-CA"/>
        </w:rPr>
        <w:t xml:space="preserve">Consequently, the Tribunal finds that Philippe Gauthier committed a </w:t>
      </w:r>
      <w:r w:rsidR="00E06DF9">
        <w:rPr>
          <w:lang w:val="en-CA" w:eastAsia="fr-CA"/>
        </w:rPr>
        <w:t>contravention</w:t>
      </w:r>
      <w:r w:rsidR="00E06DF9" w:rsidRPr="0084150A">
        <w:rPr>
          <w:lang w:val="en-CA" w:eastAsia="fr-CA"/>
        </w:rPr>
        <w:t xml:space="preserve"> </w:t>
      </w:r>
      <w:r w:rsidR="00A904C3" w:rsidRPr="0084150A">
        <w:rPr>
          <w:lang w:val="en-CA" w:eastAsia="fr-CA"/>
        </w:rPr>
        <w:t xml:space="preserve">of section 188 of the </w:t>
      </w:r>
      <w:r w:rsidR="00A904C3" w:rsidRPr="0084150A">
        <w:rPr>
          <w:i/>
          <w:lang w:val="en-CA" w:eastAsia="fr-CA"/>
        </w:rPr>
        <w:t>SA.</w:t>
      </w:r>
    </w:p>
    <w:p w14:paraId="18BF2432" w14:textId="586514E3" w:rsidR="00A0673D" w:rsidRPr="005E07F3" w:rsidRDefault="00254C5B" w:rsidP="006837C9">
      <w:pPr>
        <w:pStyle w:val="Titre2"/>
        <w:numPr>
          <w:ilvl w:val="0"/>
          <w:numId w:val="4"/>
        </w:numPr>
        <w:rPr>
          <w:lang w:val="en-CA"/>
        </w:rPr>
      </w:pPr>
      <w:bookmarkStart w:id="13" w:name="_Hlk160115171"/>
      <w:r w:rsidRPr="005E07F3">
        <w:rPr>
          <w:lang w:val="en-CA"/>
        </w:rPr>
        <w:t>Did Philippe Gauthier, while having privileged information, disclose privileged information and/or recommend to Frédéric Racine that he trade in Napec securities?</w:t>
      </w:r>
    </w:p>
    <w:bookmarkEnd w:id="13"/>
    <w:p w14:paraId="5CA9E53C" w14:textId="69CAB1DC" w:rsidR="00A0673D" w:rsidRPr="0084150A" w:rsidRDefault="00903C83" w:rsidP="001E16C6">
      <w:pPr>
        <w:pStyle w:val="Paragraphe"/>
        <w:rPr>
          <w:lang w:val="en-CA"/>
        </w:rPr>
      </w:pPr>
      <w:r w:rsidRPr="0084150A">
        <w:rPr>
          <w:lang w:val="en-CA"/>
        </w:rPr>
        <w:t xml:space="preserve">The Tribunal </w:t>
      </w:r>
      <w:r w:rsidR="00005297">
        <w:rPr>
          <w:lang w:val="en-CA"/>
        </w:rPr>
        <w:t>concludes</w:t>
      </w:r>
      <w:r w:rsidRPr="0084150A">
        <w:rPr>
          <w:lang w:val="en-CA"/>
        </w:rPr>
        <w:t xml:space="preserve"> that Philippe Gauthier disclosed privileged information to Frédéric Racine and recommend</w:t>
      </w:r>
      <w:r w:rsidR="00521BD1">
        <w:rPr>
          <w:lang w:val="en-CA"/>
        </w:rPr>
        <w:t>ed</w:t>
      </w:r>
      <w:r w:rsidRPr="0084150A">
        <w:rPr>
          <w:lang w:val="en-CA"/>
        </w:rPr>
        <w:t xml:space="preserve"> that he purchase shares of Napec.</w:t>
      </w:r>
    </w:p>
    <w:p w14:paraId="3AC5698A" w14:textId="5816C4FB" w:rsidR="00B30C9E" w:rsidRPr="0084150A" w:rsidRDefault="008E653A" w:rsidP="00B30C9E">
      <w:pPr>
        <w:pStyle w:val="Paragraphe"/>
        <w:rPr>
          <w:lang w:val="en-CA"/>
        </w:rPr>
      </w:pPr>
      <w:r w:rsidRPr="0084150A">
        <w:rPr>
          <w:lang w:val="en-CA"/>
        </w:rPr>
        <w:t xml:space="preserve">On November 6, 2017, a few minutes after he received an email from BMO with </w:t>
      </w:r>
      <w:r w:rsidR="00B2755C">
        <w:rPr>
          <w:lang w:val="en-CA"/>
        </w:rPr>
        <w:t xml:space="preserve">the </w:t>
      </w:r>
      <w:r w:rsidRPr="0084150A">
        <w:rPr>
          <w:lang w:val="en-CA"/>
        </w:rPr>
        <w:t xml:space="preserve">details </w:t>
      </w:r>
      <w:r w:rsidR="00B2755C">
        <w:rPr>
          <w:lang w:val="en-CA"/>
        </w:rPr>
        <w:t>of</w:t>
      </w:r>
      <w:r w:rsidR="00B2755C" w:rsidRPr="0084150A">
        <w:rPr>
          <w:lang w:val="en-CA"/>
        </w:rPr>
        <w:t xml:space="preserve"> </w:t>
      </w:r>
      <w:r w:rsidRPr="0084150A">
        <w:rPr>
          <w:lang w:val="en-CA"/>
        </w:rPr>
        <w:t xml:space="preserve">the </w:t>
      </w:r>
      <w:r w:rsidR="00B2755C">
        <w:rPr>
          <w:lang w:val="en-CA"/>
        </w:rPr>
        <w:t>T</w:t>
      </w:r>
      <w:r w:rsidRPr="0084150A">
        <w:rPr>
          <w:lang w:val="en-CA"/>
        </w:rPr>
        <w:t xml:space="preserve">ransaction, such as the name of the </w:t>
      </w:r>
      <w:r w:rsidR="002B05B9">
        <w:rPr>
          <w:lang w:val="en-CA"/>
        </w:rPr>
        <w:t>buyer</w:t>
      </w:r>
      <w:r w:rsidRPr="0084150A">
        <w:rPr>
          <w:lang w:val="en-CA"/>
        </w:rPr>
        <w:t xml:space="preserve">, Oaktree, and the purchase price of the </w:t>
      </w:r>
      <w:r w:rsidR="00B2755C">
        <w:rPr>
          <w:lang w:val="en-CA"/>
        </w:rPr>
        <w:t>Napec</w:t>
      </w:r>
      <w:r w:rsidR="00B2755C" w:rsidRPr="0084150A">
        <w:rPr>
          <w:lang w:val="en-CA"/>
        </w:rPr>
        <w:t xml:space="preserve"> </w:t>
      </w:r>
      <w:r w:rsidRPr="0084150A">
        <w:rPr>
          <w:lang w:val="en-CA"/>
        </w:rPr>
        <w:t>shares, Philippe Gauthier sent a text message to Frédéric Racine to schedule a lunch for the next day.</w:t>
      </w:r>
      <w:r w:rsidRPr="0084150A">
        <w:rPr>
          <w:vertAlign w:val="superscript"/>
          <w:lang w:val="en-CA"/>
        </w:rPr>
        <w:footnoteReference w:id="78"/>
      </w:r>
      <w:r w:rsidR="009B60A0" w:rsidRPr="0084150A">
        <w:rPr>
          <w:lang w:val="en-CA"/>
        </w:rPr>
        <w:t xml:space="preserve"> </w:t>
      </w:r>
    </w:p>
    <w:p w14:paraId="211BF261" w14:textId="1D8BEA3E" w:rsidR="0040370B" w:rsidRPr="0084150A" w:rsidRDefault="009D1437" w:rsidP="00B30C9E">
      <w:pPr>
        <w:pStyle w:val="Paragraphe"/>
        <w:rPr>
          <w:lang w:val="en-CA"/>
        </w:rPr>
      </w:pPr>
      <w:r w:rsidRPr="0084150A">
        <w:rPr>
          <w:lang w:val="en-CA"/>
        </w:rPr>
        <w:t>The evidence shows that Philippe Gauthier and Frédéric Racine had lunch together at the Beaver Hall restaurant on November 7, 2017,</w:t>
      </w:r>
      <w:r w:rsidRPr="0084150A">
        <w:rPr>
          <w:vertAlign w:val="superscript"/>
          <w:lang w:val="en-CA"/>
        </w:rPr>
        <w:footnoteReference w:id="79"/>
      </w:r>
      <w:r w:rsidRPr="0084150A">
        <w:rPr>
          <w:lang w:val="en-CA"/>
        </w:rPr>
        <w:t xml:space="preserve"> which they also admit.</w:t>
      </w:r>
      <w:r w:rsidR="00B5035D" w:rsidRPr="0084150A">
        <w:rPr>
          <w:lang w:val="en-CA"/>
        </w:rPr>
        <w:t xml:space="preserve"> </w:t>
      </w:r>
    </w:p>
    <w:p w14:paraId="36D7D201" w14:textId="7D10E93D" w:rsidR="00E53488" w:rsidRPr="0084150A" w:rsidRDefault="003C4497" w:rsidP="00E53488">
      <w:pPr>
        <w:pStyle w:val="Paragraphe"/>
        <w:rPr>
          <w:lang w:val="en-CA"/>
        </w:rPr>
      </w:pPr>
      <w:r w:rsidRPr="0084150A">
        <w:rPr>
          <w:lang w:val="en-CA"/>
        </w:rPr>
        <w:t>Philippe Gauthier told the Tribunal that he did not recall the discussions he had with Frédéric Racine during that lunch.</w:t>
      </w:r>
      <w:r w:rsidR="005D25C5" w:rsidRPr="0084150A">
        <w:rPr>
          <w:lang w:val="en-CA"/>
        </w:rPr>
        <w:t xml:space="preserve"> </w:t>
      </w:r>
      <w:r w:rsidR="00AC77B4" w:rsidRPr="0084150A">
        <w:rPr>
          <w:lang w:val="en-CA"/>
        </w:rPr>
        <w:t>He added that, according to his recollection, Frédéric Racine attended the lunch accompanied by someone.</w:t>
      </w:r>
    </w:p>
    <w:p w14:paraId="1944F560" w14:textId="7F877FFF" w:rsidR="00E53488" w:rsidRPr="0084150A" w:rsidRDefault="004F5702" w:rsidP="00E53488">
      <w:pPr>
        <w:pStyle w:val="Paragraphe"/>
        <w:rPr>
          <w:lang w:val="en-CA"/>
        </w:rPr>
      </w:pPr>
      <w:r w:rsidRPr="0084150A">
        <w:rPr>
          <w:lang w:val="en-CA"/>
        </w:rPr>
        <w:t>Frédéric Racine, however, categorically denied before the Tribunal that he discussed Napec in any way during that lunch.</w:t>
      </w:r>
      <w:r w:rsidR="005D25C5" w:rsidRPr="0084150A">
        <w:rPr>
          <w:lang w:val="en-CA"/>
        </w:rPr>
        <w:t xml:space="preserve"> </w:t>
      </w:r>
      <w:r w:rsidR="00C71EA2" w:rsidRPr="0084150A">
        <w:rPr>
          <w:lang w:val="en-CA"/>
        </w:rPr>
        <w:t xml:space="preserve">He added that it would not have been appropriate to </w:t>
      </w:r>
      <w:r w:rsidR="00374123">
        <w:rPr>
          <w:lang w:val="en-CA"/>
        </w:rPr>
        <w:t>talk</w:t>
      </w:r>
      <w:r w:rsidR="00374123" w:rsidRPr="0084150A">
        <w:rPr>
          <w:lang w:val="en-CA"/>
        </w:rPr>
        <w:t xml:space="preserve"> </w:t>
      </w:r>
      <w:r w:rsidR="00C71EA2" w:rsidRPr="0084150A">
        <w:rPr>
          <w:lang w:val="en-CA"/>
        </w:rPr>
        <w:t>business because he was indeed accompanied by somebody at the lunch.</w:t>
      </w:r>
      <w:r w:rsidR="005D25C5" w:rsidRPr="0084150A">
        <w:rPr>
          <w:lang w:val="en-CA"/>
        </w:rPr>
        <w:t xml:space="preserve"> </w:t>
      </w:r>
    </w:p>
    <w:p w14:paraId="156280F3" w14:textId="37B1E9B4" w:rsidR="00706938" w:rsidRPr="0084150A" w:rsidRDefault="00300F46" w:rsidP="001E16C6">
      <w:pPr>
        <w:pStyle w:val="Paragraphe"/>
        <w:rPr>
          <w:lang w:val="en-CA"/>
        </w:rPr>
      </w:pPr>
      <w:r w:rsidRPr="0084150A">
        <w:rPr>
          <w:lang w:val="en-CA"/>
        </w:rPr>
        <w:t xml:space="preserve">During his cross-examination before the Tribunal, Frédéric Racine could not recall that person’s name, but he </w:t>
      </w:r>
      <w:r w:rsidR="00224939">
        <w:rPr>
          <w:lang w:val="en-CA"/>
        </w:rPr>
        <w:t>claimed</w:t>
      </w:r>
      <w:r w:rsidRPr="0084150A">
        <w:rPr>
          <w:lang w:val="en-CA"/>
        </w:rPr>
        <w:t xml:space="preserve"> that they worked for Deloitte.</w:t>
      </w:r>
      <w:r w:rsidR="00793BE6" w:rsidRPr="0084150A">
        <w:rPr>
          <w:lang w:val="en-CA"/>
        </w:rPr>
        <w:t xml:space="preserve"> </w:t>
      </w:r>
      <w:r w:rsidR="00FF1923" w:rsidRPr="0084150A">
        <w:rPr>
          <w:lang w:val="en-CA"/>
        </w:rPr>
        <w:t>The Tribunal notes that Frédéric Racine sent Philippe Gauthier six text messages about their lunch from 10:00 a.m. to 11:54 a.m. on November 7, 2017, and never mentioned the fact that he would be accompanied.</w:t>
      </w:r>
      <w:r w:rsidR="00FF1923" w:rsidRPr="0084150A">
        <w:rPr>
          <w:rStyle w:val="Appelnotedebasdep"/>
          <w:lang w:val="en-CA"/>
        </w:rPr>
        <w:footnoteReference w:id="80"/>
      </w:r>
      <w:r w:rsidR="008242B8" w:rsidRPr="0084150A">
        <w:rPr>
          <w:lang w:val="en-CA"/>
        </w:rPr>
        <w:t xml:space="preserve"> </w:t>
      </w:r>
      <w:r w:rsidR="007F73BD" w:rsidRPr="0084150A">
        <w:rPr>
          <w:lang w:val="en-CA"/>
        </w:rPr>
        <w:t>Although Frédéric Racine occasionally introduced business contacts to Philippe Gauthier, would it not have been appropriate to mention this other person to him in one of the six text messages?</w:t>
      </w:r>
      <w:r w:rsidR="008242B8" w:rsidRPr="0084150A">
        <w:rPr>
          <w:lang w:val="en-CA"/>
        </w:rPr>
        <w:t xml:space="preserve"> </w:t>
      </w:r>
    </w:p>
    <w:p w14:paraId="2751525E" w14:textId="26A48065" w:rsidR="008242B8" w:rsidRPr="0084150A" w:rsidRDefault="008130C4" w:rsidP="001E16C6">
      <w:pPr>
        <w:pStyle w:val="Paragraphe"/>
        <w:rPr>
          <w:lang w:val="en-CA"/>
        </w:rPr>
      </w:pPr>
      <w:r w:rsidRPr="0084150A">
        <w:rPr>
          <w:lang w:val="en-CA"/>
        </w:rPr>
        <w:lastRenderedPageBreak/>
        <w:t xml:space="preserve">In the Tribunal’s view, it is unlikely that Frédéric Racine </w:t>
      </w:r>
      <w:r w:rsidR="00374123">
        <w:rPr>
          <w:lang w:val="en-CA"/>
        </w:rPr>
        <w:t>was</w:t>
      </w:r>
      <w:r w:rsidRPr="0084150A">
        <w:rPr>
          <w:lang w:val="en-CA"/>
        </w:rPr>
        <w:t xml:space="preserve"> unable to recall the name of the person who accompanied him to the lunch </w:t>
      </w:r>
      <w:r w:rsidR="00374123">
        <w:rPr>
          <w:lang w:val="en-CA"/>
        </w:rPr>
        <w:t>when</w:t>
      </w:r>
      <w:r w:rsidRPr="0084150A">
        <w:rPr>
          <w:lang w:val="en-CA"/>
        </w:rPr>
        <w:t xml:space="preserve"> during his testimony before the Tribunal, he </w:t>
      </w:r>
      <w:r w:rsidR="00374123">
        <w:rPr>
          <w:lang w:val="en-CA"/>
        </w:rPr>
        <w:t>recounted in minute</w:t>
      </w:r>
      <w:r w:rsidRPr="0084150A">
        <w:rPr>
          <w:lang w:val="en-CA"/>
        </w:rPr>
        <w:t xml:space="preserve"> detail certain events and </w:t>
      </w:r>
      <w:r w:rsidR="00374123">
        <w:rPr>
          <w:lang w:val="en-CA"/>
        </w:rPr>
        <w:t xml:space="preserve">the </w:t>
      </w:r>
      <w:r w:rsidRPr="0084150A">
        <w:rPr>
          <w:lang w:val="en-CA"/>
        </w:rPr>
        <w:t xml:space="preserve">statements certain </w:t>
      </w:r>
      <w:r w:rsidR="00142AAF">
        <w:rPr>
          <w:lang w:val="en-CA"/>
        </w:rPr>
        <w:t>individuals</w:t>
      </w:r>
      <w:r w:rsidRPr="0084150A">
        <w:rPr>
          <w:lang w:val="en-CA"/>
        </w:rPr>
        <w:t xml:space="preserve"> made.</w:t>
      </w:r>
      <w:r w:rsidR="005D25C5" w:rsidRPr="0084150A">
        <w:rPr>
          <w:lang w:val="en-CA"/>
        </w:rPr>
        <w:t xml:space="preserve"> </w:t>
      </w:r>
    </w:p>
    <w:p w14:paraId="1E0CC139" w14:textId="1887FFA7" w:rsidR="009B60A0" w:rsidRPr="0084150A" w:rsidRDefault="00E27AAB" w:rsidP="001E16C6">
      <w:pPr>
        <w:pStyle w:val="Paragraphe"/>
        <w:rPr>
          <w:lang w:val="en-CA"/>
        </w:rPr>
      </w:pPr>
      <w:r w:rsidRPr="0084150A">
        <w:rPr>
          <w:lang w:val="en-CA"/>
        </w:rPr>
        <w:t xml:space="preserve">In any event, </w:t>
      </w:r>
      <w:r w:rsidR="00374123">
        <w:rPr>
          <w:lang w:val="en-CA"/>
        </w:rPr>
        <w:t>even if</w:t>
      </w:r>
      <w:r w:rsidR="00374123" w:rsidRPr="0084150A">
        <w:rPr>
          <w:lang w:val="en-CA"/>
        </w:rPr>
        <w:t xml:space="preserve"> </w:t>
      </w:r>
      <w:r w:rsidRPr="0084150A">
        <w:rPr>
          <w:lang w:val="en-CA"/>
        </w:rPr>
        <w:t xml:space="preserve">Philippe Gauthier and Frédéric Racine did not dine alone on November 7, 2017, the Tribunal </w:t>
      </w:r>
      <w:r w:rsidR="00374123">
        <w:rPr>
          <w:lang w:val="en-CA"/>
        </w:rPr>
        <w:t>w</w:t>
      </w:r>
      <w:r w:rsidRPr="0084150A">
        <w:rPr>
          <w:lang w:val="en-CA"/>
        </w:rPr>
        <w:t xml:space="preserve">ould still conclude that Philippe Gauthier </w:t>
      </w:r>
      <w:r w:rsidR="009C5E74" w:rsidRPr="0084150A">
        <w:rPr>
          <w:lang w:val="en-CA"/>
        </w:rPr>
        <w:t>nevertheless</w:t>
      </w:r>
      <w:r w:rsidRPr="0084150A">
        <w:rPr>
          <w:lang w:val="en-CA"/>
        </w:rPr>
        <w:t xml:space="preserve"> disclosed privileged information and recommended to Frédéric Racine that he purchase shares of Napec at some point during their lunch.</w:t>
      </w:r>
      <w:r w:rsidR="004A73D0" w:rsidRPr="0084150A">
        <w:rPr>
          <w:lang w:val="en-CA"/>
        </w:rPr>
        <w:t xml:space="preserve"> </w:t>
      </w:r>
    </w:p>
    <w:p w14:paraId="0D1CFA24" w14:textId="1553D8F6" w:rsidR="004A73D0" w:rsidRPr="0084150A" w:rsidRDefault="0053306B" w:rsidP="001E16C6">
      <w:pPr>
        <w:pStyle w:val="Paragraphe"/>
        <w:rPr>
          <w:lang w:val="en-CA"/>
        </w:rPr>
      </w:pPr>
      <w:r>
        <w:rPr>
          <w:lang w:val="en-CA"/>
        </w:rPr>
        <w:t>T</w:t>
      </w:r>
      <w:r w:rsidR="009C5E74" w:rsidRPr="0084150A">
        <w:rPr>
          <w:lang w:val="en-CA"/>
        </w:rPr>
        <w:t>he evidence shows that, in the hour following his lunch with Philippe Gauthier, Frédéric Racine traded in shares of Napec.</w:t>
      </w:r>
      <w:r w:rsidR="00212FC0" w:rsidRPr="0084150A">
        <w:rPr>
          <w:lang w:val="en-CA"/>
        </w:rPr>
        <w:t xml:space="preserve"> </w:t>
      </w:r>
      <w:r w:rsidR="00425BC9" w:rsidRPr="0084150A">
        <w:rPr>
          <w:lang w:val="en-CA"/>
        </w:rPr>
        <w:t xml:space="preserve">He made four buy orders </w:t>
      </w:r>
      <w:r>
        <w:rPr>
          <w:lang w:val="en-CA"/>
        </w:rPr>
        <w:t>for</w:t>
      </w:r>
      <w:r w:rsidR="00425BC9" w:rsidRPr="0084150A">
        <w:rPr>
          <w:lang w:val="en-CA"/>
        </w:rPr>
        <w:t xml:space="preserve"> $35,691.30</w:t>
      </w:r>
      <w:r w:rsidR="00425BC9" w:rsidRPr="0084150A">
        <w:rPr>
          <w:rStyle w:val="Appelnotedebasdep"/>
          <w:lang w:val="en-CA"/>
        </w:rPr>
        <w:footnoteReference w:id="81"/>
      </w:r>
      <w:r w:rsidR="00425BC9" w:rsidRPr="0084150A">
        <w:rPr>
          <w:lang w:val="en-CA"/>
        </w:rPr>
        <w:t xml:space="preserve"> even though he had </w:t>
      </w:r>
      <w:proofErr w:type="gramStart"/>
      <w:r w:rsidR="00425BC9" w:rsidRPr="0084150A">
        <w:rPr>
          <w:lang w:val="en-CA"/>
        </w:rPr>
        <w:t>never before</w:t>
      </w:r>
      <w:proofErr w:type="gramEnd"/>
      <w:r w:rsidR="00425BC9" w:rsidRPr="0084150A">
        <w:rPr>
          <w:lang w:val="en-CA"/>
        </w:rPr>
        <w:t xml:space="preserve"> traded in shares of Napec.</w:t>
      </w:r>
      <w:r w:rsidR="00425BC9" w:rsidRPr="0084150A">
        <w:rPr>
          <w:rStyle w:val="Appelnotedebasdep"/>
          <w:lang w:val="en-CA"/>
        </w:rPr>
        <w:footnoteReference w:id="82"/>
      </w:r>
      <w:r w:rsidR="00F44411" w:rsidRPr="0084150A">
        <w:rPr>
          <w:lang w:val="en-CA"/>
        </w:rPr>
        <w:t xml:space="preserve"> </w:t>
      </w:r>
      <w:r w:rsidR="00D957DD" w:rsidRPr="0084150A">
        <w:rPr>
          <w:lang w:val="en-CA"/>
        </w:rPr>
        <w:t xml:space="preserve">This demonstrates Frédéric Racine’s haste to purchase shares of Napec caused by the information </w:t>
      </w:r>
      <w:r w:rsidRPr="0084150A">
        <w:rPr>
          <w:lang w:val="en-CA"/>
        </w:rPr>
        <w:t xml:space="preserve">regarding the </w:t>
      </w:r>
      <w:r>
        <w:rPr>
          <w:lang w:val="en-CA"/>
        </w:rPr>
        <w:t>T</w:t>
      </w:r>
      <w:r w:rsidRPr="0084150A">
        <w:rPr>
          <w:lang w:val="en-CA"/>
        </w:rPr>
        <w:t xml:space="preserve">ransaction </w:t>
      </w:r>
      <w:r w:rsidR="00D957DD" w:rsidRPr="0084150A">
        <w:rPr>
          <w:lang w:val="en-CA"/>
        </w:rPr>
        <w:t xml:space="preserve">that Philippe Gauthier disclosed to him during their lunch. </w:t>
      </w:r>
    </w:p>
    <w:p w14:paraId="12212D0E" w14:textId="72C5E7A9" w:rsidR="00F73D27" w:rsidRPr="0084150A" w:rsidRDefault="00666060" w:rsidP="00E522D1">
      <w:pPr>
        <w:pStyle w:val="Paragraphe"/>
        <w:rPr>
          <w:lang w:val="en-CA"/>
        </w:rPr>
      </w:pPr>
      <w:r w:rsidRPr="0084150A">
        <w:rPr>
          <w:lang w:val="en-CA"/>
        </w:rPr>
        <w:t xml:space="preserve">From November 7 to 29, 2017, Frédéric Racine </w:t>
      </w:r>
      <w:r w:rsidR="00E702E0">
        <w:rPr>
          <w:lang w:val="en-CA"/>
        </w:rPr>
        <w:t>performed</w:t>
      </w:r>
      <w:r w:rsidRPr="0084150A">
        <w:rPr>
          <w:lang w:val="en-CA"/>
        </w:rPr>
        <w:t xml:space="preserve"> </w:t>
      </w:r>
      <w:r w:rsidR="004D26F7">
        <w:rPr>
          <w:lang w:val="en-CA"/>
        </w:rPr>
        <w:t xml:space="preserve">about </w:t>
      </w:r>
      <w:r w:rsidRPr="0084150A">
        <w:rPr>
          <w:lang w:val="en-CA"/>
        </w:rPr>
        <w:t xml:space="preserve">20 </w:t>
      </w:r>
      <w:r w:rsidR="00D51BAF">
        <w:rPr>
          <w:lang w:val="en-CA"/>
        </w:rPr>
        <w:t>trades</w:t>
      </w:r>
      <w:r w:rsidR="00D51BAF" w:rsidRPr="0084150A">
        <w:rPr>
          <w:lang w:val="en-CA"/>
        </w:rPr>
        <w:t xml:space="preserve"> </w:t>
      </w:r>
      <w:r w:rsidRPr="0084150A">
        <w:rPr>
          <w:lang w:val="en-CA"/>
        </w:rPr>
        <w:t>to purchase shares of Napec for a total value of $172,508 in his TFSA.</w:t>
      </w:r>
      <w:r w:rsidR="00652DFC" w:rsidRPr="0084150A">
        <w:rPr>
          <w:lang w:val="en-CA"/>
        </w:rPr>
        <w:t xml:space="preserve"> </w:t>
      </w:r>
      <w:r w:rsidR="00E2041A" w:rsidRPr="0084150A">
        <w:rPr>
          <w:lang w:val="en-CA"/>
        </w:rPr>
        <w:t xml:space="preserve">The </w:t>
      </w:r>
      <w:r w:rsidR="00A9494C">
        <w:rPr>
          <w:lang w:val="en-CA"/>
        </w:rPr>
        <w:t>shares of Napec</w:t>
      </w:r>
      <w:r w:rsidR="00E2041A" w:rsidRPr="0084150A">
        <w:rPr>
          <w:lang w:val="en-CA"/>
        </w:rPr>
        <w:t xml:space="preserve"> in this account accounted for 99% of his portfolio.</w:t>
      </w:r>
      <w:r w:rsidR="00652DFC" w:rsidRPr="0084150A">
        <w:rPr>
          <w:lang w:val="en-CA"/>
        </w:rPr>
        <w:t xml:space="preserve"> </w:t>
      </w:r>
      <w:r w:rsidR="00F771B8" w:rsidRPr="0084150A">
        <w:rPr>
          <w:lang w:val="en-CA"/>
        </w:rPr>
        <w:t xml:space="preserve">He also </w:t>
      </w:r>
      <w:r w:rsidR="0079161E">
        <w:rPr>
          <w:lang w:val="en-CA"/>
        </w:rPr>
        <w:t>did trades</w:t>
      </w:r>
      <w:r w:rsidR="00F771B8" w:rsidRPr="0084150A">
        <w:rPr>
          <w:lang w:val="en-CA"/>
        </w:rPr>
        <w:t xml:space="preserve"> to purchase Napec shares in his RRSP </w:t>
      </w:r>
      <w:r w:rsidR="0079161E">
        <w:rPr>
          <w:lang w:val="en-CA"/>
        </w:rPr>
        <w:t>for</w:t>
      </w:r>
      <w:r w:rsidR="00F771B8" w:rsidRPr="0084150A">
        <w:rPr>
          <w:lang w:val="en-CA"/>
        </w:rPr>
        <w:t xml:space="preserve"> $113,398,</w:t>
      </w:r>
      <w:r w:rsidR="00F771B8" w:rsidRPr="0084150A">
        <w:rPr>
          <w:rStyle w:val="Appelnotedebasdep"/>
          <w:lang w:val="en-CA"/>
        </w:rPr>
        <w:footnoteReference w:id="83"/>
      </w:r>
      <w:r w:rsidR="00F771B8" w:rsidRPr="0084150A">
        <w:rPr>
          <w:lang w:val="en-CA"/>
        </w:rPr>
        <w:t xml:space="preserve"> which account</w:t>
      </w:r>
      <w:r w:rsidR="00A9494C">
        <w:rPr>
          <w:lang w:val="en-CA"/>
        </w:rPr>
        <w:t>ed</w:t>
      </w:r>
      <w:r w:rsidR="00F771B8" w:rsidRPr="0084150A">
        <w:rPr>
          <w:lang w:val="en-CA"/>
        </w:rPr>
        <w:t xml:space="preserve"> for 100% of the portfolio in this account.</w:t>
      </w:r>
      <w:r w:rsidR="00BB7588" w:rsidRPr="0084150A">
        <w:rPr>
          <w:lang w:val="en-CA"/>
        </w:rPr>
        <w:t xml:space="preserve"> </w:t>
      </w:r>
      <w:r w:rsidR="0015237D" w:rsidRPr="0084150A">
        <w:rPr>
          <w:lang w:val="en-CA"/>
        </w:rPr>
        <w:t xml:space="preserve">On December 5, the day after the </w:t>
      </w:r>
      <w:r w:rsidR="0079161E">
        <w:rPr>
          <w:lang w:val="en-CA"/>
        </w:rPr>
        <w:t>T</w:t>
      </w:r>
      <w:r w:rsidR="0015237D" w:rsidRPr="0084150A">
        <w:rPr>
          <w:lang w:val="en-CA"/>
        </w:rPr>
        <w:t xml:space="preserve">ransaction was publicly announced, Frédéric Racine sold all his </w:t>
      </w:r>
      <w:r w:rsidR="00325B8D">
        <w:rPr>
          <w:lang w:val="en-CA"/>
        </w:rPr>
        <w:t>shares of Napec</w:t>
      </w:r>
      <w:r w:rsidR="0015237D" w:rsidRPr="0084150A">
        <w:rPr>
          <w:lang w:val="en-CA"/>
        </w:rPr>
        <w:t xml:space="preserve"> and made a profit of $88,398.</w:t>
      </w:r>
      <w:r w:rsidR="0015237D" w:rsidRPr="0084150A">
        <w:rPr>
          <w:rStyle w:val="Appelnotedebasdep"/>
          <w:lang w:val="en-CA"/>
        </w:rPr>
        <w:footnoteReference w:id="84"/>
      </w:r>
    </w:p>
    <w:p w14:paraId="280F8573" w14:textId="27EBF97E" w:rsidR="007D6225" w:rsidRPr="0084150A" w:rsidRDefault="008A6934" w:rsidP="00F73D27">
      <w:pPr>
        <w:pStyle w:val="Paragraphe"/>
        <w:rPr>
          <w:lang w:val="en-CA"/>
        </w:rPr>
      </w:pPr>
      <w:r w:rsidRPr="0084150A">
        <w:rPr>
          <w:lang w:val="en-CA"/>
        </w:rPr>
        <w:t xml:space="preserve">Thus, the </w:t>
      </w:r>
      <w:r w:rsidR="00C8479F">
        <w:rPr>
          <w:lang w:val="en-CA"/>
        </w:rPr>
        <w:t>concentration</w:t>
      </w:r>
      <w:r w:rsidRPr="0084150A">
        <w:rPr>
          <w:lang w:val="en-CA"/>
        </w:rPr>
        <w:t xml:space="preserve"> of Frédéric Racine’s portfolios shows that, based on the information disclosed to him by Philippe Gauthier, he took an investment risk.</w:t>
      </w:r>
      <w:r w:rsidR="005D25C5" w:rsidRPr="0084150A">
        <w:rPr>
          <w:lang w:val="en-CA"/>
        </w:rPr>
        <w:t xml:space="preserve"> </w:t>
      </w:r>
    </w:p>
    <w:p w14:paraId="6B03E895" w14:textId="614B6039" w:rsidR="00327999" w:rsidRPr="0084150A" w:rsidRDefault="003F0ADE" w:rsidP="00B30C9E">
      <w:pPr>
        <w:pStyle w:val="Paragraphe"/>
        <w:rPr>
          <w:lang w:val="en-CA"/>
        </w:rPr>
      </w:pPr>
      <w:r w:rsidRPr="0084150A">
        <w:rPr>
          <w:lang w:val="en-CA"/>
        </w:rPr>
        <w:t xml:space="preserve">Moreover, the Tribunal notes that throughout November 2017 and up </w:t>
      </w:r>
      <w:r w:rsidR="0079161E">
        <w:rPr>
          <w:lang w:val="en-CA"/>
        </w:rPr>
        <w:t>until</w:t>
      </w:r>
      <w:r w:rsidR="0079161E" w:rsidRPr="0084150A">
        <w:rPr>
          <w:lang w:val="en-CA"/>
        </w:rPr>
        <w:t xml:space="preserve"> </w:t>
      </w:r>
      <w:r w:rsidRPr="0084150A">
        <w:rPr>
          <w:lang w:val="en-CA"/>
        </w:rPr>
        <w:t xml:space="preserve">the public announcement of the </w:t>
      </w:r>
      <w:r w:rsidR="0079161E">
        <w:rPr>
          <w:lang w:val="en-CA"/>
        </w:rPr>
        <w:t>T</w:t>
      </w:r>
      <w:r w:rsidRPr="0084150A">
        <w:rPr>
          <w:lang w:val="en-CA"/>
        </w:rPr>
        <w:t xml:space="preserve">ransaction, Philippe Gauthier and Frédéric Racine had numerous </w:t>
      </w:r>
      <w:r w:rsidR="00175F0D">
        <w:rPr>
          <w:lang w:val="en-CA"/>
        </w:rPr>
        <w:t xml:space="preserve">exchanges by </w:t>
      </w:r>
      <w:r w:rsidRPr="0084150A">
        <w:rPr>
          <w:lang w:val="en-CA"/>
        </w:rPr>
        <w:t>telephone,</w:t>
      </w:r>
      <w:r w:rsidRPr="0084150A">
        <w:rPr>
          <w:rStyle w:val="Appelnotedebasdep"/>
          <w:lang w:val="en-CA"/>
        </w:rPr>
        <w:footnoteReference w:id="85"/>
      </w:r>
      <w:r w:rsidRPr="0084150A">
        <w:rPr>
          <w:lang w:val="en-CA"/>
        </w:rPr>
        <w:t xml:space="preserve"> text messages, and meetings.</w:t>
      </w:r>
    </w:p>
    <w:p w14:paraId="7B2B8587" w14:textId="4934F700" w:rsidR="000A456F" w:rsidRPr="0084150A" w:rsidRDefault="00A63627" w:rsidP="00B75D93">
      <w:pPr>
        <w:pStyle w:val="Titre3"/>
        <w:numPr>
          <w:ilvl w:val="0"/>
          <w:numId w:val="0"/>
        </w:numPr>
        <w:ind w:left="360"/>
        <w:jc w:val="both"/>
        <w:rPr>
          <w:lang w:val="en-CA"/>
        </w:rPr>
      </w:pPr>
      <w:r w:rsidRPr="0084150A">
        <w:rPr>
          <w:lang w:val="en-CA"/>
        </w:rPr>
        <w:t>Frédéric Racine’s contradictory testimony regarding the privileged information disclosed by Philippe Gauthier</w:t>
      </w:r>
    </w:p>
    <w:p w14:paraId="460B7057" w14:textId="5CA2EE05" w:rsidR="00BB7588" w:rsidRPr="0084150A" w:rsidRDefault="009E67D5" w:rsidP="001E16C6">
      <w:pPr>
        <w:pStyle w:val="Paragraphe"/>
        <w:rPr>
          <w:lang w:val="en-CA"/>
        </w:rPr>
      </w:pPr>
      <w:r w:rsidRPr="008D6AEE">
        <w:rPr>
          <w:lang w:val="en-CA"/>
        </w:rPr>
        <w:t>During the hearing, Frédéric Racine</w:t>
      </w:r>
      <w:r w:rsidRPr="0084150A">
        <w:rPr>
          <w:lang w:val="en-CA"/>
        </w:rPr>
        <w:t xml:space="preserve"> testified that he heard about Napec for the first time not from Philippe Gauthier, but in a discussion with his father, Gilles Racine, in late October 2017.</w:t>
      </w:r>
      <w:r w:rsidR="00CC04A7" w:rsidRPr="0084150A">
        <w:rPr>
          <w:lang w:val="en-CA"/>
        </w:rPr>
        <w:t xml:space="preserve"> </w:t>
      </w:r>
      <w:r w:rsidR="00D93300" w:rsidRPr="0084150A">
        <w:rPr>
          <w:lang w:val="en-CA"/>
        </w:rPr>
        <w:t>According to him, his father had been tracking the security for several months</w:t>
      </w:r>
      <w:r w:rsidR="008D6AEE">
        <w:rPr>
          <w:lang w:val="en-CA"/>
        </w:rPr>
        <w:t xml:space="preserve"> already</w:t>
      </w:r>
      <w:r w:rsidR="00D93300" w:rsidRPr="0084150A">
        <w:rPr>
          <w:lang w:val="en-CA"/>
        </w:rPr>
        <w:t>.</w:t>
      </w:r>
      <w:r w:rsidR="00CC04A7" w:rsidRPr="0084150A">
        <w:rPr>
          <w:lang w:val="en-CA"/>
        </w:rPr>
        <w:t xml:space="preserve"> </w:t>
      </w:r>
    </w:p>
    <w:p w14:paraId="10CD6B5C" w14:textId="179AD634" w:rsidR="00CB170C" w:rsidRPr="0084150A" w:rsidRDefault="00C10F0F" w:rsidP="001E16C6">
      <w:pPr>
        <w:pStyle w:val="Paragraphe"/>
        <w:rPr>
          <w:lang w:val="en-CA"/>
        </w:rPr>
      </w:pPr>
      <w:r w:rsidRPr="0084150A">
        <w:rPr>
          <w:rFonts w:cs="Arial"/>
          <w:szCs w:val="24"/>
          <w:lang w:val="en-CA"/>
        </w:rPr>
        <w:t>Frédéric Racine testified that he then heard about Napec during a party that was held in a restaurant on October 27, 2017, to celebrate Philippe Gauthier’s birthday.</w:t>
      </w:r>
      <w:r w:rsidRPr="0084150A">
        <w:rPr>
          <w:rStyle w:val="Appelnotedebasdep"/>
          <w:lang w:val="en-CA"/>
        </w:rPr>
        <w:footnoteReference w:id="86"/>
      </w:r>
      <w:r w:rsidR="008C135D" w:rsidRPr="0084150A">
        <w:rPr>
          <w:rFonts w:cs="Arial"/>
          <w:szCs w:val="24"/>
          <w:lang w:val="en-CA"/>
        </w:rPr>
        <w:t xml:space="preserve"> </w:t>
      </w:r>
      <w:r w:rsidR="00D13261" w:rsidRPr="0084150A">
        <w:rPr>
          <w:rFonts w:cs="Arial"/>
          <w:szCs w:val="24"/>
          <w:lang w:val="en-CA"/>
        </w:rPr>
        <w:t>Vincent Pouliot, accompanied by his spouse, and Paul Ayoub were among those in attendance at that party.</w:t>
      </w:r>
      <w:r w:rsidR="008C135D" w:rsidRPr="0084150A">
        <w:rPr>
          <w:rFonts w:cs="Arial"/>
          <w:szCs w:val="24"/>
          <w:lang w:val="en-CA"/>
        </w:rPr>
        <w:t xml:space="preserve"> </w:t>
      </w:r>
      <w:r w:rsidR="002D45CF" w:rsidRPr="0084150A">
        <w:rPr>
          <w:rFonts w:cs="Arial"/>
          <w:szCs w:val="24"/>
          <w:lang w:val="en-CA"/>
        </w:rPr>
        <w:t xml:space="preserve">Frédéric Racine stated that he participated in a general </w:t>
      </w:r>
      <w:r w:rsidR="002D45CF" w:rsidRPr="0084150A">
        <w:rPr>
          <w:rFonts w:cs="Arial"/>
          <w:szCs w:val="24"/>
          <w:lang w:val="en-CA"/>
        </w:rPr>
        <w:lastRenderedPageBreak/>
        <w:t>discussion about Napec.</w:t>
      </w:r>
      <w:r w:rsidR="008C135D" w:rsidRPr="0084150A">
        <w:rPr>
          <w:rFonts w:cs="Arial"/>
          <w:szCs w:val="24"/>
          <w:lang w:val="en-CA"/>
        </w:rPr>
        <w:t xml:space="preserve"> </w:t>
      </w:r>
      <w:r w:rsidR="00F1513D" w:rsidRPr="0084150A">
        <w:rPr>
          <w:rFonts w:cs="Arial"/>
          <w:szCs w:val="24"/>
          <w:lang w:val="en-CA"/>
        </w:rPr>
        <w:t xml:space="preserve">He added that the name Napec </w:t>
      </w:r>
      <w:r w:rsidR="002C427F" w:rsidRPr="0084150A">
        <w:rPr>
          <w:rFonts w:cs="Arial"/>
          <w:szCs w:val="24"/>
          <w:lang w:val="en-CA"/>
        </w:rPr>
        <w:t>[</w:t>
      </w:r>
      <w:r w:rsidR="002C427F" w:rsidRPr="0084150A">
        <w:rPr>
          <w:rFonts w:cs="Arial"/>
          <w:smallCaps/>
          <w:szCs w:val="24"/>
          <w:lang w:val="en-CA"/>
        </w:rPr>
        <w:t xml:space="preserve">translation] </w:t>
      </w:r>
      <w:r w:rsidR="00F1513D" w:rsidRPr="0084150A">
        <w:rPr>
          <w:rFonts w:cs="Arial"/>
          <w:szCs w:val="24"/>
          <w:lang w:val="en-CA"/>
        </w:rPr>
        <w:t>“</w:t>
      </w:r>
      <w:r w:rsidR="008D6AEE">
        <w:rPr>
          <w:rFonts w:cs="Arial"/>
          <w:szCs w:val="24"/>
          <w:lang w:val="en-CA"/>
        </w:rPr>
        <w:t>came up</w:t>
      </w:r>
      <w:r w:rsidR="00F1513D" w:rsidRPr="0084150A">
        <w:rPr>
          <w:rFonts w:cs="Arial"/>
          <w:szCs w:val="24"/>
          <w:lang w:val="en-CA"/>
        </w:rPr>
        <w:t>” while they were talking about other securities.</w:t>
      </w:r>
      <w:r w:rsidR="008C135D" w:rsidRPr="0084150A">
        <w:rPr>
          <w:rFonts w:cs="Arial"/>
          <w:szCs w:val="24"/>
          <w:lang w:val="en-CA"/>
        </w:rPr>
        <w:t xml:space="preserve"> </w:t>
      </w:r>
      <w:r w:rsidR="00647161" w:rsidRPr="0084150A">
        <w:rPr>
          <w:rFonts w:cs="Arial"/>
          <w:szCs w:val="24"/>
          <w:lang w:val="en-CA"/>
        </w:rPr>
        <w:t>According to Frédéric Racine, during that discussion, Philippe Gauthier allegedly mentioned that Napec was part of his group of clients.</w:t>
      </w:r>
      <w:r w:rsidR="008C135D" w:rsidRPr="0084150A">
        <w:rPr>
          <w:rFonts w:cs="Arial"/>
          <w:szCs w:val="24"/>
          <w:lang w:val="en-CA"/>
        </w:rPr>
        <w:t xml:space="preserve"> </w:t>
      </w:r>
      <w:r w:rsidR="005005AF" w:rsidRPr="0084150A">
        <w:rPr>
          <w:rFonts w:cs="Arial"/>
          <w:szCs w:val="24"/>
          <w:lang w:val="en-CA"/>
        </w:rPr>
        <w:t xml:space="preserve">The Tribunal notes that this testimony regarding Philippe Gauthier’s statements </w:t>
      </w:r>
      <w:r w:rsidR="008D6AEE">
        <w:rPr>
          <w:rFonts w:cs="Arial"/>
          <w:szCs w:val="24"/>
          <w:lang w:val="en-CA"/>
        </w:rPr>
        <w:t>on</w:t>
      </w:r>
      <w:r w:rsidR="008D6AEE" w:rsidRPr="0084150A">
        <w:rPr>
          <w:rFonts w:cs="Arial"/>
          <w:szCs w:val="24"/>
          <w:lang w:val="en-CA"/>
        </w:rPr>
        <w:t xml:space="preserve"> </w:t>
      </w:r>
      <w:r w:rsidR="005005AF" w:rsidRPr="0084150A">
        <w:rPr>
          <w:rFonts w:cs="Arial"/>
          <w:szCs w:val="24"/>
          <w:lang w:val="en-CA"/>
        </w:rPr>
        <w:t>Napec is not corroborated by Philippe Gauthier or any other witness.</w:t>
      </w:r>
      <w:r w:rsidR="008C135D" w:rsidRPr="0084150A">
        <w:rPr>
          <w:rFonts w:cs="Arial"/>
          <w:szCs w:val="24"/>
          <w:lang w:val="en-CA"/>
        </w:rPr>
        <w:t xml:space="preserve"> </w:t>
      </w:r>
      <w:proofErr w:type="gramStart"/>
      <w:r w:rsidR="002E6506" w:rsidRPr="0084150A">
        <w:rPr>
          <w:rFonts w:cs="Arial"/>
          <w:szCs w:val="24"/>
          <w:lang w:val="en-CA"/>
        </w:rPr>
        <w:t>Again</w:t>
      </w:r>
      <w:proofErr w:type="gramEnd"/>
      <w:r w:rsidR="002E6506" w:rsidRPr="0084150A">
        <w:rPr>
          <w:rFonts w:cs="Arial"/>
          <w:szCs w:val="24"/>
          <w:lang w:val="en-CA"/>
        </w:rPr>
        <w:t xml:space="preserve"> during his testimony before the Tribunal, Frédéric Racine was also quick to add that, in his view, Vincent Pouliot’s spouse seemed to be very familiar with Napec.</w:t>
      </w:r>
      <w:r w:rsidR="008C135D" w:rsidRPr="0084150A">
        <w:rPr>
          <w:rFonts w:cs="Arial"/>
          <w:szCs w:val="24"/>
          <w:lang w:val="en-CA"/>
        </w:rPr>
        <w:t xml:space="preserve"> </w:t>
      </w:r>
    </w:p>
    <w:p w14:paraId="4455F524" w14:textId="177EFB07" w:rsidR="008C135D" w:rsidRPr="0084150A" w:rsidRDefault="00D20C82" w:rsidP="001E16C6">
      <w:pPr>
        <w:pStyle w:val="Paragraphe"/>
        <w:rPr>
          <w:lang w:val="en-CA"/>
        </w:rPr>
      </w:pPr>
      <w:r w:rsidRPr="0084150A">
        <w:rPr>
          <w:lang w:val="en-CA"/>
        </w:rPr>
        <w:t>Frédéric Racine told the Tribunal that</w:t>
      </w:r>
      <w:r w:rsidR="004029E3">
        <w:rPr>
          <w:lang w:val="en-CA"/>
        </w:rPr>
        <w:t>,</w:t>
      </w:r>
      <w:r w:rsidRPr="0084150A">
        <w:rPr>
          <w:lang w:val="en-CA"/>
        </w:rPr>
        <w:t xml:space="preserve"> based on these discussions, he conducted his own research and decided to </w:t>
      </w:r>
      <w:r w:rsidR="00D324A9">
        <w:rPr>
          <w:lang w:val="en-CA"/>
        </w:rPr>
        <w:t>move forward and take steps</w:t>
      </w:r>
      <w:r w:rsidRPr="0084150A">
        <w:rPr>
          <w:lang w:val="en-CA"/>
        </w:rPr>
        <w:t xml:space="preserve"> to purchase shares of Napec.</w:t>
      </w:r>
      <w:r w:rsidR="005D25C5" w:rsidRPr="0084150A">
        <w:rPr>
          <w:lang w:val="en-CA"/>
        </w:rPr>
        <w:t xml:space="preserve"> </w:t>
      </w:r>
      <w:r w:rsidR="001C0BD6" w:rsidRPr="0084150A">
        <w:rPr>
          <w:lang w:val="en-CA"/>
        </w:rPr>
        <w:t>He considers himself an expert in the stock market.</w:t>
      </w:r>
      <w:r w:rsidR="005D25C5" w:rsidRPr="0084150A">
        <w:rPr>
          <w:lang w:val="en-CA"/>
        </w:rPr>
        <w:t xml:space="preserve"> </w:t>
      </w:r>
      <w:r w:rsidR="00354BC7" w:rsidRPr="0084150A">
        <w:rPr>
          <w:lang w:val="en-CA"/>
        </w:rPr>
        <w:t xml:space="preserve">He stated that he intended to make his initial investment before Napec issued a </w:t>
      </w:r>
      <w:r w:rsidR="004029E3">
        <w:rPr>
          <w:lang w:val="en-CA"/>
        </w:rPr>
        <w:t>news release</w:t>
      </w:r>
      <w:r w:rsidR="00354BC7" w:rsidRPr="0084150A">
        <w:rPr>
          <w:lang w:val="en-CA"/>
        </w:rPr>
        <w:t>, on November 8, 2017, regarding the publication of its quarterly financial statements,</w:t>
      </w:r>
      <w:r w:rsidR="00354BC7" w:rsidRPr="0084150A">
        <w:rPr>
          <w:rStyle w:val="Appelnotedebasdep"/>
          <w:lang w:val="en-CA"/>
        </w:rPr>
        <w:footnoteReference w:id="87"/>
      </w:r>
      <w:r w:rsidR="00354BC7" w:rsidRPr="0084150A">
        <w:rPr>
          <w:lang w:val="en-CA"/>
        </w:rPr>
        <w:t xml:space="preserve"> hence his decision to trade in securities </w:t>
      </w:r>
      <w:r w:rsidR="00FE0CF1">
        <w:rPr>
          <w:lang w:val="en-CA"/>
        </w:rPr>
        <w:t xml:space="preserve">of Napec </w:t>
      </w:r>
      <w:r w:rsidR="00354BC7" w:rsidRPr="0084150A">
        <w:rPr>
          <w:lang w:val="en-CA"/>
        </w:rPr>
        <w:t>for the first time on November 7, 2017.</w:t>
      </w:r>
      <w:r w:rsidR="0067388C" w:rsidRPr="0084150A">
        <w:rPr>
          <w:lang w:val="en-CA"/>
        </w:rPr>
        <w:t xml:space="preserve"> </w:t>
      </w:r>
    </w:p>
    <w:p w14:paraId="43F66127" w14:textId="0365F1E3" w:rsidR="005E4246" w:rsidRPr="0084150A" w:rsidRDefault="007E5D4B" w:rsidP="001E16C6">
      <w:pPr>
        <w:pStyle w:val="Paragraphe"/>
        <w:rPr>
          <w:lang w:val="en-CA"/>
        </w:rPr>
      </w:pPr>
      <w:r w:rsidRPr="0084150A">
        <w:rPr>
          <w:lang w:val="en-CA"/>
        </w:rPr>
        <w:t xml:space="preserve">Frédéric Racine testified that a screenshot taken on his telephone on November 7 allegedly shows that he conducted research </w:t>
      </w:r>
      <w:r w:rsidR="009D2E5D">
        <w:rPr>
          <w:lang w:val="en-CA"/>
        </w:rPr>
        <w:t>on</w:t>
      </w:r>
      <w:r w:rsidR="009D2E5D" w:rsidRPr="0084150A">
        <w:rPr>
          <w:lang w:val="en-CA"/>
        </w:rPr>
        <w:t xml:space="preserve"> </w:t>
      </w:r>
      <w:r w:rsidRPr="0084150A">
        <w:rPr>
          <w:lang w:val="en-CA"/>
        </w:rPr>
        <w:t>Napec even before the lunch with Philippe Gauthier.</w:t>
      </w:r>
      <w:r w:rsidRPr="0084150A">
        <w:rPr>
          <w:rStyle w:val="Appelnotedebasdep"/>
          <w:lang w:val="en-CA"/>
        </w:rPr>
        <w:footnoteReference w:id="88"/>
      </w:r>
    </w:p>
    <w:p w14:paraId="20DBEFFC" w14:textId="1837F3BE" w:rsidR="0067388C" w:rsidRPr="0084150A" w:rsidRDefault="00953990" w:rsidP="001E16C6">
      <w:pPr>
        <w:pStyle w:val="Paragraphe"/>
        <w:rPr>
          <w:lang w:val="en-CA"/>
        </w:rPr>
      </w:pPr>
      <w:r w:rsidRPr="0084150A">
        <w:rPr>
          <w:lang w:val="en-CA"/>
        </w:rPr>
        <w:t>However, contrary to his testimony, the screenshot indicates November 7, 2017</w:t>
      </w:r>
      <w:r w:rsidR="00E702E0">
        <w:rPr>
          <w:lang w:val="en-CA"/>
        </w:rPr>
        <w:t>,</w:t>
      </w:r>
      <w:r w:rsidRPr="0084150A">
        <w:rPr>
          <w:lang w:val="en-CA"/>
        </w:rPr>
        <w:t xml:space="preserve"> at 1:</w:t>
      </w:r>
      <w:r w:rsidR="00E56986" w:rsidRPr="0084150A">
        <w:rPr>
          <w:lang w:val="en-CA"/>
        </w:rPr>
        <w:t xml:space="preserve">49 p.m., which is after the lunch with Philippe Gauthier and after his initial purchases of </w:t>
      </w:r>
      <w:r w:rsidR="009D2E5D">
        <w:rPr>
          <w:lang w:val="en-CA"/>
        </w:rPr>
        <w:t xml:space="preserve">Napec </w:t>
      </w:r>
      <w:r w:rsidR="00826CC5">
        <w:rPr>
          <w:lang w:val="en-CA"/>
        </w:rPr>
        <w:t>shares</w:t>
      </w:r>
      <w:r w:rsidR="00E56986" w:rsidRPr="0084150A">
        <w:rPr>
          <w:lang w:val="en-CA"/>
        </w:rPr>
        <w:t>.</w:t>
      </w:r>
    </w:p>
    <w:p w14:paraId="132C9F23" w14:textId="2555B38A" w:rsidR="005B7627" w:rsidRPr="0084150A" w:rsidRDefault="00E2302D" w:rsidP="001E16C6">
      <w:pPr>
        <w:pStyle w:val="Paragraphe"/>
        <w:rPr>
          <w:lang w:val="en-CA"/>
        </w:rPr>
      </w:pPr>
      <w:r w:rsidRPr="0084150A">
        <w:rPr>
          <w:lang w:val="en-CA"/>
        </w:rPr>
        <w:t xml:space="preserve">Concerning his investments in Napec after November 7, 2017, Frédéric Racine maintains that he continued to conduct research and that, according to his analysis of </w:t>
      </w:r>
      <w:r w:rsidR="00475CBC">
        <w:rPr>
          <w:lang w:val="en-CA"/>
        </w:rPr>
        <w:t xml:space="preserve">the </w:t>
      </w:r>
      <w:r w:rsidR="00755A29">
        <w:rPr>
          <w:lang w:val="en-CA"/>
        </w:rPr>
        <w:t xml:space="preserve">Napec </w:t>
      </w:r>
      <w:r w:rsidR="00475CBC">
        <w:rPr>
          <w:lang w:val="en-CA"/>
        </w:rPr>
        <w:t>security</w:t>
      </w:r>
      <w:r w:rsidRPr="0084150A">
        <w:rPr>
          <w:lang w:val="en-CA"/>
        </w:rPr>
        <w:t>, it continued to be undervalued.</w:t>
      </w:r>
    </w:p>
    <w:p w14:paraId="441B480F" w14:textId="550E42A5" w:rsidR="000A6A56" w:rsidRPr="0084150A" w:rsidRDefault="005021B2" w:rsidP="001E16C6">
      <w:pPr>
        <w:pStyle w:val="Paragraphe"/>
        <w:rPr>
          <w:lang w:val="en-CA"/>
        </w:rPr>
      </w:pPr>
      <w:r w:rsidRPr="0084150A">
        <w:rPr>
          <w:lang w:val="en-CA"/>
        </w:rPr>
        <w:t>The Tribunal does not accept the relevance of his continued research on Napec after November 7, 2017, because it must determine whether Philippe Gauthier disclosed privileged information regarding Napec to Frédéric Racine on November 7, 2017</w:t>
      </w:r>
      <w:r w:rsidR="00E702E0">
        <w:rPr>
          <w:lang w:val="en-CA"/>
        </w:rPr>
        <w:t>,</w:t>
      </w:r>
      <w:r w:rsidRPr="0084150A">
        <w:rPr>
          <w:lang w:val="en-CA"/>
        </w:rPr>
        <w:t xml:space="preserve"> and if Mr. Racine traded in </w:t>
      </w:r>
      <w:r w:rsidR="00FB7FF9">
        <w:rPr>
          <w:lang w:val="en-CA"/>
        </w:rPr>
        <w:t>shares of Napec</w:t>
      </w:r>
      <w:r w:rsidRPr="0084150A">
        <w:rPr>
          <w:lang w:val="en-CA"/>
        </w:rPr>
        <w:t>.</w:t>
      </w:r>
      <w:r w:rsidR="005D25C5" w:rsidRPr="0084150A">
        <w:rPr>
          <w:lang w:val="en-CA"/>
        </w:rPr>
        <w:t xml:space="preserve"> </w:t>
      </w:r>
      <w:r w:rsidR="005F07A6" w:rsidRPr="0084150A">
        <w:rPr>
          <w:lang w:val="en-CA"/>
        </w:rPr>
        <w:t xml:space="preserve">Once the Tribunal </w:t>
      </w:r>
      <w:r w:rsidR="004E2A46">
        <w:rPr>
          <w:lang w:val="en-CA"/>
        </w:rPr>
        <w:t>concludes</w:t>
      </w:r>
      <w:r w:rsidR="005F07A6" w:rsidRPr="0084150A">
        <w:rPr>
          <w:lang w:val="en-CA"/>
        </w:rPr>
        <w:t xml:space="preserve"> that Frédéric Racine purchased shares of Napec after receiving</w:t>
      </w:r>
      <w:r w:rsidR="00755A29">
        <w:rPr>
          <w:lang w:val="en-CA"/>
        </w:rPr>
        <w:t xml:space="preserve"> the</w:t>
      </w:r>
      <w:r w:rsidR="005F07A6" w:rsidRPr="0084150A">
        <w:rPr>
          <w:lang w:val="en-CA"/>
        </w:rPr>
        <w:t xml:space="preserve"> privileged information on November 7, all his trades in </w:t>
      </w:r>
      <w:r w:rsidR="00AA0F65">
        <w:rPr>
          <w:lang w:val="en-CA"/>
        </w:rPr>
        <w:t xml:space="preserve">securities of </w:t>
      </w:r>
      <w:r w:rsidR="005F07A6" w:rsidRPr="0084150A">
        <w:rPr>
          <w:lang w:val="en-CA"/>
        </w:rPr>
        <w:t xml:space="preserve">Napec after November 7, 2017, </w:t>
      </w:r>
      <w:r w:rsidR="00755A29">
        <w:rPr>
          <w:lang w:val="en-CA"/>
        </w:rPr>
        <w:t xml:space="preserve">also </w:t>
      </w:r>
      <w:r w:rsidR="005F07A6" w:rsidRPr="0084150A">
        <w:rPr>
          <w:lang w:val="en-CA"/>
        </w:rPr>
        <w:t xml:space="preserve">constitute </w:t>
      </w:r>
      <w:r w:rsidR="00755A29">
        <w:rPr>
          <w:lang w:val="en-CA"/>
        </w:rPr>
        <w:t>trades</w:t>
      </w:r>
      <w:r w:rsidR="00755A29" w:rsidRPr="0084150A">
        <w:rPr>
          <w:lang w:val="en-CA"/>
        </w:rPr>
        <w:t xml:space="preserve"> </w:t>
      </w:r>
      <w:r w:rsidR="005F07A6" w:rsidRPr="0084150A">
        <w:rPr>
          <w:lang w:val="en-CA"/>
        </w:rPr>
        <w:t>while having privileged information.</w:t>
      </w:r>
    </w:p>
    <w:p w14:paraId="1D0AC497" w14:textId="7CFF6008" w:rsidR="00D34ADA" w:rsidRPr="0084150A" w:rsidRDefault="00342EEF" w:rsidP="001E16C6">
      <w:pPr>
        <w:pStyle w:val="Paragraphe"/>
        <w:rPr>
          <w:lang w:val="en-CA"/>
        </w:rPr>
      </w:pPr>
      <w:r w:rsidRPr="0084150A">
        <w:rPr>
          <w:lang w:val="en-CA"/>
        </w:rPr>
        <w:t>Frédéric Racine’s version of the facts before the Tribunal differs significantly from a version he gave the Authority’s investigators, which version was recorded, transcribed by an official stenographer, and filed into evidence during the hearing of the case without any objection from Philippe Gauthier or Frédéric Racine.</w:t>
      </w:r>
      <w:r w:rsidRPr="0084150A">
        <w:rPr>
          <w:rStyle w:val="Appelnotedebasdep"/>
          <w:lang w:val="en-CA"/>
        </w:rPr>
        <w:footnoteReference w:id="89"/>
      </w:r>
    </w:p>
    <w:p w14:paraId="4ACC9A63" w14:textId="27E50469" w:rsidR="00D34ADA" w:rsidRPr="0084150A" w:rsidRDefault="008C0218" w:rsidP="001E16C6">
      <w:pPr>
        <w:pStyle w:val="Paragraphe"/>
        <w:rPr>
          <w:lang w:val="en-CA"/>
        </w:rPr>
      </w:pPr>
      <w:r w:rsidRPr="0084150A">
        <w:rPr>
          <w:lang w:val="en-CA"/>
        </w:rPr>
        <w:t>In fact, on October 2, 2019, the Authority executed a search warrant at Frédéric Racine’s domicile.</w:t>
      </w:r>
      <w:r w:rsidR="005D25C5" w:rsidRPr="0084150A">
        <w:rPr>
          <w:lang w:val="en-CA"/>
        </w:rPr>
        <w:t xml:space="preserve"> </w:t>
      </w:r>
      <w:r w:rsidR="00980A50" w:rsidRPr="0084150A">
        <w:rPr>
          <w:lang w:val="en-CA"/>
        </w:rPr>
        <w:t>During that search, Frédéric Racine freely and voluntarily agreed to answer investigators’ questions</w:t>
      </w:r>
      <w:r w:rsidR="00E67579">
        <w:rPr>
          <w:lang w:val="en-CA"/>
        </w:rPr>
        <w:t>.</w:t>
      </w:r>
    </w:p>
    <w:p w14:paraId="264BAEEB" w14:textId="1DB62E92" w:rsidR="00D34ADA" w:rsidRPr="0084150A" w:rsidRDefault="00AB35BF" w:rsidP="001E16C6">
      <w:pPr>
        <w:pStyle w:val="Paragraphe"/>
        <w:rPr>
          <w:lang w:val="en-CA"/>
        </w:rPr>
      </w:pPr>
      <w:r w:rsidRPr="0084150A">
        <w:rPr>
          <w:lang w:val="en-CA"/>
        </w:rPr>
        <w:lastRenderedPageBreak/>
        <w:t xml:space="preserve">Before they asked their questions, the investigators informed Frédéric Racine that the Authority was investigating trades </w:t>
      </w:r>
      <w:r w:rsidR="00C4064B">
        <w:rPr>
          <w:lang w:val="en-CA"/>
        </w:rPr>
        <w:t>in the security of Napec</w:t>
      </w:r>
      <w:r w:rsidRPr="0084150A">
        <w:rPr>
          <w:lang w:val="en-CA"/>
        </w:rPr>
        <w:t>.</w:t>
      </w:r>
      <w:r w:rsidR="005D25C5" w:rsidRPr="0084150A">
        <w:rPr>
          <w:lang w:val="en-CA"/>
        </w:rPr>
        <w:t xml:space="preserve"> </w:t>
      </w:r>
      <w:r w:rsidR="002908E2" w:rsidRPr="0084150A">
        <w:rPr>
          <w:lang w:val="en-CA"/>
        </w:rPr>
        <w:t xml:space="preserve">More particularly, the investigators explained to him that the Authority had reasonable grounds to believe that he allegedly traded in Napec’s security while having privileged information and that he also disclosed privileged information to other parties in contravention of sections 187 and 188 of the </w:t>
      </w:r>
      <w:r w:rsidR="002908E2" w:rsidRPr="0084150A">
        <w:rPr>
          <w:i/>
          <w:lang w:val="en-CA"/>
        </w:rPr>
        <w:t>SA.</w:t>
      </w:r>
      <w:r w:rsidR="002908E2" w:rsidRPr="0084150A">
        <w:rPr>
          <w:rStyle w:val="Appelnotedebasdep"/>
          <w:rFonts w:cs="Arial"/>
          <w:szCs w:val="24"/>
          <w:lang w:val="en-CA"/>
        </w:rPr>
        <w:footnoteReference w:id="90"/>
      </w:r>
      <w:r w:rsidR="005D25C5" w:rsidRPr="0084150A">
        <w:rPr>
          <w:lang w:val="en-CA"/>
        </w:rPr>
        <w:t xml:space="preserve"> </w:t>
      </w:r>
    </w:p>
    <w:p w14:paraId="408236E0" w14:textId="008C8AA3" w:rsidR="00D34ADA" w:rsidRPr="0084150A" w:rsidRDefault="008262B7" w:rsidP="001E16C6">
      <w:pPr>
        <w:pStyle w:val="Paragraphe"/>
        <w:rPr>
          <w:shd w:val="clear" w:color="auto" w:fill="FFFFFF"/>
          <w:lang w:val="en-CA"/>
        </w:rPr>
      </w:pPr>
      <w:r w:rsidRPr="0084150A">
        <w:rPr>
          <w:lang w:val="en-CA"/>
        </w:rPr>
        <w:t>The investigators explained to him that he was in no way obligated to answer their questions and that he was entitled to remain silent.</w:t>
      </w:r>
      <w:r w:rsidR="005D25C5" w:rsidRPr="0084150A">
        <w:rPr>
          <w:rStyle w:val="Appelnotedebasdep"/>
          <w:rFonts w:cs="Arial"/>
          <w:color w:val="212529"/>
          <w:shd w:val="clear" w:color="auto" w:fill="FFFFFF"/>
          <w:lang w:val="en-CA"/>
        </w:rPr>
        <w:t xml:space="preserve"> </w:t>
      </w:r>
      <w:r w:rsidR="00D72C37" w:rsidRPr="0084150A">
        <w:rPr>
          <w:shd w:val="clear" w:color="auto" w:fill="FFFFFF"/>
          <w:lang w:val="en-CA"/>
        </w:rPr>
        <w:t xml:space="preserve">However, they explained to him that everything he said would be </w:t>
      </w:r>
      <w:r w:rsidR="00021D6D">
        <w:rPr>
          <w:shd w:val="clear" w:color="auto" w:fill="FFFFFF"/>
          <w:lang w:val="en-CA"/>
        </w:rPr>
        <w:t>recorded</w:t>
      </w:r>
      <w:r w:rsidR="00D72C37" w:rsidRPr="0084150A">
        <w:rPr>
          <w:shd w:val="clear" w:color="auto" w:fill="FFFFFF"/>
          <w:lang w:val="en-CA"/>
        </w:rPr>
        <w:t xml:space="preserve"> and could be used as evidence in possible judicial, administrative, and even criminal proceedings.</w:t>
      </w:r>
      <w:r w:rsidR="00D72C37" w:rsidRPr="0084150A">
        <w:rPr>
          <w:rStyle w:val="Appelnotedebasdep"/>
          <w:rFonts w:cs="Arial"/>
          <w:color w:val="212529"/>
          <w:szCs w:val="24"/>
          <w:shd w:val="clear" w:color="auto" w:fill="FFFFFF"/>
          <w:lang w:val="en-CA"/>
        </w:rPr>
        <w:footnoteReference w:id="91"/>
      </w:r>
      <w:r w:rsidR="005D25C5" w:rsidRPr="0084150A">
        <w:rPr>
          <w:shd w:val="clear" w:color="auto" w:fill="FFFFFF"/>
          <w:lang w:val="en-CA"/>
        </w:rPr>
        <w:t xml:space="preserve"> </w:t>
      </w:r>
      <w:r w:rsidR="009E10F4" w:rsidRPr="0084150A">
        <w:rPr>
          <w:shd w:val="clear" w:color="auto" w:fill="FFFFFF"/>
          <w:lang w:val="en-CA"/>
        </w:rPr>
        <w:t xml:space="preserve">Finally, the investigators reminded him that he had the right to consult </w:t>
      </w:r>
      <w:r w:rsidR="006D4AB2">
        <w:rPr>
          <w:shd w:val="clear" w:color="auto" w:fill="FFFFFF"/>
          <w:lang w:val="en-CA"/>
        </w:rPr>
        <w:t>counsel</w:t>
      </w:r>
      <w:r w:rsidR="009E10F4" w:rsidRPr="0084150A">
        <w:rPr>
          <w:shd w:val="clear" w:color="auto" w:fill="FFFFFF"/>
          <w:lang w:val="en-CA"/>
        </w:rPr>
        <w:t xml:space="preserve"> and that he could suspend their meeting if he found it was necessary to do so.</w:t>
      </w:r>
      <w:r w:rsidR="009E10F4" w:rsidRPr="0084150A">
        <w:rPr>
          <w:rStyle w:val="Appelnotedebasdep"/>
          <w:rFonts w:cs="Arial"/>
          <w:color w:val="212529"/>
          <w:szCs w:val="24"/>
          <w:shd w:val="clear" w:color="auto" w:fill="FFFFFF"/>
          <w:lang w:val="en-CA"/>
        </w:rPr>
        <w:footnoteReference w:id="92"/>
      </w:r>
      <w:r w:rsidR="005D25C5" w:rsidRPr="0084150A">
        <w:rPr>
          <w:shd w:val="clear" w:color="auto" w:fill="FFFFFF"/>
          <w:lang w:val="en-CA"/>
        </w:rPr>
        <w:t xml:space="preserve"> </w:t>
      </w:r>
    </w:p>
    <w:p w14:paraId="5E80107B" w14:textId="3404D485" w:rsidR="00D34ADA" w:rsidRPr="0084150A" w:rsidRDefault="00522C2A" w:rsidP="001E16C6">
      <w:pPr>
        <w:pStyle w:val="Paragraphe"/>
        <w:rPr>
          <w:shd w:val="clear" w:color="auto" w:fill="FFFFFF"/>
          <w:lang w:val="en-CA"/>
        </w:rPr>
      </w:pPr>
      <w:r w:rsidRPr="0084150A">
        <w:rPr>
          <w:shd w:val="clear" w:color="auto" w:fill="FFFFFF"/>
          <w:lang w:val="en-CA"/>
        </w:rPr>
        <w:t>Frédéric Racine confirmed to investigators that he understood their warnings and that he wanted to answer the questions.</w:t>
      </w:r>
      <w:r w:rsidRPr="0084150A">
        <w:rPr>
          <w:rStyle w:val="Appelnotedebasdep"/>
          <w:shd w:val="clear" w:color="auto" w:fill="FFFFFF"/>
          <w:lang w:val="en-CA"/>
        </w:rPr>
        <w:footnoteReference w:id="93"/>
      </w:r>
      <w:r w:rsidR="005D25C5" w:rsidRPr="0084150A">
        <w:rPr>
          <w:shd w:val="clear" w:color="auto" w:fill="FFFFFF"/>
          <w:lang w:val="en-CA"/>
        </w:rPr>
        <w:t xml:space="preserve"> </w:t>
      </w:r>
    </w:p>
    <w:p w14:paraId="7205281B" w14:textId="00C6EB13" w:rsidR="00D34ADA" w:rsidRPr="0084150A" w:rsidRDefault="00642905" w:rsidP="001E16C6">
      <w:pPr>
        <w:pStyle w:val="Paragraphe"/>
        <w:rPr>
          <w:shd w:val="clear" w:color="auto" w:fill="FFFFFF"/>
          <w:lang w:val="en-CA"/>
        </w:rPr>
      </w:pPr>
      <w:r w:rsidRPr="0084150A">
        <w:rPr>
          <w:shd w:val="clear" w:color="auto" w:fill="FFFFFF"/>
          <w:lang w:val="en-CA"/>
        </w:rPr>
        <w:t>The transcript of the examination contains 325 pages.</w:t>
      </w:r>
      <w:r w:rsidR="005D25C5" w:rsidRPr="0084150A">
        <w:rPr>
          <w:shd w:val="clear" w:color="auto" w:fill="FFFFFF"/>
          <w:lang w:val="en-CA"/>
        </w:rPr>
        <w:t xml:space="preserve"> </w:t>
      </w:r>
      <w:r w:rsidR="00FE4F41" w:rsidRPr="0084150A">
        <w:rPr>
          <w:shd w:val="clear" w:color="auto" w:fill="FFFFFF"/>
          <w:lang w:val="en-CA"/>
        </w:rPr>
        <w:t xml:space="preserve">The examination lasted approximately </w:t>
      </w:r>
      <w:r w:rsidR="00777BFB">
        <w:rPr>
          <w:shd w:val="clear" w:color="auto" w:fill="FFFFFF"/>
          <w:lang w:val="en-CA"/>
        </w:rPr>
        <w:t>five</w:t>
      </w:r>
      <w:r w:rsidR="00FE4F41" w:rsidRPr="0084150A">
        <w:rPr>
          <w:shd w:val="clear" w:color="auto" w:fill="FFFFFF"/>
          <w:lang w:val="en-CA"/>
        </w:rPr>
        <w:t xml:space="preserve"> hours.</w:t>
      </w:r>
      <w:r w:rsidR="005D25C5" w:rsidRPr="0084150A">
        <w:rPr>
          <w:shd w:val="clear" w:color="auto" w:fill="FFFFFF"/>
          <w:lang w:val="en-CA"/>
        </w:rPr>
        <w:t xml:space="preserve"> </w:t>
      </w:r>
    </w:p>
    <w:p w14:paraId="04FE7B82" w14:textId="2CD871E1" w:rsidR="009B24B1" w:rsidRPr="0084150A" w:rsidRDefault="006D6DB7" w:rsidP="001E16C6">
      <w:pPr>
        <w:pStyle w:val="Paragraphe"/>
        <w:rPr>
          <w:lang w:val="en-CA"/>
        </w:rPr>
      </w:pPr>
      <w:r w:rsidRPr="0084150A">
        <w:rPr>
          <w:lang w:val="en-CA"/>
        </w:rPr>
        <w:t xml:space="preserve">As the transcript of Frédéric Racine’s examination was filed into evidence without objection by the respondents, it is therefore admitted </w:t>
      </w:r>
      <w:r w:rsidR="007A3C6F">
        <w:rPr>
          <w:lang w:val="en-CA"/>
        </w:rPr>
        <w:t>into</w:t>
      </w:r>
      <w:r w:rsidR="007A3C6F" w:rsidRPr="0084150A">
        <w:rPr>
          <w:lang w:val="en-CA"/>
        </w:rPr>
        <w:t xml:space="preserve"> </w:t>
      </w:r>
      <w:r w:rsidRPr="0084150A">
        <w:rPr>
          <w:lang w:val="en-CA"/>
        </w:rPr>
        <w:t>evidence and constitutes a piece of evidence that the Tribunal can consider.</w:t>
      </w:r>
      <w:r w:rsidR="005D25C5" w:rsidRPr="0084150A">
        <w:rPr>
          <w:lang w:val="en-CA"/>
        </w:rPr>
        <w:t xml:space="preserve"> </w:t>
      </w:r>
    </w:p>
    <w:p w14:paraId="239D50D3" w14:textId="6116600B" w:rsidR="00E32C9F" w:rsidRPr="0084150A" w:rsidRDefault="0052038E" w:rsidP="001E16C6">
      <w:pPr>
        <w:pStyle w:val="Paragraphe"/>
        <w:rPr>
          <w:lang w:val="en-CA"/>
        </w:rPr>
      </w:pPr>
      <w:r w:rsidRPr="0084150A">
        <w:rPr>
          <w:lang w:val="en-CA"/>
        </w:rPr>
        <w:t>Although Frédéric Racine testified before the Tribunal to explain his version of the facts, the transcript of his examination contains his previous statements on the same facts and circumstances.</w:t>
      </w:r>
      <w:r w:rsidR="007B153F" w:rsidRPr="0084150A">
        <w:rPr>
          <w:lang w:val="en-CA"/>
        </w:rPr>
        <w:t xml:space="preserve"> </w:t>
      </w:r>
      <w:r w:rsidR="00F16069" w:rsidRPr="0084150A">
        <w:rPr>
          <w:lang w:val="en-CA"/>
        </w:rPr>
        <w:t xml:space="preserve">The Tribunal considers the testimony of Frédéric Racine during the hearing and before </w:t>
      </w:r>
      <w:proofErr w:type="gramStart"/>
      <w:r w:rsidR="00F16069" w:rsidRPr="0084150A">
        <w:rPr>
          <w:lang w:val="en-CA"/>
        </w:rPr>
        <w:t>investigators, and</w:t>
      </w:r>
      <w:proofErr w:type="gramEnd"/>
      <w:r w:rsidR="00F16069" w:rsidRPr="0084150A">
        <w:rPr>
          <w:lang w:val="en-CA"/>
        </w:rPr>
        <w:t xml:space="preserve"> draws conclusions on the veracity of the facts.</w:t>
      </w:r>
      <w:r w:rsidR="007B153F" w:rsidRPr="0084150A">
        <w:rPr>
          <w:lang w:val="en-CA"/>
        </w:rPr>
        <w:t xml:space="preserve"> </w:t>
      </w:r>
    </w:p>
    <w:p w14:paraId="653276E2" w14:textId="1DF51545" w:rsidR="00E32C9F" w:rsidRPr="0084150A" w:rsidRDefault="00255062" w:rsidP="001E16C6">
      <w:pPr>
        <w:pStyle w:val="Paragraphe"/>
        <w:rPr>
          <w:lang w:val="en-CA"/>
        </w:rPr>
      </w:pPr>
      <w:r w:rsidRPr="0084150A">
        <w:rPr>
          <w:lang w:val="en-CA"/>
        </w:rPr>
        <w:t xml:space="preserve">Moreover, </w:t>
      </w:r>
      <w:r w:rsidR="007574E7" w:rsidRPr="0084150A">
        <w:rPr>
          <w:lang w:val="en-CA"/>
        </w:rPr>
        <w:t xml:space="preserve">article 2871 of the </w:t>
      </w:r>
      <w:r w:rsidR="007574E7" w:rsidRPr="0084150A">
        <w:rPr>
          <w:i/>
          <w:lang w:val="en-CA"/>
        </w:rPr>
        <w:t xml:space="preserve">Civil Code of Québec </w:t>
      </w:r>
      <w:r w:rsidRPr="0084150A">
        <w:rPr>
          <w:lang w:val="en-CA"/>
        </w:rPr>
        <w:t>specifically provide</w:t>
      </w:r>
      <w:r w:rsidR="007574E7">
        <w:rPr>
          <w:lang w:val="en-CA"/>
        </w:rPr>
        <w:t>s</w:t>
      </w:r>
      <w:r w:rsidR="00F1608C">
        <w:rPr>
          <w:lang w:val="en-CA"/>
        </w:rPr>
        <w:t xml:space="preserve"> </w:t>
      </w:r>
      <w:r w:rsidRPr="0084150A">
        <w:rPr>
          <w:lang w:val="en-CA"/>
        </w:rPr>
        <w:t>that a witness’s previous statements before a tribunal are admissible as evidence if their reliability is sufficiently guaranteed, which is not contested in this case.</w:t>
      </w:r>
      <w:r w:rsidR="00D36700" w:rsidRPr="0084150A">
        <w:rPr>
          <w:lang w:val="en-CA"/>
        </w:rPr>
        <w:t xml:space="preserve"> </w:t>
      </w:r>
      <w:r w:rsidR="00AA0715" w:rsidRPr="0084150A">
        <w:rPr>
          <w:lang w:val="en-CA"/>
        </w:rPr>
        <w:t xml:space="preserve">In addition, even if this evidence constituted hearsay evidence, it would be </w:t>
      </w:r>
      <w:r w:rsidR="00F54A04" w:rsidRPr="0084150A">
        <w:rPr>
          <w:lang w:val="en-CA"/>
        </w:rPr>
        <w:t>admissible</w:t>
      </w:r>
      <w:r w:rsidR="00AA0715" w:rsidRPr="0084150A">
        <w:rPr>
          <w:lang w:val="en-CA"/>
        </w:rPr>
        <w:t xml:space="preserve"> because it offers reasonable guarantees of reliability.</w:t>
      </w:r>
      <w:r w:rsidR="00AA0715" w:rsidRPr="0084150A">
        <w:rPr>
          <w:rStyle w:val="Appelnotedebasdep"/>
          <w:lang w:val="en-CA"/>
        </w:rPr>
        <w:footnoteReference w:id="94"/>
      </w:r>
    </w:p>
    <w:p w14:paraId="1396450F" w14:textId="5B8AB879" w:rsidR="00C26E2E" w:rsidRPr="0084150A" w:rsidRDefault="00AC3464" w:rsidP="001E16C6">
      <w:pPr>
        <w:pStyle w:val="Paragraphe"/>
        <w:rPr>
          <w:lang w:val="en-CA"/>
        </w:rPr>
      </w:pPr>
      <w:r w:rsidRPr="0084150A">
        <w:rPr>
          <w:rFonts w:cs="Arial"/>
          <w:szCs w:val="24"/>
          <w:lang w:val="en-CA"/>
        </w:rPr>
        <w:t xml:space="preserve">In the presence of Frédéric Racine’s previous statements, which </w:t>
      </w:r>
      <w:r w:rsidR="007574E7">
        <w:rPr>
          <w:rFonts w:cs="Arial"/>
          <w:szCs w:val="24"/>
          <w:lang w:val="en-CA"/>
        </w:rPr>
        <w:t>contradict</w:t>
      </w:r>
      <w:r w:rsidRPr="0084150A">
        <w:rPr>
          <w:rFonts w:cs="Arial"/>
          <w:szCs w:val="24"/>
          <w:lang w:val="en-CA"/>
        </w:rPr>
        <w:t xml:space="preserve"> his testimony before the Tribunal, the Tribunal must assess his credibility and the </w:t>
      </w:r>
      <w:r w:rsidR="007574E7">
        <w:rPr>
          <w:rFonts w:cs="Arial"/>
          <w:szCs w:val="24"/>
          <w:lang w:val="en-CA"/>
        </w:rPr>
        <w:t>reliability</w:t>
      </w:r>
      <w:r w:rsidR="007574E7" w:rsidRPr="0084150A">
        <w:rPr>
          <w:rFonts w:cs="Arial"/>
          <w:szCs w:val="24"/>
          <w:lang w:val="en-CA"/>
        </w:rPr>
        <w:t xml:space="preserve"> </w:t>
      </w:r>
      <w:r w:rsidRPr="0084150A">
        <w:rPr>
          <w:rFonts w:cs="Arial"/>
          <w:szCs w:val="24"/>
          <w:lang w:val="en-CA"/>
        </w:rPr>
        <w:t>of his testimony.</w:t>
      </w:r>
    </w:p>
    <w:p w14:paraId="762E1589" w14:textId="250BF515" w:rsidR="00C26E2E" w:rsidRPr="0084150A" w:rsidRDefault="003E4908" w:rsidP="00E73586">
      <w:pPr>
        <w:pStyle w:val="Paragraphe"/>
        <w:rPr>
          <w:lang w:val="en-CA"/>
        </w:rPr>
      </w:pPr>
      <w:r w:rsidRPr="0084150A">
        <w:rPr>
          <w:lang w:val="en-CA"/>
        </w:rPr>
        <w:t xml:space="preserve">The applicable criteria to determine a witness’s credibility and the </w:t>
      </w:r>
      <w:r w:rsidR="00995E21">
        <w:rPr>
          <w:lang w:val="en-CA"/>
        </w:rPr>
        <w:t>reliability</w:t>
      </w:r>
      <w:r w:rsidR="00995E21" w:rsidRPr="0084150A">
        <w:rPr>
          <w:lang w:val="en-CA"/>
        </w:rPr>
        <w:t xml:space="preserve"> </w:t>
      </w:r>
      <w:r w:rsidRPr="0084150A">
        <w:rPr>
          <w:lang w:val="en-CA"/>
        </w:rPr>
        <w:t xml:space="preserve">of a testimony have been the subject of </w:t>
      </w:r>
      <w:r w:rsidR="004D26F7">
        <w:rPr>
          <w:lang w:val="en-CA"/>
        </w:rPr>
        <w:t>many</w:t>
      </w:r>
      <w:r w:rsidR="004D26F7" w:rsidRPr="0084150A">
        <w:rPr>
          <w:lang w:val="en-CA"/>
        </w:rPr>
        <w:t xml:space="preserve"> </w:t>
      </w:r>
      <w:r w:rsidR="00995E21">
        <w:rPr>
          <w:lang w:val="en-CA"/>
        </w:rPr>
        <w:t>judgments</w:t>
      </w:r>
      <w:r w:rsidRPr="0084150A">
        <w:rPr>
          <w:lang w:val="en-CA"/>
        </w:rPr>
        <w:t>.</w:t>
      </w:r>
      <w:r w:rsidR="005D25C5" w:rsidRPr="0084150A">
        <w:rPr>
          <w:lang w:val="en-CA"/>
        </w:rPr>
        <w:t xml:space="preserve"> </w:t>
      </w:r>
    </w:p>
    <w:p w14:paraId="519A20C2" w14:textId="73C2FD81" w:rsidR="00C26E2E" w:rsidRPr="0084150A" w:rsidRDefault="000B7354" w:rsidP="001E16C6">
      <w:pPr>
        <w:pStyle w:val="Paragraphe"/>
        <w:rPr>
          <w:lang w:val="en-CA"/>
        </w:rPr>
      </w:pPr>
      <w:r w:rsidRPr="0084150A">
        <w:rPr>
          <w:lang w:val="en-CA"/>
        </w:rPr>
        <w:lastRenderedPageBreak/>
        <w:t xml:space="preserve">More specifically, the Tribunal refers to a judgment </w:t>
      </w:r>
      <w:r w:rsidR="007D4307">
        <w:rPr>
          <w:lang w:val="en-CA"/>
        </w:rPr>
        <w:t>by</w:t>
      </w:r>
      <w:r w:rsidR="007D4307" w:rsidRPr="0084150A">
        <w:rPr>
          <w:lang w:val="en-CA"/>
        </w:rPr>
        <w:t xml:space="preserve"> </w:t>
      </w:r>
      <w:r w:rsidRPr="0084150A">
        <w:rPr>
          <w:lang w:val="en-CA"/>
        </w:rPr>
        <w:t>the Honourable Guy Cournoyer</w:t>
      </w:r>
      <w:r w:rsidR="00201906">
        <w:rPr>
          <w:lang w:val="en-CA"/>
        </w:rPr>
        <w:t>,</w:t>
      </w:r>
      <w:r w:rsidR="007D4307">
        <w:rPr>
          <w:lang w:val="en-CA"/>
        </w:rPr>
        <w:t xml:space="preserve"> J.S.C.,</w:t>
      </w:r>
      <w:r w:rsidR="00A93FB9" w:rsidRPr="0084150A">
        <w:rPr>
          <w:lang w:val="en-CA"/>
        </w:rPr>
        <w:t xml:space="preserve"> </w:t>
      </w:r>
      <w:r w:rsidR="007D4307">
        <w:rPr>
          <w:lang w:val="en-CA"/>
        </w:rPr>
        <w:t>as he then was</w:t>
      </w:r>
      <w:r w:rsidR="00201906">
        <w:rPr>
          <w:lang w:val="en-CA"/>
        </w:rPr>
        <w:t>,</w:t>
      </w:r>
      <w:r w:rsidR="00A93FB9" w:rsidRPr="0084150A">
        <w:rPr>
          <w:lang w:val="en-CA"/>
        </w:rPr>
        <w:t xml:space="preserve"> in </w:t>
      </w:r>
      <w:r w:rsidR="00A93FB9" w:rsidRPr="0084150A">
        <w:rPr>
          <w:i/>
          <w:iCs/>
          <w:lang w:val="en-CA"/>
        </w:rPr>
        <w:t>Gestion immobilière Gouin c. Complexe funéraire Fortin</w:t>
      </w:r>
      <w:r w:rsidR="00A93FB9" w:rsidRPr="0084150A">
        <w:rPr>
          <w:rStyle w:val="Appelnotedebasdep"/>
          <w:lang w:val="en-CA"/>
        </w:rPr>
        <w:footnoteReference w:id="95"/>
      </w:r>
      <w:r w:rsidR="00A93FB9" w:rsidRPr="0084150A">
        <w:rPr>
          <w:i/>
          <w:iCs/>
          <w:lang w:val="en-CA"/>
        </w:rPr>
        <w:t xml:space="preserve"> </w:t>
      </w:r>
      <w:r w:rsidR="00A93FB9" w:rsidRPr="0084150A">
        <w:rPr>
          <w:lang w:val="en-CA"/>
        </w:rPr>
        <w:t xml:space="preserve">in which he summarized 10 criteria that apply </w:t>
      </w:r>
      <w:r w:rsidR="007D4307">
        <w:rPr>
          <w:lang w:val="en-CA"/>
        </w:rPr>
        <w:t>when assessing</w:t>
      </w:r>
      <w:r w:rsidR="00A93FB9" w:rsidRPr="0084150A">
        <w:rPr>
          <w:lang w:val="en-CA"/>
        </w:rPr>
        <w:t xml:space="preserve"> a witness’s credibility and the </w:t>
      </w:r>
      <w:r w:rsidR="007D4307">
        <w:rPr>
          <w:lang w:val="en-CA"/>
        </w:rPr>
        <w:t>reliability</w:t>
      </w:r>
      <w:r w:rsidR="007D4307" w:rsidRPr="0084150A">
        <w:rPr>
          <w:lang w:val="en-CA"/>
        </w:rPr>
        <w:t xml:space="preserve"> </w:t>
      </w:r>
      <w:r w:rsidR="00A93FB9" w:rsidRPr="0084150A">
        <w:rPr>
          <w:lang w:val="en-CA"/>
        </w:rPr>
        <w:t>of a testimony.</w:t>
      </w:r>
      <w:r w:rsidR="00A93FB9" w:rsidRPr="0084150A">
        <w:rPr>
          <w:rStyle w:val="Appelnotedebasdep"/>
          <w:lang w:val="en-CA"/>
        </w:rPr>
        <w:footnoteReference w:id="96"/>
      </w:r>
    </w:p>
    <w:p w14:paraId="3327653E" w14:textId="6F2E1209" w:rsidR="00105762" w:rsidRPr="0084150A" w:rsidRDefault="00C50DFE" w:rsidP="001E16C6">
      <w:pPr>
        <w:pStyle w:val="Paragraphe"/>
        <w:rPr>
          <w:lang w:val="en-CA"/>
        </w:rPr>
      </w:pPr>
      <w:r w:rsidRPr="0084150A">
        <w:rPr>
          <w:lang w:val="en-CA"/>
        </w:rPr>
        <w:t xml:space="preserve"> The Tribunal finds interesting Cournoyer</w:t>
      </w:r>
      <w:r w:rsidR="00CF787B">
        <w:rPr>
          <w:lang w:val="en-CA"/>
        </w:rPr>
        <w:t>,</w:t>
      </w:r>
      <w:r w:rsidRPr="0084150A">
        <w:rPr>
          <w:lang w:val="en-CA"/>
        </w:rPr>
        <w:t xml:space="preserve"> J.’s reference to </w:t>
      </w:r>
      <w:r w:rsidR="00DB6469" w:rsidRPr="0084150A">
        <w:rPr>
          <w:lang w:val="en-CA"/>
        </w:rPr>
        <w:t>the</w:t>
      </w:r>
      <w:r w:rsidRPr="0084150A">
        <w:rPr>
          <w:lang w:val="en-CA"/>
        </w:rPr>
        <w:t xml:space="preserve"> British Columbia</w:t>
      </w:r>
      <w:r w:rsidR="00965285">
        <w:rPr>
          <w:lang w:val="en-CA"/>
        </w:rPr>
        <w:t xml:space="preserve"> Court of Appeal</w:t>
      </w:r>
      <w:r w:rsidRPr="0084150A">
        <w:rPr>
          <w:lang w:val="en-CA"/>
        </w:rPr>
        <w:t xml:space="preserve"> judgment in </w:t>
      </w:r>
      <w:r w:rsidRPr="0084150A">
        <w:rPr>
          <w:i/>
          <w:lang w:val="en-CA"/>
        </w:rPr>
        <w:t>Farnya v. Chorny</w:t>
      </w:r>
      <w:r w:rsidR="006C03EE" w:rsidRPr="0084150A">
        <w:rPr>
          <w:iCs/>
          <w:lang w:val="en-CA"/>
        </w:rPr>
        <w:t>,</w:t>
      </w:r>
      <w:r w:rsidRPr="0084150A">
        <w:rPr>
          <w:rStyle w:val="Appelnotedebasdep"/>
          <w:rFonts w:cs="Arial"/>
          <w:szCs w:val="24"/>
          <w:lang w:val="en-CA"/>
        </w:rPr>
        <w:footnoteReference w:id="97"/>
      </w:r>
      <w:r w:rsidRPr="0084150A">
        <w:rPr>
          <w:lang w:val="en-CA"/>
        </w:rPr>
        <w:t xml:space="preserve"> in which the Court stated the following regarding the assessment of a witness’s credibility in the presence of contradictory </w:t>
      </w:r>
      <w:r w:rsidR="00271341" w:rsidRPr="0084150A">
        <w:rPr>
          <w:lang w:val="en-CA"/>
        </w:rPr>
        <w:t xml:space="preserve">previous </w:t>
      </w:r>
      <w:r w:rsidRPr="0084150A">
        <w:rPr>
          <w:lang w:val="en-CA"/>
        </w:rPr>
        <w:t>statements:</w:t>
      </w:r>
    </w:p>
    <w:p w14:paraId="57ADC435" w14:textId="65A4F6E0" w:rsidR="00973AB3" w:rsidRPr="0084150A" w:rsidRDefault="00721FFC" w:rsidP="001E16C6">
      <w:pPr>
        <w:pStyle w:val="Citationendoubleretrait"/>
      </w:pPr>
      <w:r w:rsidRPr="0084150A">
        <w:t xml:space="preserve">The credibility of interested witnesses, particularly in cases of conflict of evidence, cannot be gauged solely by the test of whether the personal demeanour of the </w:t>
      </w:r>
      <w:proofErr w:type="gramStart"/>
      <w:r w:rsidRPr="0084150A">
        <w:t>particular witness</w:t>
      </w:r>
      <w:proofErr w:type="gramEnd"/>
      <w:r w:rsidRPr="0084150A">
        <w:t xml:space="preserve"> carried conviction of the truth.</w:t>
      </w:r>
      <w:r w:rsidR="00973AB3" w:rsidRPr="0084150A">
        <w:t xml:space="preserve"> </w:t>
      </w:r>
      <w:r w:rsidR="008E46EA" w:rsidRPr="0084150A">
        <w:t>The test must reasonably subject his story to an examination of its consistency with the probabilities that surround the currently existing conditions.</w:t>
      </w:r>
      <w:r w:rsidR="00973AB3" w:rsidRPr="0084150A">
        <w:t xml:space="preserve"> </w:t>
      </w:r>
      <w:r w:rsidR="00005F51" w:rsidRPr="0084150A">
        <w:t>In short, the real test of the truth of the story of a witness in such a case must be its harmony with the preponderance of the probabilities which a practical and informed person would readily recognize as reasonable in that place and in those conditions.</w:t>
      </w:r>
      <w:r w:rsidR="00665A46" w:rsidRPr="0084150A">
        <w:t>…</w:t>
      </w:r>
    </w:p>
    <w:p w14:paraId="25A600BF" w14:textId="77777777" w:rsidR="007923AC" w:rsidRPr="0084150A" w:rsidRDefault="007923AC" w:rsidP="001E16C6">
      <w:pPr>
        <w:pStyle w:val="Citationendoubleretrait"/>
      </w:pPr>
    </w:p>
    <w:p w14:paraId="5019BE9D" w14:textId="2BC21BB5" w:rsidR="00105762" w:rsidRPr="0084150A" w:rsidRDefault="00665A46" w:rsidP="001E16C6">
      <w:pPr>
        <w:pStyle w:val="Citationendoubleretrait"/>
      </w:pPr>
      <w:r w:rsidRPr="0084150A">
        <w:t>The trial Judge ought to go further and say that evidence of the witness he believes is in accordance with the preponderance of probabilities in the case</w:t>
      </w:r>
      <w:r w:rsidR="00353451">
        <w:t>…</w:t>
      </w:r>
      <w:r w:rsidRPr="0084150A">
        <w:t>.</w:t>
      </w:r>
      <w:r w:rsidR="005D25C5" w:rsidRPr="0084150A">
        <w:rPr>
          <w:rStyle w:val="Appelnotedebasdep"/>
        </w:rPr>
        <w:footnoteReference w:id="98"/>
      </w:r>
    </w:p>
    <w:p w14:paraId="05577452" w14:textId="76EE800C" w:rsidR="007D0FE0" w:rsidRPr="0084150A" w:rsidRDefault="00DB6469" w:rsidP="00E522D1">
      <w:pPr>
        <w:pStyle w:val="Paragraphe"/>
        <w:rPr>
          <w:szCs w:val="24"/>
          <w:lang w:val="en-CA"/>
        </w:rPr>
      </w:pPr>
      <w:r w:rsidRPr="0084150A">
        <w:rPr>
          <w:szCs w:val="24"/>
          <w:lang w:val="en-CA"/>
        </w:rPr>
        <w:t xml:space="preserve"> </w:t>
      </w:r>
      <w:r w:rsidR="008224D0">
        <w:rPr>
          <w:szCs w:val="24"/>
          <w:lang w:val="en-CA"/>
        </w:rPr>
        <w:t>Because</w:t>
      </w:r>
      <w:r w:rsidRPr="0084150A">
        <w:rPr>
          <w:szCs w:val="24"/>
          <w:lang w:val="en-CA"/>
        </w:rPr>
        <w:t xml:space="preserve"> Frédéric Racine provide</w:t>
      </w:r>
      <w:r w:rsidR="008224D0">
        <w:rPr>
          <w:szCs w:val="24"/>
          <w:lang w:val="en-CA"/>
        </w:rPr>
        <w:t>d</w:t>
      </w:r>
      <w:r w:rsidRPr="0084150A">
        <w:rPr>
          <w:szCs w:val="24"/>
          <w:lang w:val="en-CA"/>
        </w:rPr>
        <w:t xml:space="preserve"> two versions that differ on certain facts and circumstances, the Tribunal will assess which of these accounts is </w:t>
      </w:r>
      <w:r w:rsidR="008224D0">
        <w:rPr>
          <w:szCs w:val="24"/>
          <w:lang w:val="en-CA"/>
        </w:rPr>
        <w:t>consistent</w:t>
      </w:r>
      <w:r w:rsidR="008224D0" w:rsidRPr="0084150A">
        <w:rPr>
          <w:szCs w:val="24"/>
          <w:lang w:val="en-CA"/>
        </w:rPr>
        <w:t xml:space="preserve"> </w:t>
      </w:r>
      <w:r w:rsidRPr="0084150A">
        <w:rPr>
          <w:szCs w:val="24"/>
          <w:lang w:val="en-CA"/>
        </w:rPr>
        <w:t xml:space="preserve">with the probabilities that characterize the </w:t>
      </w:r>
      <w:proofErr w:type="gramStart"/>
      <w:r w:rsidRPr="0084150A">
        <w:rPr>
          <w:szCs w:val="24"/>
          <w:lang w:val="en-CA"/>
        </w:rPr>
        <w:t>evidence as a whole</w:t>
      </w:r>
      <w:proofErr w:type="gramEnd"/>
      <w:r w:rsidRPr="0084150A">
        <w:rPr>
          <w:szCs w:val="24"/>
          <w:lang w:val="en-CA"/>
        </w:rPr>
        <w:t>.</w:t>
      </w:r>
    </w:p>
    <w:p w14:paraId="148FC3E0" w14:textId="209362E3" w:rsidR="007D0FE0" w:rsidRPr="0084150A" w:rsidRDefault="000871EE" w:rsidP="007D0FE0">
      <w:pPr>
        <w:pStyle w:val="Paragraphe"/>
        <w:rPr>
          <w:rFonts w:cs="Arial"/>
          <w:szCs w:val="24"/>
          <w:lang w:val="en-CA"/>
        </w:rPr>
      </w:pPr>
      <w:r w:rsidRPr="0084150A">
        <w:rPr>
          <w:shd w:val="clear" w:color="auto" w:fill="FFFFFF"/>
          <w:lang w:val="en-CA"/>
        </w:rPr>
        <w:t xml:space="preserve">To determine if the transcript of the examination </w:t>
      </w:r>
      <w:r w:rsidR="00FD5BBA">
        <w:rPr>
          <w:shd w:val="clear" w:color="auto" w:fill="FFFFFF"/>
          <w:lang w:val="en-CA"/>
        </w:rPr>
        <w:t>does indeed</w:t>
      </w:r>
      <w:r w:rsidR="00FD5BBA" w:rsidRPr="0084150A">
        <w:rPr>
          <w:shd w:val="clear" w:color="auto" w:fill="FFFFFF"/>
          <w:lang w:val="en-CA"/>
        </w:rPr>
        <w:t xml:space="preserve"> </w:t>
      </w:r>
      <w:r w:rsidRPr="0084150A">
        <w:rPr>
          <w:shd w:val="clear" w:color="auto" w:fill="FFFFFF"/>
          <w:lang w:val="en-CA"/>
        </w:rPr>
        <w:t xml:space="preserve">contain previous statements by Frédéric Racine that are inconsistent with his testimony before the Tribunal, </w:t>
      </w:r>
      <w:r w:rsidR="008916B4">
        <w:rPr>
          <w:shd w:val="clear" w:color="auto" w:fill="FFFFFF"/>
          <w:lang w:val="en-CA"/>
        </w:rPr>
        <w:t>the Tribunal</w:t>
      </w:r>
      <w:r w:rsidRPr="0084150A">
        <w:rPr>
          <w:shd w:val="clear" w:color="auto" w:fill="FFFFFF"/>
          <w:lang w:val="en-CA"/>
        </w:rPr>
        <w:t xml:space="preserve"> read the entire transcript and summarized the main points thereof. </w:t>
      </w:r>
      <w:r w:rsidR="00092130">
        <w:rPr>
          <w:shd w:val="clear" w:color="auto" w:fill="FFFFFF"/>
          <w:lang w:val="en-CA"/>
        </w:rPr>
        <w:t>It</w:t>
      </w:r>
      <w:r w:rsidR="00092130" w:rsidRPr="0084150A">
        <w:rPr>
          <w:shd w:val="clear" w:color="auto" w:fill="FFFFFF"/>
          <w:lang w:val="en-CA"/>
        </w:rPr>
        <w:t xml:space="preserve"> </w:t>
      </w:r>
      <w:r w:rsidRPr="0084150A">
        <w:rPr>
          <w:shd w:val="clear" w:color="auto" w:fill="FFFFFF"/>
          <w:lang w:val="en-CA"/>
        </w:rPr>
        <w:t>then made certain observations in the following passages.</w:t>
      </w:r>
    </w:p>
    <w:p w14:paraId="2F224051" w14:textId="5A88E468" w:rsidR="007D0FE0" w:rsidRPr="0084150A" w:rsidRDefault="00743DFA" w:rsidP="00B40D50">
      <w:pPr>
        <w:pStyle w:val="Paragraphe"/>
        <w:rPr>
          <w:rFonts w:cs="Arial"/>
          <w:szCs w:val="24"/>
          <w:lang w:val="en-CA"/>
        </w:rPr>
      </w:pPr>
      <w:r w:rsidRPr="0084150A">
        <w:rPr>
          <w:lang w:val="en-CA"/>
        </w:rPr>
        <w:lastRenderedPageBreak/>
        <w:t>The Tribunal will consider (1) the existence of previous statements inconsistent with Frédéric Racine’s testimony before the Tribunal;</w:t>
      </w:r>
      <w:r w:rsidR="005D25C5" w:rsidRPr="0084150A">
        <w:rPr>
          <w:lang w:val="en-CA"/>
        </w:rPr>
        <w:t xml:space="preserve"> </w:t>
      </w:r>
      <w:r w:rsidR="00EE6C84" w:rsidRPr="0084150A">
        <w:rPr>
          <w:lang w:val="en-CA"/>
        </w:rPr>
        <w:t>(2) the circumstances in which the previous statements were made, and (3) the probative force of the previous statements.</w:t>
      </w:r>
    </w:p>
    <w:p w14:paraId="5E9BBDE9" w14:textId="0D01E7CC" w:rsidR="00A444F3" w:rsidRPr="0084150A" w:rsidRDefault="00FB4300" w:rsidP="00487717">
      <w:pPr>
        <w:pStyle w:val="Paragraphe"/>
        <w:numPr>
          <w:ilvl w:val="0"/>
          <w:numId w:val="16"/>
        </w:numPr>
        <w:rPr>
          <w:rFonts w:cs="Arial"/>
          <w:szCs w:val="24"/>
          <w:u w:val="single"/>
          <w:lang w:val="en-CA"/>
        </w:rPr>
      </w:pPr>
      <w:r w:rsidRPr="0084150A">
        <w:rPr>
          <w:rFonts w:cs="Arial"/>
          <w:szCs w:val="24"/>
          <w:u w:val="single"/>
          <w:lang w:val="en-CA"/>
        </w:rPr>
        <w:t>The existence of previous statements inconsistent with Frédéric Racine’s testimony before the Tribunal</w:t>
      </w:r>
    </w:p>
    <w:p w14:paraId="2FE7EAEF" w14:textId="2FC198D0" w:rsidR="00444299" w:rsidRPr="0084150A" w:rsidRDefault="00450C19" w:rsidP="00793F32">
      <w:pPr>
        <w:pStyle w:val="Paragraphe"/>
        <w:rPr>
          <w:lang w:val="en-CA"/>
        </w:rPr>
      </w:pPr>
      <w:r w:rsidRPr="0084150A">
        <w:rPr>
          <w:lang w:val="en-CA"/>
        </w:rPr>
        <w:t xml:space="preserve">In its reamended originating application, </w:t>
      </w:r>
      <w:proofErr w:type="gramStart"/>
      <w:r w:rsidRPr="0084150A">
        <w:rPr>
          <w:lang w:val="en-CA"/>
        </w:rPr>
        <w:t>in particular in</w:t>
      </w:r>
      <w:proofErr w:type="gramEnd"/>
      <w:r w:rsidRPr="0084150A">
        <w:rPr>
          <w:lang w:val="en-CA"/>
        </w:rPr>
        <w:t xml:space="preserve"> paragraphs 69 and 70,</w:t>
      </w:r>
      <w:r w:rsidRPr="0084150A">
        <w:rPr>
          <w:rStyle w:val="Appelnotedebasdep"/>
          <w:rFonts w:cs="Arial"/>
          <w:szCs w:val="24"/>
          <w:lang w:val="en-CA"/>
        </w:rPr>
        <w:footnoteReference w:id="99"/>
      </w:r>
      <w:r w:rsidRPr="0084150A">
        <w:rPr>
          <w:rFonts w:cs="Arial"/>
          <w:szCs w:val="24"/>
          <w:lang w:val="en-CA"/>
        </w:rPr>
        <w:t xml:space="preserve"> the Authority specifically refers to several passages of the transcript of Frédéric Racine’s examination regarding Philippe Gauthier’s disclosure of privileged information with respect to </w:t>
      </w:r>
      <w:r w:rsidR="001362D1">
        <w:rPr>
          <w:rFonts w:cs="Arial"/>
          <w:szCs w:val="24"/>
          <w:lang w:val="en-CA"/>
        </w:rPr>
        <w:t>the securities of Napec</w:t>
      </w:r>
      <w:r w:rsidRPr="0084150A">
        <w:rPr>
          <w:rFonts w:cs="Arial"/>
          <w:szCs w:val="24"/>
          <w:lang w:val="en-CA"/>
        </w:rPr>
        <w:t>.</w:t>
      </w:r>
    </w:p>
    <w:p w14:paraId="63B5B238" w14:textId="3616D141" w:rsidR="00444299" w:rsidRPr="0084150A" w:rsidRDefault="00BD6941" w:rsidP="00D67C61">
      <w:pPr>
        <w:pStyle w:val="Paragraphe"/>
        <w:rPr>
          <w:lang w:val="en-CA"/>
        </w:rPr>
      </w:pPr>
      <w:r w:rsidRPr="0084150A">
        <w:rPr>
          <w:lang w:val="en-CA"/>
        </w:rPr>
        <w:t xml:space="preserve">More specifically, in paragraph 69 of its reamended application, the Authority alleges that Frédéric Racine admitted to investigators that Philippe Gauthier told him that Napec </w:t>
      </w:r>
      <w:r w:rsidR="005B3C62">
        <w:rPr>
          <w:lang w:val="en-CA"/>
        </w:rPr>
        <w:t>might</w:t>
      </w:r>
      <w:r w:rsidR="005B3C62" w:rsidRPr="0084150A">
        <w:rPr>
          <w:lang w:val="en-CA"/>
        </w:rPr>
        <w:t xml:space="preserve"> </w:t>
      </w:r>
      <w:r w:rsidRPr="0084150A">
        <w:rPr>
          <w:lang w:val="en-CA"/>
        </w:rPr>
        <w:t xml:space="preserve">be </w:t>
      </w:r>
      <w:r w:rsidR="005B3C62">
        <w:rPr>
          <w:lang w:val="en-CA"/>
        </w:rPr>
        <w:t>repurchased</w:t>
      </w:r>
      <w:r w:rsidRPr="0084150A">
        <w:rPr>
          <w:lang w:val="en-CA"/>
        </w:rPr>
        <w:t>:</w:t>
      </w:r>
      <w:r w:rsidR="005B3C62">
        <w:rPr>
          <w:lang w:val="en-CA"/>
        </w:rPr>
        <w:t xml:space="preserve"> [</w:t>
      </w:r>
      <w:r w:rsidR="005B3C62" w:rsidRPr="001F5F6B">
        <w:rPr>
          <w:smallCaps/>
          <w:lang w:val="en-CA"/>
        </w:rPr>
        <w:t>translation</w:t>
      </w:r>
      <w:r w:rsidR="005B3C62">
        <w:rPr>
          <w:lang w:val="en-CA"/>
        </w:rPr>
        <w:t>]</w:t>
      </w:r>
      <w:r w:rsidR="005D25C5" w:rsidRPr="0084150A">
        <w:rPr>
          <w:lang w:val="en-CA"/>
        </w:rPr>
        <w:t xml:space="preserve"> </w:t>
      </w:r>
      <w:bookmarkStart w:id="14" w:name="_Hlk160459459"/>
      <w:r w:rsidR="00076A5E" w:rsidRPr="0084150A">
        <w:rPr>
          <w:lang w:val="en-CA"/>
        </w:rPr>
        <w:t xml:space="preserve">“R- He just told me maybe during a lunch, he said, </w:t>
      </w:r>
      <w:r w:rsidR="002C427F" w:rsidRPr="0084150A">
        <w:rPr>
          <w:lang w:val="en-CA"/>
        </w:rPr>
        <w:t>[</w:t>
      </w:r>
      <w:r w:rsidR="002C427F" w:rsidRPr="0084150A">
        <w:rPr>
          <w:smallCaps/>
          <w:lang w:val="en-CA"/>
        </w:rPr>
        <w:t xml:space="preserve">translation] </w:t>
      </w:r>
      <w:r w:rsidR="00214515">
        <w:rPr>
          <w:lang w:val="en-CA"/>
        </w:rPr>
        <w:t>‘</w:t>
      </w:r>
      <w:r w:rsidR="00076A5E" w:rsidRPr="0084150A">
        <w:rPr>
          <w:lang w:val="en-CA"/>
        </w:rPr>
        <w:t xml:space="preserve">Fred, I think Napec is going to be </w:t>
      </w:r>
      <w:r w:rsidR="005B3C62">
        <w:rPr>
          <w:lang w:val="en-CA"/>
        </w:rPr>
        <w:t>good’</w:t>
      </w:r>
      <w:r w:rsidR="005B3C62" w:rsidRPr="0084150A">
        <w:rPr>
          <w:lang w:val="en-CA"/>
        </w:rPr>
        <w:t xml:space="preserve"> </w:t>
      </w:r>
      <w:r w:rsidR="00076A5E" w:rsidRPr="0084150A">
        <w:rPr>
          <w:lang w:val="en-CA"/>
        </w:rPr>
        <w:t xml:space="preserve">or </w:t>
      </w:r>
      <w:r w:rsidR="002C427F" w:rsidRPr="0084150A">
        <w:rPr>
          <w:lang w:val="en-CA"/>
        </w:rPr>
        <w:t>[</w:t>
      </w:r>
      <w:r w:rsidR="002C427F" w:rsidRPr="0084150A">
        <w:rPr>
          <w:smallCaps/>
          <w:lang w:val="en-CA"/>
        </w:rPr>
        <w:t xml:space="preserve">translation] </w:t>
      </w:r>
      <w:r w:rsidR="0028083A">
        <w:rPr>
          <w:lang w:val="en-CA"/>
        </w:rPr>
        <w:t>‘</w:t>
      </w:r>
      <w:r w:rsidR="00076A5E" w:rsidRPr="0084150A">
        <w:rPr>
          <w:lang w:val="en-CA"/>
        </w:rPr>
        <w:t xml:space="preserve">I think there’s a chance that it could be </w:t>
      </w:r>
      <w:r w:rsidR="005B3C62">
        <w:rPr>
          <w:lang w:val="en-CA"/>
        </w:rPr>
        <w:t>repurchased’</w:t>
      </w:r>
      <w:r w:rsidR="00076A5E" w:rsidRPr="0084150A">
        <w:rPr>
          <w:lang w:val="en-CA"/>
        </w:rPr>
        <w:t>”.</w:t>
      </w:r>
      <w:r w:rsidR="005D25C5" w:rsidRPr="0084150A">
        <w:rPr>
          <w:rStyle w:val="Appelnotedebasdep"/>
          <w:lang w:val="en-CA"/>
        </w:rPr>
        <w:footnoteReference w:id="100"/>
      </w:r>
    </w:p>
    <w:p w14:paraId="3FB67FF3" w14:textId="6169068C" w:rsidR="00444299" w:rsidRPr="0084150A" w:rsidRDefault="00AD1093" w:rsidP="004A3901">
      <w:pPr>
        <w:pStyle w:val="Paragraphe"/>
        <w:rPr>
          <w:lang w:val="en-CA"/>
        </w:rPr>
      </w:pPr>
      <w:r w:rsidRPr="0084150A">
        <w:rPr>
          <w:shd w:val="clear" w:color="auto" w:fill="FFFFFF"/>
          <w:lang w:val="en-CA"/>
        </w:rPr>
        <w:t xml:space="preserve">In paragraph 70 of </w:t>
      </w:r>
      <w:r w:rsidR="00FE17F7">
        <w:rPr>
          <w:shd w:val="clear" w:color="auto" w:fill="FFFFFF"/>
          <w:lang w:val="en-CA"/>
        </w:rPr>
        <w:t>its</w:t>
      </w:r>
      <w:r w:rsidRPr="0084150A">
        <w:rPr>
          <w:shd w:val="clear" w:color="auto" w:fill="FFFFFF"/>
          <w:lang w:val="en-CA"/>
        </w:rPr>
        <w:t xml:space="preserve"> reamended application, the Authority refers to the following statements </w:t>
      </w:r>
      <w:r w:rsidR="00B0534B">
        <w:rPr>
          <w:shd w:val="clear" w:color="auto" w:fill="FFFFFF"/>
          <w:lang w:val="en-CA"/>
        </w:rPr>
        <w:t xml:space="preserve">made </w:t>
      </w:r>
      <w:r w:rsidRPr="0084150A">
        <w:rPr>
          <w:shd w:val="clear" w:color="auto" w:fill="FFFFFF"/>
          <w:lang w:val="en-CA"/>
        </w:rPr>
        <w:t>by Frédéric Racine</w:t>
      </w:r>
      <w:r w:rsidR="00D26BEE">
        <w:rPr>
          <w:shd w:val="clear" w:color="auto" w:fill="FFFFFF"/>
          <w:lang w:val="en-CA"/>
        </w:rPr>
        <w:t>,</w:t>
      </w:r>
      <w:r w:rsidRPr="0084150A">
        <w:rPr>
          <w:shd w:val="clear" w:color="auto" w:fill="FFFFFF"/>
          <w:lang w:val="en-CA"/>
        </w:rPr>
        <w:t xml:space="preserve"> again regarding the proposed acquisition of Napec:</w:t>
      </w:r>
    </w:p>
    <w:p w14:paraId="46F1CFF9" w14:textId="4F07D2DB" w:rsidR="002C427F" w:rsidRPr="0084150A" w:rsidRDefault="002C427F" w:rsidP="002C427F">
      <w:pPr>
        <w:pStyle w:val="Paragraphe"/>
        <w:numPr>
          <w:ilvl w:val="0"/>
          <w:numId w:val="0"/>
        </w:numPr>
        <w:ind w:left="1237"/>
        <w:rPr>
          <w:smallCaps/>
          <w:lang w:val="en-CA"/>
        </w:rPr>
      </w:pPr>
      <w:r w:rsidRPr="0084150A">
        <w:rPr>
          <w:shd w:val="clear" w:color="auto" w:fill="FFFFFF"/>
          <w:lang w:val="en-CA"/>
        </w:rPr>
        <w:t>[</w:t>
      </w:r>
      <w:r w:rsidRPr="0084150A">
        <w:rPr>
          <w:smallCaps/>
          <w:shd w:val="clear" w:color="auto" w:fill="FFFFFF"/>
          <w:lang w:val="en-CA"/>
        </w:rPr>
        <w:t>translation]</w:t>
      </w:r>
    </w:p>
    <w:bookmarkEnd w:id="14"/>
    <w:p w14:paraId="669A92DE" w14:textId="6F338072" w:rsidR="00283C75" w:rsidRPr="0084150A" w:rsidRDefault="009716C5" w:rsidP="001420F8">
      <w:pPr>
        <w:pStyle w:val="Citationendoubleretrait"/>
      </w:pPr>
      <w:r w:rsidRPr="0084150A">
        <w:t xml:space="preserve">R- It was never about the acquisition price, it was never about...he just said to me, </w:t>
      </w:r>
      <w:r w:rsidR="00B0534B">
        <w:t>“</w:t>
      </w:r>
      <w:r w:rsidRPr="0084150A">
        <w:t>It’s going...it’s going to happen</w:t>
      </w:r>
      <w:r w:rsidR="00B0534B">
        <w:t>”</w:t>
      </w:r>
      <w:r w:rsidRPr="0084150A">
        <w:t>, but was it in the medium term, the long term, that I can’t say.</w:t>
      </w:r>
      <w:r w:rsidR="005D25C5" w:rsidRPr="0084150A">
        <w:rPr>
          <w:rStyle w:val="Appelnotedebasdep"/>
        </w:rPr>
        <w:footnoteReference w:id="101"/>
      </w:r>
    </w:p>
    <w:p w14:paraId="2A180C28" w14:textId="00428E44" w:rsidR="00D70B2D" w:rsidRPr="0084150A" w:rsidRDefault="00EE14AA" w:rsidP="00283C75">
      <w:pPr>
        <w:pStyle w:val="Paragraphe"/>
        <w:rPr>
          <w:shd w:val="clear" w:color="auto" w:fill="FFFFFF"/>
          <w:lang w:val="en-CA"/>
        </w:rPr>
      </w:pPr>
      <w:r w:rsidRPr="0084150A">
        <w:rPr>
          <w:shd w:val="clear" w:color="auto" w:fill="FFFFFF"/>
          <w:lang w:val="en-CA"/>
        </w:rPr>
        <w:t>In its plan of argument, the Authority also refers to the following excerpts from the transcript of the examination of Frédéric Racine:</w:t>
      </w:r>
    </w:p>
    <w:p w14:paraId="4687AD18" w14:textId="7B60C7DA" w:rsidR="002C427F" w:rsidRPr="0084150A" w:rsidRDefault="002C427F" w:rsidP="002C427F">
      <w:pPr>
        <w:pStyle w:val="Paragraphe"/>
        <w:numPr>
          <w:ilvl w:val="0"/>
          <w:numId w:val="0"/>
        </w:numPr>
        <w:ind w:left="1237"/>
        <w:rPr>
          <w:smallCaps/>
          <w:shd w:val="clear" w:color="auto" w:fill="FFFFFF"/>
          <w:lang w:val="en-CA"/>
        </w:rPr>
      </w:pPr>
      <w:r w:rsidRPr="0084150A">
        <w:rPr>
          <w:shd w:val="clear" w:color="auto" w:fill="FFFFFF"/>
          <w:lang w:val="en-CA"/>
        </w:rPr>
        <w:t>[</w:t>
      </w:r>
      <w:r w:rsidRPr="0084150A">
        <w:rPr>
          <w:smallCaps/>
          <w:shd w:val="clear" w:color="auto" w:fill="FFFFFF"/>
          <w:lang w:val="en-CA"/>
        </w:rPr>
        <w:t>translation]</w:t>
      </w:r>
    </w:p>
    <w:p w14:paraId="09251BC1" w14:textId="59147B52" w:rsidR="00283C75" w:rsidRPr="0084150A" w:rsidRDefault="00512D8D" w:rsidP="001420F8">
      <w:pPr>
        <w:pStyle w:val="Citationendoubleretrait"/>
        <w:rPr>
          <w:shd w:val="clear" w:color="auto" w:fill="FFFFFF"/>
        </w:rPr>
      </w:pPr>
      <w:r w:rsidRPr="0084150A">
        <w:rPr>
          <w:shd w:val="clear" w:color="auto" w:fill="FFFFFF"/>
        </w:rPr>
        <w:t>Q- So the only thing he told you was that</w:t>
      </w:r>
    </w:p>
    <w:p w14:paraId="1BD85E8F" w14:textId="78843464" w:rsidR="00D70B2D" w:rsidRPr="0084150A" w:rsidRDefault="00845A3C" w:rsidP="001420F8">
      <w:pPr>
        <w:pStyle w:val="Citationendoubleretrait"/>
        <w:rPr>
          <w:shd w:val="clear" w:color="auto" w:fill="FFFFFF"/>
        </w:rPr>
      </w:pPr>
      <w:r w:rsidRPr="0084150A">
        <w:rPr>
          <w:shd w:val="clear" w:color="auto" w:fill="FFFFFF"/>
        </w:rPr>
        <w:t xml:space="preserve">there was maybe an upcoming </w:t>
      </w:r>
      <w:proofErr w:type="gramStart"/>
      <w:r w:rsidRPr="0084150A">
        <w:rPr>
          <w:shd w:val="clear" w:color="auto" w:fill="FFFFFF"/>
        </w:rPr>
        <w:t>acquisition?</w:t>
      </w:r>
      <w:proofErr w:type="gramEnd"/>
      <w:r w:rsidR="005D25C5" w:rsidRPr="0084150A">
        <w:rPr>
          <w:shd w:val="clear" w:color="auto" w:fill="FFFFFF"/>
        </w:rPr>
        <w:t xml:space="preserve"> </w:t>
      </w:r>
    </w:p>
    <w:p w14:paraId="2FF280D4" w14:textId="74E866CB" w:rsidR="00D70B2D" w:rsidRPr="0084150A" w:rsidRDefault="00C0231A" w:rsidP="001420F8">
      <w:pPr>
        <w:pStyle w:val="Citationendoubleretrait"/>
        <w:rPr>
          <w:shd w:val="clear" w:color="auto" w:fill="FFFFFF"/>
        </w:rPr>
      </w:pPr>
      <w:r w:rsidRPr="0084150A">
        <w:rPr>
          <w:shd w:val="clear" w:color="auto" w:fill="FFFFFF"/>
        </w:rPr>
        <w:t xml:space="preserve">R- He said, </w:t>
      </w:r>
      <w:r w:rsidR="0098429F">
        <w:rPr>
          <w:shd w:val="clear" w:color="auto" w:fill="FFFFFF"/>
        </w:rPr>
        <w:t>‘</w:t>
      </w:r>
      <w:r w:rsidRPr="0084150A">
        <w:rPr>
          <w:shd w:val="clear" w:color="auto" w:fill="FFFFFF"/>
        </w:rPr>
        <w:t>there may be a deal,</w:t>
      </w:r>
      <w:r w:rsidR="0098429F">
        <w:rPr>
          <w:shd w:val="clear" w:color="auto" w:fill="FFFFFF"/>
        </w:rPr>
        <w:t>’</w:t>
      </w:r>
      <w:r w:rsidRPr="0084150A">
        <w:rPr>
          <w:shd w:val="clear" w:color="auto" w:fill="FFFFFF"/>
        </w:rPr>
        <w:t xml:space="preserve"> which is</w:t>
      </w:r>
      <w:r w:rsidR="005D25C5" w:rsidRPr="0084150A">
        <w:rPr>
          <w:shd w:val="clear" w:color="auto" w:fill="FFFFFF"/>
        </w:rPr>
        <w:t xml:space="preserve"> </w:t>
      </w:r>
    </w:p>
    <w:p w14:paraId="50F10699" w14:textId="7DCD3458" w:rsidR="00D70B2D" w:rsidRPr="0084150A" w:rsidRDefault="008860A5" w:rsidP="001420F8">
      <w:pPr>
        <w:pStyle w:val="Citationendoubleretrait"/>
        <w:rPr>
          <w:shd w:val="clear" w:color="auto" w:fill="FFFFFF"/>
        </w:rPr>
      </w:pPr>
      <w:r w:rsidRPr="0084150A">
        <w:rPr>
          <w:shd w:val="clear" w:color="auto" w:fill="FFFFFF"/>
        </w:rPr>
        <w:t>when, like I told you, I made inquires, like, and I’m</w:t>
      </w:r>
    </w:p>
    <w:p w14:paraId="5919D82B" w14:textId="39D711F2" w:rsidR="00D70B2D" w:rsidRPr="0084150A" w:rsidRDefault="004E5714" w:rsidP="001420F8">
      <w:pPr>
        <w:pStyle w:val="Citationendoubleretrait"/>
        <w:rPr>
          <w:shd w:val="clear" w:color="auto" w:fill="FFFFFF"/>
        </w:rPr>
      </w:pPr>
      <w:r w:rsidRPr="0084150A">
        <w:rPr>
          <w:shd w:val="clear" w:color="auto" w:fill="FFFFFF"/>
        </w:rPr>
        <w:t>totally – you’ll be able to see on my tablet – I</w:t>
      </w:r>
      <w:r w:rsidR="005D25C5" w:rsidRPr="0084150A">
        <w:rPr>
          <w:shd w:val="clear" w:color="auto" w:fill="FFFFFF"/>
        </w:rPr>
        <w:t xml:space="preserve"> </w:t>
      </w:r>
    </w:p>
    <w:p w14:paraId="38EDD21D" w14:textId="45BC06C6" w:rsidR="00D70B2D" w:rsidRPr="0084150A" w:rsidRDefault="000445F6" w:rsidP="001420F8">
      <w:pPr>
        <w:pStyle w:val="Citationendoubleretrait"/>
        <w:rPr>
          <w:shd w:val="clear" w:color="auto" w:fill="FFFFFF"/>
        </w:rPr>
      </w:pPr>
      <w:r w:rsidRPr="0084150A">
        <w:rPr>
          <w:shd w:val="clear" w:color="auto" w:fill="FFFFFF"/>
        </w:rPr>
        <w:t>spen</w:t>
      </w:r>
      <w:r w:rsidR="00E67E9C">
        <w:rPr>
          <w:shd w:val="clear" w:color="auto" w:fill="FFFFFF"/>
        </w:rPr>
        <w:t>d</w:t>
      </w:r>
      <w:r w:rsidRPr="0084150A">
        <w:rPr>
          <w:shd w:val="clear" w:color="auto" w:fill="FFFFFF"/>
        </w:rPr>
        <w:t xml:space="preserve"> my evenings doing this, I read </w:t>
      </w:r>
      <w:r w:rsidR="00E67E9C">
        <w:rPr>
          <w:shd w:val="clear" w:color="auto" w:fill="FFFFFF"/>
        </w:rPr>
        <w:t>the</w:t>
      </w:r>
      <w:r w:rsidR="00E67E9C" w:rsidRPr="0084150A">
        <w:rPr>
          <w:shd w:val="clear" w:color="auto" w:fill="FFFFFF"/>
        </w:rPr>
        <w:t xml:space="preserve"> </w:t>
      </w:r>
      <w:r w:rsidRPr="0084150A">
        <w:rPr>
          <w:shd w:val="clear" w:color="auto" w:fill="FFFFFF"/>
        </w:rPr>
        <w:t>blogs</w:t>
      </w:r>
      <w:r w:rsidR="005D25C5" w:rsidRPr="0084150A">
        <w:rPr>
          <w:shd w:val="clear" w:color="auto" w:fill="FFFFFF"/>
        </w:rPr>
        <w:t xml:space="preserve"> </w:t>
      </w:r>
    </w:p>
    <w:p w14:paraId="6D2819D0" w14:textId="258373F6" w:rsidR="00D70B2D" w:rsidRPr="0084150A" w:rsidRDefault="006F28E1" w:rsidP="001420F8">
      <w:pPr>
        <w:pStyle w:val="Citationendoubleretrait"/>
        <w:rPr>
          <w:shd w:val="clear" w:color="auto" w:fill="FFFFFF"/>
        </w:rPr>
      </w:pPr>
      <w:r w:rsidRPr="0084150A">
        <w:rPr>
          <w:shd w:val="clear" w:color="auto" w:fill="FFFFFF"/>
        </w:rPr>
        <w:t>that...then I asked people around me</w:t>
      </w:r>
      <w:r w:rsidR="005D25C5" w:rsidRPr="0084150A">
        <w:rPr>
          <w:shd w:val="clear" w:color="auto" w:fill="FFFFFF"/>
        </w:rPr>
        <w:t xml:space="preserve"> </w:t>
      </w:r>
    </w:p>
    <w:p w14:paraId="5FFBB644" w14:textId="2AD4E23D" w:rsidR="00D70B2D" w:rsidRPr="0084150A" w:rsidRDefault="00610840" w:rsidP="001420F8">
      <w:pPr>
        <w:pStyle w:val="Citationendoubleretrait"/>
        <w:rPr>
          <w:shd w:val="clear" w:color="auto" w:fill="FFFFFF"/>
        </w:rPr>
      </w:pPr>
      <w:r w:rsidRPr="0084150A">
        <w:rPr>
          <w:shd w:val="clear" w:color="auto" w:fill="FFFFFF"/>
        </w:rPr>
        <w:t>that, on the American East coast, like I told</w:t>
      </w:r>
      <w:r w:rsidR="005D25C5" w:rsidRPr="0084150A">
        <w:rPr>
          <w:shd w:val="clear" w:color="auto" w:fill="FFFFFF"/>
        </w:rPr>
        <w:t xml:space="preserve"> </w:t>
      </w:r>
    </w:p>
    <w:p w14:paraId="7797283B" w14:textId="4A80B35E" w:rsidR="00D70B2D" w:rsidRPr="0084150A" w:rsidRDefault="0092310F" w:rsidP="001420F8">
      <w:pPr>
        <w:pStyle w:val="Citationendoubleretrait"/>
        <w:rPr>
          <w:shd w:val="clear" w:color="auto" w:fill="FFFFFF"/>
        </w:rPr>
      </w:pPr>
      <w:proofErr w:type="gramStart"/>
      <w:r w:rsidRPr="0084150A">
        <w:rPr>
          <w:shd w:val="clear" w:color="auto" w:fill="FFFFFF"/>
        </w:rPr>
        <w:t>you</w:t>
      </w:r>
      <w:proofErr w:type="gramEnd"/>
      <w:r w:rsidRPr="0084150A">
        <w:rPr>
          <w:shd w:val="clear" w:color="auto" w:fill="FFFFFF"/>
        </w:rPr>
        <w:t xml:space="preserve"> earlier</w:t>
      </w:r>
      <w:r w:rsidR="00CE2F27">
        <w:rPr>
          <w:shd w:val="clear" w:color="auto" w:fill="FFFFFF"/>
        </w:rPr>
        <w:t>.</w:t>
      </w:r>
      <w:r w:rsidR="005D25C5" w:rsidRPr="0084150A">
        <w:rPr>
          <w:rStyle w:val="Appelnotedebasdep"/>
        </w:rPr>
        <w:footnoteReference w:id="102"/>
      </w:r>
    </w:p>
    <w:p w14:paraId="5DEF0D18" w14:textId="72AD76AF" w:rsidR="00C44B29" w:rsidRPr="0084150A" w:rsidRDefault="00FA174C" w:rsidP="001E16C6">
      <w:pPr>
        <w:pStyle w:val="Paragraphe"/>
        <w:rPr>
          <w:shd w:val="clear" w:color="auto" w:fill="FFFFFF"/>
          <w:lang w:val="en-CA"/>
        </w:rPr>
      </w:pPr>
      <w:r>
        <w:rPr>
          <w:shd w:val="clear" w:color="auto" w:fill="FFFFFF"/>
          <w:lang w:val="en-CA"/>
        </w:rPr>
        <w:t>Coming back</w:t>
      </w:r>
      <w:r w:rsidRPr="0084150A">
        <w:rPr>
          <w:shd w:val="clear" w:color="auto" w:fill="FFFFFF"/>
          <w:lang w:val="en-CA"/>
        </w:rPr>
        <w:t xml:space="preserve"> </w:t>
      </w:r>
      <w:r w:rsidR="00B901C4" w:rsidRPr="0084150A">
        <w:rPr>
          <w:shd w:val="clear" w:color="auto" w:fill="FFFFFF"/>
          <w:lang w:val="en-CA"/>
        </w:rPr>
        <w:t xml:space="preserve">to Frédéric Racine’s previous statements, the Tribunal notes that, during his testimony before investigators, he answered several of their questions </w:t>
      </w:r>
      <w:r w:rsidR="00B901C4" w:rsidRPr="0084150A">
        <w:rPr>
          <w:shd w:val="clear" w:color="auto" w:fill="FFFFFF"/>
          <w:lang w:val="en-CA"/>
        </w:rPr>
        <w:lastRenderedPageBreak/>
        <w:t>hypothetically and sometimes evasively.</w:t>
      </w:r>
      <w:r w:rsidR="005D25C5" w:rsidRPr="0084150A">
        <w:rPr>
          <w:shd w:val="clear" w:color="auto" w:fill="FFFFFF"/>
          <w:lang w:val="en-CA"/>
        </w:rPr>
        <w:t xml:space="preserve"> </w:t>
      </w:r>
      <w:r w:rsidR="00AF5A2F" w:rsidRPr="0084150A">
        <w:rPr>
          <w:shd w:val="clear" w:color="auto" w:fill="FFFFFF"/>
          <w:lang w:val="en-CA"/>
        </w:rPr>
        <w:t xml:space="preserve">His desire to avoid </w:t>
      </w:r>
      <w:r w:rsidR="00CE2F27">
        <w:rPr>
          <w:shd w:val="clear" w:color="auto" w:fill="FFFFFF"/>
          <w:lang w:val="en-CA"/>
        </w:rPr>
        <w:t>saying the wrong thing</w:t>
      </w:r>
      <w:r w:rsidR="00AF5A2F" w:rsidRPr="0084150A">
        <w:rPr>
          <w:shd w:val="clear" w:color="auto" w:fill="FFFFFF"/>
          <w:lang w:val="en-CA"/>
        </w:rPr>
        <w:t xml:space="preserve">, such as admitting to having committed an illegal act, </w:t>
      </w:r>
      <w:r w:rsidR="002F02F8">
        <w:rPr>
          <w:shd w:val="clear" w:color="auto" w:fill="FFFFFF"/>
          <w:lang w:val="en-CA"/>
        </w:rPr>
        <w:t>was</w:t>
      </w:r>
      <w:r w:rsidR="00AF5A2F" w:rsidRPr="0084150A">
        <w:rPr>
          <w:shd w:val="clear" w:color="auto" w:fill="FFFFFF"/>
          <w:lang w:val="en-CA"/>
        </w:rPr>
        <w:t xml:space="preserve"> obvious.</w:t>
      </w:r>
      <w:r w:rsidR="005D25C5" w:rsidRPr="0084150A">
        <w:rPr>
          <w:shd w:val="clear" w:color="auto" w:fill="FFFFFF"/>
          <w:lang w:val="en-CA"/>
        </w:rPr>
        <w:t xml:space="preserve"> </w:t>
      </w:r>
    </w:p>
    <w:p w14:paraId="08DB4754" w14:textId="2F6B9407" w:rsidR="00C44B29" w:rsidRPr="0084150A" w:rsidRDefault="00DF3E00" w:rsidP="00E14B08">
      <w:pPr>
        <w:pStyle w:val="Paragraphe"/>
        <w:rPr>
          <w:shd w:val="clear" w:color="auto" w:fill="FFFFFF"/>
          <w:lang w:val="en-CA"/>
        </w:rPr>
      </w:pPr>
      <w:r w:rsidRPr="0084150A">
        <w:rPr>
          <w:shd w:val="clear" w:color="auto" w:fill="FFFFFF"/>
          <w:lang w:val="en-CA"/>
        </w:rPr>
        <w:t>Essentially, he admit</w:t>
      </w:r>
      <w:r w:rsidR="00C57972">
        <w:rPr>
          <w:shd w:val="clear" w:color="auto" w:fill="FFFFFF"/>
          <w:lang w:val="en-CA"/>
        </w:rPr>
        <w:t>ted</w:t>
      </w:r>
      <w:r w:rsidRPr="0084150A">
        <w:rPr>
          <w:shd w:val="clear" w:color="auto" w:fill="FFFFFF"/>
          <w:lang w:val="en-CA"/>
        </w:rPr>
        <w:t xml:space="preserve"> certain facts and, a bit later, he trie</w:t>
      </w:r>
      <w:r w:rsidR="00C57972">
        <w:rPr>
          <w:shd w:val="clear" w:color="auto" w:fill="FFFFFF"/>
          <w:lang w:val="en-CA"/>
        </w:rPr>
        <w:t>d</w:t>
      </w:r>
      <w:r w:rsidRPr="0084150A">
        <w:rPr>
          <w:shd w:val="clear" w:color="auto" w:fill="FFFFFF"/>
          <w:lang w:val="en-CA"/>
        </w:rPr>
        <w:t xml:space="preserve"> to mitigate, minimize, otherwise justify, legally characterize, and, in </w:t>
      </w:r>
      <w:r w:rsidR="0041133A">
        <w:rPr>
          <w:shd w:val="clear" w:color="auto" w:fill="FFFFFF"/>
          <w:lang w:val="en-CA"/>
        </w:rPr>
        <w:t>some instances</w:t>
      </w:r>
      <w:r w:rsidRPr="0084150A">
        <w:rPr>
          <w:shd w:val="clear" w:color="auto" w:fill="FFFFFF"/>
          <w:lang w:val="en-CA"/>
        </w:rPr>
        <w:t>, deny them.</w:t>
      </w:r>
    </w:p>
    <w:p w14:paraId="5F4C11FE" w14:textId="7DA3A634" w:rsidR="00C44B29" w:rsidRPr="0084150A" w:rsidRDefault="000F0236" w:rsidP="001E16C6">
      <w:pPr>
        <w:pStyle w:val="Paragraphe"/>
        <w:rPr>
          <w:shd w:val="clear" w:color="auto" w:fill="FFFFFF"/>
          <w:lang w:val="en-CA"/>
        </w:rPr>
      </w:pPr>
      <w:r w:rsidRPr="0084150A">
        <w:rPr>
          <w:shd w:val="clear" w:color="auto" w:fill="FFFFFF"/>
          <w:lang w:val="en-CA"/>
        </w:rPr>
        <w:t xml:space="preserve">His answers </w:t>
      </w:r>
      <w:r w:rsidR="00B14600">
        <w:rPr>
          <w:shd w:val="clear" w:color="auto" w:fill="FFFFFF"/>
          <w:lang w:val="en-CA"/>
        </w:rPr>
        <w:t>we</w:t>
      </w:r>
      <w:r w:rsidRPr="0084150A">
        <w:rPr>
          <w:shd w:val="clear" w:color="auto" w:fill="FFFFFF"/>
          <w:lang w:val="en-CA"/>
        </w:rPr>
        <w:t>re consistent with his belie</w:t>
      </w:r>
      <w:r w:rsidR="00B14600">
        <w:rPr>
          <w:shd w:val="clear" w:color="auto" w:fill="FFFFFF"/>
          <w:lang w:val="en-CA"/>
        </w:rPr>
        <w:t>f</w:t>
      </w:r>
      <w:r w:rsidRPr="0084150A">
        <w:rPr>
          <w:shd w:val="clear" w:color="auto" w:fill="FFFFFF"/>
          <w:lang w:val="en-CA"/>
        </w:rPr>
        <w:t xml:space="preserve"> that, ultimately, the success he had with the purchase of </w:t>
      </w:r>
      <w:r w:rsidR="00EF13B4">
        <w:rPr>
          <w:shd w:val="clear" w:color="auto" w:fill="FFFFFF"/>
          <w:lang w:val="en-CA"/>
        </w:rPr>
        <w:t xml:space="preserve">the </w:t>
      </w:r>
      <w:r w:rsidR="00EE1C73" w:rsidRPr="0084150A">
        <w:rPr>
          <w:shd w:val="clear" w:color="auto" w:fill="FFFFFF"/>
          <w:lang w:val="en-CA"/>
        </w:rPr>
        <w:t xml:space="preserve">Napec </w:t>
      </w:r>
      <w:r w:rsidR="00EF13B4">
        <w:rPr>
          <w:shd w:val="clear" w:color="auto" w:fill="FFFFFF"/>
          <w:lang w:val="en-CA"/>
        </w:rPr>
        <w:t>shares was</w:t>
      </w:r>
      <w:r w:rsidRPr="0084150A">
        <w:rPr>
          <w:shd w:val="clear" w:color="auto" w:fill="FFFFFF"/>
          <w:lang w:val="en-CA"/>
        </w:rPr>
        <w:t xml:space="preserve"> attributable to his research, knowledge, expertise, and, finally, the risk he assumed, not the information that Philippe Gauthier </w:t>
      </w:r>
      <w:r w:rsidR="00EE1C73">
        <w:rPr>
          <w:shd w:val="clear" w:color="auto" w:fill="FFFFFF"/>
          <w:lang w:val="en-CA"/>
        </w:rPr>
        <w:t>gave</w:t>
      </w:r>
      <w:r w:rsidRPr="0084150A">
        <w:rPr>
          <w:shd w:val="clear" w:color="auto" w:fill="FFFFFF"/>
          <w:lang w:val="en-CA"/>
        </w:rPr>
        <w:t xml:space="preserve"> him.</w:t>
      </w:r>
      <w:r w:rsidRPr="0084150A">
        <w:rPr>
          <w:rStyle w:val="Appelnotedebasdep"/>
          <w:shd w:val="clear" w:color="auto" w:fill="FFFFFF"/>
          <w:lang w:val="en-CA"/>
        </w:rPr>
        <w:t xml:space="preserve"> </w:t>
      </w:r>
      <w:r w:rsidRPr="0084150A">
        <w:rPr>
          <w:rStyle w:val="Appelnotedebasdep"/>
          <w:shd w:val="clear" w:color="auto" w:fill="FFFFFF"/>
          <w:lang w:val="en-CA"/>
        </w:rPr>
        <w:footnoteReference w:id="103"/>
      </w:r>
      <w:r w:rsidR="005D25C5" w:rsidRPr="0084150A">
        <w:rPr>
          <w:shd w:val="clear" w:color="auto" w:fill="FFFFFF"/>
          <w:lang w:val="en-CA"/>
        </w:rPr>
        <w:t xml:space="preserve"> </w:t>
      </w:r>
    </w:p>
    <w:p w14:paraId="045B2B1F" w14:textId="2EE08624" w:rsidR="00C44B29" w:rsidRPr="0084150A" w:rsidRDefault="000D0D1F" w:rsidP="001E16C6">
      <w:pPr>
        <w:pStyle w:val="Paragraphe"/>
        <w:rPr>
          <w:shd w:val="clear" w:color="auto" w:fill="FFFFFF"/>
          <w:lang w:val="en-CA"/>
        </w:rPr>
      </w:pPr>
      <w:r w:rsidRPr="0084150A">
        <w:rPr>
          <w:shd w:val="clear" w:color="auto" w:fill="FFFFFF"/>
          <w:lang w:val="en-CA"/>
        </w:rPr>
        <w:t xml:space="preserve">In </w:t>
      </w:r>
      <w:r w:rsidR="00EE1C73">
        <w:rPr>
          <w:shd w:val="clear" w:color="auto" w:fill="FFFFFF"/>
          <w:lang w:val="en-CA"/>
        </w:rPr>
        <w:t>fact</w:t>
      </w:r>
      <w:r w:rsidRPr="0084150A">
        <w:rPr>
          <w:shd w:val="clear" w:color="auto" w:fill="FFFFFF"/>
          <w:lang w:val="en-CA"/>
        </w:rPr>
        <w:t>, he sa</w:t>
      </w:r>
      <w:r w:rsidR="00EE1C73">
        <w:rPr>
          <w:shd w:val="clear" w:color="auto" w:fill="FFFFFF"/>
          <w:lang w:val="en-CA"/>
        </w:rPr>
        <w:t>id</w:t>
      </w:r>
      <w:r w:rsidRPr="0084150A">
        <w:rPr>
          <w:shd w:val="clear" w:color="auto" w:fill="FFFFFF"/>
          <w:lang w:val="en-CA"/>
        </w:rPr>
        <w:t xml:space="preserve"> the same thing about th</w:t>
      </w:r>
      <w:r w:rsidR="00015B91">
        <w:rPr>
          <w:shd w:val="clear" w:color="auto" w:fill="FFFFFF"/>
          <w:lang w:val="en-CA"/>
        </w:rPr>
        <w:t>at</w:t>
      </w:r>
      <w:r w:rsidRPr="0084150A">
        <w:rPr>
          <w:shd w:val="clear" w:color="auto" w:fill="FFFFFF"/>
          <w:lang w:val="en-CA"/>
        </w:rPr>
        <w:t xml:space="preserve"> part of his testimony before the Tribunal.</w:t>
      </w:r>
      <w:r w:rsidR="005D25C5" w:rsidRPr="0084150A">
        <w:rPr>
          <w:shd w:val="clear" w:color="auto" w:fill="FFFFFF"/>
          <w:lang w:val="en-CA"/>
        </w:rPr>
        <w:t xml:space="preserve"> </w:t>
      </w:r>
    </w:p>
    <w:p w14:paraId="1540D56A" w14:textId="7FE117FD" w:rsidR="008F44DD" w:rsidRPr="0084150A" w:rsidRDefault="00B4156D" w:rsidP="001E16C6">
      <w:pPr>
        <w:pStyle w:val="Paragraphe"/>
        <w:rPr>
          <w:shd w:val="clear" w:color="auto" w:fill="FFFFFF"/>
          <w:lang w:val="en-CA"/>
        </w:rPr>
      </w:pPr>
      <w:r w:rsidRPr="0084150A">
        <w:rPr>
          <w:rFonts w:cs="Arial"/>
          <w:color w:val="212529"/>
          <w:szCs w:val="24"/>
          <w:shd w:val="clear" w:color="auto" w:fill="FFFFFF"/>
          <w:lang w:val="en-CA"/>
        </w:rPr>
        <w:t xml:space="preserve">During his examination by investigators, Frédéric Racine asserted that Philippe Gauthier sent him what he </w:t>
      </w:r>
      <w:r w:rsidR="002C614E">
        <w:rPr>
          <w:rFonts w:cs="Arial"/>
          <w:color w:val="212529"/>
          <w:szCs w:val="24"/>
          <w:shd w:val="clear" w:color="auto" w:fill="FFFFFF"/>
          <w:lang w:val="en-CA"/>
        </w:rPr>
        <w:t>personally</w:t>
      </w:r>
      <w:r w:rsidR="002C614E" w:rsidRPr="0084150A">
        <w:rPr>
          <w:rFonts w:cs="Arial"/>
          <w:color w:val="212529"/>
          <w:szCs w:val="24"/>
          <w:shd w:val="clear" w:color="auto" w:fill="FFFFFF"/>
          <w:lang w:val="en-CA"/>
        </w:rPr>
        <w:t xml:space="preserve"> </w:t>
      </w:r>
      <w:r w:rsidRPr="0084150A">
        <w:rPr>
          <w:rFonts w:cs="Arial"/>
          <w:color w:val="212529"/>
          <w:szCs w:val="24"/>
          <w:shd w:val="clear" w:color="auto" w:fill="FFFFFF"/>
          <w:lang w:val="en-CA"/>
        </w:rPr>
        <w:t xml:space="preserve">characterized as a </w:t>
      </w:r>
      <w:r w:rsidR="00CD6416" w:rsidRPr="0084150A">
        <w:rPr>
          <w:rFonts w:cs="Arial"/>
          <w:color w:val="212529"/>
          <w:szCs w:val="24"/>
          <w:shd w:val="clear" w:color="auto" w:fill="FFFFFF"/>
          <w:lang w:val="en-CA"/>
        </w:rPr>
        <w:t>[</w:t>
      </w:r>
      <w:r w:rsidR="00CD6416" w:rsidRPr="0084150A">
        <w:rPr>
          <w:rFonts w:cs="Arial"/>
          <w:smallCaps/>
          <w:color w:val="212529"/>
          <w:szCs w:val="24"/>
          <w:shd w:val="clear" w:color="auto" w:fill="FFFFFF"/>
          <w:lang w:val="en-CA"/>
        </w:rPr>
        <w:t xml:space="preserve">translation] </w:t>
      </w:r>
      <w:r w:rsidRPr="0084150A">
        <w:rPr>
          <w:rFonts w:cs="Arial"/>
          <w:color w:val="212529"/>
          <w:szCs w:val="24"/>
          <w:shd w:val="clear" w:color="auto" w:fill="FFFFFF"/>
          <w:lang w:val="en-CA"/>
        </w:rPr>
        <w:t xml:space="preserve">“tip” about Napec and, more specifically, the existence of a </w:t>
      </w:r>
      <w:r w:rsidR="00CD6416" w:rsidRPr="0084150A">
        <w:rPr>
          <w:rFonts w:cs="Arial"/>
          <w:color w:val="212529"/>
          <w:szCs w:val="24"/>
          <w:shd w:val="clear" w:color="auto" w:fill="FFFFFF"/>
          <w:lang w:val="en-CA"/>
        </w:rPr>
        <w:t>[</w:t>
      </w:r>
      <w:r w:rsidR="00CD6416" w:rsidRPr="0084150A">
        <w:rPr>
          <w:rFonts w:cs="Arial"/>
          <w:smallCaps/>
          <w:color w:val="212529"/>
          <w:szCs w:val="24"/>
          <w:shd w:val="clear" w:color="auto" w:fill="FFFFFF"/>
          <w:lang w:val="en-CA"/>
        </w:rPr>
        <w:t xml:space="preserve">translation] </w:t>
      </w:r>
      <w:r w:rsidRPr="0084150A">
        <w:rPr>
          <w:rFonts w:cs="Arial"/>
          <w:color w:val="212529"/>
          <w:szCs w:val="24"/>
          <w:shd w:val="clear" w:color="auto" w:fill="FFFFFF"/>
          <w:lang w:val="en-CA"/>
        </w:rPr>
        <w:t>“deal”,</w:t>
      </w:r>
      <w:r w:rsidRPr="0084150A">
        <w:rPr>
          <w:rStyle w:val="Appelnotedebasdep"/>
          <w:rFonts w:cs="Arial"/>
          <w:color w:val="212529"/>
          <w:szCs w:val="24"/>
          <w:shd w:val="clear" w:color="auto" w:fill="FFFFFF"/>
          <w:lang w:val="en-CA"/>
        </w:rPr>
        <w:footnoteReference w:id="104"/>
      </w:r>
      <w:r w:rsidRPr="0084150A">
        <w:rPr>
          <w:rFonts w:cs="Arial"/>
          <w:color w:val="212529"/>
          <w:szCs w:val="24"/>
          <w:shd w:val="clear" w:color="auto" w:fill="FFFFFF"/>
          <w:lang w:val="en-CA"/>
        </w:rPr>
        <w:t xml:space="preserve"> that is, a transaction to </w:t>
      </w:r>
      <w:r w:rsidR="00845A1F">
        <w:rPr>
          <w:rFonts w:cs="Arial"/>
          <w:color w:val="212529"/>
          <w:szCs w:val="24"/>
          <w:shd w:val="clear" w:color="auto" w:fill="FFFFFF"/>
          <w:lang w:val="en-CA"/>
        </w:rPr>
        <w:t>buy</w:t>
      </w:r>
      <w:r w:rsidRPr="0084150A">
        <w:rPr>
          <w:rFonts w:cs="Arial"/>
          <w:color w:val="212529"/>
          <w:szCs w:val="24"/>
          <w:shd w:val="clear" w:color="auto" w:fill="FFFFFF"/>
          <w:lang w:val="en-CA"/>
        </w:rPr>
        <w:t xml:space="preserve"> or acquire it.</w:t>
      </w:r>
      <w:r w:rsidRPr="0084150A">
        <w:rPr>
          <w:rStyle w:val="Appelnotedebasdep"/>
          <w:rFonts w:cs="Arial"/>
          <w:color w:val="212529"/>
          <w:szCs w:val="24"/>
          <w:shd w:val="clear" w:color="auto" w:fill="FFFFFF"/>
          <w:lang w:val="en-CA"/>
        </w:rPr>
        <w:footnoteReference w:id="105"/>
      </w:r>
      <w:r w:rsidR="00E117F1" w:rsidRPr="0084150A">
        <w:rPr>
          <w:rFonts w:cs="Arial"/>
          <w:color w:val="212529"/>
          <w:szCs w:val="24"/>
          <w:shd w:val="clear" w:color="auto" w:fill="FFFFFF"/>
          <w:lang w:val="en-CA"/>
        </w:rPr>
        <w:t xml:space="preserve"> </w:t>
      </w:r>
      <w:r w:rsidR="00CD6416" w:rsidRPr="0084150A">
        <w:rPr>
          <w:rFonts w:cs="Arial"/>
          <w:szCs w:val="24"/>
          <w:shd w:val="clear" w:color="auto" w:fill="FFFFFF"/>
          <w:lang w:val="en-CA"/>
        </w:rPr>
        <w:t>That information was allegedly disclosed to him during a lunch.</w:t>
      </w:r>
      <w:r w:rsidR="00CD6416" w:rsidRPr="0084150A">
        <w:rPr>
          <w:rStyle w:val="Appelnotedebasdep"/>
          <w:rFonts w:cs="Arial"/>
          <w:color w:val="212529"/>
          <w:szCs w:val="24"/>
          <w:shd w:val="clear" w:color="auto" w:fill="FFFFFF"/>
          <w:lang w:val="en-CA"/>
        </w:rPr>
        <w:footnoteReference w:id="106"/>
      </w:r>
      <w:r w:rsidR="00435C40" w:rsidRPr="0084150A">
        <w:rPr>
          <w:lang w:val="en-CA"/>
        </w:rPr>
        <w:t xml:space="preserve"> </w:t>
      </w:r>
      <w:r w:rsidR="00C71153" w:rsidRPr="0084150A">
        <w:rPr>
          <w:rFonts w:cs="Arial"/>
          <w:color w:val="212529"/>
          <w:szCs w:val="24"/>
          <w:shd w:val="clear" w:color="auto" w:fill="FFFFFF"/>
          <w:lang w:val="en-CA"/>
        </w:rPr>
        <w:t xml:space="preserve">Frédéric Racine even told investigators that </w:t>
      </w:r>
      <w:r w:rsidR="005A5C29" w:rsidRPr="0084150A">
        <w:rPr>
          <w:rFonts w:cs="Arial"/>
          <w:color w:val="212529"/>
          <w:szCs w:val="24"/>
          <w:shd w:val="clear" w:color="auto" w:fill="FFFFFF"/>
          <w:lang w:val="en-CA"/>
        </w:rPr>
        <w:t>[</w:t>
      </w:r>
      <w:r w:rsidR="005A5C29" w:rsidRPr="0084150A">
        <w:rPr>
          <w:rFonts w:cs="Arial"/>
          <w:smallCaps/>
          <w:color w:val="212529"/>
          <w:szCs w:val="24"/>
          <w:shd w:val="clear" w:color="auto" w:fill="FFFFFF"/>
          <w:lang w:val="en-CA"/>
        </w:rPr>
        <w:t xml:space="preserve">translation] </w:t>
      </w:r>
      <w:r w:rsidR="00C71153" w:rsidRPr="0084150A">
        <w:rPr>
          <w:rFonts w:cs="Arial"/>
          <w:color w:val="212529"/>
          <w:szCs w:val="24"/>
          <w:shd w:val="clear" w:color="auto" w:fill="FFFFFF"/>
          <w:lang w:val="en-CA"/>
        </w:rPr>
        <w:t xml:space="preserve">“someone can </w:t>
      </w:r>
      <w:r w:rsidR="009F08A7">
        <w:rPr>
          <w:rFonts w:cs="Arial"/>
          <w:color w:val="212529"/>
          <w:szCs w:val="24"/>
          <w:shd w:val="clear" w:color="auto" w:fill="FFFFFF"/>
          <w:lang w:val="en-CA"/>
        </w:rPr>
        <w:t>claim</w:t>
      </w:r>
      <w:r w:rsidR="00C71153" w:rsidRPr="0084150A">
        <w:rPr>
          <w:rFonts w:cs="Arial"/>
          <w:color w:val="212529"/>
          <w:szCs w:val="24"/>
          <w:shd w:val="clear" w:color="auto" w:fill="FFFFFF"/>
          <w:lang w:val="en-CA"/>
        </w:rPr>
        <w:t>, yes, because in hindsight, it was insider information”.</w:t>
      </w:r>
      <w:r w:rsidR="005D25C5" w:rsidRPr="0084150A">
        <w:rPr>
          <w:rStyle w:val="Appelnotedebasdep"/>
          <w:rFonts w:cs="Arial"/>
          <w:color w:val="212529"/>
          <w:szCs w:val="24"/>
          <w:shd w:val="clear" w:color="auto" w:fill="FFFFFF"/>
          <w:lang w:val="en-CA"/>
        </w:rPr>
        <w:footnoteReference w:id="107"/>
      </w:r>
    </w:p>
    <w:p w14:paraId="04E33CB6" w14:textId="599CF9E8" w:rsidR="008F44DD" w:rsidRPr="0084150A" w:rsidRDefault="005D25C5" w:rsidP="001E16C6">
      <w:pPr>
        <w:pStyle w:val="Paragraphe"/>
        <w:rPr>
          <w:shd w:val="clear" w:color="auto" w:fill="FFFFFF"/>
          <w:lang w:val="en-CA"/>
        </w:rPr>
      </w:pPr>
      <w:r w:rsidRPr="0084150A">
        <w:rPr>
          <w:rFonts w:cs="Arial"/>
          <w:color w:val="212529"/>
          <w:szCs w:val="24"/>
          <w:shd w:val="clear" w:color="auto" w:fill="FFFFFF"/>
          <w:lang w:val="en-CA"/>
        </w:rPr>
        <w:t xml:space="preserve"> </w:t>
      </w:r>
      <w:r w:rsidR="001613F9" w:rsidRPr="0084150A">
        <w:rPr>
          <w:rFonts w:cs="Arial"/>
          <w:color w:val="212529"/>
          <w:szCs w:val="24"/>
          <w:shd w:val="clear" w:color="auto" w:fill="FFFFFF"/>
          <w:lang w:val="en-CA"/>
        </w:rPr>
        <w:t xml:space="preserve">He tried to minimize the value of the information received by </w:t>
      </w:r>
      <w:r w:rsidR="004F4ACB">
        <w:rPr>
          <w:rFonts w:cs="Arial"/>
          <w:color w:val="212529"/>
          <w:szCs w:val="24"/>
          <w:shd w:val="clear" w:color="auto" w:fill="FFFFFF"/>
          <w:lang w:val="en-CA"/>
        </w:rPr>
        <w:t>claiming</w:t>
      </w:r>
      <w:r w:rsidR="001613F9" w:rsidRPr="0084150A">
        <w:rPr>
          <w:rFonts w:cs="Arial"/>
          <w:color w:val="212529"/>
          <w:szCs w:val="24"/>
          <w:shd w:val="clear" w:color="auto" w:fill="FFFFFF"/>
          <w:lang w:val="en-CA"/>
        </w:rPr>
        <w:t xml:space="preserve"> that he did not know the exact </w:t>
      </w:r>
      <w:r w:rsidR="00F03A7E">
        <w:rPr>
          <w:rFonts w:cs="Arial"/>
          <w:color w:val="212529"/>
          <w:szCs w:val="24"/>
          <w:shd w:val="clear" w:color="auto" w:fill="FFFFFF"/>
          <w:lang w:val="en-CA"/>
        </w:rPr>
        <w:t xml:space="preserve">closing </w:t>
      </w:r>
      <w:r w:rsidR="001613F9" w:rsidRPr="0084150A">
        <w:rPr>
          <w:rFonts w:cs="Arial"/>
          <w:color w:val="212529"/>
          <w:szCs w:val="24"/>
          <w:shd w:val="clear" w:color="auto" w:fill="FFFFFF"/>
          <w:lang w:val="en-CA"/>
        </w:rPr>
        <w:t xml:space="preserve">date of the transaction even though Philippe Gauthier probably told him that it </w:t>
      </w:r>
      <w:r w:rsidR="00F03A7E">
        <w:rPr>
          <w:rFonts w:cs="Arial"/>
          <w:color w:val="212529"/>
          <w:szCs w:val="24"/>
          <w:shd w:val="clear" w:color="auto" w:fill="FFFFFF"/>
          <w:lang w:val="en-CA"/>
        </w:rPr>
        <w:t>should</w:t>
      </w:r>
      <w:r w:rsidR="001613F9" w:rsidRPr="0084150A">
        <w:rPr>
          <w:rFonts w:cs="Arial"/>
          <w:color w:val="212529"/>
          <w:szCs w:val="24"/>
          <w:shd w:val="clear" w:color="auto" w:fill="FFFFFF"/>
          <w:lang w:val="en-CA"/>
        </w:rPr>
        <w:t xml:space="preserve"> be finalized </w:t>
      </w:r>
      <w:proofErr w:type="gramStart"/>
      <w:r w:rsidR="001613F9" w:rsidRPr="0084150A">
        <w:rPr>
          <w:rFonts w:cs="Arial"/>
          <w:color w:val="212529"/>
          <w:szCs w:val="24"/>
          <w:shd w:val="clear" w:color="auto" w:fill="FFFFFF"/>
          <w:lang w:val="en-CA"/>
        </w:rPr>
        <w:t>in the near future</w:t>
      </w:r>
      <w:proofErr w:type="gramEnd"/>
      <w:r w:rsidR="001613F9" w:rsidRPr="0084150A">
        <w:rPr>
          <w:rFonts w:cs="Arial"/>
          <w:color w:val="212529"/>
          <w:szCs w:val="24"/>
          <w:shd w:val="clear" w:color="auto" w:fill="FFFFFF"/>
          <w:lang w:val="en-CA"/>
        </w:rPr>
        <w:t>.</w:t>
      </w:r>
      <w:r w:rsidR="001613F9" w:rsidRPr="0084150A">
        <w:rPr>
          <w:rStyle w:val="Appelnotedebasdep"/>
          <w:rFonts w:cs="Arial"/>
          <w:color w:val="212529"/>
          <w:szCs w:val="24"/>
          <w:shd w:val="clear" w:color="auto" w:fill="FFFFFF"/>
          <w:lang w:val="en-CA"/>
        </w:rPr>
        <w:footnoteReference w:id="108"/>
      </w:r>
      <w:r w:rsidRPr="0084150A">
        <w:rPr>
          <w:rFonts w:cs="Arial"/>
          <w:color w:val="212529"/>
          <w:szCs w:val="24"/>
          <w:shd w:val="clear" w:color="auto" w:fill="FFFFFF"/>
          <w:lang w:val="en-CA"/>
        </w:rPr>
        <w:t xml:space="preserve"> </w:t>
      </w:r>
      <w:r w:rsidR="00934A64" w:rsidRPr="0084150A">
        <w:rPr>
          <w:rFonts w:cs="Arial"/>
          <w:szCs w:val="24"/>
          <w:shd w:val="clear" w:color="auto" w:fill="FFFFFF"/>
          <w:lang w:val="en-CA"/>
        </w:rPr>
        <w:t>He also added that he was not aware of the share purchase price.</w:t>
      </w:r>
      <w:r w:rsidR="00934A64" w:rsidRPr="0084150A">
        <w:rPr>
          <w:rStyle w:val="Appelnotedebasdep"/>
          <w:rFonts w:cs="Arial"/>
          <w:color w:val="212529"/>
          <w:szCs w:val="24"/>
          <w:shd w:val="clear" w:color="auto" w:fill="FFFFFF"/>
          <w:lang w:val="en-CA"/>
        </w:rPr>
        <w:footnoteReference w:id="109"/>
      </w:r>
    </w:p>
    <w:p w14:paraId="1C9CC91E" w14:textId="0019611B" w:rsidR="008F44DD" w:rsidRPr="0084150A" w:rsidRDefault="007A16E7" w:rsidP="001E16C6">
      <w:pPr>
        <w:pStyle w:val="Paragraphe"/>
        <w:rPr>
          <w:rFonts w:cs="Arial"/>
          <w:color w:val="212529"/>
          <w:szCs w:val="24"/>
          <w:shd w:val="clear" w:color="auto" w:fill="FFFFFF"/>
          <w:lang w:val="en-CA"/>
        </w:rPr>
      </w:pPr>
      <w:r w:rsidRPr="0084150A">
        <w:rPr>
          <w:rFonts w:cs="Arial"/>
          <w:color w:val="212529"/>
          <w:szCs w:val="24"/>
          <w:shd w:val="clear" w:color="auto" w:fill="FFFFFF"/>
          <w:lang w:val="en-CA"/>
        </w:rPr>
        <w:t xml:space="preserve">Based on the answers he gave </w:t>
      </w:r>
      <w:proofErr w:type="gramStart"/>
      <w:r w:rsidRPr="0084150A">
        <w:rPr>
          <w:rFonts w:cs="Arial"/>
          <w:color w:val="212529"/>
          <w:szCs w:val="24"/>
          <w:shd w:val="clear" w:color="auto" w:fill="FFFFFF"/>
          <w:lang w:val="en-CA"/>
        </w:rPr>
        <w:t>investigators,</w:t>
      </w:r>
      <w:proofErr w:type="gramEnd"/>
      <w:r w:rsidRPr="0084150A">
        <w:rPr>
          <w:rFonts w:cs="Arial"/>
          <w:color w:val="212529"/>
          <w:szCs w:val="24"/>
          <w:shd w:val="clear" w:color="auto" w:fill="FFFFFF"/>
          <w:lang w:val="en-CA"/>
        </w:rPr>
        <w:t xml:space="preserve"> the Tribunal understands that Frédéric Racine knew about the prohibition </w:t>
      </w:r>
      <w:r w:rsidR="00F03A7E">
        <w:rPr>
          <w:rFonts w:cs="Arial"/>
          <w:color w:val="212529"/>
          <w:szCs w:val="24"/>
          <w:shd w:val="clear" w:color="auto" w:fill="FFFFFF"/>
          <w:lang w:val="en-CA"/>
        </w:rPr>
        <w:t>on trading</w:t>
      </w:r>
      <w:r w:rsidRPr="0084150A">
        <w:rPr>
          <w:rFonts w:cs="Arial"/>
          <w:color w:val="212529"/>
          <w:szCs w:val="24"/>
          <w:shd w:val="clear" w:color="auto" w:fill="FFFFFF"/>
          <w:lang w:val="en-CA"/>
        </w:rPr>
        <w:t xml:space="preserve"> in securities while having privileged information.</w:t>
      </w:r>
      <w:r w:rsidR="005D25C5" w:rsidRPr="0084150A">
        <w:rPr>
          <w:rFonts w:cs="Arial"/>
          <w:color w:val="212529"/>
          <w:szCs w:val="24"/>
          <w:shd w:val="clear" w:color="auto" w:fill="FFFFFF"/>
          <w:lang w:val="en-CA"/>
        </w:rPr>
        <w:t xml:space="preserve"> </w:t>
      </w:r>
      <w:r w:rsidR="00FE69CC" w:rsidRPr="0084150A">
        <w:rPr>
          <w:rFonts w:cs="Arial"/>
          <w:color w:val="212529"/>
          <w:szCs w:val="24"/>
          <w:shd w:val="clear" w:color="auto" w:fill="FFFFFF"/>
          <w:lang w:val="en-CA"/>
        </w:rPr>
        <w:t>In fact, Frédéric Racine confirmed that this was the reason why he did not seek to question Philippe Gauthier further.</w:t>
      </w:r>
      <w:r w:rsidR="00FE69CC" w:rsidRPr="0084150A">
        <w:rPr>
          <w:rStyle w:val="Appelnotedebasdep"/>
          <w:rFonts w:cs="Arial"/>
          <w:color w:val="212529"/>
          <w:szCs w:val="24"/>
          <w:shd w:val="clear" w:color="auto" w:fill="FFFFFF"/>
          <w:lang w:val="en-CA"/>
        </w:rPr>
        <w:footnoteReference w:id="110"/>
      </w:r>
      <w:r w:rsidR="005D25C5" w:rsidRPr="0084150A">
        <w:rPr>
          <w:rFonts w:cs="Arial"/>
          <w:color w:val="212529"/>
          <w:szCs w:val="24"/>
          <w:shd w:val="clear" w:color="auto" w:fill="FFFFFF"/>
          <w:lang w:val="en-CA"/>
        </w:rPr>
        <w:t xml:space="preserve"> </w:t>
      </w:r>
    </w:p>
    <w:p w14:paraId="0E2A8DBB" w14:textId="2B317F8E" w:rsidR="0024235C" w:rsidRPr="0084150A" w:rsidRDefault="00783041" w:rsidP="001E16C6">
      <w:pPr>
        <w:pStyle w:val="Paragraphe"/>
        <w:rPr>
          <w:lang w:val="en-CA"/>
        </w:rPr>
      </w:pPr>
      <w:r w:rsidRPr="0084150A">
        <w:rPr>
          <w:rFonts w:cs="Arial"/>
          <w:color w:val="212529"/>
          <w:szCs w:val="24"/>
          <w:shd w:val="clear" w:color="auto" w:fill="FFFFFF"/>
          <w:lang w:val="en-CA"/>
        </w:rPr>
        <w:t xml:space="preserve">The Tribunal understands that, according to this testimony, Philippe Gauthier essentially told him about the </w:t>
      </w:r>
      <w:r w:rsidR="004A288B">
        <w:rPr>
          <w:rFonts w:cs="Arial"/>
          <w:color w:val="212529"/>
          <w:szCs w:val="24"/>
          <w:shd w:val="clear" w:color="auto" w:fill="FFFFFF"/>
          <w:lang w:val="en-CA"/>
        </w:rPr>
        <w:t>T</w:t>
      </w:r>
      <w:r w:rsidRPr="0084150A">
        <w:rPr>
          <w:rFonts w:cs="Arial"/>
          <w:color w:val="212529"/>
          <w:szCs w:val="24"/>
          <w:shd w:val="clear" w:color="auto" w:fill="FFFFFF"/>
          <w:lang w:val="en-CA"/>
        </w:rPr>
        <w:t xml:space="preserve">ransaction during their lunch of November 7, 2017, which the </w:t>
      </w:r>
      <w:r w:rsidR="00F9499F">
        <w:rPr>
          <w:rFonts w:cs="Arial"/>
          <w:color w:val="212529"/>
          <w:szCs w:val="24"/>
          <w:shd w:val="clear" w:color="auto" w:fill="FFFFFF"/>
          <w:lang w:val="en-CA"/>
        </w:rPr>
        <w:t xml:space="preserve">Tribunal </w:t>
      </w:r>
      <w:r w:rsidRPr="0084150A">
        <w:rPr>
          <w:rFonts w:cs="Arial"/>
          <w:color w:val="212529"/>
          <w:szCs w:val="24"/>
          <w:shd w:val="clear" w:color="auto" w:fill="FFFFFF"/>
          <w:lang w:val="en-CA"/>
        </w:rPr>
        <w:t xml:space="preserve">has already </w:t>
      </w:r>
      <w:r w:rsidR="00975DAD">
        <w:rPr>
          <w:rFonts w:cs="Arial"/>
          <w:color w:val="212529"/>
          <w:szCs w:val="24"/>
          <w:shd w:val="clear" w:color="auto" w:fill="FFFFFF"/>
          <w:lang w:val="en-CA"/>
        </w:rPr>
        <w:t>characterized</w:t>
      </w:r>
      <w:r w:rsidRPr="0084150A">
        <w:rPr>
          <w:rFonts w:cs="Arial"/>
          <w:color w:val="212529"/>
          <w:szCs w:val="24"/>
          <w:shd w:val="clear" w:color="auto" w:fill="FFFFFF"/>
          <w:lang w:val="en-CA"/>
        </w:rPr>
        <w:t xml:space="preserve"> as privileged information.</w:t>
      </w:r>
      <w:r w:rsidR="008C2149" w:rsidRPr="0084150A">
        <w:rPr>
          <w:rFonts w:cs="Arial"/>
          <w:color w:val="212529"/>
          <w:szCs w:val="24"/>
          <w:shd w:val="clear" w:color="auto" w:fill="FFFFFF"/>
          <w:lang w:val="en-CA"/>
        </w:rPr>
        <w:t xml:space="preserve"> </w:t>
      </w:r>
      <w:r w:rsidR="0067318C" w:rsidRPr="0084150A">
        <w:rPr>
          <w:rFonts w:cs="Arial"/>
          <w:color w:val="212529"/>
          <w:szCs w:val="24"/>
          <w:shd w:val="clear" w:color="auto" w:fill="FFFFFF"/>
          <w:lang w:val="en-CA"/>
        </w:rPr>
        <w:t>The Tribunal recalls that, immediately after that lunch, Frédéric Racine quickly purchased shares of Napec for the first time.</w:t>
      </w:r>
      <w:r w:rsidR="008C2149" w:rsidRPr="0084150A">
        <w:rPr>
          <w:rFonts w:cs="Arial"/>
          <w:color w:val="212529"/>
          <w:szCs w:val="24"/>
          <w:shd w:val="clear" w:color="auto" w:fill="FFFFFF"/>
          <w:lang w:val="en-CA"/>
        </w:rPr>
        <w:t xml:space="preserve"> </w:t>
      </w:r>
    </w:p>
    <w:p w14:paraId="1FBEC390" w14:textId="7EC0A9B0" w:rsidR="008F44DD" w:rsidRPr="0084150A" w:rsidRDefault="001000D5" w:rsidP="001E16C6">
      <w:pPr>
        <w:pStyle w:val="Paragraphe"/>
        <w:rPr>
          <w:lang w:val="en-CA"/>
        </w:rPr>
      </w:pPr>
      <w:r w:rsidRPr="0084150A">
        <w:rPr>
          <w:shd w:val="clear" w:color="auto" w:fill="FFFFFF"/>
          <w:lang w:val="en-CA"/>
        </w:rPr>
        <w:t xml:space="preserve">Moreover, in the Tribunal’s view, </w:t>
      </w:r>
      <w:proofErr w:type="gramStart"/>
      <w:r w:rsidRPr="0084150A">
        <w:rPr>
          <w:shd w:val="clear" w:color="auto" w:fill="FFFFFF"/>
          <w:lang w:val="en-CA"/>
        </w:rPr>
        <w:t>in light of</w:t>
      </w:r>
      <w:proofErr w:type="gramEnd"/>
      <w:r w:rsidRPr="0084150A">
        <w:rPr>
          <w:shd w:val="clear" w:color="auto" w:fill="FFFFFF"/>
          <w:lang w:val="en-CA"/>
        </w:rPr>
        <w:t xml:space="preserve"> the answers provided by Frédéric Racine during his examination by investigators, Philippe Gauthier not only told him about the existence of the </w:t>
      </w:r>
      <w:r w:rsidR="00CC3DD1">
        <w:rPr>
          <w:shd w:val="clear" w:color="auto" w:fill="FFFFFF"/>
          <w:lang w:val="en-CA"/>
        </w:rPr>
        <w:t>T</w:t>
      </w:r>
      <w:r w:rsidRPr="0084150A">
        <w:rPr>
          <w:shd w:val="clear" w:color="auto" w:fill="FFFFFF"/>
          <w:lang w:val="en-CA"/>
        </w:rPr>
        <w:t>ransaction but also recommended to him that he purchase shares of Napec.</w:t>
      </w:r>
      <w:r w:rsidR="005D25C5" w:rsidRPr="0084150A">
        <w:rPr>
          <w:shd w:val="clear" w:color="auto" w:fill="FFFFFF"/>
          <w:lang w:val="en-CA"/>
        </w:rPr>
        <w:t xml:space="preserve"> </w:t>
      </w:r>
    </w:p>
    <w:p w14:paraId="78A34BA9" w14:textId="02F045C1" w:rsidR="00A41AD1" w:rsidRPr="0084150A" w:rsidRDefault="00B905B3" w:rsidP="001E16C6">
      <w:pPr>
        <w:pStyle w:val="Paragraphe"/>
        <w:rPr>
          <w:lang w:val="en-CA"/>
        </w:rPr>
      </w:pPr>
      <w:r w:rsidRPr="0084150A">
        <w:rPr>
          <w:lang w:val="en-CA"/>
        </w:rPr>
        <w:lastRenderedPageBreak/>
        <w:t xml:space="preserve">In addition, the Tribunal </w:t>
      </w:r>
      <w:r w:rsidR="00CC3DD1">
        <w:rPr>
          <w:lang w:val="en-CA"/>
        </w:rPr>
        <w:t>notes</w:t>
      </w:r>
      <w:r w:rsidR="00CC3DD1" w:rsidRPr="0084150A">
        <w:rPr>
          <w:lang w:val="en-CA"/>
        </w:rPr>
        <w:t xml:space="preserve"> </w:t>
      </w:r>
      <w:r w:rsidRPr="0084150A">
        <w:rPr>
          <w:lang w:val="en-CA"/>
        </w:rPr>
        <w:t>that, during his examination by investigators, Frédéric Racine never invoked the possibility that he discussed the research his father conducted on Napec with him.</w:t>
      </w:r>
      <w:r w:rsidR="005D25C5" w:rsidRPr="0084150A">
        <w:rPr>
          <w:lang w:val="en-CA"/>
        </w:rPr>
        <w:t xml:space="preserve"> </w:t>
      </w:r>
      <w:r w:rsidR="00D5161A" w:rsidRPr="0084150A">
        <w:rPr>
          <w:lang w:val="en-CA"/>
        </w:rPr>
        <w:t xml:space="preserve">He also did not invoke the possibility that he discussed Napec with other parties, for example, during the event of October 27, 2017, </w:t>
      </w:r>
      <w:r w:rsidR="00264664">
        <w:rPr>
          <w:lang w:val="en-CA"/>
        </w:rPr>
        <w:t>celebrat</w:t>
      </w:r>
      <w:r w:rsidR="00CC3DD1">
        <w:rPr>
          <w:lang w:val="en-CA"/>
        </w:rPr>
        <w:t>ing</w:t>
      </w:r>
      <w:r w:rsidR="00D5161A" w:rsidRPr="0084150A">
        <w:rPr>
          <w:lang w:val="en-CA"/>
        </w:rPr>
        <w:t xml:space="preserve"> Philippe Gauthier’s birthday</w:t>
      </w:r>
      <w:r w:rsidR="00CC3DD1">
        <w:rPr>
          <w:lang w:val="en-CA"/>
        </w:rPr>
        <w:t>,</w:t>
      </w:r>
      <w:r w:rsidR="00D5161A" w:rsidRPr="0084150A">
        <w:rPr>
          <w:lang w:val="en-CA"/>
        </w:rPr>
        <w:t xml:space="preserve"> to which he referred during his testimony before the Tribunal.</w:t>
      </w:r>
      <w:r w:rsidR="005D25C5" w:rsidRPr="0084150A">
        <w:rPr>
          <w:lang w:val="en-CA"/>
        </w:rPr>
        <w:t xml:space="preserve"> </w:t>
      </w:r>
      <w:r w:rsidR="006A6128" w:rsidRPr="0084150A">
        <w:rPr>
          <w:lang w:val="en-CA"/>
        </w:rPr>
        <w:t xml:space="preserve">In fact, during his examination by investigators, he </w:t>
      </w:r>
      <w:r w:rsidR="00DF4C2A">
        <w:rPr>
          <w:lang w:val="en-CA"/>
        </w:rPr>
        <w:t>claimed</w:t>
      </w:r>
      <w:r w:rsidR="006A6128" w:rsidRPr="0084150A">
        <w:rPr>
          <w:lang w:val="en-CA"/>
        </w:rPr>
        <w:t xml:space="preserve"> that he was not even certain that he knew Napec existed before Philippe Gauthier spoke to him about it.</w:t>
      </w:r>
      <w:r w:rsidR="006A6128" w:rsidRPr="0084150A">
        <w:rPr>
          <w:rStyle w:val="Appelnotedebasdep"/>
          <w:rFonts w:cs="Arial"/>
          <w:szCs w:val="24"/>
          <w:lang w:val="en-CA"/>
        </w:rPr>
        <w:footnoteReference w:id="111"/>
      </w:r>
      <w:r w:rsidR="00B500E8" w:rsidRPr="0084150A">
        <w:rPr>
          <w:lang w:val="en-CA"/>
        </w:rPr>
        <w:t xml:space="preserve"> </w:t>
      </w:r>
      <w:r w:rsidR="00FA6564" w:rsidRPr="0084150A">
        <w:rPr>
          <w:lang w:val="en-CA"/>
        </w:rPr>
        <w:t xml:space="preserve">This also confirms that he could not have conducted his research on </w:t>
      </w:r>
      <w:r w:rsidR="002A51B9">
        <w:rPr>
          <w:lang w:val="en-CA"/>
        </w:rPr>
        <w:t xml:space="preserve">the </w:t>
      </w:r>
      <w:r w:rsidR="00CC3DD1" w:rsidRPr="0084150A">
        <w:rPr>
          <w:lang w:val="en-CA"/>
        </w:rPr>
        <w:t xml:space="preserve">Napec </w:t>
      </w:r>
      <w:r w:rsidR="002A51B9">
        <w:rPr>
          <w:lang w:val="en-CA"/>
        </w:rPr>
        <w:t xml:space="preserve">security </w:t>
      </w:r>
      <w:r w:rsidR="00FA6564" w:rsidRPr="0084150A">
        <w:rPr>
          <w:lang w:val="en-CA"/>
        </w:rPr>
        <w:t>before his lunch with Philippe Gauthier on November 7, 2017.</w:t>
      </w:r>
    </w:p>
    <w:p w14:paraId="6D3FDE39" w14:textId="132FC0CD" w:rsidR="00A41AD1" w:rsidRPr="0084150A" w:rsidRDefault="006E291E" w:rsidP="001E16C6">
      <w:pPr>
        <w:pStyle w:val="Paragraphe"/>
        <w:rPr>
          <w:lang w:val="en-CA"/>
        </w:rPr>
      </w:pPr>
      <w:r w:rsidRPr="0084150A">
        <w:rPr>
          <w:lang w:val="en-CA"/>
        </w:rPr>
        <w:t>Moreover, contrary to his testimony before the Tribunal, Frédéric Racine admitted several times to investigators that it was possible that he recommended to his father that he purchase shares of Napec as a result of the information provided by Philippe Gauthier.</w:t>
      </w:r>
      <w:r w:rsidRPr="0084150A">
        <w:rPr>
          <w:rStyle w:val="Appelnotedebasdep"/>
          <w:lang w:val="en-CA"/>
        </w:rPr>
        <w:footnoteReference w:id="112"/>
      </w:r>
      <w:r w:rsidR="005D25C5" w:rsidRPr="0084150A">
        <w:rPr>
          <w:lang w:val="en-CA"/>
        </w:rPr>
        <w:t xml:space="preserve"> </w:t>
      </w:r>
      <w:r w:rsidR="003665A2" w:rsidRPr="0084150A">
        <w:rPr>
          <w:lang w:val="en-CA"/>
        </w:rPr>
        <w:t xml:space="preserve">In </w:t>
      </w:r>
      <w:r w:rsidR="00916913">
        <w:rPr>
          <w:lang w:val="en-CA"/>
        </w:rPr>
        <w:t>fact</w:t>
      </w:r>
      <w:r w:rsidR="003665A2" w:rsidRPr="0084150A">
        <w:rPr>
          <w:lang w:val="en-CA"/>
        </w:rPr>
        <w:t>, as we will see later on, his father admitted during his own examination by the Authority’s investigators that he purchased Napec shares following a recommendation from his son, Frédéric Racine.</w:t>
      </w:r>
      <w:r w:rsidR="005D25C5" w:rsidRPr="0084150A">
        <w:rPr>
          <w:lang w:val="en-CA"/>
        </w:rPr>
        <w:t xml:space="preserve"> </w:t>
      </w:r>
    </w:p>
    <w:p w14:paraId="1592DEA3" w14:textId="0DB83C10" w:rsidR="00FD5B65" w:rsidRPr="0084150A" w:rsidRDefault="00D47A67" w:rsidP="001E16C6">
      <w:pPr>
        <w:pStyle w:val="Paragraphe"/>
        <w:rPr>
          <w:lang w:val="en-CA"/>
        </w:rPr>
      </w:pPr>
      <w:r w:rsidRPr="0084150A">
        <w:rPr>
          <w:lang w:val="en-CA"/>
        </w:rPr>
        <w:t xml:space="preserve">The Tribunal also </w:t>
      </w:r>
      <w:r w:rsidR="00916913">
        <w:rPr>
          <w:lang w:val="en-CA"/>
        </w:rPr>
        <w:t>notes</w:t>
      </w:r>
      <w:r w:rsidR="00916913" w:rsidRPr="0084150A">
        <w:rPr>
          <w:lang w:val="en-CA"/>
        </w:rPr>
        <w:t xml:space="preserve"> </w:t>
      </w:r>
      <w:r w:rsidRPr="0084150A">
        <w:rPr>
          <w:lang w:val="en-CA"/>
        </w:rPr>
        <w:t>that, in response to a question from one of the Authority’s investigators, Frédéric Racine never denied that he recommended to Anne Roy-Dussault that she buy shares of Napec,</w:t>
      </w:r>
      <w:r w:rsidRPr="0084150A">
        <w:rPr>
          <w:rStyle w:val="Appelnotedebasdep"/>
          <w:rFonts w:cs="Arial"/>
          <w:szCs w:val="24"/>
          <w:lang w:val="en-CA"/>
        </w:rPr>
        <w:footnoteReference w:id="113"/>
      </w:r>
      <w:r w:rsidRPr="0084150A">
        <w:rPr>
          <w:rFonts w:cs="Arial"/>
          <w:szCs w:val="24"/>
          <w:lang w:val="en-CA"/>
        </w:rPr>
        <w:t xml:space="preserve"> even though this </w:t>
      </w:r>
      <w:r w:rsidR="00F7138B">
        <w:rPr>
          <w:rFonts w:cs="Arial"/>
          <w:szCs w:val="24"/>
          <w:lang w:val="en-CA"/>
        </w:rPr>
        <w:t>was</w:t>
      </w:r>
      <w:r w:rsidRPr="0084150A">
        <w:rPr>
          <w:rFonts w:cs="Arial"/>
          <w:szCs w:val="24"/>
          <w:lang w:val="en-CA"/>
        </w:rPr>
        <w:t xml:space="preserve"> denied before the Tribunal.</w:t>
      </w:r>
      <w:r w:rsidR="008B454C" w:rsidRPr="0084150A">
        <w:rPr>
          <w:lang w:val="en-CA"/>
        </w:rPr>
        <w:t xml:space="preserve"> </w:t>
      </w:r>
    </w:p>
    <w:p w14:paraId="221D8FE0" w14:textId="0C789CEA" w:rsidR="00793F32" w:rsidRPr="0084150A" w:rsidRDefault="00733E2F" w:rsidP="00793F32">
      <w:pPr>
        <w:pStyle w:val="Paragraphe"/>
        <w:rPr>
          <w:lang w:val="en-CA"/>
        </w:rPr>
      </w:pPr>
      <w:r w:rsidRPr="0084150A">
        <w:rPr>
          <w:lang w:val="en-CA"/>
        </w:rPr>
        <w:t>Upon reading the transcript of his examination, the Tribunal considers that Frédéric Racine’s version does, indeed, differ from the version given to the Tribunal.</w:t>
      </w:r>
      <w:r w:rsidR="005D25C5" w:rsidRPr="0084150A">
        <w:rPr>
          <w:lang w:val="en-CA"/>
        </w:rPr>
        <w:t xml:space="preserve"> </w:t>
      </w:r>
    </w:p>
    <w:p w14:paraId="6BF99B12" w14:textId="044C57B6" w:rsidR="00A444F3" w:rsidRPr="0084150A" w:rsidRDefault="005D25C5" w:rsidP="000E14FA">
      <w:pPr>
        <w:pStyle w:val="Paragraphe"/>
        <w:numPr>
          <w:ilvl w:val="0"/>
          <w:numId w:val="0"/>
        </w:numPr>
        <w:ind w:left="734"/>
        <w:rPr>
          <w:lang w:val="en-CA"/>
        </w:rPr>
      </w:pPr>
      <w:r w:rsidRPr="0084150A">
        <w:rPr>
          <w:lang w:val="en-CA"/>
        </w:rPr>
        <w:t xml:space="preserve">(2) </w:t>
      </w:r>
      <w:r w:rsidR="00062467" w:rsidRPr="005E07F3">
        <w:rPr>
          <w:u w:val="single"/>
          <w:lang w:val="en-CA"/>
        </w:rPr>
        <w:t>The circumstances in which the previous statements were made</w:t>
      </w:r>
      <w:r w:rsidRPr="0084150A">
        <w:rPr>
          <w:lang w:val="en-CA"/>
        </w:rPr>
        <w:t xml:space="preserve"> </w:t>
      </w:r>
    </w:p>
    <w:p w14:paraId="6D6B9389" w14:textId="1F643E38" w:rsidR="00B27479" w:rsidRPr="0084150A" w:rsidRDefault="007B252E" w:rsidP="001E16C6">
      <w:pPr>
        <w:pStyle w:val="Paragraphe"/>
        <w:rPr>
          <w:lang w:val="en-CA"/>
        </w:rPr>
      </w:pPr>
      <w:r w:rsidRPr="0084150A">
        <w:rPr>
          <w:lang w:val="en-CA"/>
        </w:rPr>
        <w:t xml:space="preserve">The Tribunal </w:t>
      </w:r>
      <w:r w:rsidR="00E44A84">
        <w:rPr>
          <w:lang w:val="en-CA"/>
        </w:rPr>
        <w:t>seeks</w:t>
      </w:r>
      <w:r w:rsidR="00C32F3E">
        <w:rPr>
          <w:lang w:val="en-CA"/>
        </w:rPr>
        <w:t xml:space="preserve"> to find out</w:t>
      </w:r>
      <w:r w:rsidRPr="0084150A">
        <w:rPr>
          <w:lang w:val="en-CA"/>
        </w:rPr>
        <w:t xml:space="preserve"> the circumstances in which Frédéric Racine testified before the Authority’s investigators.</w:t>
      </w:r>
    </w:p>
    <w:p w14:paraId="0B2017F7" w14:textId="470EB419" w:rsidR="00B27479" w:rsidRPr="0084150A" w:rsidRDefault="00483FEB" w:rsidP="001E16C6">
      <w:pPr>
        <w:pStyle w:val="Paragraphe"/>
        <w:rPr>
          <w:lang w:val="en-CA"/>
        </w:rPr>
      </w:pPr>
      <w:r w:rsidRPr="0084150A">
        <w:rPr>
          <w:lang w:val="en-CA"/>
        </w:rPr>
        <w:t>During his testimony before the Tribunal, he described the search of his residence as a traumatic event that caused him post-traumatic shock</w:t>
      </w:r>
      <w:r w:rsidR="005D25C5" w:rsidRPr="0084150A">
        <w:rPr>
          <w:lang w:val="en-CA"/>
        </w:rPr>
        <w:t xml:space="preserve">. </w:t>
      </w:r>
    </w:p>
    <w:p w14:paraId="694403AB" w14:textId="50023C89" w:rsidR="00B27479" w:rsidRPr="0084150A" w:rsidRDefault="00483FEB" w:rsidP="001E16C6">
      <w:pPr>
        <w:pStyle w:val="Paragraphe"/>
        <w:rPr>
          <w:lang w:val="en-CA"/>
        </w:rPr>
      </w:pPr>
      <w:r w:rsidRPr="0084150A">
        <w:rPr>
          <w:lang w:val="en-CA"/>
        </w:rPr>
        <w:t>He invoked the presence of multiple police cars and officers, who allegedly entered his home yelling</w:t>
      </w:r>
      <w:r w:rsidR="00327523">
        <w:rPr>
          <w:lang w:val="en-CA"/>
        </w:rPr>
        <w:t>, asking</w:t>
      </w:r>
      <w:r w:rsidRPr="0084150A">
        <w:rPr>
          <w:lang w:val="en-CA"/>
        </w:rPr>
        <w:t xml:space="preserve"> if there were drugs or weapons on the premises</w:t>
      </w:r>
      <w:r w:rsidR="005D25C5" w:rsidRPr="0084150A">
        <w:rPr>
          <w:lang w:val="en-CA"/>
        </w:rPr>
        <w:t xml:space="preserve">. </w:t>
      </w:r>
    </w:p>
    <w:p w14:paraId="714DA603" w14:textId="508A18F2" w:rsidR="00B27479" w:rsidRPr="0084150A" w:rsidRDefault="005D25C5" w:rsidP="001E16C6">
      <w:pPr>
        <w:pStyle w:val="Paragraphe"/>
        <w:rPr>
          <w:lang w:val="en-CA"/>
        </w:rPr>
      </w:pPr>
      <w:r w:rsidRPr="0084150A">
        <w:rPr>
          <w:lang w:val="en-CA"/>
        </w:rPr>
        <w:t> </w:t>
      </w:r>
      <w:r w:rsidR="00483FEB" w:rsidRPr="0084150A">
        <w:rPr>
          <w:lang w:val="en-CA"/>
        </w:rPr>
        <w:t xml:space="preserve">He </w:t>
      </w:r>
      <w:r w:rsidR="008E3218">
        <w:rPr>
          <w:lang w:val="en-CA"/>
        </w:rPr>
        <w:t>considers</w:t>
      </w:r>
      <w:r w:rsidR="008E3218" w:rsidRPr="0084150A">
        <w:rPr>
          <w:lang w:val="en-CA"/>
        </w:rPr>
        <w:t xml:space="preserve"> </w:t>
      </w:r>
      <w:r w:rsidR="00483FEB" w:rsidRPr="0084150A">
        <w:rPr>
          <w:lang w:val="en-CA"/>
        </w:rPr>
        <w:t>that he was the victim of violence that day</w:t>
      </w:r>
      <w:r w:rsidR="008E3218">
        <w:rPr>
          <w:lang w:val="en-CA"/>
        </w:rPr>
        <w:t>,</w:t>
      </w:r>
      <w:r w:rsidR="00483FEB" w:rsidRPr="0084150A">
        <w:rPr>
          <w:lang w:val="en-CA"/>
        </w:rPr>
        <w:t xml:space="preserve"> and that he was intimidated</w:t>
      </w:r>
      <w:r w:rsidRPr="0084150A">
        <w:rPr>
          <w:lang w:val="en-CA"/>
        </w:rPr>
        <w:t xml:space="preserve">. </w:t>
      </w:r>
    </w:p>
    <w:p w14:paraId="4AE6BAB3" w14:textId="2BFECC35" w:rsidR="00B27479" w:rsidRPr="0084150A" w:rsidRDefault="00B977A6" w:rsidP="001E16C6">
      <w:pPr>
        <w:pStyle w:val="Paragraphe"/>
        <w:rPr>
          <w:lang w:val="en-CA"/>
        </w:rPr>
      </w:pPr>
      <w:r w:rsidRPr="0084150A">
        <w:rPr>
          <w:lang w:val="en-CA"/>
        </w:rPr>
        <w:t xml:space="preserve">He said that </w:t>
      </w:r>
      <w:r w:rsidR="008E3218">
        <w:rPr>
          <w:lang w:val="en-CA"/>
        </w:rPr>
        <w:t xml:space="preserve">he </w:t>
      </w:r>
      <w:r w:rsidRPr="0084150A">
        <w:rPr>
          <w:lang w:val="en-CA"/>
        </w:rPr>
        <w:t>collaborated with the investigators because one of them allegedly said to him that he knew everything about his life. He even described being isolated on the third floor of his residence</w:t>
      </w:r>
      <w:r w:rsidR="005D25C5" w:rsidRPr="0084150A">
        <w:rPr>
          <w:lang w:val="en-CA"/>
        </w:rPr>
        <w:t xml:space="preserve">. </w:t>
      </w:r>
    </w:p>
    <w:p w14:paraId="10953760" w14:textId="31B9CC63" w:rsidR="00B27479" w:rsidRPr="0084150A" w:rsidRDefault="00B977A6" w:rsidP="001E16C6">
      <w:pPr>
        <w:pStyle w:val="Paragraphe"/>
        <w:rPr>
          <w:lang w:val="en-CA"/>
        </w:rPr>
      </w:pPr>
      <w:r w:rsidRPr="0084150A">
        <w:rPr>
          <w:lang w:val="en-CA"/>
        </w:rPr>
        <w:t xml:space="preserve">On cross-examination, he </w:t>
      </w:r>
      <w:r w:rsidR="00727DE9">
        <w:rPr>
          <w:lang w:val="en-CA"/>
        </w:rPr>
        <w:t>claimed</w:t>
      </w:r>
      <w:r w:rsidR="00160662">
        <w:rPr>
          <w:lang w:val="en-CA"/>
        </w:rPr>
        <w:t xml:space="preserve"> that</w:t>
      </w:r>
      <w:r w:rsidRPr="0084150A">
        <w:rPr>
          <w:lang w:val="en-CA"/>
        </w:rPr>
        <w:t xml:space="preserve"> </w:t>
      </w:r>
      <w:r w:rsidR="00160662">
        <w:rPr>
          <w:lang w:val="en-CA"/>
        </w:rPr>
        <w:t>his perception was</w:t>
      </w:r>
      <w:r w:rsidRPr="0084150A">
        <w:rPr>
          <w:lang w:val="en-CA"/>
        </w:rPr>
        <w:t xml:space="preserve"> </w:t>
      </w:r>
      <w:r w:rsidR="00727DE9">
        <w:rPr>
          <w:lang w:val="en-CA"/>
        </w:rPr>
        <w:t xml:space="preserve">that </w:t>
      </w:r>
      <w:r w:rsidRPr="0084150A">
        <w:rPr>
          <w:lang w:val="en-CA"/>
        </w:rPr>
        <w:t xml:space="preserve">investigators </w:t>
      </w:r>
      <w:r w:rsidR="00727DE9">
        <w:rPr>
          <w:lang w:val="en-CA"/>
        </w:rPr>
        <w:t xml:space="preserve">had </w:t>
      </w:r>
      <w:r w:rsidRPr="0084150A">
        <w:rPr>
          <w:lang w:val="en-CA"/>
        </w:rPr>
        <w:t>recommended that he submit to an examination, but he admit</w:t>
      </w:r>
      <w:r w:rsidR="005A4E23">
        <w:rPr>
          <w:lang w:val="en-CA"/>
        </w:rPr>
        <w:t>ted</w:t>
      </w:r>
      <w:r w:rsidRPr="0084150A">
        <w:rPr>
          <w:lang w:val="en-CA"/>
        </w:rPr>
        <w:t xml:space="preserve"> that he </w:t>
      </w:r>
      <w:r w:rsidR="005A4E23">
        <w:rPr>
          <w:lang w:val="en-CA"/>
        </w:rPr>
        <w:t>had been</w:t>
      </w:r>
      <w:r w:rsidRPr="0084150A">
        <w:rPr>
          <w:lang w:val="en-CA"/>
        </w:rPr>
        <w:t xml:space="preserve"> informed of his right to silence and to </w:t>
      </w:r>
      <w:r w:rsidR="00160662">
        <w:rPr>
          <w:lang w:val="en-CA"/>
        </w:rPr>
        <w:t>the presence of counsel</w:t>
      </w:r>
      <w:r w:rsidRPr="0084150A">
        <w:rPr>
          <w:lang w:val="en-CA"/>
        </w:rPr>
        <w:t xml:space="preserve">. In addition, he confirmed </w:t>
      </w:r>
      <w:r w:rsidRPr="0084150A">
        <w:rPr>
          <w:lang w:val="en-CA"/>
        </w:rPr>
        <w:lastRenderedPageBreak/>
        <w:t xml:space="preserve">that, after the examination by investigators, he contacted them to meet them again of his own </w:t>
      </w:r>
      <w:r w:rsidR="00160662">
        <w:rPr>
          <w:lang w:val="en-CA"/>
        </w:rPr>
        <w:t>volition</w:t>
      </w:r>
      <w:r w:rsidR="005D25C5" w:rsidRPr="0084150A">
        <w:rPr>
          <w:lang w:val="en-CA"/>
        </w:rPr>
        <w:t xml:space="preserve">. </w:t>
      </w:r>
    </w:p>
    <w:p w14:paraId="477A2941" w14:textId="66624F5F" w:rsidR="00B27479" w:rsidRPr="0084150A" w:rsidRDefault="00B977A6" w:rsidP="001E16C6">
      <w:pPr>
        <w:pStyle w:val="Paragraphe"/>
        <w:rPr>
          <w:lang w:val="en-CA"/>
        </w:rPr>
      </w:pPr>
      <w:r w:rsidRPr="0084150A">
        <w:rPr>
          <w:lang w:val="en-CA"/>
        </w:rPr>
        <w:t>He also confirmed that he tried to answer the investigators’ questions to the best of his knowledge</w:t>
      </w:r>
      <w:r w:rsidR="005D25C5" w:rsidRPr="0084150A">
        <w:rPr>
          <w:lang w:val="en-CA"/>
        </w:rPr>
        <w:t xml:space="preserve">. </w:t>
      </w:r>
    </w:p>
    <w:p w14:paraId="348D721D" w14:textId="688C4038" w:rsidR="00B27479" w:rsidRPr="0084150A" w:rsidRDefault="005D25C5" w:rsidP="001E16C6">
      <w:pPr>
        <w:pStyle w:val="Paragraphe"/>
        <w:rPr>
          <w:lang w:val="en-CA"/>
        </w:rPr>
      </w:pPr>
      <w:r w:rsidRPr="0084150A">
        <w:rPr>
          <w:lang w:val="en-CA"/>
        </w:rPr>
        <w:t> </w:t>
      </w:r>
      <w:r w:rsidR="00B977A6" w:rsidRPr="0084150A">
        <w:rPr>
          <w:lang w:val="en-CA"/>
        </w:rPr>
        <w:t>During the hearing, the RCMP officer present during the search testified before the Tribunal and filed his notes</w:t>
      </w:r>
      <w:r w:rsidR="00A23ECF" w:rsidRPr="0084150A">
        <w:rPr>
          <w:lang w:val="en-CA"/>
        </w:rPr>
        <w:t>.</w:t>
      </w:r>
      <w:r w:rsidRPr="0084150A">
        <w:rPr>
          <w:rStyle w:val="Appelnotedebasdep"/>
          <w:rFonts w:cs="Arial"/>
          <w:szCs w:val="24"/>
          <w:lang w:val="en-CA"/>
        </w:rPr>
        <w:footnoteReference w:id="114"/>
      </w:r>
      <w:r w:rsidRPr="0084150A">
        <w:rPr>
          <w:lang w:val="en-CA"/>
        </w:rPr>
        <w:t xml:space="preserve"> </w:t>
      </w:r>
    </w:p>
    <w:p w14:paraId="315F91A9" w14:textId="69AED696" w:rsidR="00B27479" w:rsidRPr="0084150A" w:rsidRDefault="00BE6E52" w:rsidP="001E16C6">
      <w:pPr>
        <w:pStyle w:val="Paragraphe"/>
        <w:rPr>
          <w:lang w:val="en-CA"/>
        </w:rPr>
      </w:pPr>
      <w:r w:rsidRPr="0084150A">
        <w:rPr>
          <w:lang w:val="en-CA"/>
        </w:rPr>
        <w:t xml:space="preserve">He confirmed </w:t>
      </w:r>
      <w:r w:rsidR="003A4764">
        <w:rPr>
          <w:lang w:val="en-CA"/>
        </w:rPr>
        <w:t>that he was</w:t>
      </w:r>
      <w:r w:rsidR="003A4764" w:rsidRPr="0084150A">
        <w:rPr>
          <w:lang w:val="en-CA"/>
        </w:rPr>
        <w:t xml:space="preserve"> </w:t>
      </w:r>
      <w:r w:rsidRPr="0084150A">
        <w:rPr>
          <w:lang w:val="en-CA"/>
        </w:rPr>
        <w:t xml:space="preserve">the only police officer present during the search and that a single RCMP vehicle </w:t>
      </w:r>
      <w:r w:rsidR="003A4764">
        <w:rPr>
          <w:lang w:val="en-CA"/>
        </w:rPr>
        <w:t>went</w:t>
      </w:r>
      <w:r w:rsidR="003A4764" w:rsidRPr="0084150A">
        <w:rPr>
          <w:lang w:val="en-CA"/>
        </w:rPr>
        <w:t xml:space="preserve"> </w:t>
      </w:r>
      <w:r w:rsidRPr="0084150A">
        <w:rPr>
          <w:lang w:val="en-CA"/>
        </w:rPr>
        <w:t xml:space="preserve">there. That vehicle was not identified as a police </w:t>
      </w:r>
      <w:proofErr w:type="gramStart"/>
      <w:r w:rsidRPr="0084150A">
        <w:rPr>
          <w:lang w:val="en-CA"/>
        </w:rPr>
        <w:t>vehicle</w:t>
      </w:r>
      <w:proofErr w:type="gramEnd"/>
      <w:r w:rsidRPr="0084150A">
        <w:rPr>
          <w:lang w:val="en-CA"/>
        </w:rPr>
        <w:t xml:space="preserve"> and the sirens were hidden</w:t>
      </w:r>
      <w:r w:rsidR="005D25C5" w:rsidRPr="0084150A">
        <w:rPr>
          <w:lang w:val="en-CA"/>
        </w:rPr>
        <w:t xml:space="preserve">. </w:t>
      </w:r>
    </w:p>
    <w:p w14:paraId="3A63D30B" w14:textId="04A83651" w:rsidR="00B27479" w:rsidRPr="0084150A" w:rsidRDefault="009F4978" w:rsidP="001E16C6">
      <w:pPr>
        <w:pStyle w:val="Paragraphe"/>
        <w:rPr>
          <w:lang w:val="en-CA"/>
        </w:rPr>
      </w:pPr>
      <w:r w:rsidRPr="0084150A">
        <w:rPr>
          <w:lang w:val="en-CA"/>
        </w:rPr>
        <w:t>He stated that the search started at 7:00 a.m. and that Frédéric Racine and his spouse were sleeping</w:t>
      </w:r>
      <w:r w:rsidR="005D25C5" w:rsidRPr="0084150A">
        <w:rPr>
          <w:lang w:val="en-CA"/>
        </w:rPr>
        <w:t xml:space="preserve">. </w:t>
      </w:r>
      <w:r w:rsidRPr="0084150A">
        <w:rPr>
          <w:lang w:val="en-CA"/>
        </w:rPr>
        <w:t xml:space="preserve">The police officer admitted that he yelled when he asked if there were weapons or drugs on the premises but testified that this is a standard procedure aimed at protecting the </w:t>
      </w:r>
      <w:r w:rsidR="00737BF2">
        <w:rPr>
          <w:lang w:val="en-CA"/>
        </w:rPr>
        <w:t>individuals</w:t>
      </w:r>
      <w:r w:rsidRPr="0084150A">
        <w:rPr>
          <w:lang w:val="en-CA"/>
        </w:rPr>
        <w:t xml:space="preserve"> who </w:t>
      </w:r>
      <w:r w:rsidR="003A4764">
        <w:rPr>
          <w:lang w:val="en-CA"/>
        </w:rPr>
        <w:t xml:space="preserve">will be </w:t>
      </w:r>
      <w:r w:rsidRPr="0084150A">
        <w:rPr>
          <w:lang w:val="en-CA"/>
        </w:rPr>
        <w:t>execut</w:t>
      </w:r>
      <w:r w:rsidR="003A4764">
        <w:rPr>
          <w:lang w:val="en-CA"/>
        </w:rPr>
        <w:t>ing</w:t>
      </w:r>
      <w:r w:rsidRPr="0084150A">
        <w:rPr>
          <w:lang w:val="en-CA"/>
        </w:rPr>
        <w:t xml:space="preserve"> the search warrant</w:t>
      </w:r>
      <w:r w:rsidR="005D25C5" w:rsidRPr="0084150A">
        <w:rPr>
          <w:lang w:val="en-CA"/>
        </w:rPr>
        <w:t>.</w:t>
      </w:r>
    </w:p>
    <w:p w14:paraId="22A40DE3" w14:textId="27C17C70" w:rsidR="00B27479" w:rsidRPr="0084150A" w:rsidRDefault="006227D7" w:rsidP="001E16C6">
      <w:pPr>
        <w:pStyle w:val="Paragraphe"/>
        <w:rPr>
          <w:lang w:val="en-CA"/>
        </w:rPr>
      </w:pPr>
      <w:r w:rsidRPr="0084150A">
        <w:rPr>
          <w:lang w:val="en-CA"/>
        </w:rPr>
        <w:t>The police officer confirmed that Frédéric Racine was asleep when he arrived on the premises and added that he was calm and lucid</w:t>
      </w:r>
      <w:r w:rsidR="005D25C5" w:rsidRPr="0084150A">
        <w:rPr>
          <w:lang w:val="en-CA"/>
        </w:rPr>
        <w:t xml:space="preserve">. </w:t>
      </w:r>
    </w:p>
    <w:p w14:paraId="12C07C6A" w14:textId="2DB475A0" w:rsidR="00472641" w:rsidRPr="0084150A" w:rsidRDefault="006227D7" w:rsidP="001E16C6">
      <w:pPr>
        <w:pStyle w:val="Paragraphe"/>
        <w:rPr>
          <w:lang w:val="en-CA"/>
        </w:rPr>
      </w:pPr>
      <w:r w:rsidRPr="0084150A">
        <w:rPr>
          <w:rFonts w:cs="Arial"/>
          <w:szCs w:val="24"/>
          <w:lang w:val="en-CA"/>
        </w:rPr>
        <w:t xml:space="preserve">In response to a question from investigators </w:t>
      </w:r>
      <w:r w:rsidR="009C1DFC">
        <w:rPr>
          <w:rFonts w:cs="Arial"/>
          <w:szCs w:val="24"/>
          <w:lang w:val="en-CA"/>
        </w:rPr>
        <w:t>asking him</w:t>
      </w:r>
      <w:r w:rsidRPr="0084150A">
        <w:rPr>
          <w:rFonts w:cs="Arial"/>
          <w:szCs w:val="24"/>
          <w:lang w:val="en-CA"/>
        </w:rPr>
        <w:t xml:space="preserve"> if he felt oppressed or restricted, Frédéric Racine answered, [</w:t>
      </w:r>
      <w:r w:rsidRPr="0084150A">
        <w:rPr>
          <w:rFonts w:cs="Arial"/>
          <w:smallCaps/>
          <w:szCs w:val="24"/>
          <w:lang w:val="en-CA"/>
        </w:rPr>
        <w:t>translation] “</w:t>
      </w:r>
      <w:r w:rsidRPr="0084150A">
        <w:rPr>
          <w:rFonts w:cs="Arial"/>
          <w:szCs w:val="24"/>
          <w:lang w:val="en-CA"/>
        </w:rPr>
        <w:t>I</w:t>
      </w:r>
      <w:r w:rsidR="009C1DFC">
        <w:rPr>
          <w:rFonts w:cs="Arial"/>
          <w:szCs w:val="24"/>
          <w:lang w:val="en-CA"/>
        </w:rPr>
        <w:t>t</w:t>
      </w:r>
      <w:r w:rsidRPr="0084150A">
        <w:rPr>
          <w:rFonts w:cs="Arial"/>
          <w:szCs w:val="24"/>
          <w:lang w:val="en-CA"/>
        </w:rPr>
        <w:t>’</w:t>
      </w:r>
      <w:r w:rsidR="009C1DFC">
        <w:rPr>
          <w:rFonts w:cs="Arial"/>
          <w:szCs w:val="24"/>
          <w:lang w:val="en-CA"/>
        </w:rPr>
        <w:t>s</w:t>
      </w:r>
      <w:r w:rsidRPr="0084150A">
        <w:rPr>
          <w:rFonts w:cs="Arial"/>
          <w:szCs w:val="24"/>
          <w:lang w:val="en-CA"/>
        </w:rPr>
        <w:t xml:space="preserve"> fine”.</w:t>
      </w:r>
      <w:r w:rsidR="005D25C5" w:rsidRPr="0084150A">
        <w:rPr>
          <w:rStyle w:val="Appelnotedebasdep"/>
          <w:rFonts w:cs="Arial"/>
          <w:szCs w:val="24"/>
          <w:lang w:val="en-CA"/>
        </w:rPr>
        <w:footnoteReference w:id="115"/>
      </w:r>
    </w:p>
    <w:p w14:paraId="68E484B0" w14:textId="1A8F54E0" w:rsidR="00B27479" w:rsidRPr="0084150A" w:rsidRDefault="004071C3" w:rsidP="001E16C6">
      <w:pPr>
        <w:pStyle w:val="Paragraphe"/>
        <w:rPr>
          <w:lang w:val="en-CA"/>
        </w:rPr>
      </w:pPr>
      <w:r w:rsidRPr="0084150A">
        <w:rPr>
          <w:rFonts w:cs="Arial"/>
          <w:szCs w:val="24"/>
          <w:lang w:val="en-CA"/>
        </w:rPr>
        <w:t>The Tribunal finds that Frédéric Racine’s statements were made freely and voluntarily</w:t>
      </w:r>
      <w:r w:rsidR="005D25C5" w:rsidRPr="0084150A">
        <w:rPr>
          <w:rFonts w:cs="Arial"/>
          <w:szCs w:val="24"/>
          <w:lang w:val="en-CA"/>
        </w:rPr>
        <w:t xml:space="preserve">. </w:t>
      </w:r>
      <w:r w:rsidR="00D54885">
        <w:rPr>
          <w:rFonts w:cs="Arial"/>
          <w:szCs w:val="24"/>
          <w:lang w:val="en-CA"/>
        </w:rPr>
        <w:t>While</w:t>
      </w:r>
      <w:r w:rsidR="00D54885" w:rsidRPr="0084150A">
        <w:rPr>
          <w:rFonts w:cs="Arial"/>
          <w:szCs w:val="24"/>
          <w:lang w:val="en-CA"/>
        </w:rPr>
        <w:t xml:space="preserve"> </w:t>
      </w:r>
      <w:r w:rsidRPr="0084150A">
        <w:rPr>
          <w:rFonts w:cs="Arial"/>
          <w:szCs w:val="24"/>
          <w:lang w:val="en-CA"/>
        </w:rPr>
        <w:t xml:space="preserve">the Tribunal </w:t>
      </w:r>
      <w:r w:rsidR="00D54885">
        <w:rPr>
          <w:rFonts w:cs="Arial"/>
          <w:szCs w:val="24"/>
          <w:lang w:val="en-CA"/>
        </w:rPr>
        <w:t>understands</w:t>
      </w:r>
      <w:r w:rsidR="00D54885" w:rsidRPr="0084150A">
        <w:rPr>
          <w:rFonts w:cs="Arial"/>
          <w:szCs w:val="24"/>
          <w:lang w:val="en-CA"/>
        </w:rPr>
        <w:t xml:space="preserve"> </w:t>
      </w:r>
      <w:r w:rsidRPr="0084150A">
        <w:rPr>
          <w:rFonts w:cs="Arial"/>
          <w:szCs w:val="24"/>
          <w:lang w:val="en-CA"/>
        </w:rPr>
        <w:t xml:space="preserve">that the execution of a search warrant at Frédéric Racine’s domicile, which started very early in the morning, </w:t>
      </w:r>
      <w:r w:rsidR="00D54885">
        <w:rPr>
          <w:rFonts w:cs="Arial"/>
          <w:szCs w:val="24"/>
          <w:lang w:val="en-CA"/>
        </w:rPr>
        <w:t>may</w:t>
      </w:r>
      <w:r w:rsidR="00D54885" w:rsidRPr="0084150A">
        <w:rPr>
          <w:rFonts w:cs="Arial"/>
          <w:szCs w:val="24"/>
          <w:lang w:val="en-CA"/>
        </w:rPr>
        <w:t xml:space="preserve"> </w:t>
      </w:r>
      <w:r w:rsidRPr="0084150A">
        <w:rPr>
          <w:rFonts w:cs="Arial"/>
          <w:szCs w:val="24"/>
          <w:lang w:val="en-CA"/>
        </w:rPr>
        <w:t xml:space="preserve">be a difficult event that can trigger stress, the fact remains that Frédéric Racine understood the </w:t>
      </w:r>
      <w:r w:rsidR="00D54885">
        <w:rPr>
          <w:rFonts w:cs="Arial"/>
          <w:szCs w:val="24"/>
          <w:lang w:val="en-CA"/>
        </w:rPr>
        <w:t>stakes</w:t>
      </w:r>
      <w:r w:rsidR="00D54885" w:rsidRPr="0084150A">
        <w:rPr>
          <w:rFonts w:cs="Arial"/>
          <w:szCs w:val="24"/>
          <w:lang w:val="en-CA"/>
        </w:rPr>
        <w:t xml:space="preserve"> </w:t>
      </w:r>
      <w:r w:rsidRPr="0084150A">
        <w:rPr>
          <w:rFonts w:cs="Arial"/>
          <w:szCs w:val="24"/>
          <w:lang w:val="en-CA"/>
        </w:rPr>
        <w:t>and agreed to cooperate by answering the investigators’ questions</w:t>
      </w:r>
      <w:r w:rsidR="005D25C5" w:rsidRPr="0084150A">
        <w:rPr>
          <w:rFonts w:cs="Arial"/>
          <w:szCs w:val="24"/>
          <w:lang w:val="en-CA"/>
        </w:rPr>
        <w:t xml:space="preserve">. </w:t>
      </w:r>
      <w:r w:rsidRPr="0084150A">
        <w:rPr>
          <w:rFonts w:cs="Arial"/>
          <w:szCs w:val="24"/>
          <w:lang w:val="en-CA"/>
        </w:rPr>
        <w:t xml:space="preserve">At no time during the reading of the transcript of the examination </w:t>
      </w:r>
      <w:r w:rsidR="00D54885">
        <w:rPr>
          <w:rFonts w:cs="Arial"/>
          <w:szCs w:val="24"/>
          <w:lang w:val="en-CA"/>
        </w:rPr>
        <w:t>did</w:t>
      </w:r>
      <w:r w:rsidR="00D54885" w:rsidRPr="0084150A">
        <w:rPr>
          <w:rFonts w:cs="Arial"/>
          <w:szCs w:val="24"/>
          <w:lang w:val="en-CA"/>
        </w:rPr>
        <w:t xml:space="preserve"> </w:t>
      </w:r>
      <w:r w:rsidRPr="0084150A">
        <w:rPr>
          <w:rFonts w:cs="Arial"/>
          <w:szCs w:val="24"/>
          <w:lang w:val="en-CA"/>
        </w:rPr>
        <w:t xml:space="preserve">the Tribunal perceive that Frédéric Racine wanted to </w:t>
      </w:r>
      <w:r w:rsidR="00D54885">
        <w:rPr>
          <w:rFonts w:cs="Arial"/>
          <w:szCs w:val="24"/>
          <w:lang w:val="en-CA"/>
        </w:rPr>
        <w:t>put an end to</w:t>
      </w:r>
      <w:r w:rsidR="00D54885" w:rsidRPr="0084150A">
        <w:rPr>
          <w:rFonts w:cs="Arial"/>
          <w:szCs w:val="24"/>
          <w:lang w:val="en-CA"/>
        </w:rPr>
        <w:t xml:space="preserve"> </w:t>
      </w:r>
      <w:r w:rsidRPr="0084150A">
        <w:rPr>
          <w:rFonts w:cs="Arial"/>
          <w:szCs w:val="24"/>
          <w:lang w:val="en-CA"/>
        </w:rPr>
        <w:t>the meeting or that he was compelled to answer</w:t>
      </w:r>
      <w:r w:rsidR="005D25C5" w:rsidRPr="0084150A">
        <w:rPr>
          <w:rFonts w:cs="Arial"/>
          <w:szCs w:val="24"/>
          <w:lang w:val="en-CA"/>
        </w:rPr>
        <w:t>.</w:t>
      </w:r>
    </w:p>
    <w:p w14:paraId="0614FE5B" w14:textId="0F101D2A" w:rsidR="001C14D4" w:rsidRPr="0084150A" w:rsidRDefault="008424F2" w:rsidP="001E16C6">
      <w:pPr>
        <w:pStyle w:val="Paragraphe"/>
        <w:rPr>
          <w:lang w:val="en-CA"/>
        </w:rPr>
      </w:pPr>
      <w:r w:rsidRPr="0084150A">
        <w:rPr>
          <w:lang w:val="en-CA"/>
        </w:rPr>
        <w:t xml:space="preserve">The Tribunal </w:t>
      </w:r>
      <w:r w:rsidR="00D54885">
        <w:rPr>
          <w:lang w:val="en-CA"/>
        </w:rPr>
        <w:t>considers</w:t>
      </w:r>
      <w:r w:rsidR="00D54885" w:rsidRPr="0084150A">
        <w:rPr>
          <w:lang w:val="en-CA"/>
        </w:rPr>
        <w:t xml:space="preserve"> </w:t>
      </w:r>
      <w:r w:rsidRPr="0084150A">
        <w:rPr>
          <w:lang w:val="en-CA"/>
        </w:rPr>
        <w:t>that Frédéric Racine testified before the investigators freely and voluntarily. The circumstances in which he testified do not justify a completely different version before the Tribunal. Moreover, Frédéric Racine never explained, justified, or even contextualized the answers given to the investigators or attempted to reconcile them with the version given to the Tribunal</w:t>
      </w:r>
      <w:r w:rsidR="005D25C5" w:rsidRPr="0084150A">
        <w:rPr>
          <w:lang w:val="en-CA"/>
        </w:rPr>
        <w:t xml:space="preserve">. </w:t>
      </w:r>
    </w:p>
    <w:p w14:paraId="70A28543" w14:textId="7780DF58" w:rsidR="003A14A9" w:rsidRPr="0084150A" w:rsidRDefault="005D25C5" w:rsidP="00494CBF">
      <w:pPr>
        <w:pStyle w:val="Paragraphe"/>
        <w:keepNext/>
        <w:numPr>
          <w:ilvl w:val="0"/>
          <w:numId w:val="0"/>
        </w:numPr>
        <w:ind w:left="734"/>
        <w:rPr>
          <w:u w:val="single"/>
          <w:lang w:val="en-CA"/>
        </w:rPr>
      </w:pPr>
      <w:r w:rsidRPr="0084150A">
        <w:rPr>
          <w:lang w:val="en-CA"/>
        </w:rPr>
        <w:t xml:space="preserve">(3) </w:t>
      </w:r>
      <w:r w:rsidR="008424F2" w:rsidRPr="0084150A">
        <w:rPr>
          <w:u w:val="single"/>
          <w:lang w:val="en-CA"/>
        </w:rPr>
        <w:t>The probative force of previous statements</w:t>
      </w:r>
    </w:p>
    <w:p w14:paraId="6B961246" w14:textId="1D5B7023" w:rsidR="007E29C0" w:rsidRPr="0084150A" w:rsidRDefault="001758D7" w:rsidP="00494CBF">
      <w:pPr>
        <w:pStyle w:val="Paragraphe"/>
        <w:keepNext/>
        <w:rPr>
          <w:lang w:val="en-CA"/>
        </w:rPr>
      </w:pPr>
      <w:r w:rsidRPr="0084150A">
        <w:rPr>
          <w:lang w:val="en-CA"/>
        </w:rPr>
        <w:t xml:space="preserve">Respectfully, the fact that Frédéric Racine gave two different versions of the same </w:t>
      </w:r>
      <w:proofErr w:type="gramStart"/>
      <w:r w:rsidRPr="0084150A">
        <w:rPr>
          <w:lang w:val="en-CA"/>
        </w:rPr>
        <w:t>facts</w:t>
      </w:r>
      <w:proofErr w:type="gramEnd"/>
      <w:r w:rsidRPr="0084150A">
        <w:rPr>
          <w:lang w:val="en-CA"/>
        </w:rPr>
        <w:t xml:space="preserve"> casts doubt on his credibility and the reliability of his argument</w:t>
      </w:r>
      <w:r w:rsidR="00C96311" w:rsidRPr="0084150A">
        <w:rPr>
          <w:lang w:val="en-CA"/>
        </w:rPr>
        <w:t xml:space="preserve">. </w:t>
      </w:r>
      <w:r w:rsidR="00FE52B6" w:rsidRPr="0084150A">
        <w:rPr>
          <w:lang w:val="en-CA"/>
        </w:rPr>
        <w:t xml:space="preserve">The Tribunal refers </w:t>
      </w:r>
      <w:r w:rsidR="00FE52B6" w:rsidRPr="0084150A">
        <w:rPr>
          <w:lang w:val="en-CA"/>
        </w:rPr>
        <w:lastRenderedPageBreak/>
        <w:t>to several examples of implausible testimony by Frédéric Racine in various parts of this decision</w:t>
      </w:r>
      <w:r w:rsidR="00C96311" w:rsidRPr="0084150A">
        <w:rPr>
          <w:lang w:val="en-CA"/>
        </w:rPr>
        <w:t xml:space="preserve">. </w:t>
      </w:r>
    </w:p>
    <w:p w14:paraId="2CD1A350" w14:textId="1A088BEF" w:rsidR="008E36BF" w:rsidRPr="0084150A" w:rsidRDefault="00FE52B6" w:rsidP="008E36BF">
      <w:pPr>
        <w:pStyle w:val="Paragraphe"/>
        <w:rPr>
          <w:lang w:val="en-CA" w:eastAsia="fr-CA"/>
        </w:rPr>
      </w:pPr>
      <w:r w:rsidRPr="0084150A">
        <w:rPr>
          <w:lang w:val="en-CA"/>
        </w:rPr>
        <w:t>Moreover, the Tribunal cannot ignore that, during his testimony at the hearing, he refer</w:t>
      </w:r>
      <w:r w:rsidR="001226FB" w:rsidRPr="0084150A">
        <w:rPr>
          <w:lang w:val="en-CA"/>
        </w:rPr>
        <w:t>r</w:t>
      </w:r>
      <w:r w:rsidRPr="0084150A">
        <w:rPr>
          <w:lang w:val="en-CA"/>
        </w:rPr>
        <w:t xml:space="preserve">ed to an exhibit that contained numbers that he knew were </w:t>
      </w:r>
      <w:r w:rsidR="00F86342">
        <w:rPr>
          <w:lang w:val="en-CA"/>
        </w:rPr>
        <w:t>wrong</w:t>
      </w:r>
      <w:r w:rsidRPr="0084150A">
        <w:rPr>
          <w:lang w:val="en-CA"/>
        </w:rPr>
        <w:t>.</w:t>
      </w:r>
      <w:r w:rsidR="005D25C5" w:rsidRPr="0084150A">
        <w:rPr>
          <w:rStyle w:val="Appelnotedebasdep"/>
          <w:lang w:val="en-CA"/>
        </w:rPr>
        <w:footnoteReference w:id="116"/>
      </w:r>
      <w:r w:rsidR="005D25C5" w:rsidRPr="0084150A">
        <w:rPr>
          <w:lang w:val="en-CA"/>
        </w:rPr>
        <w:t xml:space="preserve"> </w:t>
      </w:r>
      <w:r w:rsidRPr="0084150A">
        <w:rPr>
          <w:lang w:val="en-CA"/>
        </w:rPr>
        <w:t xml:space="preserve">Indeed, Frédéric Racine valued his profit on the security </w:t>
      </w:r>
      <w:r w:rsidR="004B4DFC">
        <w:rPr>
          <w:lang w:val="en-CA"/>
        </w:rPr>
        <w:t xml:space="preserve">of </w:t>
      </w:r>
      <w:r w:rsidR="004B4DFC" w:rsidRPr="0084150A">
        <w:rPr>
          <w:lang w:val="en-CA"/>
        </w:rPr>
        <w:t xml:space="preserve">Revelium </w:t>
      </w:r>
      <w:r w:rsidRPr="0084150A">
        <w:rPr>
          <w:lang w:val="en-CA"/>
        </w:rPr>
        <w:t>at 50% whereas it was closer to 7%</w:t>
      </w:r>
      <w:r w:rsidR="005D25C5" w:rsidRPr="0084150A">
        <w:rPr>
          <w:lang w:val="en-CA"/>
        </w:rPr>
        <w:t>.</w:t>
      </w:r>
    </w:p>
    <w:p w14:paraId="69E0F4BD" w14:textId="76320D00" w:rsidR="008E36BF" w:rsidRPr="0084150A" w:rsidRDefault="006B74BE" w:rsidP="00C96311">
      <w:pPr>
        <w:pStyle w:val="Paragraphe"/>
        <w:rPr>
          <w:lang w:val="en-CA" w:eastAsia="fr-CA"/>
        </w:rPr>
      </w:pPr>
      <w:r w:rsidRPr="0084150A">
        <w:rPr>
          <w:color w:val="000000"/>
          <w:lang w:val="en-CA"/>
        </w:rPr>
        <w:t xml:space="preserve">On cross-examination, after first </w:t>
      </w:r>
      <w:r w:rsidR="00CB4369">
        <w:rPr>
          <w:color w:val="000000"/>
          <w:lang w:val="en-CA"/>
        </w:rPr>
        <w:t>claim</w:t>
      </w:r>
      <w:r w:rsidR="00F86342">
        <w:rPr>
          <w:color w:val="000000"/>
          <w:lang w:val="en-CA"/>
        </w:rPr>
        <w:t>ing</w:t>
      </w:r>
      <w:r w:rsidRPr="0084150A">
        <w:rPr>
          <w:color w:val="000000"/>
          <w:lang w:val="en-CA"/>
        </w:rPr>
        <w:t xml:space="preserve"> that </w:t>
      </w:r>
      <w:r w:rsidR="00F86342">
        <w:rPr>
          <w:color w:val="000000"/>
          <w:lang w:val="en-CA"/>
        </w:rPr>
        <w:t>his</w:t>
      </w:r>
      <w:r w:rsidR="00F86342" w:rsidRPr="0084150A">
        <w:rPr>
          <w:color w:val="000000"/>
          <w:lang w:val="en-CA"/>
        </w:rPr>
        <w:t xml:space="preserve"> </w:t>
      </w:r>
      <w:r w:rsidRPr="0084150A">
        <w:rPr>
          <w:color w:val="000000"/>
          <w:lang w:val="en-CA"/>
        </w:rPr>
        <w:t>calculation was correct, he ended up admitting his mistake</w:t>
      </w:r>
      <w:r w:rsidR="005D25C5" w:rsidRPr="0084150A">
        <w:rPr>
          <w:color w:val="000000"/>
          <w:lang w:val="en-CA"/>
        </w:rPr>
        <w:t>.</w:t>
      </w:r>
    </w:p>
    <w:p w14:paraId="05C8107E" w14:textId="3C276C34" w:rsidR="00CD3FD3" w:rsidRPr="0084150A" w:rsidRDefault="00203273" w:rsidP="006B1878">
      <w:pPr>
        <w:pStyle w:val="Paragraphe"/>
        <w:rPr>
          <w:lang w:val="en-CA"/>
        </w:rPr>
      </w:pPr>
      <w:r w:rsidRPr="0084150A">
        <w:rPr>
          <w:lang w:val="en-CA"/>
        </w:rPr>
        <w:t xml:space="preserve">In the Tribunal’s view, the version he gave investigators during the execution of the search warrant is more credible than the version </w:t>
      </w:r>
      <w:r w:rsidR="00C33678">
        <w:rPr>
          <w:lang w:val="en-CA"/>
        </w:rPr>
        <w:t>used</w:t>
      </w:r>
      <w:r w:rsidRPr="0084150A">
        <w:rPr>
          <w:lang w:val="en-CA"/>
        </w:rPr>
        <w:t xml:space="preserve"> before the Tribunal</w:t>
      </w:r>
      <w:r w:rsidR="001E1EBE" w:rsidRPr="0084150A">
        <w:rPr>
          <w:lang w:val="en-CA"/>
        </w:rPr>
        <w:t xml:space="preserve">. </w:t>
      </w:r>
      <w:r w:rsidRPr="0084150A">
        <w:rPr>
          <w:lang w:val="en-CA"/>
        </w:rPr>
        <w:t xml:space="preserve">His statements were made freely and voluntarily after investigators explained the purpose of the examination, which </w:t>
      </w:r>
      <w:r w:rsidR="00600307">
        <w:rPr>
          <w:lang w:val="en-CA"/>
        </w:rPr>
        <w:t>was</w:t>
      </w:r>
      <w:r w:rsidR="00600307" w:rsidRPr="0084150A">
        <w:rPr>
          <w:lang w:val="en-CA"/>
        </w:rPr>
        <w:t xml:space="preserve"> </w:t>
      </w:r>
      <w:r w:rsidRPr="0084150A">
        <w:rPr>
          <w:lang w:val="en-CA"/>
        </w:rPr>
        <w:t xml:space="preserve">that the Authority </w:t>
      </w:r>
      <w:r w:rsidR="00600307">
        <w:rPr>
          <w:lang w:val="en-CA"/>
        </w:rPr>
        <w:t xml:space="preserve">was </w:t>
      </w:r>
      <w:r w:rsidRPr="0084150A">
        <w:rPr>
          <w:lang w:val="en-CA"/>
        </w:rPr>
        <w:t>alleg</w:t>
      </w:r>
      <w:r w:rsidR="00600307">
        <w:rPr>
          <w:lang w:val="en-CA"/>
        </w:rPr>
        <w:t>ing</w:t>
      </w:r>
      <w:r w:rsidRPr="0084150A">
        <w:rPr>
          <w:lang w:val="en-CA"/>
        </w:rPr>
        <w:t xml:space="preserve"> that he </w:t>
      </w:r>
      <w:r w:rsidR="00600307">
        <w:rPr>
          <w:lang w:val="en-CA"/>
        </w:rPr>
        <w:t xml:space="preserve">had </w:t>
      </w:r>
      <w:r w:rsidRPr="0084150A">
        <w:rPr>
          <w:lang w:val="en-CA"/>
        </w:rPr>
        <w:t>committed insider trading and that his testimony was</w:t>
      </w:r>
      <w:r w:rsidR="00600307">
        <w:rPr>
          <w:lang w:val="en-CA"/>
        </w:rPr>
        <w:t xml:space="preserve"> being</w:t>
      </w:r>
      <w:r w:rsidRPr="0084150A">
        <w:rPr>
          <w:lang w:val="en-CA"/>
        </w:rPr>
        <w:t xml:space="preserve"> recorded and could be used against him in any proceedings. Frédéric Racine </w:t>
      </w:r>
      <w:r w:rsidR="00A54931">
        <w:rPr>
          <w:lang w:val="en-CA"/>
        </w:rPr>
        <w:t>told</w:t>
      </w:r>
      <w:r w:rsidR="00A60D78" w:rsidRPr="0084150A">
        <w:rPr>
          <w:lang w:val="en-CA"/>
        </w:rPr>
        <w:t xml:space="preserve"> investigators that he had nothing to hide</w:t>
      </w:r>
      <w:r w:rsidR="001E1EBE" w:rsidRPr="0084150A">
        <w:rPr>
          <w:lang w:val="en-CA"/>
        </w:rPr>
        <w:t>.</w:t>
      </w:r>
    </w:p>
    <w:p w14:paraId="0D116C21" w14:textId="7BBC1B81" w:rsidR="001E1EBE" w:rsidRPr="0084150A" w:rsidRDefault="00756226" w:rsidP="006B1878">
      <w:pPr>
        <w:pStyle w:val="Paragraphe"/>
        <w:rPr>
          <w:lang w:val="en-CA"/>
        </w:rPr>
      </w:pPr>
      <w:r w:rsidRPr="0084150A">
        <w:rPr>
          <w:lang w:val="en-CA"/>
        </w:rPr>
        <w:t xml:space="preserve">In addition, his examination by investigators </w:t>
      </w:r>
      <w:r w:rsidR="000831C6" w:rsidRPr="0084150A">
        <w:rPr>
          <w:lang w:val="en-CA"/>
        </w:rPr>
        <w:t xml:space="preserve">took place at a date closer </w:t>
      </w:r>
      <w:r w:rsidR="007F16FB">
        <w:rPr>
          <w:lang w:val="en-CA"/>
        </w:rPr>
        <w:t>in</w:t>
      </w:r>
      <w:r w:rsidR="000831C6" w:rsidRPr="0084150A">
        <w:rPr>
          <w:lang w:val="en-CA"/>
        </w:rPr>
        <w:t xml:space="preserve"> time </w:t>
      </w:r>
      <w:r w:rsidR="007F16FB">
        <w:rPr>
          <w:lang w:val="en-CA"/>
        </w:rPr>
        <w:t>to</w:t>
      </w:r>
      <w:r w:rsidR="007F16FB" w:rsidRPr="0084150A">
        <w:rPr>
          <w:lang w:val="en-CA"/>
        </w:rPr>
        <w:t xml:space="preserve"> </w:t>
      </w:r>
      <w:r w:rsidR="000831C6" w:rsidRPr="0084150A">
        <w:rPr>
          <w:lang w:val="en-CA"/>
        </w:rPr>
        <w:t xml:space="preserve">the alleged facts than his testimony before the Tribunal. His answers appeared honest and spontaneous whereas, before the Tribunal, he provided explanations about all the Authority’s claims to justify each piece of </w:t>
      </w:r>
      <w:r w:rsidR="00577259">
        <w:rPr>
          <w:lang w:val="en-CA"/>
        </w:rPr>
        <w:t>its</w:t>
      </w:r>
      <w:r w:rsidR="000831C6" w:rsidRPr="0084150A">
        <w:rPr>
          <w:lang w:val="en-CA"/>
        </w:rPr>
        <w:t xml:space="preserve"> evidence</w:t>
      </w:r>
      <w:r w:rsidR="00EA7045" w:rsidRPr="0084150A">
        <w:rPr>
          <w:lang w:val="en-CA"/>
        </w:rPr>
        <w:t>.</w:t>
      </w:r>
    </w:p>
    <w:p w14:paraId="5658EB73" w14:textId="639F2BD6" w:rsidR="00EA7045" w:rsidRPr="0084150A" w:rsidRDefault="00404459" w:rsidP="005D3A67">
      <w:pPr>
        <w:pStyle w:val="Paragraphe"/>
        <w:rPr>
          <w:lang w:val="en-CA"/>
        </w:rPr>
      </w:pPr>
      <w:r w:rsidRPr="0084150A">
        <w:rPr>
          <w:lang w:val="en-CA"/>
        </w:rPr>
        <w:t>Accordingly</w:t>
      </w:r>
      <w:r w:rsidR="000831C6" w:rsidRPr="0084150A">
        <w:rPr>
          <w:lang w:val="en-CA"/>
        </w:rPr>
        <w:t>, the Tribunal accepts the testimony that Frédéric Racine gave investigators due to its uncondition</w:t>
      </w:r>
      <w:r w:rsidR="007F16FB">
        <w:rPr>
          <w:lang w:val="en-CA"/>
        </w:rPr>
        <w:t>ed</w:t>
      </w:r>
      <w:r w:rsidR="000831C6" w:rsidRPr="0084150A">
        <w:rPr>
          <w:lang w:val="en-CA"/>
        </w:rPr>
        <w:t xml:space="preserve"> nature</w:t>
      </w:r>
      <w:r w:rsidR="005D25C5" w:rsidRPr="0084150A">
        <w:rPr>
          <w:lang w:val="en-CA"/>
        </w:rPr>
        <w:t xml:space="preserve">. </w:t>
      </w:r>
      <w:r w:rsidR="00BE6DEB" w:rsidRPr="0084150A">
        <w:rPr>
          <w:lang w:val="en-CA"/>
        </w:rPr>
        <w:t xml:space="preserve">The Tribunal assigns greater probative force to that testimony than the testimony before the Tribunal because that version of the facts is consistent with the probabilities that characterize the </w:t>
      </w:r>
      <w:proofErr w:type="gramStart"/>
      <w:r w:rsidR="00BE6DEB" w:rsidRPr="0084150A">
        <w:rPr>
          <w:lang w:val="en-CA"/>
        </w:rPr>
        <w:t>evidence as a whole</w:t>
      </w:r>
      <w:proofErr w:type="gramEnd"/>
      <w:r w:rsidR="005D25C5" w:rsidRPr="0084150A">
        <w:rPr>
          <w:lang w:val="en-CA"/>
        </w:rPr>
        <w:t xml:space="preserve">. </w:t>
      </w:r>
    </w:p>
    <w:p w14:paraId="76D0764C" w14:textId="0B2F61A8" w:rsidR="004F75D3" w:rsidRPr="0084150A" w:rsidRDefault="003969B7" w:rsidP="00800175">
      <w:pPr>
        <w:pStyle w:val="Paragraphe"/>
        <w:rPr>
          <w:lang w:val="en-CA"/>
        </w:rPr>
      </w:pPr>
      <w:r w:rsidRPr="0084150A">
        <w:rPr>
          <w:lang w:val="en-CA"/>
        </w:rPr>
        <w:t xml:space="preserve">Thus, the evidence </w:t>
      </w:r>
      <w:proofErr w:type="gramStart"/>
      <w:r w:rsidRPr="0084150A">
        <w:rPr>
          <w:lang w:val="en-CA"/>
        </w:rPr>
        <w:t>as a whole makes</w:t>
      </w:r>
      <w:proofErr w:type="gramEnd"/>
      <w:r w:rsidRPr="0084150A">
        <w:rPr>
          <w:lang w:val="en-CA"/>
        </w:rPr>
        <w:t xml:space="preserve"> it possible for the Tribunal to establish that it is more likely than unlikely that</w:t>
      </w:r>
      <w:r w:rsidR="008F231E">
        <w:rPr>
          <w:lang w:val="en-CA"/>
        </w:rPr>
        <w:t>, while having privileged information,</w:t>
      </w:r>
      <w:r w:rsidRPr="0084150A">
        <w:rPr>
          <w:lang w:val="en-CA"/>
        </w:rPr>
        <w:t xml:space="preserve"> Philippe Gauthier disclosed privileged information and recommended to Frédéric Racine</w:t>
      </w:r>
      <w:r w:rsidR="00CA0788" w:rsidRPr="0084150A">
        <w:rPr>
          <w:lang w:val="en-CA"/>
        </w:rPr>
        <w:t xml:space="preserve"> that he trade in shares of Napec on November 7, 2017</w:t>
      </w:r>
      <w:r w:rsidR="0093486C" w:rsidRPr="0084150A">
        <w:rPr>
          <w:lang w:val="en-CA"/>
        </w:rPr>
        <w:t>.</w:t>
      </w:r>
    </w:p>
    <w:p w14:paraId="6B81D361" w14:textId="4D5E91B7" w:rsidR="00A0673D" w:rsidRPr="0084150A" w:rsidRDefault="005956CB" w:rsidP="005549D6">
      <w:pPr>
        <w:pStyle w:val="Paragraphe"/>
        <w:rPr>
          <w:lang w:val="en-CA"/>
        </w:rPr>
      </w:pPr>
      <w:r w:rsidRPr="0084150A">
        <w:rPr>
          <w:lang w:val="en-CA"/>
        </w:rPr>
        <w:t xml:space="preserve">The Tribunal concludes that Philippe Gauthier, therefore, committed a </w:t>
      </w:r>
      <w:r w:rsidR="00E06DF9">
        <w:rPr>
          <w:lang w:val="en-CA"/>
        </w:rPr>
        <w:t>contravention</w:t>
      </w:r>
      <w:r w:rsidR="00E06DF9" w:rsidRPr="0084150A">
        <w:rPr>
          <w:lang w:val="en-CA"/>
        </w:rPr>
        <w:t xml:space="preserve"> </w:t>
      </w:r>
      <w:r w:rsidRPr="0084150A">
        <w:rPr>
          <w:lang w:val="en-CA"/>
        </w:rPr>
        <w:t xml:space="preserve">of section 188 of the </w:t>
      </w:r>
      <w:r w:rsidRPr="0084150A">
        <w:rPr>
          <w:i/>
          <w:iCs/>
          <w:lang w:val="en-CA"/>
        </w:rPr>
        <w:t>SA</w:t>
      </w:r>
      <w:r w:rsidRPr="0084150A">
        <w:rPr>
          <w:lang w:val="en-CA"/>
        </w:rPr>
        <w:t>.</w:t>
      </w:r>
    </w:p>
    <w:p w14:paraId="72614153" w14:textId="1C993198" w:rsidR="00A0673D" w:rsidRPr="0084150A" w:rsidRDefault="005D25C5" w:rsidP="006837C9">
      <w:pPr>
        <w:pStyle w:val="Titre2"/>
        <w:rPr>
          <w:lang w:val="en-CA"/>
        </w:rPr>
      </w:pPr>
      <w:r w:rsidRPr="0084150A">
        <w:rPr>
          <w:lang w:val="en-CA"/>
        </w:rPr>
        <w:t xml:space="preserve">4. </w:t>
      </w:r>
      <w:r w:rsidR="00FA313B" w:rsidRPr="005E07F3">
        <w:rPr>
          <w:lang w:val="en-CA"/>
        </w:rPr>
        <w:t xml:space="preserve">Did Frédéric Racine trade in </w:t>
      </w:r>
      <w:r w:rsidR="00CE33A4" w:rsidRPr="005E07F3">
        <w:rPr>
          <w:lang w:val="en-CA"/>
        </w:rPr>
        <w:t xml:space="preserve">securities of </w:t>
      </w:r>
      <w:r w:rsidR="00FA313B" w:rsidRPr="005E07F3">
        <w:rPr>
          <w:lang w:val="en-CA"/>
        </w:rPr>
        <w:t>Napec while having privileged information?</w:t>
      </w:r>
    </w:p>
    <w:p w14:paraId="2CBAEA8F" w14:textId="0D6E4615" w:rsidR="009819F4" w:rsidRPr="0084150A" w:rsidRDefault="0005105F" w:rsidP="001E16C6">
      <w:pPr>
        <w:pStyle w:val="Paragraphe"/>
        <w:rPr>
          <w:rFonts w:cs="Arial"/>
          <w:szCs w:val="24"/>
          <w:lang w:val="en-CA"/>
        </w:rPr>
      </w:pPr>
      <w:r w:rsidRPr="0084150A">
        <w:rPr>
          <w:rFonts w:cs="Arial"/>
          <w:szCs w:val="24"/>
          <w:lang w:val="en-CA"/>
        </w:rPr>
        <w:t xml:space="preserve">To prove that Frédéric Racine traded in </w:t>
      </w:r>
      <w:r w:rsidR="002B44E0">
        <w:rPr>
          <w:rFonts w:cs="Arial"/>
          <w:szCs w:val="24"/>
          <w:lang w:val="en-CA"/>
        </w:rPr>
        <w:t xml:space="preserve">securities of </w:t>
      </w:r>
      <w:r w:rsidRPr="0084150A">
        <w:rPr>
          <w:rFonts w:cs="Arial"/>
          <w:szCs w:val="24"/>
          <w:lang w:val="en-CA"/>
        </w:rPr>
        <w:t xml:space="preserve">Napec while having privileged information, </w:t>
      </w:r>
      <w:r w:rsidR="00887238" w:rsidRPr="0084150A">
        <w:rPr>
          <w:rFonts w:cs="Arial"/>
          <w:szCs w:val="24"/>
          <w:lang w:val="en-CA"/>
        </w:rPr>
        <w:t>the Authority must establish that</w:t>
      </w:r>
      <w:r w:rsidR="005D25C5" w:rsidRPr="0084150A">
        <w:rPr>
          <w:rFonts w:cs="Arial"/>
          <w:szCs w:val="24"/>
          <w:lang w:val="en-CA"/>
        </w:rPr>
        <w:t>:</w:t>
      </w:r>
    </w:p>
    <w:p w14:paraId="3D3212C5" w14:textId="6A7BD2CD" w:rsidR="005740B5" w:rsidRPr="0084150A" w:rsidRDefault="00887238" w:rsidP="00781CA7">
      <w:pPr>
        <w:pStyle w:val="Paragraphedeliste"/>
        <w:numPr>
          <w:ilvl w:val="0"/>
          <w:numId w:val="6"/>
        </w:numPr>
        <w:spacing w:before="120" w:after="120" w:line="259" w:lineRule="auto"/>
        <w:contextualSpacing w:val="0"/>
        <w:jc w:val="both"/>
        <w:rPr>
          <w:rFonts w:cs="Arial"/>
          <w:szCs w:val="24"/>
          <w:lang w:val="en-CA"/>
        </w:rPr>
      </w:pPr>
      <w:r w:rsidRPr="0084150A">
        <w:rPr>
          <w:rFonts w:cs="Arial"/>
          <w:szCs w:val="24"/>
          <w:lang w:val="en-CA"/>
        </w:rPr>
        <w:t xml:space="preserve">pursuant to section 189(5) of the </w:t>
      </w:r>
      <w:r w:rsidRPr="0084150A">
        <w:rPr>
          <w:rFonts w:cs="Arial"/>
          <w:i/>
          <w:iCs/>
          <w:szCs w:val="24"/>
          <w:lang w:val="en-CA"/>
        </w:rPr>
        <w:t>SA</w:t>
      </w:r>
      <w:r w:rsidRPr="0084150A">
        <w:rPr>
          <w:rFonts w:cs="Arial"/>
          <w:szCs w:val="24"/>
          <w:lang w:val="en-CA"/>
        </w:rPr>
        <w:t xml:space="preserve">, he had privileged information that, to his knowledge, was disclosed by an insider or a person referred to in section 189 of the </w:t>
      </w:r>
      <w:r w:rsidRPr="0084150A">
        <w:rPr>
          <w:rFonts w:cs="Arial"/>
          <w:i/>
          <w:iCs/>
          <w:szCs w:val="24"/>
          <w:lang w:val="en-CA"/>
        </w:rPr>
        <w:t>SA</w:t>
      </w:r>
      <w:r w:rsidRPr="0084150A">
        <w:rPr>
          <w:rFonts w:cs="Arial"/>
          <w:szCs w:val="24"/>
          <w:lang w:val="en-CA"/>
        </w:rPr>
        <w:t>; and</w:t>
      </w:r>
      <w:r w:rsidR="005B60FE" w:rsidRPr="0084150A">
        <w:rPr>
          <w:rFonts w:cs="Arial"/>
          <w:szCs w:val="24"/>
          <w:lang w:val="en-CA"/>
        </w:rPr>
        <w:t xml:space="preserve"> </w:t>
      </w:r>
    </w:p>
    <w:p w14:paraId="35422803" w14:textId="28AF0273" w:rsidR="005740B5" w:rsidRPr="0084150A" w:rsidRDefault="0043478B" w:rsidP="00781CA7">
      <w:pPr>
        <w:pStyle w:val="Paragraphedeliste"/>
        <w:numPr>
          <w:ilvl w:val="0"/>
          <w:numId w:val="6"/>
        </w:numPr>
        <w:spacing w:before="120" w:after="120" w:line="259" w:lineRule="auto"/>
        <w:ind w:hanging="357"/>
        <w:contextualSpacing w:val="0"/>
        <w:jc w:val="both"/>
        <w:rPr>
          <w:rFonts w:cs="Arial"/>
          <w:szCs w:val="24"/>
          <w:lang w:val="en-CA"/>
        </w:rPr>
      </w:pPr>
      <w:r w:rsidRPr="0084150A">
        <w:rPr>
          <w:rFonts w:cs="Arial"/>
          <w:szCs w:val="24"/>
          <w:lang w:val="en-CA"/>
        </w:rPr>
        <w:lastRenderedPageBreak/>
        <w:t xml:space="preserve">he traded those securities in contravention of section 187 of the </w:t>
      </w:r>
      <w:r w:rsidRPr="0084150A">
        <w:rPr>
          <w:rFonts w:cs="Arial"/>
          <w:i/>
          <w:iCs/>
          <w:szCs w:val="24"/>
          <w:lang w:val="en-CA"/>
        </w:rPr>
        <w:t xml:space="preserve">SA </w:t>
      </w:r>
      <w:r w:rsidRPr="0084150A">
        <w:rPr>
          <w:rFonts w:cs="Arial"/>
          <w:szCs w:val="24"/>
          <w:lang w:val="en-CA"/>
        </w:rPr>
        <w:t xml:space="preserve">while having privileged information relating to securities of an issuer, which, to his knowledge, was disclosed by an insider or a person referred to in section 189 of the </w:t>
      </w:r>
      <w:r w:rsidRPr="0084150A">
        <w:rPr>
          <w:rFonts w:cs="Arial"/>
          <w:i/>
          <w:iCs/>
          <w:szCs w:val="24"/>
          <w:lang w:val="en-CA"/>
        </w:rPr>
        <w:t>SA</w:t>
      </w:r>
      <w:r w:rsidR="005B60FE" w:rsidRPr="0084150A">
        <w:rPr>
          <w:rFonts w:cs="Arial"/>
          <w:szCs w:val="24"/>
          <w:lang w:val="en-CA"/>
        </w:rPr>
        <w:t>.</w:t>
      </w:r>
    </w:p>
    <w:p w14:paraId="42A7986A" w14:textId="15D27F8D" w:rsidR="00793F32" w:rsidRPr="0084150A" w:rsidRDefault="001D59A7" w:rsidP="00793F32">
      <w:pPr>
        <w:pStyle w:val="Paragraphe"/>
        <w:rPr>
          <w:lang w:val="en-CA"/>
        </w:rPr>
      </w:pPr>
      <w:r w:rsidRPr="0084150A">
        <w:rPr>
          <w:lang w:val="en-CA"/>
        </w:rPr>
        <w:t xml:space="preserve">Let us now </w:t>
      </w:r>
      <w:r w:rsidR="00995643">
        <w:rPr>
          <w:lang w:val="en-CA"/>
        </w:rPr>
        <w:t>analyze this</w:t>
      </w:r>
      <w:r w:rsidR="00885B5E" w:rsidRPr="0084150A">
        <w:rPr>
          <w:lang w:val="en-CA"/>
        </w:rPr>
        <w:t>.</w:t>
      </w:r>
    </w:p>
    <w:p w14:paraId="196CAEE5" w14:textId="25E803FA" w:rsidR="0093486C" w:rsidRPr="0084150A" w:rsidRDefault="005D25C5" w:rsidP="006133C5">
      <w:pPr>
        <w:pStyle w:val="Paragraphe"/>
        <w:numPr>
          <w:ilvl w:val="0"/>
          <w:numId w:val="0"/>
        </w:numPr>
        <w:ind w:left="429"/>
        <w:rPr>
          <w:rFonts w:cs="Arial"/>
          <w:szCs w:val="24"/>
          <w:u w:val="single"/>
          <w:lang w:val="en-CA"/>
        </w:rPr>
      </w:pPr>
      <w:r w:rsidRPr="0084150A">
        <w:rPr>
          <w:rFonts w:cs="Arial"/>
          <w:szCs w:val="24"/>
          <w:lang w:val="en-CA"/>
        </w:rPr>
        <w:t xml:space="preserve">(1) </w:t>
      </w:r>
      <w:r w:rsidR="00737060" w:rsidRPr="0084150A">
        <w:rPr>
          <w:rFonts w:cs="Arial"/>
          <w:szCs w:val="24"/>
          <w:u w:val="single"/>
          <w:lang w:val="en-CA"/>
        </w:rPr>
        <w:t xml:space="preserve">Did Frédéric Racine have privileged information that, to his knowledge, was disclosed by an insider or a person referred to in section 189 of the </w:t>
      </w:r>
      <w:r w:rsidR="00737060" w:rsidRPr="0084150A">
        <w:rPr>
          <w:rFonts w:cs="Arial"/>
          <w:i/>
          <w:iCs/>
          <w:szCs w:val="24"/>
          <w:u w:val="single"/>
          <w:lang w:val="en-CA"/>
        </w:rPr>
        <w:t>SA</w:t>
      </w:r>
      <w:r w:rsidR="00737060" w:rsidRPr="0084150A">
        <w:rPr>
          <w:rFonts w:cs="Arial"/>
          <w:szCs w:val="24"/>
          <w:u w:val="single"/>
          <w:lang w:val="en-CA"/>
        </w:rPr>
        <w:t>?</w:t>
      </w:r>
    </w:p>
    <w:p w14:paraId="1592BDA0" w14:textId="4B28875B" w:rsidR="007C513A" w:rsidRPr="0084150A" w:rsidRDefault="00DC13E5" w:rsidP="00ED03A7">
      <w:pPr>
        <w:pStyle w:val="Paragraphe"/>
        <w:rPr>
          <w:lang w:val="en-CA"/>
        </w:rPr>
      </w:pPr>
      <w:r w:rsidRPr="0084150A">
        <w:rPr>
          <w:lang w:val="en-CA"/>
        </w:rPr>
        <w:t xml:space="preserve">Because the Tribunal established, in the section above, that Philippe Gauthier disclosed information regarding the </w:t>
      </w:r>
      <w:r w:rsidR="00B35135">
        <w:rPr>
          <w:lang w:val="en-CA"/>
        </w:rPr>
        <w:t>T</w:t>
      </w:r>
      <w:r w:rsidRPr="0084150A">
        <w:rPr>
          <w:lang w:val="en-CA"/>
        </w:rPr>
        <w:t xml:space="preserve">ransaction to Frédéric Racine, Mr. Racine therefore had privileged information at the time of the alleged facts. However, pursuant to section 189(5) of the </w:t>
      </w:r>
      <w:r w:rsidRPr="0084150A">
        <w:rPr>
          <w:i/>
          <w:iCs/>
          <w:lang w:val="en-CA"/>
        </w:rPr>
        <w:t>SA</w:t>
      </w:r>
      <w:r w:rsidRPr="0084150A">
        <w:rPr>
          <w:lang w:val="en-CA"/>
        </w:rPr>
        <w:t>,</w:t>
      </w:r>
      <w:r w:rsidRPr="0084150A">
        <w:rPr>
          <w:i/>
          <w:iCs/>
          <w:lang w:val="en-CA"/>
        </w:rPr>
        <w:t xml:space="preserve"> </w:t>
      </w:r>
      <w:r w:rsidRPr="0084150A">
        <w:rPr>
          <w:lang w:val="en-CA"/>
        </w:rPr>
        <w:t>the Authority must establish that Frédéric Racine had privileged information “</w:t>
      </w:r>
      <w:r w:rsidR="005D25C5" w:rsidRPr="005E07F3">
        <w:rPr>
          <w:lang w:val="en-CA"/>
        </w:rPr>
        <w:t>that, to his knowledge, was disclosed by an insider or a person referred to in this section</w:t>
      </w:r>
      <w:r w:rsidRPr="0084150A">
        <w:rPr>
          <w:lang w:val="en-CA"/>
        </w:rPr>
        <w:t>”.</w:t>
      </w:r>
    </w:p>
    <w:p w14:paraId="357CD38E" w14:textId="1CE7C3EF" w:rsidR="00AB424F" w:rsidRPr="0084150A" w:rsidRDefault="00B4717F" w:rsidP="0080519E">
      <w:pPr>
        <w:pStyle w:val="Paragraphe"/>
        <w:rPr>
          <w:lang w:val="en-CA"/>
        </w:rPr>
      </w:pPr>
      <w:r w:rsidRPr="0084150A">
        <w:rPr>
          <w:lang w:val="en-CA"/>
        </w:rPr>
        <w:t xml:space="preserve">To make this assessment, the Tribunal examined the criteria used by the Ontario Securities Commission in </w:t>
      </w:r>
      <w:r w:rsidRPr="0084150A">
        <w:rPr>
          <w:i/>
          <w:iCs/>
          <w:lang w:val="en-CA"/>
        </w:rPr>
        <w:t>Azeff</w:t>
      </w:r>
      <w:r w:rsidRPr="0084150A">
        <w:rPr>
          <w:lang w:val="en-CA"/>
        </w:rPr>
        <w:t>,</w:t>
      </w:r>
      <w:r w:rsidR="005D25C5" w:rsidRPr="0084150A">
        <w:rPr>
          <w:iCs/>
          <w:vertAlign w:val="superscript"/>
          <w:lang w:val="en-CA"/>
        </w:rPr>
        <w:footnoteReference w:id="117"/>
      </w:r>
      <w:r w:rsidR="003E4F55" w:rsidRPr="0084150A">
        <w:rPr>
          <w:lang w:val="en-CA"/>
        </w:rPr>
        <w:t xml:space="preserve"> </w:t>
      </w:r>
      <w:r w:rsidRPr="0084150A">
        <w:rPr>
          <w:lang w:val="en-CA"/>
        </w:rPr>
        <w:t xml:space="preserve">including those to determine </w:t>
      </w:r>
      <w:proofErr w:type="gramStart"/>
      <w:r w:rsidRPr="0084150A">
        <w:rPr>
          <w:lang w:val="en-CA"/>
        </w:rPr>
        <w:t>whether or not</w:t>
      </w:r>
      <w:proofErr w:type="gramEnd"/>
      <w:r w:rsidRPr="0084150A">
        <w:rPr>
          <w:lang w:val="en-CA"/>
        </w:rPr>
        <w:t xml:space="preserve"> a person “ought reasonably to have known” that the privileged information was disclosed by an insider or a person to whom the</w:t>
      </w:r>
      <w:r w:rsidR="00B35135">
        <w:rPr>
          <w:lang w:val="en-CA"/>
        </w:rPr>
        <w:t xml:space="preserve"> prohibitions on the</w:t>
      </w:r>
      <w:r w:rsidRPr="0084150A">
        <w:rPr>
          <w:lang w:val="en-CA"/>
        </w:rPr>
        <w:t xml:space="preserve"> use of privileged information apply</w:t>
      </w:r>
      <w:r w:rsidR="003E4F55" w:rsidRPr="0084150A">
        <w:rPr>
          <w:lang w:val="en-CA"/>
        </w:rPr>
        <w:t>.</w:t>
      </w:r>
    </w:p>
    <w:p w14:paraId="5CD09DF1" w14:textId="734D1690" w:rsidR="00A0673D" w:rsidRPr="0084150A" w:rsidRDefault="00B4717F" w:rsidP="001E16C6">
      <w:pPr>
        <w:pStyle w:val="Paragraphe"/>
        <w:rPr>
          <w:lang w:val="en-CA"/>
        </w:rPr>
      </w:pPr>
      <w:r w:rsidRPr="0084150A">
        <w:rPr>
          <w:lang w:val="en-CA"/>
        </w:rPr>
        <w:t>The Tribunal applies these criteria</w:t>
      </w:r>
      <w:r w:rsidR="005D25C5" w:rsidRPr="0084150A">
        <w:rPr>
          <w:rStyle w:val="Appelnotedebasdep"/>
          <w:lang w:val="en-CA"/>
        </w:rPr>
        <w:footnoteReference w:id="118"/>
      </w:r>
      <w:r w:rsidR="005D25C5" w:rsidRPr="0084150A">
        <w:rPr>
          <w:lang w:val="en-CA"/>
        </w:rPr>
        <w:t xml:space="preserve"> </w:t>
      </w:r>
      <w:r w:rsidRPr="0084150A">
        <w:rPr>
          <w:lang w:val="en-CA"/>
        </w:rPr>
        <w:t xml:space="preserve">in this case to determine whether Frédéric Racine knew that the privileged information was disclosed by a person to whom the </w:t>
      </w:r>
      <w:r w:rsidR="00B35135" w:rsidRPr="0084150A">
        <w:rPr>
          <w:lang w:val="en-CA"/>
        </w:rPr>
        <w:t>prohibitions</w:t>
      </w:r>
      <w:r w:rsidR="00B35135">
        <w:rPr>
          <w:lang w:val="en-CA"/>
        </w:rPr>
        <w:t xml:space="preserve"> on the</w:t>
      </w:r>
      <w:r w:rsidR="00B35135" w:rsidRPr="0084150A">
        <w:rPr>
          <w:lang w:val="en-CA"/>
        </w:rPr>
        <w:t xml:space="preserve"> </w:t>
      </w:r>
      <w:r w:rsidRPr="0084150A">
        <w:rPr>
          <w:lang w:val="en-CA"/>
        </w:rPr>
        <w:t>use of privileged information apply</w:t>
      </w:r>
      <w:r w:rsidR="005D25C5" w:rsidRPr="0084150A">
        <w:rPr>
          <w:lang w:val="en-CA"/>
        </w:rPr>
        <w:t xml:space="preserve">. </w:t>
      </w:r>
      <w:r w:rsidRPr="0084150A">
        <w:rPr>
          <w:lang w:val="en-CA"/>
        </w:rPr>
        <w:t xml:space="preserve">Therefore, the Authority must establish that Frédéric Racine ought to have known that his friend Philippe Gauthier was a person referred to in section 189 of the </w:t>
      </w:r>
      <w:r w:rsidRPr="0084150A">
        <w:rPr>
          <w:i/>
          <w:iCs/>
          <w:lang w:val="en-CA"/>
        </w:rPr>
        <w:t>SA</w:t>
      </w:r>
      <w:r w:rsidRPr="0084150A">
        <w:rPr>
          <w:lang w:val="en-CA"/>
        </w:rPr>
        <w:t>.</w:t>
      </w:r>
      <w:r w:rsidRPr="0084150A">
        <w:rPr>
          <w:i/>
          <w:iCs/>
          <w:lang w:val="en-CA"/>
        </w:rPr>
        <w:t xml:space="preserve"> </w:t>
      </w:r>
      <w:r w:rsidRPr="0084150A">
        <w:rPr>
          <w:lang w:val="en-CA"/>
        </w:rPr>
        <w:t>Here is how the Ontario Securities Commission describes how to proceed</w:t>
      </w:r>
      <w:r w:rsidR="005D25C5" w:rsidRPr="0084150A">
        <w:rPr>
          <w:lang w:val="en-CA"/>
        </w:rPr>
        <w:t>:</w:t>
      </w:r>
    </w:p>
    <w:p w14:paraId="473B2E63" w14:textId="2353B157" w:rsidR="00A0673D" w:rsidRPr="0084150A" w:rsidRDefault="005D25C5" w:rsidP="001E16C6">
      <w:pPr>
        <w:pStyle w:val="Citationendoubleretrait"/>
      </w:pPr>
      <w:r w:rsidRPr="0084150A">
        <w:t>[63] The statutory provision of “ought reasonably to have known” that the MNPI came from a knowledgeable person falls on the spectrum between the two poles. It demands an objective test, which can be articulated by the question: should a person standing in the shoes of the tippee, reasonably assume that the MNPI passed on to him originated with a knowledgeable person?</w:t>
      </w:r>
    </w:p>
    <w:p w14:paraId="6B47E243" w14:textId="13EC6943" w:rsidR="005549D6" w:rsidRPr="0084150A" w:rsidRDefault="00B35135" w:rsidP="005549D6">
      <w:pPr>
        <w:pStyle w:val="Citationendoubleretrait"/>
      </w:pPr>
      <w:r>
        <w:t>[</w:t>
      </w:r>
      <w:r w:rsidR="005D25C5" w:rsidRPr="0084150A">
        <w:t>64</w:t>
      </w:r>
      <w:r>
        <w:t>]</w:t>
      </w:r>
      <w:r w:rsidR="005D25C5" w:rsidRPr="0084150A">
        <w:t xml:space="preserve"> The answer to that question lies in a list of factors to be considered:</w:t>
      </w:r>
    </w:p>
    <w:p w14:paraId="2893F47E" w14:textId="0556B9F2" w:rsidR="00B4571D" w:rsidRPr="0084150A" w:rsidRDefault="006E0DFB" w:rsidP="00011936">
      <w:pPr>
        <w:pStyle w:val="Paragraphe"/>
        <w:rPr>
          <w:lang w:val="en-CA"/>
        </w:rPr>
      </w:pPr>
      <w:r w:rsidRPr="0084150A">
        <w:rPr>
          <w:lang w:val="en-CA"/>
        </w:rPr>
        <w:t xml:space="preserve">In Quebec, some of these criteria were used in </w:t>
      </w:r>
      <w:r w:rsidR="005D25C5" w:rsidRPr="0084150A">
        <w:rPr>
          <w:i/>
          <w:iCs/>
          <w:lang w:val="en-CA"/>
        </w:rPr>
        <w:t>Roy</w:t>
      </w:r>
      <w:r w:rsidR="005D25C5" w:rsidRPr="0084150A">
        <w:rPr>
          <w:rStyle w:val="Appelnotedebasdep"/>
          <w:lang w:val="en-CA"/>
        </w:rPr>
        <w:footnoteReference w:id="119"/>
      </w:r>
      <w:r w:rsidR="00B161E0" w:rsidRPr="0084150A">
        <w:rPr>
          <w:i/>
          <w:iCs/>
          <w:lang w:val="en-CA"/>
        </w:rPr>
        <w:t xml:space="preserve"> </w:t>
      </w:r>
      <w:r w:rsidRPr="0084150A">
        <w:rPr>
          <w:lang w:val="en-CA"/>
        </w:rPr>
        <w:t>and</w:t>
      </w:r>
      <w:r w:rsidR="00B161E0" w:rsidRPr="0084150A">
        <w:rPr>
          <w:lang w:val="en-CA"/>
        </w:rPr>
        <w:t xml:space="preserve"> </w:t>
      </w:r>
      <w:r w:rsidR="00B161E0" w:rsidRPr="0084150A">
        <w:rPr>
          <w:i/>
          <w:iCs/>
          <w:lang w:val="en-CA"/>
        </w:rPr>
        <w:t>Caron</w:t>
      </w:r>
      <w:r w:rsidRPr="0084150A">
        <w:rPr>
          <w:i/>
          <w:iCs/>
          <w:lang w:val="en-CA"/>
        </w:rPr>
        <w:t>.</w:t>
      </w:r>
      <w:r w:rsidR="005D25C5" w:rsidRPr="0084150A">
        <w:rPr>
          <w:rStyle w:val="Appelnotedebasdep"/>
          <w:lang w:val="en-CA"/>
        </w:rPr>
        <w:footnoteReference w:id="120"/>
      </w:r>
    </w:p>
    <w:p w14:paraId="290B53F2" w14:textId="1BE7C73B" w:rsidR="00D42FDF" w:rsidRPr="0084150A" w:rsidRDefault="005D25C5" w:rsidP="00D42FDF">
      <w:pPr>
        <w:pStyle w:val="Citationendoubleretrait"/>
        <w:spacing w:before="120" w:after="120"/>
        <w:ind w:left="1236" w:right="851"/>
        <w:rPr>
          <w:sz w:val="24"/>
          <w:szCs w:val="24"/>
          <w:u w:val="single"/>
        </w:rPr>
      </w:pPr>
      <w:r w:rsidRPr="0084150A">
        <w:rPr>
          <w:sz w:val="24"/>
          <w:szCs w:val="24"/>
          <w:u w:val="single"/>
        </w:rPr>
        <w:t xml:space="preserve">(a) </w:t>
      </w:r>
      <w:r w:rsidR="006E0DFB" w:rsidRPr="0084150A">
        <w:rPr>
          <w:sz w:val="24"/>
          <w:szCs w:val="24"/>
          <w:u w:val="single"/>
        </w:rPr>
        <w:t>“</w:t>
      </w:r>
      <w:r w:rsidRPr="0084150A">
        <w:rPr>
          <w:sz w:val="24"/>
          <w:szCs w:val="24"/>
          <w:u w:val="single"/>
        </w:rPr>
        <w:t>What is the relationship between the tipper and tippee? Are they close friends?</w:t>
      </w:r>
      <w:r w:rsidR="006E0DFB" w:rsidRPr="0084150A">
        <w:rPr>
          <w:sz w:val="24"/>
          <w:szCs w:val="24"/>
          <w:u w:val="single"/>
        </w:rPr>
        <w:t>”</w:t>
      </w:r>
    </w:p>
    <w:p w14:paraId="11A5815D" w14:textId="282370E8" w:rsidR="00011936" w:rsidRPr="0084150A" w:rsidRDefault="005549D6" w:rsidP="00011936">
      <w:pPr>
        <w:pStyle w:val="Paragraphe"/>
        <w:rPr>
          <w:lang w:val="en-CA"/>
        </w:rPr>
      </w:pPr>
      <w:r w:rsidRPr="0084150A">
        <w:rPr>
          <w:lang w:val="en-CA"/>
        </w:rPr>
        <w:t xml:space="preserve">Philippe Gauthier </w:t>
      </w:r>
      <w:r w:rsidR="002C1ECA" w:rsidRPr="0084150A">
        <w:rPr>
          <w:lang w:val="en-CA"/>
        </w:rPr>
        <w:t xml:space="preserve">testified during the hearing that Frédéric Racine and he were very close friends, they shared the same passion for cycling, and they were even brothers-in-law for </w:t>
      </w:r>
      <w:r w:rsidR="00B07542">
        <w:rPr>
          <w:lang w:val="en-CA"/>
        </w:rPr>
        <w:t>a while</w:t>
      </w:r>
      <w:r w:rsidR="002C1ECA" w:rsidRPr="0084150A">
        <w:rPr>
          <w:lang w:val="en-CA"/>
        </w:rPr>
        <w:t xml:space="preserve"> because Frédéric Racine </w:t>
      </w:r>
      <w:r w:rsidR="00B07542">
        <w:rPr>
          <w:lang w:val="en-CA"/>
        </w:rPr>
        <w:t>previously dated</w:t>
      </w:r>
      <w:r w:rsidR="002C1ECA" w:rsidRPr="0084150A">
        <w:rPr>
          <w:lang w:val="en-CA"/>
        </w:rPr>
        <w:t xml:space="preserve"> his sister</w:t>
      </w:r>
      <w:r w:rsidRPr="0084150A">
        <w:rPr>
          <w:lang w:val="en-CA"/>
        </w:rPr>
        <w:t xml:space="preserve">. </w:t>
      </w:r>
      <w:r w:rsidR="002C1ECA" w:rsidRPr="0084150A">
        <w:rPr>
          <w:lang w:val="en-CA"/>
        </w:rPr>
        <w:t xml:space="preserve">They </w:t>
      </w:r>
      <w:r w:rsidR="00B07542">
        <w:rPr>
          <w:lang w:val="en-CA"/>
        </w:rPr>
        <w:t>were in touch</w:t>
      </w:r>
      <w:r w:rsidR="002C1ECA" w:rsidRPr="0084150A">
        <w:rPr>
          <w:lang w:val="en-CA"/>
        </w:rPr>
        <w:t xml:space="preserve"> several times a week and, in the fall of 2017, they talked or texted each </w:t>
      </w:r>
      <w:r w:rsidR="002C1ECA" w:rsidRPr="0084150A">
        <w:rPr>
          <w:lang w:val="en-CA"/>
        </w:rPr>
        <w:lastRenderedPageBreak/>
        <w:t>other almost every day</w:t>
      </w:r>
      <w:r w:rsidRPr="0084150A">
        <w:rPr>
          <w:lang w:val="en-CA"/>
        </w:rPr>
        <w:t xml:space="preserve">. </w:t>
      </w:r>
      <w:r w:rsidR="005B50C6" w:rsidRPr="0084150A">
        <w:rPr>
          <w:lang w:val="en-CA"/>
        </w:rPr>
        <w:t>At the time, they saw each other regularly at outings and social events</w:t>
      </w:r>
      <w:r w:rsidRPr="0084150A">
        <w:rPr>
          <w:lang w:val="en-CA"/>
        </w:rPr>
        <w:t xml:space="preserve">. </w:t>
      </w:r>
      <w:r w:rsidR="005B50C6" w:rsidRPr="0084150A">
        <w:rPr>
          <w:lang w:val="en-CA"/>
        </w:rPr>
        <w:t>They often had lunch together</w:t>
      </w:r>
      <w:r w:rsidRPr="0084150A">
        <w:rPr>
          <w:lang w:val="en-CA"/>
        </w:rPr>
        <w:t>.</w:t>
      </w:r>
    </w:p>
    <w:p w14:paraId="1FAEBE01" w14:textId="12783EB7" w:rsidR="00FE3CD1" w:rsidRPr="0084150A" w:rsidRDefault="000976C0" w:rsidP="008517AC">
      <w:pPr>
        <w:pStyle w:val="Citationendoubleretrait"/>
      </w:pPr>
      <w:r w:rsidRPr="0084150A">
        <w:rPr>
          <w:sz w:val="24"/>
          <w:szCs w:val="24"/>
          <w:u w:val="single"/>
        </w:rPr>
        <w:t>“</w:t>
      </w:r>
      <w:r w:rsidR="005D25C5" w:rsidRPr="0084150A">
        <w:rPr>
          <w:sz w:val="24"/>
          <w:szCs w:val="24"/>
          <w:u w:val="single"/>
        </w:rPr>
        <w:t>Do they also have a professional relationship?</w:t>
      </w:r>
      <w:r w:rsidRPr="0084150A">
        <w:rPr>
          <w:sz w:val="24"/>
          <w:szCs w:val="24"/>
          <w:u w:val="single"/>
        </w:rPr>
        <w:t>”</w:t>
      </w:r>
    </w:p>
    <w:p w14:paraId="70E80E6C" w14:textId="04231452" w:rsidR="00A0673D" w:rsidRPr="0084150A" w:rsidRDefault="00360447" w:rsidP="008517AC">
      <w:pPr>
        <w:pStyle w:val="Paragraphe"/>
        <w:rPr>
          <w:lang w:val="en-CA"/>
        </w:rPr>
      </w:pPr>
      <w:r w:rsidRPr="0084150A">
        <w:rPr>
          <w:lang w:val="en-CA"/>
        </w:rPr>
        <w:t xml:space="preserve">Philippe Gauthier </w:t>
      </w:r>
      <w:r w:rsidR="000976C0" w:rsidRPr="0084150A">
        <w:rPr>
          <w:lang w:val="en-CA"/>
        </w:rPr>
        <w:t>and</w:t>
      </w:r>
      <w:r w:rsidRPr="0084150A">
        <w:rPr>
          <w:lang w:val="en-CA"/>
        </w:rPr>
        <w:t xml:space="preserve"> Frédéric Racine </w:t>
      </w:r>
      <w:r w:rsidR="000976C0" w:rsidRPr="0084150A">
        <w:rPr>
          <w:lang w:val="en-CA"/>
        </w:rPr>
        <w:t xml:space="preserve">have a shared passion for </w:t>
      </w:r>
      <w:r w:rsidR="00B07542">
        <w:rPr>
          <w:lang w:val="en-CA"/>
        </w:rPr>
        <w:t xml:space="preserve">investing in </w:t>
      </w:r>
      <w:r w:rsidR="000976C0" w:rsidRPr="0084150A">
        <w:rPr>
          <w:lang w:val="en-CA"/>
        </w:rPr>
        <w:t>both</w:t>
      </w:r>
      <w:r w:rsidR="00B07542">
        <w:rPr>
          <w:lang w:val="en-CA"/>
        </w:rPr>
        <w:t xml:space="preserve"> the</w:t>
      </w:r>
      <w:r w:rsidR="000976C0" w:rsidRPr="0084150A">
        <w:rPr>
          <w:lang w:val="en-CA"/>
        </w:rPr>
        <w:t xml:space="preserve"> </w:t>
      </w:r>
      <w:r w:rsidR="00873EBA">
        <w:rPr>
          <w:lang w:val="en-CA"/>
        </w:rPr>
        <w:t xml:space="preserve">stock market and </w:t>
      </w:r>
      <w:r w:rsidR="000976C0" w:rsidRPr="0084150A">
        <w:rPr>
          <w:lang w:val="en-CA"/>
        </w:rPr>
        <w:t>real estate</w:t>
      </w:r>
      <w:r w:rsidRPr="0084150A">
        <w:rPr>
          <w:lang w:val="en-CA"/>
        </w:rPr>
        <w:t xml:space="preserve">. </w:t>
      </w:r>
      <w:r w:rsidR="000976C0" w:rsidRPr="0084150A">
        <w:rPr>
          <w:lang w:val="en-CA"/>
        </w:rPr>
        <w:t xml:space="preserve">They purchased condominium units </w:t>
      </w:r>
      <w:r w:rsidR="00B07542">
        <w:rPr>
          <w:lang w:val="en-CA"/>
        </w:rPr>
        <w:t>at the same time,</w:t>
      </w:r>
      <w:r w:rsidR="00B07542" w:rsidRPr="0084150A">
        <w:rPr>
          <w:lang w:val="en-CA"/>
        </w:rPr>
        <w:t xml:space="preserve"> </w:t>
      </w:r>
      <w:r w:rsidR="000976C0" w:rsidRPr="0084150A">
        <w:rPr>
          <w:lang w:val="en-CA"/>
        </w:rPr>
        <w:t>in the same building</w:t>
      </w:r>
      <w:r w:rsidR="00B07542">
        <w:rPr>
          <w:lang w:val="en-CA"/>
        </w:rPr>
        <w:t>,</w:t>
      </w:r>
      <w:r w:rsidR="000976C0" w:rsidRPr="0084150A">
        <w:rPr>
          <w:lang w:val="en-CA"/>
        </w:rPr>
        <w:t xml:space="preserve"> a few months before the alleged events</w:t>
      </w:r>
      <w:r w:rsidRPr="0084150A">
        <w:rPr>
          <w:lang w:val="en-CA"/>
        </w:rPr>
        <w:t xml:space="preserve">. </w:t>
      </w:r>
    </w:p>
    <w:p w14:paraId="15678021" w14:textId="394C63E7" w:rsidR="00FE3CD1" w:rsidRPr="0084150A" w:rsidRDefault="005D25C5" w:rsidP="00FE3CD1">
      <w:pPr>
        <w:pStyle w:val="Paragraphe"/>
        <w:rPr>
          <w:lang w:val="en-CA"/>
        </w:rPr>
      </w:pPr>
      <w:r w:rsidRPr="0084150A">
        <w:rPr>
          <w:lang w:val="en-CA"/>
        </w:rPr>
        <w:t xml:space="preserve">Frédéric Racine </w:t>
      </w:r>
      <w:r w:rsidR="00EA1397" w:rsidRPr="0084150A">
        <w:rPr>
          <w:lang w:val="en-CA"/>
        </w:rPr>
        <w:t>admits that he knew that Philippe Gauthier held an important position at LBC. They even met to help their respective professional network.</w:t>
      </w:r>
      <w:r w:rsidRPr="0084150A">
        <w:rPr>
          <w:vertAlign w:val="superscript"/>
          <w:lang w:val="en-CA"/>
        </w:rPr>
        <w:footnoteReference w:id="121"/>
      </w:r>
      <w:r w:rsidRPr="0084150A">
        <w:rPr>
          <w:lang w:val="en-CA"/>
        </w:rPr>
        <w:t xml:space="preserve"> </w:t>
      </w:r>
      <w:r w:rsidR="004833CD" w:rsidRPr="0084150A">
        <w:rPr>
          <w:lang w:val="en-CA"/>
        </w:rPr>
        <w:t xml:space="preserve">Philippe Gauthier’s high-level </w:t>
      </w:r>
      <w:r w:rsidR="00D04F54" w:rsidRPr="0084150A">
        <w:rPr>
          <w:lang w:val="en-CA"/>
        </w:rPr>
        <w:t>functions</w:t>
      </w:r>
      <w:r w:rsidR="004833CD" w:rsidRPr="0084150A">
        <w:rPr>
          <w:lang w:val="en-CA"/>
        </w:rPr>
        <w:t xml:space="preserve"> as senior director, syndication, Quebec and Eastern Canada, at LBC suggest that Frédéric Racine knew that the information that Philippe </w:t>
      </w:r>
      <w:r w:rsidR="0034332F" w:rsidRPr="0084150A">
        <w:rPr>
          <w:lang w:val="en-CA"/>
        </w:rPr>
        <w:t xml:space="preserve">Gauthier disclosed was reliable and came from a person who had acquired privileged information pursuant to section 189(4) of the </w:t>
      </w:r>
      <w:r w:rsidR="0034332F" w:rsidRPr="0084150A">
        <w:rPr>
          <w:i/>
          <w:iCs/>
          <w:lang w:val="en-CA"/>
        </w:rPr>
        <w:t>SA.</w:t>
      </w:r>
      <w:r w:rsidRPr="0084150A">
        <w:rPr>
          <w:lang w:val="en-CA"/>
        </w:rPr>
        <w:t xml:space="preserve"> </w:t>
      </w:r>
    </w:p>
    <w:p w14:paraId="3EAB1DE6" w14:textId="5C935C8A" w:rsidR="00FE3CD1" w:rsidRPr="0084150A" w:rsidRDefault="00D04F54" w:rsidP="00FE3CD1">
      <w:pPr>
        <w:pStyle w:val="Paragraphe"/>
        <w:rPr>
          <w:lang w:val="en-CA"/>
        </w:rPr>
      </w:pPr>
      <w:r w:rsidRPr="0084150A">
        <w:rPr>
          <w:lang w:val="en-CA"/>
        </w:rPr>
        <w:t>The Tribunal has already established that the information regarding the privatization of Napec was reliable</w:t>
      </w:r>
      <w:r w:rsidR="005D25C5" w:rsidRPr="0084150A">
        <w:rPr>
          <w:lang w:val="en-CA"/>
        </w:rPr>
        <w:t xml:space="preserve">. </w:t>
      </w:r>
      <w:r w:rsidRPr="0084150A">
        <w:rPr>
          <w:lang w:val="en-CA"/>
        </w:rPr>
        <w:t xml:space="preserve">However, </w:t>
      </w:r>
      <w:r w:rsidR="009D47F2">
        <w:rPr>
          <w:lang w:val="en-CA"/>
        </w:rPr>
        <w:t>even if</w:t>
      </w:r>
      <w:r w:rsidR="009D47F2" w:rsidRPr="0084150A">
        <w:rPr>
          <w:lang w:val="en-CA"/>
        </w:rPr>
        <w:t xml:space="preserve"> </w:t>
      </w:r>
      <w:r w:rsidRPr="0084150A">
        <w:rPr>
          <w:lang w:val="en-CA"/>
        </w:rPr>
        <w:t>Frédéric Racine denie</w:t>
      </w:r>
      <w:r w:rsidR="000372F3">
        <w:rPr>
          <w:lang w:val="en-CA"/>
        </w:rPr>
        <w:t>d</w:t>
      </w:r>
      <w:r w:rsidRPr="0084150A">
        <w:rPr>
          <w:lang w:val="en-CA"/>
        </w:rPr>
        <w:t xml:space="preserve"> this fact and minimize</w:t>
      </w:r>
      <w:r w:rsidR="000372F3">
        <w:rPr>
          <w:lang w:val="en-CA"/>
        </w:rPr>
        <w:t>d</w:t>
      </w:r>
      <w:r w:rsidRPr="0084150A">
        <w:rPr>
          <w:lang w:val="en-CA"/>
        </w:rPr>
        <w:t xml:space="preserve"> Philippe Gauthier’s position at LBC, he </w:t>
      </w:r>
      <w:r w:rsidR="009D47F2" w:rsidRPr="0084150A">
        <w:rPr>
          <w:lang w:val="en-CA"/>
        </w:rPr>
        <w:t>n</w:t>
      </w:r>
      <w:r w:rsidR="009D47F2">
        <w:rPr>
          <w:lang w:val="en-CA"/>
        </w:rPr>
        <w:t>ever</w:t>
      </w:r>
      <w:r w:rsidR="009D47F2" w:rsidRPr="0084150A">
        <w:rPr>
          <w:lang w:val="en-CA"/>
        </w:rPr>
        <w:t xml:space="preserve">theless </w:t>
      </w:r>
      <w:r w:rsidRPr="0084150A">
        <w:rPr>
          <w:lang w:val="en-CA"/>
        </w:rPr>
        <w:t xml:space="preserve">admitted that he knew that Napec was Philippe Gauthier’s </w:t>
      </w:r>
      <w:proofErr w:type="gramStart"/>
      <w:r w:rsidRPr="0084150A">
        <w:rPr>
          <w:lang w:val="en-CA"/>
        </w:rPr>
        <w:t>client</w:t>
      </w:r>
      <w:proofErr w:type="gramEnd"/>
      <w:r w:rsidRPr="0084150A">
        <w:rPr>
          <w:lang w:val="en-CA"/>
        </w:rPr>
        <w:t xml:space="preserve"> and that Mr. Gauthier acquired the information as a result of his functions at LBC</w:t>
      </w:r>
      <w:r w:rsidR="005D25C5" w:rsidRPr="0084150A">
        <w:rPr>
          <w:lang w:val="en-CA"/>
        </w:rPr>
        <w:t xml:space="preserve">. </w:t>
      </w:r>
      <w:r w:rsidRPr="0084150A">
        <w:rPr>
          <w:lang w:val="en-CA"/>
        </w:rPr>
        <w:t xml:space="preserve">The Tribunal </w:t>
      </w:r>
      <w:r w:rsidR="009D47F2">
        <w:rPr>
          <w:lang w:val="en-CA"/>
        </w:rPr>
        <w:t>notes</w:t>
      </w:r>
      <w:r w:rsidR="009D47F2" w:rsidRPr="0084150A">
        <w:rPr>
          <w:lang w:val="en-CA"/>
        </w:rPr>
        <w:t xml:space="preserve"> </w:t>
      </w:r>
      <w:r w:rsidRPr="0084150A">
        <w:rPr>
          <w:lang w:val="en-CA"/>
        </w:rPr>
        <w:t xml:space="preserve">that Philippe Gauthier’s functions were </w:t>
      </w:r>
      <w:r w:rsidR="00DF5B37" w:rsidRPr="0084150A">
        <w:rPr>
          <w:lang w:val="en-CA"/>
        </w:rPr>
        <w:t>high-level and that they gave him access to specific, sensitive information about his client, Napec. The Tribunal believes that Frédéric Racine had to know that as well</w:t>
      </w:r>
      <w:r w:rsidR="005D25C5" w:rsidRPr="0084150A">
        <w:rPr>
          <w:lang w:val="en-CA"/>
        </w:rPr>
        <w:t>.</w:t>
      </w:r>
    </w:p>
    <w:p w14:paraId="34EFC35D" w14:textId="0B88259F" w:rsidR="00A0673D" w:rsidRPr="0084150A" w:rsidRDefault="00925545" w:rsidP="001E16C6">
      <w:pPr>
        <w:pStyle w:val="Citationendoubleretrait"/>
        <w:rPr>
          <w:sz w:val="24"/>
          <w:szCs w:val="24"/>
          <w:u w:val="single"/>
        </w:rPr>
      </w:pPr>
      <w:r w:rsidRPr="0084150A">
        <w:rPr>
          <w:sz w:val="24"/>
          <w:szCs w:val="24"/>
          <w:u w:val="single"/>
        </w:rPr>
        <w:t>“</w:t>
      </w:r>
      <w:r w:rsidR="005D25C5" w:rsidRPr="0084150A">
        <w:rPr>
          <w:sz w:val="24"/>
          <w:szCs w:val="24"/>
          <w:u w:val="single"/>
        </w:rPr>
        <w:t>Does the tippee know of the trading patterns of the tipper, successes and failures?</w:t>
      </w:r>
      <w:r w:rsidRPr="0084150A">
        <w:rPr>
          <w:sz w:val="24"/>
          <w:szCs w:val="24"/>
          <w:u w:val="single"/>
        </w:rPr>
        <w:t>”</w:t>
      </w:r>
    </w:p>
    <w:p w14:paraId="7B88A757" w14:textId="5E104482" w:rsidR="00A0673D" w:rsidRPr="0084150A" w:rsidRDefault="00840986" w:rsidP="001E16C6">
      <w:pPr>
        <w:pStyle w:val="Paragraphe"/>
        <w:rPr>
          <w:lang w:val="en-CA"/>
        </w:rPr>
      </w:pPr>
      <w:r w:rsidRPr="0084150A">
        <w:rPr>
          <w:lang w:val="en-CA"/>
        </w:rPr>
        <w:t xml:space="preserve">Philippe Gauthier and Frédéric Racine told the Tribunal that they </w:t>
      </w:r>
      <w:r w:rsidR="009D47F2">
        <w:rPr>
          <w:lang w:val="en-CA"/>
        </w:rPr>
        <w:t>discussed</w:t>
      </w:r>
      <w:r w:rsidRPr="0084150A">
        <w:rPr>
          <w:lang w:val="en-CA"/>
        </w:rPr>
        <w:t xml:space="preserve"> their investments</w:t>
      </w:r>
      <w:r w:rsidR="009D47F2">
        <w:rPr>
          <w:lang w:val="en-CA"/>
        </w:rPr>
        <w:t xml:space="preserve"> a great deal</w:t>
      </w:r>
      <w:r w:rsidRPr="0084150A">
        <w:rPr>
          <w:lang w:val="en-CA"/>
        </w:rPr>
        <w:t>. They also shared</w:t>
      </w:r>
      <w:r w:rsidR="009D47F2">
        <w:rPr>
          <w:lang w:val="en-CA"/>
        </w:rPr>
        <w:t xml:space="preserve"> an</w:t>
      </w:r>
      <w:r w:rsidRPr="0084150A">
        <w:rPr>
          <w:lang w:val="en-CA"/>
        </w:rPr>
        <w:t xml:space="preserve"> interest in several companies in which they had acquired shares</w:t>
      </w:r>
      <w:r w:rsidR="00AF128A" w:rsidRPr="0084150A">
        <w:rPr>
          <w:lang w:val="en-CA"/>
        </w:rPr>
        <w:t xml:space="preserve">. </w:t>
      </w:r>
      <w:r w:rsidRPr="0084150A">
        <w:rPr>
          <w:lang w:val="en-CA"/>
        </w:rPr>
        <w:t xml:space="preserve">The Tribunal refers more specifically to the </w:t>
      </w:r>
      <w:proofErr w:type="gramStart"/>
      <w:r w:rsidRPr="0084150A">
        <w:rPr>
          <w:lang w:val="en-CA"/>
        </w:rPr>
        <w:t>investors</w:t>
      </w:r>
      <w:proofErr w:type="gramEnd"/>
      <w:r w:rsidRPr="0084150A">
        <w:rPr>
          <w:lang w:val="en-CA"/>
        </w:rPr>
        <w:t xml:space="preserve"> discussion group created by Philippe Gauthier with respect to</w:t>
      </w:r>
      <w:r w:rsidR="009D47F2">
        <w:rPr>
          <w:lang w:val="en-CA"/>
        </w:rPr>
        <w:t xml:space="preserve"> Pharmacielo</w:t>
      </w:r>
      <w:r w:rsidRPr="0084150A">
        <w:rPr>
          <w:lang w:val="en-CA"/>
        </w:rPr>
        <w:t>.</w:t>
      </w:r>
      <w:r w:rsidR="005D25C5" w:rsidRPr="0084150A">
        <w:rPr>
          <w:rStyle w:val="Appelnotedebasdep"/>
          <w:lang w:val="en-CA"/>
        </w:rPr>
        <w:footnoteReference w:id="122"/>
      </w:r>
    </w:p>
    <w:p w14:paraId="4ACF837B" w14:textId="3E61E9AF" w:rsidR="00A0673D" w:rsidRPr="0084150A" w:rsidRDefault="00840986" w:rsidP="001E16C6">
      <w:pPr>
        <w:pStyle w:val="Citationendoubleretrait"/>
        <w:rPr>
          <w:sz w:val="24"/>
          <w:szCs w:val="24"/>
          <w:u w:val="single"/>
        </w:rPr>
      </w:pPr>
      <w:r w:rsidRPr="0084150A">
        <w:rPr>
          <w:sz w:val="24"/>
          <w:szCs w:val="24"/>
          <w:u w:val="single"/>
        </w:rPr>
        <w:t>“</w:t>
      </w:r>
      <w:r w:rsidR="005D25C5" w:rsidRPr="0084150A">
        <w:rPr>
          <w:sz w:val="24"/>
          <w:szCs w:val="24"/>
          <w:u w:val="single"/>
        </w:rPr>
        <w:t>(b) What is the professional qualification and standing of the tipper? Is he a lawyer, businessman, accountant, banker, investment adviser? Does the tipper have a position which puts him in a milieu where transactions are discussed?</w:t>
      </w:r>
      <w:r w:rsidRPr="0084150A">
        <w:rPr>
          <w:sz w:val="24"/>
          <w:szCs w:val="24"/>
          <w:u w:val="single"/>
        </w:rPr>
        <w:t>”</w:t>
      </w:r>
    </w:p>
    <w:p w14:paraId="49513827" w14:textId="010FFB08" w:rsidR="00A0673D" w:rsidRPr="0084150A" w:rsidRDefault="00621BF7" w:rsidP="001E16C6">
      <w:pPr>
        <w:pStyle w:val="Paragraphe"/>
        <w:rPr>
          <w:lang w:val="en-CA"/>
        </w:rPr>
      </w:pPr>
      <w:r w:rsidRPr="0084150A">
        <w:rPr>
          <w:lang w:val="en-CA"/>
        </w:rPr>
        <w:t>Philippe Gauthier was an MBA CPA-CMA and senior director, syndication, Quebec and Eastern Canada, at LBC. In that role, he had clients for which he was responsible</w:t>
      </w:r>
      <w:r w:rsidR="003D1F0B" w:rsidRPr="0084150A">
        <w:rPr>
          <w:lang w:val="en-CA"/>
        </w:rPr>
        <w:t xml:space="preserve">. </w:t>
      </w:r>
      <w:r w:rsidRPr="0084150A">
        <w:rPr>
          <w:lang w:val="en-CA"/>
        </w:rPr>
        <w:t xml:space="preserve">By reason of his functions, he also had access to specific, sensitive information about businesses and their transactions, including </w:t>
      </w:r>
      <w:r w:rsidR="00CD298F">
        <w:rPr>
          <w:lang w:val="en-CA"/>
        </w:rPr>
        <w:t xml:space="preserve">about </w:t>
      </w:r>
      <w:r w:rsidRPr="0084150A">
        <w:rPr>
          <w:lang w:val="en-CA"/>
        </w:rPr>
        <w:t>reporting issuers such as Napec</w:t>
      </w:r>
      <w:r w:rsidR="003D1F0B" w:rsidRPr="0084150A">
        <w:rPr>
          <w:lang w:val="en-CA"/>
        </w:rPr>
        <w:t>.</w:t>
      </w:r>
    </w:p>
    <w:p w14:paraId="04A8F430" w14:textId="3FF98703" w:rsidR="00A0673D" w:rsidRPr="0084150A" w:rsidRDefault="00FE7E1E" w:rsidP="001E16C6">
      <w:pPr>
        <w:pStyle w:val="Citationendoubleretrait"/>
        <w:rPr>
          <w:sz w:val="24"/>
          <w:szCs w:val="24"/>
          <w:u w:val="single"/>
        </w:rPr>
      </w:pPr>
      <w:r w:rsidRPr="0084150A">
        <w:rPr>
          <w:sz w:val="24"/>
          <w:szCs w:val="24"/>
          <w:u w:val="single"/>
        </w:rPr>
        <w:t>“</w:t>
      </w:r>
      <w:r w:rsidR="005D25C5" w:rsidRPr="0084150A">
        <w:rPr>
          <w:sz w:val="24"/>
          <w:szCs w:val="24"/>
          <w:u w:val="single"/>
        </w:rPr>
        <w:t xml:space="preserve">(c) What is the professional qualification of the tippee? Is he an investment adviser, investment banker, lawyer, businessman, accountant, etc.? Does his profession or position put him in a position to know he cannot take advantage of confidential information and </w:t>
      </w:r>
      <w:r w:rsidR="005D25C5" w:rsidRPr="0084150A">
        <w:rPr>
          <w:sz w:val="24"/>
          <w:szCs w:val="24"/>
          <w:u w:val="single"/>
        </w:rPr>
        <w:lastRenderedPageBreak/>
        <w:t xml:space="preserve">therefore a higher standard of alertness is expected of him than from a member of the </w:t>
      </w:r>
      <w:proofErr w:type="gramStart"/>
      <w:r w:rsidR="005D25C5" w:rsidRPr="0084150A">
        <w:rPr>
          <w:sz w:val="24"/>
          <w:szCs w:val="24"/>
          <w:u w:val="single"/>
        </w:rPr>
        <w:t>general public</w:t>
      </w:r>
      <w:proofErr w:type="gramEnd"/>
      <w:r w:rsidR="005D25C5" w:rsidRPr="0084150A">
        <w:rPr>
          <w:sz w:val="24"/>
          <w:szCs w:val="24"/>
          <w:u w:val="single"/>
        </w:rPr>
        <w:t>?</w:t>
      </w:r>
      <w:r w:rsidRPr="0084150A">
        <w:rPr>
          <w:sz w:val="24"/>
          <w:szCs w:val="24"/>
          <w:u w:val="single"/>
        </w:rPr>
        <w:t>”</w:t>
      </w:r>
    </w:p>
    <w:p w14:paraId="6A17DF3C" w14:textId="27AC522C" w:rsidR="008A0898" w:rsidRPr="0084150A" w:rsidRDefault="00962403" w:rsidP="00B30C9E">
      <w:pPr>
        <w:pStyle w:val="Paragraphe"/>
        <w:rPr>
          <w:lang w:val="en-CA"/>
        </w:rPr>
      </w:pPr>
      <w:r w:rsidRPr="0084150A">
        <w:rPr>
          <w:lang w:val="en-CA"/>
        </w:rPr>
        <w:t xml:space="preserve">Frédéric Racine </w:t>
      </w:r>
      <w:r w:rsidR="00FB57B7" w:rsidRPr="0084150A">
        <w:rPr>
          <w:lang w:val="en-CA"/>
        </w:rPr>
        <w:t>is an accountant and holds the CPA title</w:t>
      </w:r>
      <w:r w:rsidRPr="0084150A">
        <w:rPr>
          <w:lang w:val="en-CA"/>
        </w:rPr>
        <w:t xml:space="preserve">. </w:t>
      </w:r>
      <w:r w:rsidR="008622E2" w:rsidRPr="0084150A">
        <w:rPr>
          <w:lang w:val="en-CA"/>
        </w:rPr>
        <w:t xml:space="preserve">He worked for a public pharmaceutical </w:t>
      </w:r>
      <w:r w:rsidR="00FD1C2A" w:rsidRPr="0084150A">
        <w:rPr>
          <w:lang w:val="en-CA"/>
        </w:rPr>
        <w:t>corporation</w:t>
      </w:r>
      <w:r w:rsidRPr="0084150A">
        <w:rPr>
          <w:lang w:val="en-CA"/>
        </w:rPr>
        <w:t xml:space="preserve">. </w:t>
      </w:r>
      <w:r w:rsidR="008622E2" w:rsidRPr="0084150A">
        <w:rPr>
          <w:lang w:val="en-CA"/>
        </w:rPr>
        <w:t>At the time of the events, he held a position as director of finance as part of a major infrastructure project</w:t>
      </w:r>
      <w:r w:rsidRPr="0084150A">
        <w:rPr>
          <w:lang w:val="en-CA"/>
        </w:rPr>
        <w:t xml:space="preserve">. </w:t>
      </w:r>
      <w:r w:rsidR="00546887" w:rsidRPr="0084150A">
        <w:rPr>
          <w:lang w:val="en-CA"/>
        </w:rPr>
        <w:t xml:space="preserve">As previously </w:t>
      </w:r>
      <w:r w:rsidR="00AC6FDA">
        <w:rPr>
          <w:lang w:val="en-CA"/>
        </w:rPr>
        <w:t>stated</w:t>
      </w:r>
      <w:r w:rsidR="00546887" w:rsidRPr="0084150A">
        <w:rPr>
          <w:lang w:val="en-CA"/>
        </w:rPr>
        <w:t>, he ha</w:t>
      </w:r>
      <w:r w:rsidR="00AC6FDA">
        <w:rPr>
          <w:lang w:val="en-CA"/>
        </w:rPr>
        <w:t>s</w:t>
      </w:r>
      <w:r w:rsidR="00546887" w:rsidRPr="0084150A">
        <w:rPr>
          <w:lang w:val="en-CA"/>
        </w:rPr>
        <w:t xml:space="preserve"> significant experience in the stock markets. Moreover, a CPA is a professional who </w:t>
      </w:r>
      <w:r w:rsidR="009069DB">
        <w:rPr>
          <w:lang w:val="en-CA"/>
        </w:rPr>
        <w:t>is familiar with</w:t>
      </w:r>
      <w:r w:rsidR="00546887" w:rsidRPr="0084150A">
        <w:rPr>
          <w:lang w:val="en-CA"/>
        </w:rPr>
        <w:t xml:space="preserve"> finance and has ethical obligations</w:t>
      </w:r>
      <w:r w:rsidRPr="0084150A">
        <w:rPr>
          <w:lang w:val="en-CA"/>
        </w:rPr>
        <w:t xml:space="preserve">. </w:t>
      </w:r>
      <w:proofErr w:type="gramStart"/>
      <w:r w:rsidR="00F1555C" w:rsidRPr="0084150A">
        <w:rPr>
          <w:lang w:val="en-CA"/>
        </w:rPr>
        <w:t>In light of</w:t>
      </w:r>
      <w:proofErr w:type="gramEnd"/>
      <w:r w:rsidR="00F1555C" w:rsidRPr="0084150A">
        <w:rPr>
          <w:lang w:val="en-CA"/>
        </w:rPr>
        <w:t xml:space="preserve"> this, Frédéric Racine should have been aware of the</w:t>
      </w:r>
      <w:r w:rsidR="00AC6FDA">
        <w:rPr>
          <w:lang w:val="en-CA"/>
        </w:rPr>
        <w:t xml:space="preserve"> prohibitions on the</w:t>
      </w:r>
      <w:r w:rsidR="00F1555C" w:rsidRPr="0084150A">
        <w:rPr>
          <w:lang w:val="en-CA"/>
        </w:rPr>
        <w:t xml:space="preserve"> use of privileged information </w:t>
      </w:r>
      <w:r w:rsidR="00DC16E3" w:rsidRPr="0084150A">
        <w:rPr>
          <w:lang w:val="en-CA"/>
        </w:rPr>
        <w:t>even more so than the general public</w:t>
      </w:r>
      <w:r w:rsidR="00AC6FDA">
        <w:rPr>
          <w:lang w:val="en-CA"/>
        </w:rPr>
        <w:t>, especially because in the past, he had worked for a public corporation</w:t>
      </w:r>
      <w:r w:rsidR="00DC16E3" w:rsidRPr="0084150A">
        <w:rPr>
          <w:lang w:val="en-CA"/>
        </w:rPr>
        <w:t xml:space="preserve">. </w:t>
      </w:r>
      <w:r w:rsidR="004643AB" w:rsidRPr="0084150A">
        <w:rPr>
          <w:lang w:val="en-CA"/>
        </w:rPr>
        <w:t xml:space="preserve">In </w:t>
      </w:r>
      <w:r w:rsidR="00AC6FDA">
        <w:rPr>
          <w:lang w:val="en-CA"/>
        </w:rPr>
        <w:t>fact</w:t>
      </w:r>
      <w:r w:rsidR="004643AB" w:rsidRPr="0084150A">
        <w:rPr>
          <w:lang w:val="en-CA"/>
        </w:rPr>
        <w:t xml:space="preserve">, the Tribunal recalls that, during his examination by the Authority’s investigators, Frédéric Racine admitted that he knew the </w:t>
      </w:r>
      <w:r w:rsidR="00AC6FDA">
        <w:rPr>
          <w:lang w:val="en-CA"/>
        </w:rPr>
        <w:t>broad strokes</w:t>
      </w:r>
      <w:r w:rsidR="004643AB" w:rsidRPr="0084150A">
        <w:rPr>
          <w:lang w:val="en-CA"/>
        </w:rPr>
        <w:t xml:space="preserve"> of insider trading</w:t>
      </w:r>
      <w:r w:rsidRPr="0084150A">
        <w:rPr>
          <w:lang w:val="en-CA"/>
        </w:rPr>
        <w:t>.</w:t>
      </w:r>
    </w:p>
    <w:p w14:paraId="2110B42C" w14:textId="2185E9E9" w:rsidR="00A0673D" w:rsidRPr="0084150A" w:rsidRDefault="00E5416C" w:rsidP="001E16C6">
      <w:pPr>
        <w:pStyle w:val="Citationendoubleretrait"/>
        <w:rPr>
          <w:sz w:val="24"/>
          <w:szCs w:val="24"/>
          <w:u w:val="single"/>
        </w:rPr>
      </w:pPr>
      <w:r w:rsidRPr="0084150A">
        <w:rPr>
          <w:sz w:val="24"/>
          <w:szCs w:val="24"/>
          <w:u w:val="single"/>
        </w:rPr>
        <w:t>“</w:t>
      </w:r>
      <w:r w:rsidR="005D25C5" w:rsidRPr="0084150A">
        <w:rPr>
          <w:sz w:val="24"/>
          <w:szCs w:val="24"/>
          <w:u w:val="single"/>
        </w:rPr>
        <w:t>(d) How detailed and specific is the MNPI? Is it general such as X Co. is “in play”? Or is it more detailed in that the MNPI includes information that a takeover is occurring and/or information about price, structure and timing?</w:t>
      </w:r>
      <w:r w:rsidRPr="0084150A">
        <w:rPr>
          <w:sz w:val="24"/>
          <w:szCs w:val="24"/>
          <w:u w:val="single"/>
        </w:rPr>
        <w:t>”</w:t>
      </w:r>
    </w:p>
    <w:p w14:paraId="1DD95A4B" w14:textId="53D31124" w:rsidR="00FD3AEC" w:rsidRPr="0084150A" w:rsidRDefault="00E5416C" w:rsidP="001E16C6">
      <w:pPr>
        <w:pStyle w:val="Paragraphe"/>
        <w:rPr>
          <w:lang w:val="en-CA"/>
        </w:rPr>
      </w:pPr>
      <w:r w:rsidRPr="0084150A">
        <w:rPr>
          <w:lang w:val="en-CA"/>
        </w:rPr>
        <w:t xml:space="preserve">The information that Philippe Gauthier had was not </w:t>
      </w:r>
      <w:r w:rsidR="00991965">
        <w:rPr>
          <w:lang w:val="en-CA"/>
        </w:rPr>
        <w:t xml:space="preserve">as </w:t>
      </w:r>
      <w:r w:rsidRPr="0084150A">
        <w:rPr>
          <w:lang w:val="en-CA"/>
        </w:rPr>
        <w:t xml:space="preserve">general as simply knowing that Napec was considering a potential sale offer. As </w:t>
      </w:r>
      <w:r w:rsidR="00991965">
        <w:rPr>
          <w:lang w:val="en-CA"/>
        </w:rPr>
        <w:t>of</w:t>
      </w:r>
      <w:r w:rsidRPr="0084150A">
        <w:rPr>
          <w:lang w:val="en-CA"/>
        </w:rPr>
        <w:t xml:space="preserve"> November 3, 2017, Philippe Gauthier was aware of the </w:t>
      </w:r>
      <w:r w:rsidR="00991965">
        <w:rPr>
          <w:lang w:val="en-CA"/>
        </w:rPr>
        <w:t>T</w:t>
      </w:r>
      <w:r w:rsidRPr="0084150A">
        <w:rPr>
          <w:lang w:val="en-CA"/>
        </w:rPr>
        <w:t xml:space="preserve">ransaction and that </w:t>
      </w:r>
      <w:r w:rsidR="00AF58F6" w:rsidRPr="0084150A">
        <w:rPr>
          <w:lang w:val="en-CA"/>
        </w:rPr>
        <w:t>negotiations were very advanced to the extent that amendments to the syndicated credit agreement were required</w:t>
      </w:r>
      <w:r w:rsidR="005D25C5" w:rsidRPr="0084150A">
        <w:rPr>
          <w:lang w:val="en-CA"/>
        </w:rPr>
        <w:t xml:space="preserve">. </w:t>
      </w:r>
      <w:r w:rsidR="00AF58F6" w:rsidRPr="0084150A">
        <w:rPr>
          <w:lang w:val="en-CA"/>
        </w:rPr>
        <w:t xml:space="preserve">On November 7, 2017, Philippe Gauthier knew that negotiations between Oaktree and Napec had started several months </w:t>
      </w:r>
      <w:r w:rsidR="00991965">
        <w:rPr>
          <w:lang w:val="en-CA"/>
        </w:rPr>
        <w:t>earlier</w:t>
      </w:r>
      <w:r w:rsidR="00991965" w:rsidRPr="0084150A">
        <w:rPr>
          <w:lang w:val="en-CA"/>
        </w:rPr>
        <w:t xml:space="preserve"> </w:t>
      </w:r>
      <w:r w:rsidR="00AF58F6" w:rsidRPr="0084150A">
        <w:rPr>
          <w:lang w:val="en-CA"/>
        </w:rPr>
        <w:t>and that a</w:t>
      </w:r>
      <w:r w:rsidR="008B3F97">
        <w:rPr>
          <w:lang w:val="en-CA"/>
        </w:rPr>
        <w:t>n acquisition</w:t>
      </w:r>
      <w:r w:rsidR="00AF58F6" w:rsidRPr="0084150A">
        <w:rPr>
          <w:lang w:val="en-CA"/>
        </w:rPr>
        <w:t xml:space="preserve"> price had even been agreed upon</w:t>
      </w:r>
      <w:r w:rsidR="005D25C5" w:rsidRPr="0084150A">
        <w:rPr>
          <w:lang w:val="en-CA"/>
        </w:rPr>
        <w:t xml:space="preserve">. </w:t>
      </w:r>
      <w:r w:rsidR="00A068F2" w:rsidRPr="0084150A">
        <w:rPr>
          <w:lang w:val="en-CA"/>
        </w:rPr>
        <w:t xml:space="preserve">Philippe Gauthier was also aware of the terms and conditions of the </w:t>
      </w:r>
      <w:r w:rsidR="00991965">
        <w:rPr>
          <w:lang w:val="en-CA"/>
        </w:rPr>
        <w:t>T</w:t>
      </w:r>
      <w:r w:rsidR="00A068F2" w:rsidRPr="0084150A">
        <w:rPr>
          <w:lang w:val="en-CA"/>
        </w:rPr>
        <w:t>ransaction at that moment</w:t>
      </w:r>
      <w:r w:rsidR="005D25C5" w:rsidRPr="0084150A">
        <w:rPr>
          <w:lang w:val="en-CA"/>
        </w:rPr>
        <w:t xml:space="preserve">. </w:t>
      </w:r>
      <w:r w:rsidR="00A068F2" w:rsidRPr="0084150A">
        <w:rPr>
          <w:lang w:val="en-CA"/>
        </w:rPr>
        <w:t xml:space="preserve">He knew that the </w:t>
      </w:r>
      <w:r w:rsidR="00991965">
        <w:rPr>
          <w:lang w:val="en-CA"/>
        </w:rPr>
        <w:t>T</w:t>
      </w:r>
      <w:r w:rsidR="00A068F2" w:rsidRPr="0084150A">
        <w:rPr>
          <w:lang w:val="en-CA"/>
        </w:rPr>
        <w:t>ransaction was imminent because there was an urgent need for the members of the syndicate of lenders to approve the amendments to the syndicated credit agreement so that the change of control of Napec would not constitute an event of default</w:t>
      </w:r>
      <w:r w:rsidR="005D25C5" w:rsidRPr="0084150A">
        <w:rPr>
          <w:lang w:val="en-CA"/>
        </w:rPr>
        <w:t xml:space="preserve">. </w:t>
      </w:r>
    </w:p>
    <w:p w14:paraId="695D4455" w14:textId="7120B014" w:rsidR="00A0673D" w:rsidRPr="0084150A" w:rsidRDefault="00752B7F" w:rsidP="001E16C6">
      <w:pPr>
        <w:pStyle w:val="Paragraphe"/>
        <w:rPr>
          <w:lang w:val="en-CA"/>
        </w:rPr>
      </w:pPr>
      <w:r w:rsidRPr="0084150A">
        <w:rPr>
          <w:lang w:val="en-CA"/>
        </w:rPr>
        <w:t>As with Vincent Pouliot, the mere fact of telling Frédéric Racine that a major transaction regarding Napec was going to occur and that it would be profitable is sufficient to establish that Frédéric Racine could rely on that information</w:t>
      </w:r>
      <w:r w:rsidR="00FD3AEC" w:rsidRPr="0084150A">
        <w:rPr>
          <w:lang w:val="en-CA"/>
        </w:rPr>
        <w:t xml:space="preserve">. </w:t>
      </w:r>
    </w:p>
    <w:p w14:paraId="15A132EB" w14:textId="3170DEED" w:rsidR="00A0673D" w:rsidRPr="0084150A" w:rsidRDefault="00752B7F" w:rsidP="001E16C6">
      <w:pPr>
        <w:pStyle w:val="Citationendoubleretrait"/>
        <w:rPr>
          <w:sz w:val="24"/>
          <w:szCs w:val="24"/>
          <w:u w:val="single"/>
        </w:rPr>
      </w:pPr>
      <w:r w:rsidRPr="0084150A">
        <w:rPr>
          <w:sz w:val="24"/>
          <w:szCs w:val="24"/>
          <w:u w:val="single"/>
        </w:rPr>
        <w:t>“</w:t>
      </w:r>
      <w:r w:rsidR="005D25C5" w:rsidRPr="0084150A">
        <w:rPr>
          <w:sz w:val="24"/>
          <w:szCs w:val="24"/>
          <w:u w:val="single"/>
        </w:rPr>
        <w:t xml:space="preserve">(e) How long after he receives the MNPI does he trade? Does a very short </w:t>
      </w:r>
      <w:proofErr w:type="gramStart"/>
      <w:r w:rsidR="005D25C5" w:rsidRPr="0084150A">
        <w:rPr>
          <w:sz w:val="24"/>
          <w:szCs w:val="24"/>
          <w:u w:val="single"/>
        </w:rPr>
        <w:t>period of time</w:t>
      </w:r>
      <w:proofErr w:type="gramEnd"/>
      <w:r w:rsidR="005D25C5" w:rsidRPr="0084150A">
        <w:rPr>
          <w:sz w:val="24"/>
          <w:szCs w:val="24"/>
          <w:u w:val="single"/>
        </w:rPr>
        <w:t xml:space="preserve"> give rise to the inference that the MNPI is more likely to have originated from a knowledgeable person?</w:t>
      </w:r>
      <w:r w:rsidRPr="0084150A">
        <w:rPr>
          <w:sz w:val="24"/>
          <w:szCs w:val="24"/>
          <w:u w:val="single"/>
        </w:rPr>
        <w:t>”</w:t>
      </w:r>
    </w:p>
    <w:p w14:paraId="64867219" w14:textId="63698982" w:rsidR="00A0673D" w:rsidRPr="0084150A" w:rsidRDefault="00852AFF" w:rsidP="001E16C6">
      <w:pPr>
        <w:pStyle w:val="Paragraphe"/>
        <w:rPr>
          <w:lang w:val="en-CA"/>
        </w:rPr>
      </w:pPr>
      <w:r w:rsidRPr="0084150A">
        <w:rPr>
          <w:lang w:val="en-CA"/>
        </w:rPr>
        <w:t>The evidence shows that Frédéric Racine purchased shares of Napec in the hour following his lunch with Philippe Gauthier</w:t>
      </w:r>
      <w:r w:rsidR="005D25C5" w:rsidRPr="0084150A">
        <w:rPr>
          <w:vertAlign w:val="superscript"/>
          <w:lang w:val="en-CA"/>
        </w:rPr>
        <w:footnoteReference w:id="123"/>
      </w:r>
      <w:r w:rsidR="005D25C5" w:rsidRPr="0084150A">
        <w:rPr>
          <w:lang w:val="en-CA"/>
        </w:rPr>
        <w:t xml:space="preserve"> </w:t>
      </w:r>
      <w:r w:rsidRPr="0084150A">
        <w:rPr>
          <w:lang w:val="en-CA"/>
        </w:rPr>
        <w:t>on November 7, 2017</w:t>
      </w:r>
      <w:r w:rsidR="005D25C5" w:rsidRPr="0084150A">
        <w:rPr>
          <w:lang w:val="en-CA"/>
        </w:rPr>
        <w:t>.</w:t>
      </w:r>
    </w:p>
    <w:p w14:paraId="24898905" w14:textId="5A495B3A" w:rsidR="00A0673D" w:rsidRPr="0084150A" w:rsidRDefault="00491F8A" w:rsidP="001E16C6">
      <w:pPr>
        <w:pStyle w:val="Citationendoubleretrait"/>
        <w:rPr>
          <w:sz w:val="24"/>
          <w:szCs w:val="24"/>
          <w:u w:val="single"/>
        </w:rPr>
      </w:pPr>
      <w:r w:rsidRPr="0084150A">
        <w:rPr>
          <w:sz w:val="24"/>
          <w:szCs w:val="24"/>
          <w:u w:val="single"/>
        </w:rPr>
        <w:t>“</w:t>
      </w:r>
      <w:r w:rsidR="005D25C5" w:rsidRPr="0084150A">
        <w:rPr>
          <w:sz w:val="24"/>
          <w:szCs w:val="24"/>
          <w:u w:val="single"/>
        </w:rPr>
        <w:t>(f) What intermediate steps before trading does the tippee take, if any, to verify the information received? Does the absence of any independent verification suggest a belief on the part of the tippee that the MNPI originated with a knowledgeable person?</w:t>
      </w:r>
      <w:r w:rsidRPr="0084150A">
        <w:rPr>
          <w:sz w:val="24"/>
          <w:szCs w:val="24"/>
          <w:u w:val="single"/>
        </w:rPr>
        <w:t>”</w:t>
      </w:r>
    </w:p>
    <w:p w14:paraId="78619FF3" w14:textId="05C8226D" w:rsidR="009D21D6" w:rsidRPr="0084150A" w:rsidRDefault="00293B53" w:rsidP="009D21D6">
      <w:pPr>
        <w:pStyle w:val="Paragraphe"/>
        <w:rPr>
          <w:lang w:val="en-CA"/>
        </w:rPr>
      </w:pPr>
      <w:r w:rsidRPr="0084150A">
        <w:rPr>
          <w:lang w:val="en-CA"/>
        </w:rPr>
        <w:lastRenderedPageBreak/>
        <w:t>According to a screenshot,</w:t>
      </w:r>
      <w:r w:rsidR="005D25C5" w:rsidRPr="0084150A">
        <w:rPr>
          <w:vertAlign w:val="superscript"/>
          <w:lang w:val="en-CA"/>
        </w:rPr>
        <w:footnoteReference w:id="124"/>
      </w:r>
      <w:r w:rsidR="005D25C5" w:rsidRPr="0084150A">
        <w:rPr>
          <w:lang w:val="en-CA"/>
        </w:rPr>
        <w:t xml:space="preserve"> Frédéric Racine </w:t>
      </w:r>
      <w:r w:rsidRPr="0084150A">
        <w:rPr>
          <w:lang w:val="en-CA"/>
        </w:rPr>
        <w:t>allegedly made inquiries shortly after he purchased shares of Napec on November 7, 2017, and not before</w:t>
      </w:r>
      <w:r w:rsidR="005D25C5" w:rsidRPr="0084150A">
        <w:rPr>
          <w:lang w:val="en-CA"/>
        </w:rPr>
        <w:t xml:space="preserve">. </w:t>
      </w:r>
      <w:r w:rsidRPr="0084150A">
        <w:rPr>
          <w:lang w:val="en-CA"/>
        </w:rPr>
        <w:t>However, the short period between the lunch with Philippe Gauthier and his initial purchases shows that Frédéric Racine relied on the information that Philippe Gauthier disclosed to him</w:t>
      </w:r>
      <w:r w:rsidR="005D25C5" w:rsidRPr="0084150A">
        <w:rPr>
          <w:lang w:val="en-CA"/>
        </w:rPr>
        <w:t xml:space="preserve">. </w:t>
      </w:r>
      <w:r w:rsidRPr="0084150A">
        <w:rPr>
          <w:lang w:val="en-CA"/>
        </w:rPr>
        <w:t xml:space="preserve">What triggered Frédéric Racine to purchase </w:t>
      </w:r>
      <w:r w:rsidR="001726C3" w:rsidRPr="0084150A">
        <w:rPr>
          <w:lang w:val="en-CA"/>
        </w:rPr>
        <w:t xml:space="preserve">shares of Napec was Philippe Gauthier’s recommendation to purchase securities of Napec and the privileged information that </w:t>
      </w:r>
      <w:r w:rsidR="00BE54CC" w:rsidRPr="0084150A">
        <w:rPr>
          <w:lang w:val="en-CA"/>
        </w:rPr>
        <w:t xml:space="preserve">he </w:t>
      </w:r>
      <w:r w:rsidR="001726C3" w:rsidRPr="0084150A">
        <w:rPr>
          <w:lang w:val="en-CA"/>
        </w:rPr>
        <w:t xml:space="preserve">disclosed to </w:t>
      </w:r>
      <w:r w:rsidR="00BE54CC" w:rsidRPr="0084150A">
        <w:rPr>
          <w:lang w:val="en-CA"/>
        </w:rPr>
        <w:t>Mr. Racine</w:t>
      </w:r>
      <w:r w:rsidR="005D25C5" w:rsidRPr="0084150A">
        <w:rPr>
          <w:lang w:val="en-CA"/>
        </w:rPr>
        <w:t>.</w:t>
      </w:r>
    </w:p>
    <w:p w14:paraId="1962C236" w14:textId="5C934D68" w:rsidR="00A0673D" w:rsidRPr="0084150A" w:rsidRDefault="00BE54CC" w:rsidP="009D21D6">
      <w:pPr>
        <w:pStyle w:val="Citationendoubleretrait"/>
        <w:rPr>
          <w:sz w:val="24"/>
          <w:szCs w:val="24"/>
          <w:u w:val="single"/>
        </w:rPr>
      </w:pPr>
      <w:r w:rsidRPr="0084150A">
        <w:rPr>
          <w:sz w:val="24"/>
          <w:szCs w:val="24"/>
          <w:u w:val="single"/>
        </w:rPr>
        <w:t>“</w:t>
      </w:r>
      <w:r w:rsidR="005D25C5" w:rsidRPr="0084150A">
        <w:rPr>
          <w:sz w:val="24"/>
          <w:szCs w:val="24"/>
          <w:u w:val="single"/>
        </w:rPr>
        <w:t>(g) Has the tippee ever owned the particular stock before?</w:t>
      </w:r>
      <w:r w:rsidRPr="0084150A">
        <w:rPr>
          <w:sz w:val="24"/>
          <w:szCs w:val="24"/>
          <w:u w:val="single"/>
        </w:rPr>
        <w:t>”</w:t>
      </w:r>
    </w:p>
    <w:p w14:paraId="1F6D2568" w14:textId="2D2B19AA" w:rsidR="00A0673D" w:rsidRPr="0084150A" w:rsidRDefault="00257808" w:rsidP="001E16C6">
      <w:pPr>
        <w:pStyle w:val="Paragraphe"/>
        <w:rPr>
          <w:lang w:val="en-CA"/>
        </w:rPr>
      </w:pPr>
      <w:r w:rsidRPr="0084150A">
        <w:rPr>
          <w:lang w:val="en-CA"/>
        </w:rPr>
        <w:t xml:space="preserve">The evidence shows that Frédéric Racine </w:t>
      </w:r>
      <w:r w:rsidR="00991965">
        <w:rPr>
          <w:lang w:val="en-CA"/>
        </w:rPr>
        <w:t>had</w:t>
      </w:r>
      <w:r w:rsidR="00991965" w:rsidRPr="0084150A">
        <w:rPr>
          <w:lang w:val="en-CA"/>
        </w:rPr>
        <w:t xml:space="preserve"> </w:t>
      </w:r>
      <w:r w:rsidRPr="0084150A">
        <w:rPr>
          <w:lang w:val="en-CA"/>
        </w:rPr>
        <w:t>not purchase</w:t>
      </w:r>
      <w:r w:rsidR="00991965">
        <w:rPr>
          <w:lang w:val="en-CA"/>
        </w:rPr>
        <w:t>d</w:t>
      </w:r>
      <w:r w:rsidRPr="0084150A">
        <w:rPr>
          <w:lang w:val="en-CA"/>
        </w:rPr>
        <w:t xml:space="preserve"> shares of Napec before November 7, 2017.</w:t>
      </w:r>
      <w:r w:rsidR="005D25C5" w:rsidRPr="0084150A">
        <w:rPr>
          <w:vertAlign w:val="superscript"/>
          <w:lang w:val="en-CA"/>
        </w:rPr>
        <w:footnoteReference w:id="125"/>
      </w:r>
    </w:p>
    <w:p w14:paraId="61A79335" w14:textId="31385200" w:rsidR="00B30C9E" w:rsidRPr="0084150A" w:rsidRDefault="00257808" w:rsidP="00D91876">
      <w:pPr>
        <w:pStyle w:val="Citationendoubleretrait"/>
        <w:rPr>
          <w:sz w:val="24"/>
          <w:szCs w:val="24"/>
          <w:u w:val="single"/>
        </w:rPr>
      </w:pPr>
      <w:r w:rsidRPr="0084150A">
        <w:rPr>
          <w:sz w:val="24"/>
          <w:szCs w:val="24"/>
          <w:u w:val="single"/>
        </w:rPr>
        <w:t>“</w:t>
      </w:r>
      <w:r w:rsidR="005D25C5" w:rsidRPr="0084150A">
        <w:rPr>
          <w:sz w:val="24"/>
          <w:szCs w:val="24"/>
          <w:u w:val="single"/>
        </w:rPr>
        <w:t>(h) Was the trade a significant one given the size of his portfolio?</w:t>
      </w:r>
      <w:r w:rsidRPr="0084150A">
        <w:rPr>
          <w:sz w:val="24"/>
          <w:szCs w:val="24"/>
          <w:u w:val="single"/>
        </w:rPr>
        <w:t>”</w:t>
      </w:r>
    </w:p>
    <w:p w14:paraId="6D3EFA51" w14:textId="71050A6E" w:rsidR="00A0673D" w:rsidRPr="0084150A" w:rsidRDefault="00257808" w:rsidP="001E16C6">
      <w:pPr>
        <w:pStyle w:val="Paragraphe"/>
        <w:rPr>
          <w:lang w:val="en-CA"/>
        </w:rPr>
      </w:pPr>
      <w:r w:rsidRPr="0084150A">
        <w:rPr>
          <w:lang w:val="en-CA"/>
        </w:rPr>
        <w:t>On December 4, 2017, the date the transaction was announced, Frédéric Racine’s TFSA held 88,471 shares of Napec valued at $172,508.50, which accounted for 99% of his portfolio.</w:t>
      </w:r>
      <w:r w:rsidR="005D25C5" w:rsidRPr="0084150A">
        <w:rPr>
          <w:vertAlign w:val="superscript"/>
          <w:lang w:val="en-CA"/>
        </w:rPr>
        <w:footnoteReference w:id="126"/>
      </w:r>
      <w:r w:rsidR="005D25C5" w:rsidRPr="0084150A">
        <w:rPr>
          <w:lang w:val="en-CA"/>
        </w:rPr>
        <w:t xml:space="preserve"> </w:t>
      </w:r>
      <w:r w:rsidRPr="0084150A">
        <w:rPr>
          <w:lang w:val="en-CA"/>
        </w:rPr>
        <w:t xml:space="preserve">The Tribunal can only note the </w:t>
      </w:r>
      <w:r w:rsidR="00C8479F">
        <w:rPr>
          <w:lang w:val="en-CA"/>
        </w:rPr>
        <w:t>concentration</w:t>
      </w:r>
      <w:r w:rsidRPr="0084150A">
        <w:rPr>
          <w:lang w:val="en-CA"/>
        </w:rPr>
        <w:t xml:space="preserve"> of Frédéric Racine’s portfolio in </w:t>
      </w:r>
      <w:r w:rsidR="00CB6190">
        <w:rPr>
          <w:lang w:val="en-CA"/>
        </w:rPr>
        <w:t xml:space="preserve">the security of Napec </w:t>
      </w:r>
      <w:r w:rsidRPr="0084150A">
        <w:rPr>
          <w:lang w:val="en-CA"/>
        </w:rPr>
        <w:t>at th</w:t>
      </w:r>
      <w:r w:rsidR="009A0FBC">
        <w:rPr>
          <w:lang w:val="en-CA"/>
        </w:rPr>
        <w:t>e</w:t>
      </w:r>
      <w:r w:rsidRPr="0084150A">
        <w:rPr>
          <w:lang w:val="en-CA"/>
        </w:rPr>
        <w:t xml:space="preserve"> time</w:t>
      </w:r>
      <w:r w:rsidR="005D25C5" w:rsidRPr="0084150A">
        <w:rPr>
          <w:lang w:val="en-CA"/>
        </w:rPr>
        <w:t xml:space="preserve">. </w:t>
      </w:r>
      <w:r w:rsidRPr="0084150A">
        <w:rPr>
          <w:lang w:val="en-CA"/>
        </w:rPr>
        <w:t xml:space="preserve">Frédéric Racine thus overcontributed to his TFSA but </w:t>
      </w:r>
      <w:r w:rsidR="009A0FBC">
        <w:rPr>
          <w:lang w:val="en-CA"/>
        </w:rPr>
        <w:t>claimed</w:t>
      </w:r>
      <w:r w:rsidR="009A0FBC" w:rsidRPr="0084150A">
        <w:rPr>
          <w:lang w:val="en-CA"/>
        </w:rPr>
        <w:t xml:space="preserve"> </w:t>
      </w:r>
      <w:r w:rsidRPr="0084150A">
        <w:rPr>
          <w:lang w:val="en-CA"/>
        </w:rPr>
        <w:t>during his examination by investigators that it was not an unusual situation</w:t>
      </w:r>
      <w:r w:rsidR="009A0FBC">
        <w:rPr>
          <w:lang w:val="en-CA"/>
        </w:rPr>
        <w:t>,</w:t>
      </w:r>
      <w:r w:rsidRPr="0084150A">
        <w:rPr>
          <w:lang w:val="en-CA"/>
        </w:rPr>
        <w:t xml:space="preserve"> and </w:t>
      </w:r>
      <w:r w:rsidR="009A0FBC">
        <w:rPr>
          <w:lang w:val="en-CA"/>
        </w:rPr>
        <w:t xml:space="preserve">he </w:t>
      </w:r>
      <w:r w:rsidRPr="0084150A">
        <w:rPr>
          <w:lang w:val="en-CA"/>
        </w:rPr>
        <w:t>found it more beneficial to pay the penalty for exceeding the limit of his TFSA.</w:t>
      </w:r>
      <w:r w:rsidR="005D25C5" w:rsidRPr="0084150A">
        <w:rPr>
          <w:vertAlign w:val="superscript"/>
          <w:lang w:val="en-CA"/>
        </w:rPr>
        <w:footnoteReference w:id="127"/>
      </w:r>
    </w:p>
    <w:p w14:paraId="04D444AD" w14:textId="60A256B6" w:rsidR="002F453C" w:rsidRPr="0084150A" w:rsidRDefault="008E7A1E" w:rsidP="002F453C">
      <w:pPr>
        <w:pStyle w:val="Paragraphe"/>
        <w:rPr>
          <w:lang w:val="en-CA"/>
        </w:rPr>
      </w:pPr>
      <w:r w:rsidRPr="0084150A">
        <w:rPr>
          <w:lang w:val="en-CA"/>
        </w:rPr>
        <w:t>Frédéric Racine’s RRSP held 58,158 shares of Napec, which accounted for 100% of his portfolio in that account on the date the transaction was publicly announced.</w:t>
      </w:r>
      <w:r w:rsidR="005D25C5" w:rsidRPr="0084150A">
        <w:rPr>
          <w:vertAlign w:val="superscript"/>
          <w:lang w:val="en-CA"/>
        </w:rPr>
        <w:footnoteReference w:id="128"/>
      </w:r>
      <w:r w:rsidR="005D25C5" w:rsidRPr="0084150A">
        <w:rPr>
          <w:lang w:val="en-CA"/>
        </w:rPr>
        <w:t xml:space="preserve"> </w:t>
      </w:r>
    </w:p>
    <w:p w14:paraId="76861560" w14:textId="657D1A32" w:rsidR="00A0673D" w:rsidRPr="0084150A" w:rsidRDefault="005D25C5" w:rsidP="00A273F5">
      <w:pPr>
        <w:pStyle w:val="Paragraphe"/>
        <w:rPr>
          <w:lang w:val="en-CA"/>
        </w:rPr>
      </w:pPr>
      <w:r w:rsidRPr="0084150A">
        <w:rPr>
          <w:lang w:val="en-CA"/>
        </w:rPr>
        <w:t>Frédéric Racine finance</w:t>
      </w:r>
      <w:r w:rsidR="009135E8" w:rsidRPr="0084150A">
        <w:rPr>
          <w:lang w:val="en-CA"/>
        </w:rPr>
        <w:t xml:space="preserve">d certain trades </w:t>
      </w:r>
      <w:r w:rsidR="009146BA">
        <w:rPr>
          <w:lang w:val="en-CA"/>
        </w:rPr>
        <w:t xml:space="preserve">in securities of Napec </w:t>
      </w:r>
      <w:r w:rsidR="009135E8" w:rsidRPr="0084150A">
        <w:rPr>
          <w:lang w:val="en-CA"/>
        </w:rPr>
        <w:t>with his line of credit</w:t>
      </w:r>
      <w:r w:rsidRPr="0084150A">
        <w:rPr>
          <w:rStyle w:val="Appelnotedebasdep"/>
          <w:lang w:val="en-CA"/>
        </w:rPr>
        <w:footnoteReference w:id="129"/>
      </w:r>
      <w:r w:rsidRPr="0084150A">
        <w:rPr>
          <w:lang w:val="en-CA"/>
        </w:rPr>
        <w:t xml:space="preserve"> </w:t>
      </w:r>
      <w:r w:rsidR="009135E8" w:rsidRPr="0084150A">
        <w:rPr>
          <w:lang w:val="en-CA"/>
        </w:rPr>
        <w:t xml:space="preserve">and cash from the sale of </w:t>
      </w:r>
      <w:r w:rsidR="009A0FBC">
        <w:rPr>
          <w:lang w:val="en-CA"/>
        </w:rPr>
        <w:t xml:space="preserve">all </w:t>
      </w:r>
      <w:r w:rsidR="009135E8" w:rsidRPr="0084150A">
        <w:rPr>
          <w:lang w:val="en-CA"/>
        </w:rPr>
        <w:t xml:space="preserve">the </w:t>
      </w:r>
      <w:r w:rsidR="00C60FD2">
        <w:rPr>
          <w:lang w:val="en-CA"/>
        </w:rPr>
        <w:t>shares</w:t>
      </w:r>
      <w:r w:rsidR="009135E8" w:rsidRPr="0084150A">
        <w:rPr>
          <w:lang w:val="en-CA"/>
        </w:rPr>
        <w:t xml:space="preserve"> he held.</w:t>
      </w:r>
      <w:r w:rsidRPr="0084150A">
        <w:rPr>
          <w:rStyle w:val="Appelnotedebasdep"/>
          <w:lang w:val="en-CA"/>
        </w:rPr>
        <w:footnoteReference w:id="130"/>
      </w:r>
    </w:p>
    <w:p w14:paraId="0349659E" w14:textId="56C19B82" w:rsidR="00AE57B9" w:rsidRPr="0084150A" w:rsidRDefault="009135E8" w:rsidP="001E16C6">
      <w:pPr>
        <w:pStyle w:val="Paragraphe"/>
        <w:rPr>
          <w:lang w:val="en-CA"/>
        </w:rPr>
      </w:pPr>
      <w:r w:rsidRPr="0084150A">
        <w:rPr>
          <w:lang w:val="en-CA"/>
        </w:rPr>
        <w:t xml:space="preserve">As the Ontario Securities Commission stated in </w:t>
      </w:r>
      <w:r w:rsidR="005D25C5" w:rsidRPr="0084150A">
        <w:rPr>
          <w:i/>
          <w:lang w:val="en-CA"/>
        </w:rPr>
        <w:t>Azeff</w:t>
      </w:r>
      <w:r w:rsidRPr="0084150A">
        <w:rPr>
          <w:iCs/>
          <w:lang w:val="en-CA"/>
        </w:rPr>
        <w:t>,</w:t>
      </w:r>
      <w:r w:rsidR="005D25C5" w:rsidRPr="0084150A">
        <w:rPr>
          <w:iCs/>
          <w:vertAlign w:val="superscript"/>
          <w:lang w:val="en-CA"/>
        </w:rPr>
        <w:footnoteReference w:id="131"/>
      </w:r>
      <w:r w:rsidR="005D25C5" w:rsidRPr="0084150A">
        <w:rPr>
          <w:i/>
          <w:lang w:val="en-CA"/>
        </w:rPr>
        <w:t xml:space="preserve">, </w:t>
      </w:r>
      <w:r w:rsidR="005A4722" w:rsidRPr="0084150A">
        <w:rPr>
          <w:iCs/>
          <w:lang w:val="en-CA"/>
        </w:rPr>
        <w:t>this list of factors clarifies the analysis that the Tribunal must conduct of the expression “ought reasonably to have known”, which</w:t>
      </w:r>
      <w:r w:rsidR="009A0FBC">
        <w:rPr>
          <w:iCs/>
          <w:lang w:val="en-CA"/>
        </w:rPr>
        <w:t xml:space="preserve">, under the </w:t>
      </w:r>
      <w:r w:rsidR="009A0FBC" w:rsidRPr="005D11F2">
        <w:rPr>
          <w:i/>
          <w:lang w:val="en-CA"/>
        </w:rPr>
        <w:t>SA</w:t>
      </w:r>
      <w:r w:rsidR="009A0FBC">
        <w:rPr>
          <w:iCs/>
          <w:lang w:val="en-CA"/>
        </w:rPr>
        <w:t xml:space="preserve"> in Quebec,</w:t>
      </w:r>
      <w:r w:rsidR="005A4722" w:rsidRPr="0084150A">
        <w:rPr>
          <w:iCs/>
          <w:lang w:val="en-CA"/>
        </w:rPr>
        <w:t xml:space="preserve"> translates to “to his knowledge, was disclosed” by a person with privileged information</w:t>
      </w:r>
      <w:r w:rsidR="005D25C5" w:rsidRPr="0084150A">
        <w:rPr>
          <w:lang w:val="en-CA"/>
        </w:rPr>
        <w:t xml:space="preserve">. </w:t>
      </w:r>
    </w:p>
    <w:p w14:paraId="760A5722" w14:textId="35A6E53A" w:rsidR="00D83A37" w:rsidRPr="0084150A" w:rsidRDefault="00D077F5" w:rsidP="00C62D95">
      <w:pPr>
        <w:pStyle w:val="Paragraphe"/>
        <w:rPr>
          <w:lang w:val="en-CA"/>
        </w:rPr>
      </w:pPr>
      <w:r w:rsidRPr="0084150A">
        <w:rPr>
          <w:lang w:val="en-CA"/>
        </w:rPr>
        <w:t xml:space="preserve">However, the application of these criteria may </w:t>
      </w:r>
      <w:r w:rsidR="00F309A0" w:rsidRPr="0084150A">
        <w:rPr>
          <w:lang w:val="en-CA"/>
        </w:rPr>
        <w:t>vary depending on the factual context and the parties involved</w:t>
      </w:r>
      <w:r w:rsidR="002439B1" w:rsidRPr="0084150A">
        <w:rPr>
          <w:lang w:val="en-CA"/>
        </w:rPr>
        <w:t xml:space="preserve">. </w:t>
      </w:r>
      <w:r w:rsidR="007909DE" w:rsidRPr="0084150A">
        <w:rPr>
          <w:lang w:val="en-CA"/>
        </w:rPr>
        <w:t>The weight to be assigned to each factor will also vary depending on the case</w:t>
      </w:r>
      <w:r w:rsidR="002439B1" w:rsidRPr="0084150A">
        <w:rPr>
          <w:lang w:val="en-CA"/>
        </w:rPr>
        <w:t xml:space="preserve">. </w:t>
      </w:r>
      <w:r w:rsidR="00FA3868" w:rsidRPr="0084150A">
        <w:rPr>
          <w:lang w:val="en-CA"/>
        </w:rPr>
        <w:t>The Tribunal must assess whether the overall weight assigned to all</w:t>
      </w:r>
      <w:r w:rsidR="00A30959">
        <w:rPr>
          <w:lang w:val="en-CA"/>
        </w:rPr>
        <w:t xml:space="preserve"> the</w:t>
      </w:r>
      <w:r w:rsidR="00FA3868" w:rsidRPr="0084150A">
        <w:rPr>
          <w:lang w:val="en-CA"/>
        </w:rPr>
        <w:t xml:space="preserve"> factual criteria allows the Tribunal to conclude that it is more likely than unlikely that the person who received the privileged information or to whom </w:t>
      </w:r>
      <w:r w:rsidR="009A7FA9" w:rsidRPr="0084150A">
        <w:rPr>
          <w:lang w:val="en-CA"/>
        </w:rPr>
        <w:t xml:space="preserve">trading is </w:t>
      </w:r>
      <w:r w:rsidR="009A7FA9" w:rsidRPr="0084150A">
        <w:rPr>
          <w:lang w:val="en-CA"/>
        </w:rPr>
        <w:lastRenderedPageBreak/>
        <w:t>recommended should have reasonably known that the information they received was disclosed by a person with privileged information.</w:t>
      </w:r>
      <w:r w:rsidR="005D25C5" w:rsidRPr="0084150A">
        <w:rPr>
          <w:vertAlign w:val="superscript"/>
          <w:lang w:val="en-CA"/>
        </w:rPr>
        <w:footnoteReference w:id="132"/>
      </w:r>
    </w:p>
    <w:p w14:paraId="377AA2CB" w14:textId="4CCE6F9F" w:rsidR="00AE57B9" w:rsidRPr="0084150A" w:rsidRDefault="002A1D24" w:rsidP="001E16C6">
      <w:pPr>
        <w:pStyle w:val="Paragraphe"/>
        <w:rPr>
          <w:lang w:val="en-CA"/>
        </w:rPr>
      </w:pPr>
      <w:r w:rsidRPr="0084150A">
        <w:rPr>
          <w:lang w:val="en-CA"/>
        </w:rPr>
        <w:t xml:space="preserve">After analyzing the </w:t>
      </w:r>
      <w:proofErr w:type="gramStart"/>
      <w:r w:rsidRPr="0084150A">
        <w:rPr>
          <w:lang w:val="en-CA"/>
        </w:rPr>
        <w:t>evidence as a whole, the</w:t>
      </w:r>
      <w:proofErr w:type="gramEnd"/>
      <w:r w:rsidRPr="0084150A">
        <w:rPr>
          <w:lang w:val="en-CA"/>
        </w:rPr>
        <w:t xml:space="preserve"> Tribunal concludes that Frédéric Racine had privileged information that, to his knowledge, was disclosed by a person </w:t>
      </w:r>
      <w:r w:rsidR="005E1D5F" w:rsidRPr="0084150A">
        <w:rPr>
          <w:lang w:val="en-CA"/>
        </w:rPr>
        <w:t xml:space="preserve">having privileged information </w:t>
      </w:r>
      <w:r w:rsidRPr="0084150A">
        <w:rPr>
          <w:lang w:val="en-CA"/>
        </w:rPr>
        <w:t xml:space="preserve">referred to in section 189 of the </w:t>
      </w:r>
      <w:r w:rsidRPr="0084150A">
        <w:rPr>
          <w:i/>
          <w:iCs/>
          <w:lang w:val="en-CA"/>
        </w:rPr>
        <w:t>SA</w:t>
      </w:r>
      <w:r w:rsidRPr="0084150A">
        <w:rPr>
          <w:lang w:val="en-CA"/>
        </w:rPr>
        <w:t>,</w:t>
      </w:r>
      <w:r w:rsidRPr="0084150A">
        <w:rPr>
          <w:i/>
          <w:iCs/>
          <w:lang w:val="en-CA"/>
        </w:rPr>
        <w:t xml:space="preserve"> </w:t>
      </w:r>
      <w:r w:rsidRPr="0084150A">
        <w:rPr>
          <w:lang w:val="en-CA"/>
        </w:rPr>
        <w:t>namely Philippe Gauthier</w:t>
      </w:r>
      <w:r w:rsidR="005D25C5" w:rsidRPr="0084150A">
        <w:rPr>
          <w:lang w:val="en-CA"/>
        </w:rPr>
        <w:t xml:space="preserve">. </w:t>
      </w:r>
    </w:p>
    <w:p w14:paraId="362994AB" w14:textId="06279C66" w:rsidR="00A0673D" w:rsidRPr="0084150A" w:rsidRDefault="00C9717F" w:rsidP="001E16C6">
      <w:pPr>
        <w:pStyle w:val="Paragraphe"/>
        <w:rPr>
          <w:lang w:val="en-CA"/>
        </w:rPr>
      </w:pPr>
      <w:r>
        <w:rPr>
          <w:lang w:val="en-CA"/>
        </w:rPr>
        <w:t>Consequently</w:t>
      </w:r>
      <w:r w:rsidR="00BE0D15" w:rsidRPr="0084150A">
        <w:rPr>
          <w:lang w:val="en-CA"/>
        </w:rPr>
        <w:t>, Frédéric Racine himself is a person referred to in section 189(5) and, therefore, the prohibitions set out in sections 187 and 188 apply to him as well</w:t>
      </w:r>
      <w:r w:rsidR="005D25C5" w:rsidRPr="0084150A">
        <w:rPr>
          <w:lang w:val="en-CA"/>
        </w:rPr>
        <w:t>.</w:t>
      </w:r>
    </w:p>
    <w:p w14:paraId="630D13FA" w14:textId="751593B1" w:rsidR="00D35BC1" w:rsidRPr="0084150A" w:rsidRDefault="005D25C5" w:rsidP="00D35BC1">
      <w:pPr>
        <w:pStyle w:val="Paragraphe"/>
        <w:numPr>
          <w:ilvl w:val="0"/>
          <w:numId w:val="0"/>
        </w:numPr>
        <w:ind w:left="429"/>
        <w:rPr>
          <w:rFonts w:cs="Arial"/>
          <w:szCs w:val="24"/>
          <w:u w:val="single"/>
          <w:lang w:val="en-CA"/>
        </w:rPr>
      </w:pPr>
      <w:r w:rsidRPr="0084150A">
        <w:rPr>
          <w:rFonts w:cs="Arial"/>
          <w:szCs w:val="24"/>
          <w:u w:val="single"/>
          <w:lang w:val="en-CA"/>
        </w:rPr>
        <w:t xml:space="preserve">(2) </w:t>
      </w:r>
      <w:r w:rsidR="00BE0D15" w:rsidRPr="0084150A">
        <w:rPr>
          <w:rFonts w:cs="Arial"/>
          <w:szCs w:val="24"/>
          <w:u w:val="single"/>
          <w:lang w:val="en-CA"/>
        </w:rPr>
        <w:t xml:space="preserve">Did Frédéric Racine, while having privileged information relating to an issuer that, to his knowledge, was disclosed by an insider or a person referred to in section 189 of the </w:t>
      </w:r>
      <w:r w:rsidR="00BE0D15" w:rsidRPr="0084150A">
        <w:rPr>
          <w:rFonts w:cs="Arial"/>
          <w:i/>
          <w:iCs/>
          <w:szCs w:val="24"/>
          <w:u w:val="single"/>
          <w:lang w:val="en-CA"/>
        </w:rPr>
        <w:t>SA</w:t>
      </w:r>
      <w:r w:rsidR="00BE0D15" w:rsidRPr="0084150A">
        <w:rPr>
          <w:rFonts w:cs="Arial"/>
          <w:szCs w:val="24"/>
          <w:u w:val="single"/>
          <w:lang w:val="en-CA"/>
        </w:rPr>
        <w:t>, trade in those securities</w:t>
      </w:r>
      <w:r w:rsidRPr="0084150A">
        <w:rPr>
          <w:rFonts w:cs="Arial"/>
          <w:szCs w:val="24"/>
          <w:u w:val="single"/>
          <w:lang w:val="en-CA"/>
        </w:rPr>
        <w:t>?</w:t>
      </w:r>
    </w:p>
    <w:p w14:paraId="77BDED71" w14:textId="143BA99D" w:rsidR="001F0EE1" w:rsidRPr="0084150A" w:rsidRDefault="00BE0D15" w:rsidP="001E16C6">
      <w:pPr>
        <w:pStyle w:val="Paragraphe"/>
        <w:rPr>
          <w:lang w:val="en-CA"/>
        </w:rPr>
      </w:pPr>
      <w:r w:rsidRPr="0084150A">
        <w:rPr>
          <w:lang w:val="en-CA"/>
        </w:rPr>
        <w:t xml:space="preserve">The Tribunal </w:t>
      </w:r>
      <w:r w:rsidR="00D86807" w:rsidRPr="0084150A">
        <w:rPr>
          <w:lang w:val="en-CA"/>
        </w:rPr>
        <w:t xml:space="preserve">has </w:t>
      </w:r>
      <w:r w:rsidRPr="0084150A">
        <w:rPr>
          <w:lang w:val="en-CA"/>
        </w:rPr>
        <w:t>already concluded that Philippe Gauthier disclosed privileged information to Frédéric Racine and recommended to him that he</w:t>
      </w:r>
      <w:r w:rsidR="00D86807" w:rsidRPr="0084150A">
        <w:rPr>
          <w:lang w:val="en-CA"/>
        </w:rPr>
        <w:t xml:space="preserve"> </w:t>
      </w:r>
      <w:r w:rsidRPr="0084150A">
        <w:rPr>
          <w:lang w:val="en-CA"/>
        </w:rPr>
        <w:t xml:space="preserve">trade in </w:t>
      </w:r>
      <w:r w:rsidR="001454F4">
        <w:rPr>
          <w:lang w:val="en-CA"/>
        </w:rPr>
        <w:t>securities</w:t>
      </w:r>
      <w:r w:rsidRPr="0084150A">
        <w:rPr>
          <w:lang w:val="en-CA"/>
        </w:rPr>
        <w:t xml:space="preserve"> of Napec.</w:t>
      </w:r>
      <w:r w:rsidR="005D25C5" w:rsidRPr="0084150A">
        <w:rPr>
          <w:lang w:val="en-CA"/>
        </w:rPr>
        <w:t xml:space="preserve"> </w:t>
      </w:r>
      <w:r w:rsidR="00D86807" w:rsidRPr="0084150A">
        <w:rPr>
          <w:lang w:val="en-CA"/>
        </w:rPr>
        <w:t xml:space="preserve">It has also concluded that Mr. Racine did indeed purchase shares of Napec. Moreover, the Tribunal points out that Frédéric Racine’s purchase of shares of Napec and the </w:t>
      </w:r>
      <w:r w:rsidR="00D6248D">
        <w:rPr>
          <w:lang w:val="en-CA"/>
        </w:rPr>
        <w:t>terms of purchase</w:t>
      </w:r>
      <w:r w:rsidR="00D86807" w:rsidRPr="0084150A">
        <w:rPr>
          <w:lang w:val="en-CA"/>
        </w:rPr>
        <w:t xml:space="preserve"> are not contested by the respondents</w:t>
      </w:r>
      <w:r w:rsidR="005D25C5" w:rsidRPr="0084150A">
        <w:rPr>
          <w:lang w:val="en-CA"/>
        </w:rPr>
        <w:t xml:space="preserve">. </w:t>
      </w:r>
    </w:p>
    <w:p w14:paraId="53C88F81" w14:textId="69832998" w:rsidR="00A0673D" w:rsidRPr="0084150A" w:rsidRDefault="005E1D5F" w:rsidP="001E16C6">
      <w:pPr>
        <w:pStyle w:val="Paragraphe"/>
        <w:rPr>
          <w:lang w:val="en-CA"/>
        </w:rPr>
      </w:pPr>
      <w:r w:rsidRPr="0084150A">
        <w:rPr>
          <w:lang w:val="en-CA"/>
        </w:rPr>
        <w:t>Therefore, Frédéric Racine purchased shares of Napec while having privileged information that, to his knowledge, was disclosed by a person who had privileged information</w:t>
      </w:r>
      <w:r w:rsidR="005D25C5" w:rsidRPr="0084150A">
        <w:rPr>
          <w:lang w:val="en-CA"/>
        </w:rPr>
        <w:t xml:space="preserve">. </w:t>
      </w:r>
      <w:r w:rsidR="00A976B3" w:rsidRPr="0084150A">
        <w:rPr>
          <w:lang w:val="en-CA"/>
        </w:rPr>
        <w:t xml:space="preserve">The Tribunal finds that Frédéric Racine thereby committed a </w:t>
      </w:r>
      <w:r w:rsidR="00E06DF9">
        <w:rPr>
          <w:lang w:val="en-CA"/>
        </w:rPr>
        <w:t>contravention</w:t>
      </w:r>
      <w:r w:rsidR="00E06DF9" w:rsidRPr="0084150A">
        <w:rPr>
          <w:lang w:val="en-CA"/>
        </w:rPr>
        <w:t xml:space="preserve"> </w:t>
      </w:r>
      <w:r w:rsidR="00A976B3" w:rsidRPr="0084150A">
        <w:rPr>
          <w:lang w:val="en-CA"/>
        </w:rPr>
        <w:t xml:space="preserve">of section 187 of the </w:t>
      </w:r>
      <w:r w:rsidR="00A976B3" w:rsidRPr="0084150A">
        <w:rPr>
          <w:i/>
          <w:iCs/>
          <w:lang w:val="en-CA"/>
        </w:rPr>
        <w:t>SA</w:t>
      </w:r>
      <w:r w:rsidR="005D25C5" w:rsidRPr="0084150A">
        <w:rPr>
          <w:lang w:val="en-CA"/>
        </w:rPr>
        <w:t xml:space="preserve">. </w:t>
      </w:r>
    </w:p>
    <w:p w14:paraId="47224ECA" w14:textId="376AB3ED" w:rsidR="00A0673D" w:rsidRPr="0084150A" w:rsidRDefault="005D25C5" w:rsidP="006837C9">
      <w:pPr>
        <w:pStyle w:val="Titre2"/>
        <w:rPr>
          <w:lang w:val="en-CA"/>
        </w:rPr>
      </w:pPr>
      <w:r w:rsidRPr="0084150A">
        <w:rPr>
          <w:lang w:val="en-CA"/>
        </w:rPr>
        <w:t xml:space="preserve">5. </w:t>
      </w:r>
      <w:bookmarkStart w:id="15" w:name="_Hlk160116004"/>
      <w:r w:rsidR="00B03BCE" w:rsidRPr="005E07F3">
        <w:rPr>
          <w:lang w:val="en-CA"/>
        </w:rPr>
        <w:t xml:space="preserve">Did Frédéric Racine disclose privileged information and/or recommend to Gilles Racine that he trade in </w:t>
      </w:r>
      <w:r w:rsidR="00D203E8" w:rsidRPr="005E07F3">
        <w:rPr>
          <w:lang w:val="en-CA"/>
        </w:rPr>
        <w:t>securities of Napec</w:t>
      </w:r>
      <w:r w:rsidR="00B03BCE" w:rsidRPr="005E07F3">
        <w:rPr>
          <w:lang w:val="en-CA"/>
        </w:rPr>
        <w:t xml:space="preserve"> while having privileged information?</w:t>
      </w:r>
      <w:r w:rsidRPr="0084150A">
        <w:rPr>
          <w:lang w:val="en-CA"/>
        </w:rPr>
        <w:t xml:space="preserve"> </w:t>
      </w:r>
      <w:bookmarkEnd w:id="15"/>
    </w:p>
    <w:p w14:paraId="3D6C3993" w14:textId="3BE6A534" w:rsidR="00A0673D" w:rsidRPr="0084150A" w:rsidRDefault="002601D2" w:rsidP="001E16C6">
      <w:pPr>
        <w:pStyle w:val="Paragraphe"/>
        <w:rPr>
          <w:lang w:val="en-CA"/>
        </w:rPr>
      </w:pPr>
      <w:r w:rsidRPr="0084150A">
        <w:rPr>
          <w:lang w:val="en-CA"/>
        </w:rPr>
        <w:t>The Tribunal concludes that Frédéric Racine disclosed privileged information and recommended to his father, Gille</w:t>
      </w:r>
      <w:r w:rsidR="00AF040E" w:rsidRPr="0084150A">
        <w:rPr>
          <w:lang w:val="en-CA"/>
        </w:rPr>
        <w:t>s</w:t>
      </w:r>
      <w:r w:rsidRPr="0084150A">
        <w:rPr>
          <w:lang w:val="en-CA"/>
        </w:rPr>
        <w:t xml:space="preserve"> Racine, that he trade in </w:t>
      </w:r>
      <w:r w:rsidR="000E6D38">
        <w:rPr>
          <w:lang w:val="en-CA"/>
        </w:rPr>
        <w:t>securities of Napec</w:t>
      </w:r>
      <w:r w:rsidRPr="0084150A">
        <w:rPr>
          <w:lang w:val="en-CA"/>
        </w:rPr>
        <w:t xml:space="preserve">, </w:t>
      </w:r>
      <w:r w:rsidR="00B01057">
        <w:rPr>
          <w:lang w:val="en-CA"/>
        </w:rPr>
        <w:t xml:space="preserve">in respect </w:t>
      </w:r>
      <w:r w:rsidRPr="0084150A">
        <w:rPr>
          <w:lang w:val="en-CA"/>
        </w:rPr>
        <w:t>of which he had privileged information</w:t>
      </w:r>
      <w:r w:rsidR="005D25C5" w:rsidRPr="0084150A">
        <w:rPr>
          <w:lang w:val="en-CA"/>
        </w:rPr>
        <w:t>.</w:t>
      </w:r>
    </w:p>
    <w:p w14:paraId="47CBC183" w14:textId="6500087B" w:rsidR="00A0673D" w:rsidRPr="0084150A" w:rsidRDefault="006247B9" w:rsidP="001E16C6">
      <w:pPr>
        <w:pStyle w:val="Paragraphe"/>
        <w:rPr>
          <w:lang w:val="en-CA"/>
        </w:rPr>
      </w:pPr>
      <w:r w:rsidRPr="0084150A">
        <w:rPr>
          <w:lang w:val="en-CA"/>
        </w:rPr>
        <w:t xml:space="preserve">Since the prohibitions set out in sections 187 and 188 of the </w:t>
      </w:r>
      <w:r w:rsidRPr="0084150A">
        <w:rPr>
          <w:i/>
          <w:iCs/>
          <w:lang w:val="en-CA"/>
        </w:rPr>
        <w:t xml:space="preserve">SA </w:t>
      </w:r>
      <w:r w:rsidRPr="0084150A">
        <w:rPr>
          <w:lang w:val="en-CA"/>
        </w:rPr>
        <w:t xml:space="preserve">applied to Frédéric Racine </w:t>
      </w:r>
      <w:r w:rsidR="002435E8">
        <w:rPr>
          <w:lang w:val="en-CA"/>
        </w:rPr>
        <w:t>pursuant to</w:t>
      </w:r>
      <w:r w:rsidRPr="0084150A">
        <w:rPr>
          <w:lang w:val="en-CA"/>
        </w:rPr>
        <w:t xml:space="preserve"> section 189(5) of the </w:t>
      </w:r>
      <w:r w:rsidRPr="0084150A">
        <w:rPr>
          <w:i/>
          <w:iCs/>
          <w:lang w:val="en-CA"/>
        </w:rPr>
        <w:t>SA</w:t>
      </w:r>
      <w:r w:rsidRPr="0084150A">
        <w:rPr>
          <w:lang w:val="en-CA"/>
        </w:rPr>
        <w:t>,</w:t>
      </w:r>
      <w:r w:rsidRPr="0084150A">
        <w:rPr>
          <w:i/>
          <w:iCs/>
          <w:lang w:val="en-CA"/>
        </w:rPr>
        <w:t xml:space="preserve"> </w:t>
      </w:r>
      <w:r w:rsidRPr="0084150A">
        <w:rPr>
          <w:lang w:val="en-CA"/>
        </w:rPr>
        <w:t xml:space="preserve">he also could not disclose privileged information he had about Napec or recommend that another party trade in </w:t>
      </w:r>
      <w:r w:rsidR="000E6D38">
        <w:rPr>
          <w:lang w:val="en-CA"/>
        </w:rPr>
        <w:t>securities of Napec.</w:t>
      </w:r>
    </w:p>
    <w:p w14:paraId="4BBFFF13" w14:textId="23E53FCE" w:rsidR="00CE4831" w:rsidRPr="0084150A" w:rsidRDefault="006247B9" w:rsidP="001E16C6">
      <w:pPr>
        <w:pStyle w:val="Paragraphe"/>
        <w:rPr>
          <w:lang w:val="en-CA"/>
        </w:rPr>
      </w:pPr>
      <w:r w:rsidRPr="0084150A">
        <w:rPr>
          <w:lang w:val="en-CA"/>
        </w:rPr>
        <w:t xml:space="preserve">During the hearing, Frédéric Racine categorically denied that he disclosed privileged information to his father or recommend that </w:t>
      </w:r>
      <w:r w:rsidR="0019541E" w:rsidRPr="0084150A">
        <w:rPr>
          <w:lang w:val="en-CA"/>
        </w:rPr>
        <w:t>he</w:t>
      </w:r>
      <w:r w:rsidR="0084150A">
        <w:rPr>
          <w:lang w:val="en-CA"/>
        </w:rPr>
        <w:t xml:space="preserve"> </w:t>
      </w:r>
      <w:r w:rsidR="0019541E" w:rsidRPr="0084150A">
        <w:rPr>
          <w:lang w:val="en-CA"/>
        </w:rPr>
        <w:t xml:space="preserve">trade in </w:t>
      </w:r>
      <w:r w:rsidR="002F3ACA">
        <w:rPr>
          <w:lang w:val="en-CA"/>
        </w:rPr>
        <w:t>securities of Napec</w:t>
      </w:r>
      <w:r w:rsidR="00924A79" w:rsidRPr="0084150A">
        <w:rPr>
          <w:lang w:val="en-CA"/>
        </w:rPr>
        <w:t xml:space="preserve">. </w:t>
      </w:r>
      <w:r w:rsidR="0019541E" w:rsidRPr="0084150A">
        <w:rPr>
          <w:lang w:val="en-CA"/>
        </w:rPr>
        <w:t xml:space="preserve">He testified that he and his father often discussed investments and that they had discussed Napec in late October 2017. He explained that his father had been following the </w:t>
      </w:r>
      <w:r w:rsidR="00B4234E">
        <w:rPr>
          <w:lang w:val="en-CA"/>
        </w:rPr>
        <w:t>security of Napec</w:t>
      </w:r>
      <w:r w:rsidR="0019541E" w:rsidRPr="0084150A">
        <w:rPr>
          <w:lang w:val="en-CA"/>
        </w:rPr>
        <w:t xml:space="preserve"> for some time already</w:t>
      </w:r>
      <w:r w:rsidR="00924A79" w:rsidRPr="0084150A">
        <w:rPr>
          <w:lang w:val="en-CA"/>
        </w:rPr>
        <w:t xml:space="preserve">. </w:t>
      </w:r>
    </w:p>
    <w:p w14:paraId="48CB7DC6" w14:textId="7DC941A5" w:rsidR="00924A79" w:rsidRPr="0084150A" w:rsidRDefault="007B15DF" w:rsidP="001E16C6">
      <w:pPr>
        <w:pStyle w:val="Paragraphe"/>
        <w:rPr>
          <w:lang w:val="en-CA"/>
        </w:rPr>
      </w:pPr>
      <w:r w:rsidRPr="00E11FA7">
        <w:rPr>
          <w:lang w:val="en-CA"/>
        </w:rPr>
        <w:t xml:space="preserve">Gilles Racine </w:t>
      </w:r>
      <w:r w:rsidR="0084150A" w:rsidRPr="00E11FA7">
        <w:rPr>
          <w:lang w:val="en-CA"/>
        </w:rPr>
        <w:t xml:space="preserve">also testified before the Tribunal and </w:t>
      </w:r>
      <w:r w:rsidR="00D91C87">
        <w:rPr>
          <w:lang w:val="en-CA"/>
        </w:rPr>
        <w:t xml:space="preserve">essentially </w:t>
      </w:r>
      <w:r w:rsidR="0084150A" w:rsidRPr="00E11FA7">
        <w:rPr>
          <w:lang w:val="en-CA"/>
        </w:rPr>
        <w:t>adopted the version given by Frédéric Racine before the Tribunal</w:t>
      </w:r>
      <w:r w:rsidRPr="00E11FA7">
        <w:rPr>
          <w:lang w:val="en-CA"/>
        </w:rPr>
        <w:t xml:space="preserve">. </w:t>
      </w:r>
      <w:r w:rsidR="00C32376" w:rsidRPr="0084150A">
        <w:rPr>
          <w:lang w:val="en-CA"/>
        </w:rPr>
        <w:t xml:space="preserve">He confirmed that he had been following the </w:t>
      </w:r>
      <w:r w:rsidR="005A6D20">
        <w:rPr>
          <w:lang w:val="en-CA"/>
        </w:rPr>
        <w:t>security of Napec</w:t>
      </w:r>
      <w:r w:rsidR="00C32376" w:rsidRPr="0084150A">
        <w:rPr>
          <w:lang w:val="en-CA"/>
        </w:rPr>
        <w:t xml:space="preserve"> for one year prior to his purchase of </w:t>
      </w:r>
      <w:r w:rsidR="00E31F33">
        <w:rPr>
          <w:lang w:val="en-CA"/>
        </w:rPr>
        <w:t xml:space="preserve">Napec </w:t>
      </w:r>
      <w:r w:rsidR="009D4267">
        <w:rPr>
          <w:lang w:val="en-CA"/>
        </w:rPr>
        <w:t>shares</w:t>
      </w:r>
      <w:r w:rsidRPr="0084150A">
        <w:rPr>
          <w:lang w:val="en-CA"/>
        </w:rPr>
        <w:t xml:space="preserve">. </w:t>
      </w:r>
      <w:r w:rsidR="00C32376" w:rsidRPr="0084150A">
        <w:rPr>
          <w:lang w:val="en-CA"/>
        </w:rPr>
        <w:t xml:space="preserve">He stated that </w:t>
      </w:r>
      <w:r w:rsidR="00C32376" w:rsidRPr="0084150A">
        <w:rPr>
          <w:lang w:val="en-CA"/>
        </w:rPr>
        <w:lastRenderedPageBreak/>
        <w:t xml:space="preserve">he became aware of </w:t>
      </w:r>
      <w:r w:rsidR="008F19A5">
        <w:rPr>
          <w:lang w:val="en-CA"/>
        </w:rPr>
        <w:t>Napec</w:t>
      </w:r>
      <w:r w:rsidR="00C32376" w:rsidRPr="0084150A">
        <w:rPr>
          <w:lang w:val="en-CA"/>
        </w:rPr>
        <w:t xml:space="preserve"> through </w:t>
      </w:r>
      <w:r w:rsidR="00C32376" w:rsidRPr="0084150A">
        <w:rPr>
          <w:i/>
          <w:iCs/>
          <w:lang w:val="en-CA"/>
        </w:rPr>
        <w:t>Seeking Alpha</w:t>
      </w:r>
      <w:r w:rsidR="00C32376" w:rsidRPr="0084150A">
        <w:rPr>
          <w:lang w:val="en-CA"/>
        </w:rPr>
        <w:t>,</w:t>
      </w:r>
      <w:r w:rsidR="00C32376" w:rsidRPr="0084150A">
        <w:rPr>
          <w:i/>
          <w:iCs/>
          <w:lang w:val="en-CA"/>
        </w:rPr>
        <w:t xml:space="preserve"> </w:t>
      </w:r>
      <w:r w:rsidR="00C32376" w:rsidRPr="0084150A">
        <w:rPr>
          <w:lang w:val="en-CA"/>
        </w:rPr>
        <w:t xml:space="preserve">a </w:t>
      </w:r>
      <w:r w:rsidR="00E31F33">
        <w:rPr>
          <w:lang w:val="en-CA"/>
        </w:rPr>
        <w:t xml:space="preserve">finance </w:t>
      </w:r>
      <w:r w:rsidR="00C32376" w:rsidRPr="0084150A">
        <w:rPr>
          <w:lang w:val="en-CA"/>
        </w:rPr>
        <w:t xml:space="preserve">blog that provides advice about </w:t>
      </w:r>
      <w:r w:rsidR="00E31F33">
        <w:rPr>
          <w:lang w:val="en-CA"/>
        </w:rPr>
        <w:t xml:space="preserve">share </w:t>
      </w:r>
      <w:r w:rsidR="00980B47">
        <w:rPr>
          <w:lang w:val="en-CA"/>
        </w:rPr>
        <w:t>prices</w:t>
      </w:r>
      <w:r w:rsidR="00E31F33">
        <w:rPr>
          <w:lang w:val="en-CA"/>
        </w:rPr>
        <w:t xml:space="preserve"> on the stock markets</w:t>
      </w:r>
      <w:r w:rsidRPr="0084150A">
        <w:rPr>
          <w:lang w:val="en-CA"/>
        </w:rPr>
        <w:t xml:space="preserve">. </w:t>
      </w:r>
      <w:r w:rsidR="00C32376" w:rsidRPr="0084150A">
        <w:rPr>
          <w:lang w:val="en-CA"/>
        </w:rPr>
        <w:t xml:space="preserve">He filed two reports from </w:t>
      </w:r>
      <w:r w:rsidRPr="0084150A">
        <w:rPr>
          <w:i/>
          <w:iCs/>
          <w:lang w:val="en-CA"/>
        </w:rPr>
        <w:t>Seeking Alpha</w:t>
      </w:r>
      <w:r w:rsidR="008A21B4" w:rsidRPr="0084150A">
        <w:rPr>
          <w:lang w:val="en-CA"/>
        </w:rPr>
        <w:t xml:space="preserve">, </w:t>
      </w:r>
      <w:r w:rsidR="00C32376" w:rsidRPr="0084150A">
        <w:rPr>
          <w:lang w:val="en-CA"/>
        </w:rPr>
        <w:t>one dated September 2016 and the other from December 2016.</w:t>
      </w:r>
      <w:r w:rsidR="005D25C5" w:rsidRPr="0084150A">
        <w:rPr>
          <w:rStyle w:val="Appelnotedebasdep"/>
          <w:lang w:val="en-CA"/>
        </w:rPr>
        <w:footnoteReference w:id="133"/>
      </w:r>
    </w:p>
    <w:p w14:paraId="1AEB722F" w14:textId="432053BD" w:rsidR="008A21B4" w:rsidRPr="0084150A" w:rsidRDefault="00455007" w:rsidP="001E16C6">
      <w:pPr>
        <w:pStyle w:val="Paragraphe"/>
        <w:rPr>
          <w:lang w:val="en-CA"/>
        </w:rPr>
      </w:pPr>
      <w:r w:rsidRPr="0084150A">
        <w:rPr>
          <w:lang w:val="en-CA"/>
        </w:rPr>
        <w:t>He stated that it was he who talked to his son about Napec and the reports from</w:t>
      </w:r>
      <w:r w:rsidR="005D25C5" w:rsidRPr="0084150A">
        <w:rPr>
          <w:lang w:val="en-CA"/>
        </w:rPr>
        <w:t xml:space="preserve"> </w:t>
      </w:r>
      <w:r w:rsidR="005D25C5" w:rsidRPr="0084150A">
        <w:rPr>
          <w:i/>
          <w:iCs/>
          <w:lang w:val="en-CA"/>
        </w:rPr>
        <w:t>Seeking Alpha</w:t>
      </w:r>
      <w:r w:rsidR="005D25C5" w:rsidRPr="0084150A">
        <w:rPr>
          <w:lang w:val="en-CA"/>
        </w:rPr>
        <w:t xml:space="preserve">. </w:t>
      </w:r>
    </w:p>
    <w:p w14:paraId="5906737B" w14:textId="549386E8" w:rsidR="008A21B4" w:rsidRPr="0084150A" w:rsidRDefault="00D169C4" w:rsidP="001E16C6">
      <w:pPr>
        <w:pStyle w:val="Paragraphe"/>
        <w:rPr>
          <w:lang w:val="en-CA"/>
        </w:rPr>
      </w:pPr>
      <w:r w:rsidRPr="0084150A">
        <w:rPr>
          <w:lang w:val="en-CA"/>
        </w:rPr>
        <w:t xml:space="preserve">Gilles Racine </w:t>
      </w:r>
      <w:r w:rsidR="00701AFF" w:rsidRPr="0084150A">
        <w:rPr>
          <w:lang w:val="en-CA"/>
        </w:rPr>
        <w:t xml:space="preserve">stated that he had decided to purchase shares of Napec in November 2017 after realizing that the security’s value </w:t>
      </w:r>
      <w:r w:rsidR="008D7A9D">
        <w:rPr>
          <w:lang w:val="en-CA"/>
        </w:rPr>
        <w:t>was rapidly</w:t>
      </w:r>
      <w:r w:rsidR="008D7A9D" w:rsidRPr="0084150A">
        <w:rPr>
          <w:lang w:val="en-CA"/>
        </w:rPr>
        <w:t xml:space="preserve"> </w:t>
      </w:r>
      <w:r w:rsidR="00701AFF" w:rsidRPr="0084150A">
        <w:rPr>
          <w:lang w:val="en-CA"/>
        </w:rPr>
        <w:t>increas</w:t>
      </w:r>
      <w:r w:rsidR="008D7A9D">
        <w:rPr>
          <w:lang w:val="en-CA"/>
        </w:rPr>
        <w:t>ing</w:t>
      </w:r>
      <w:r w:rsidR="00701AFF" w:rsidRPr="0084150A">
        <w:rPr>
          <w:lang w:val="en-CA"/>
        </w:rPr>
        <w:t xml:space="preserve"> and learning of the possibility that Napec </w:t>
      </w:r>
      <w:r w:rsidR="008D7A9D">
        <w:rPr>
          <w:lang w:val="en-CA"/>
        </w:rPr>
        <w:t>was</w:t>
      </w:r>
      <w:r w:rsidR="008D7A9D" w:rsidRPr="0084150A">
        <w:rPr>
          <w:lang w:val="en-CA"/>
        </w:rPr>
        <w:t xml:space="preserve"> </w:t>
      </w:r>
      <w:r w:rsidR="00701AFF" w:rsidRPr="0084150A">
        <w:rPr>
          <w:lang w:val="en-CA"/>
        </w:rPr>
        <w:t>the subject of a takeover bid as it had in the past, according to the blogs he consulted</w:t>
      </w:r>
      <w:r w:rsidRPr="0084150A">
        <w:rPr>
          <w:lang w:val="en-CA"/>
        </w:rPr>
        <w:t xml:space="preserve">. </w:t>
      </w:r>
      <w:r w:rsidR="00701AFF" w:rsidRPr="0084150A">
        <w:rPr>
          <w:lang w:val="en-CA"/>
        </w:rPr>
        <w:t>In addition, he saw that there was a lot of movement on the security</w:t>
      </w:r>
      <w:r w:rsidRPr="0084150A">
        <w:rPr>
          <w:lang w:val="en-CA"/>
        </w:rPr>
        <w:t xml:space="preserve">. </w:t>
      </w:r>
    </w:p>
    <w:p w14:paraId="36B159D9" w14:textId="38FA2AD9" w:rsidR="00C0649C" w:rsidRPr="0084150A" w:rsidRDefault="0057338F" w:rsidP="001E16C6">
      <w:pPr>
        <w:pStyle w:val="Paragraphe"/>
        <w:rPr>
          <w:lang w:val="en-CA"/>
        </w:rPr>
      </w:pPr>
      <w:r>
        <w:rPr>
          <w:lang w:val="en-CA"/>
        </w:rPr>
        <w:t>Like</w:t>
      </w:r>
      <w:r w:rsidR="00701AFF" w:rsidRPr="0057338F">
        <w:rPr>
          <w:lang w:val="en-CA"/>
        </w:rPr>
        <w:t xml:space="preserve"> his son, in October 2019,</w:t>
      </w:r>
      <w:r w:rsidR="00701AFF" w:rsidRPr="0084150A">
        <w:rPr>
          <w:lang w:val="en-CA"/>
        </w:rPr>
        <w:t xml:space="preserve"> Gilles Racine agreed to answer questions from the Authority’s investigators voluntarily. The transcript of Gilles Racine’s examination was filed in</w:t>
      </w:r>
      <w:r w:rsidR="008E7A73">
        <w:rPr>
          <w:lang w:val="en-CA"/>
        </w:rPr>
        <w:t>to</w:t>
      </w:r>
      <w:r w:rsidR="00701AFF" w:rsidRPr="0084150A">
        <w:rPr>
          <w:lang w:val="en-CA"/>
        </w:rPr>
        <w:t xml:space="preserve"> evidence</w:t>
      </w:r>
      <w:r w:rsidR="005D25C5" w:rsidRPr="0084150A">
        <w:rPr>
          <w:rStyle w:val="Appelnotedebasdep"/>
          <w:lang w:val="en-CA"/>
        </w:rPr>
        <w:footnoteReference w:id="134"/>
      </w:r>
      <w:r w:rsidR="004D7251" w:rsidRPr="0084150A">
        <w:rPr>
          <w:lang w:val="en-CA"/>
        </w:rPr>
        <w:t xml:space="preserve"> </w:t>
      </w:r>
      <w:r w:rsidR="00701AFF" w:rsidRPr="0084150A">
        <w:rPr>
          <w:lang w:val="en-CA"/>
        </w:rPr>
        <w:t>without objection from the respondents</w:t>
      </w:r>
      <w:r w:rsidR="004D7251" w:rsidRPr="0084150A">
        <w:rPr>
          <w:lang w:val="en-CA"/>
        </w:rPr>
        <w:t xml:space="preserve">. </w:t>
      </w:r>
    </w:p>
    <w:p w14:paraId="19D7AF6E" w14:textId="3C1E1528" w:rsidR="00833757" w:rsidRPr="0084150A" w:rsidRDefault="00E55FEE" w:rsidP="00833757">
      <w:pPr>
        <w:pStyle w:val="Paragraphe"/>
        <w:rPr>
          <w:lang w:val="en-CA"/>
        </w:rPr>
      </w:pPr>
      <w:r w:rsidRPr="0084150A">
        <w:rPr>
          <w:lang w:val="en-CA"/>
        </w:rPr>
        <w:t xml:space="preserve">As </w:t>
      </w:r>
      <w:r w:rsidR="00FF79E9">
        <w:rPr>
          <w:lang w:val="en-CA"/>
        </w:rPr>
        <w:t>with</w:t>
      </w:r>
      <w:r w:rsidRPr="0084150A">
        <w:rPr>
          <w:lang w:val="en-CA"/>
        </w:rPr>
        <w:t xml:space="preserve"> the transcript of Frédéric Racine’s examination, and on the same grounds, the Tribunal </w:t>
      </w:r>
      <w:proofErr w:type="gramStart"/>
      <w:r w:rsidRPr="0084150A">
        <w:rPr>
          <w:lang w:val="en-CA"/>
        </w:rPr>
        <w:t>takes into account</w:t>
      </w:r>
      <w:proofErr w:type="gramEnd"/>
      <w:r w:rsidRPr="0084150A">
        <w:rPr>
          <w:lang w:val="en-CA"/>
        </w:rPr>
        <w:t xml:space="preserve"> Gilles Racine’s examination during the hearing and during his testimony before investigators. </w:t>
      </w:r>
      <w:r w:rsidR="00B22533" w:rsidRPr="0084150A">
        <w:rPr>
          <w:lang w:val="en-CA"/>
        </w:rPr>
        <w:t>The Tribunal draws conclusions on the accuracy of the facts and the credibility and reliability of his testimony</w:t>
      </w:r>
      <w:r w:rsidR="0058193B" w:rsidRPr="0084150A">
        <w:rPr>
          <w:lang w:val="en-CA"/>
        </w:rPr>
        <w:t>.</w:t>
      </w:r>
    </w:p>
    <w:p w14:paraId="5536DB3A" w14:textId="436EDE36" w:rsidR="00833757" w:rsidRPr="0084150A" w:rsidRDefault="00B22533" w:rsidP="00833757">
      <w:pPr>
        <w:pStyle w:val="Paragraphe"/>
        <w:rPr>
          <w:lang w:val="en-CA"/>
        </w:rPr>
      </w:pPr>
      <w:r w:rsidRPr="0084150A">
        <w:rPr>
          <w:lang w:val="en-CA"/>
        </w:rPr>
        <w:t xml:space="preserve">During his examination by investigators, and contrary to his testimony before the Tribunal, Gilles Racine testified that it was his son, Frédéric Racine, who told him that Napec could be </w:t>
      </w:r>
      <w:r w:rsidR="00A97690">
        <w:rPr>
          <w:lang w:val="en-CA"/>
        </w:rPr>
        <w:t>bought</w:t>
      </w:r>
      <w:r w:rsidRPr="0084150A">
        <w:rPr>
          <w:lang w:val="en-CA"/>
        </w:rPr>
        <w:t xml:space="preserve"> </w:t>
      </w:r>
      <w:r w:rsidR="005940D3">
        <w:rPr>
          <w:lang w:val="en-CA"/>
        </w:rPr>
        <w:t xml:space="preserve">or </w:t>
      </w:r>
      <w:r w:rsidR="005940D3" w:rsidRPr="0084150A">
        <w:rPr>
          <w:lang w:val="en-CA"/>
        </w:rPr>
        <w:t xml:space="preserve">sold </w:t>
      </w:r>
      <w:r w:rsidRPr="0084150A">
        <w:rPr>
          <w:lang w:val="en-CA"/>
        </w:rPr>
        <w:t xml:space="preserve">and who advised him to purchase shares of Napec. Frédéric Racine told him that he had </w:t>
      </w:r>
      <w:r w:rsidR="005940D3">
        <w:rPr>
          <w:lang w:val="en-CA"/>
        </w:rPr>
        <w:t xml:space="preserve">personally </w:t>
      </w:r>
      <w:r w:rsidRPr="0084150A">
        <w:rPr>
          <w:lang w:val="en-CA"/>
        </w:rPr>
        <w:t>decided to purchase shares of Napec</w:t>
      </w:r>
      <w:r w:rsidR="005D25C5" w:rsidRPr="0084150A">
        <w:rPr>
          <w:vertAlign w:val="superscript"/>
          <w:lang w:val="en-CA"/>
        </w:rPr>
        <w:footnoteReference w:id="135"/>
      </w:r>
      <w:r w:rsidR="005D25C5" w:rsidRPr="0084150A">
        <w:rPr>
          <w:lang w:val="en-CA"/>
        </w:rPr>
        <w:t xml:space="preserve"> </w:t>
      </w:r>
      <w:r w:rsidRPr="0084150A">
        <w:rPr>
          <w:lang w:val="en-CA"/>
        </w:rPr>
        <w:t>based on the information he received from friends or acquaintances.</w:t>
      </w:r>
      <w:r w:rsidR="005D25C5" w:rsidRPr="0084150A">
        <w:rPr>
          <w:rStyle w:val="Appelnotedebasdep"/>
          <w:lang w:val="en-CA"/>
        </w:rPr>
        <w:footnoteReference w:id="136"/>
      </w:r>
      <w:r w:rsidR="005D25C5" w:rsidRPr="0084150A">
        <w:rPr>
          <w:lang w:val="en-CA"/>
        </w:rPr>
        <w:t xml:space="preserve"> </w:t>
      </w:r>
      <w:r w:rsidR="005D25C5" w:rsidRPr="0084150A">
        <w:rPr>
          <w:rStyle w:val="cf01"/>
          <w:rFonts w:ascii="Arial" w:hAnsi="Arial" w:cs="Arial"/>
          <w:sz w:val="24"/>
          <w:szCs w:val="24"/>
          <w:lang w:val="en-CA"/>
        </w:rPr>
        <w:t xml:space="preserve">Gilles Racine </w:t>
      </w:r>
      <w:r w:rsidRPr="0084150A">
        <w:rPr>
          <w:rStyle w:val="cf01"/>
          <w:rFonts w:ascii="Arial" w:hAnsi="Arial" w:cs="Arial"/>
          <w:sz w:val="24"/>
          <w:szCs w:val="24"/>
          <w:lang w:val="en-CA"/>
        </w:rPr>
        <w:t xml:space="preserve">maintained this version throughout his examination </w:t>
      </w:r>
      <w:r w:rsidR="005940D3">
        <w:rPr>
          <w:rStyle w:val="cf01"/>
          <w:rFonts w:ascii="Arial" w:hAnsi="Arial" w:cs="Arial"/>
          <w:sz w:val="24"/>
          <w:szCs w:val="24"/>
          <w:lang w:val="en-CA"/>
        </w:rPr>
        <w:t>by</w:t>
      </w:r>
      <w:r w:rsidR="005940D3" w:rsidRPr="0084150A">
        <w:rPr>
          <w:rStyle w:val="cf01"/>
          <w:rFonts w:ascii="Arial" w:hAnsi="Arial" w:cs="Arial"/>
          <w:sz w:val="24"/>
          <w:szCs w:val="24"/>
          <w:lang w:val="en-CA"/>
        </w:rPr>
        <w:t xml:space="preserve"> </w:t>
      </w:r>
      <w:r w:rsidRPr="0084150A">
        <w:rPr>
          <w:rStyle w:val="cf01"/>
          <w:rFonts w:ascii="Arial" w:hAnsi="Arial" w:cs="Arial"/>
          <w:sz w:val="24"/>
          <w:szCs w:val="24"/>
          <w:lang w:val="en-CA"/>
        </w:rPr>
        <w:t xml:space="preserve">investigators. Gilles Racine told investigators that he had never traded in securities of Napec and that he did not </w:t>
      </w:r>
      <w:r w:rsidR="00E11FA7" w:rsidRPr="0084150A">
        <w:rPr>
          <w:rStyle w:val="cf01"/>
          <w:rFonts w:ascii="Arial" w:hAnsi="Arial" w:cs="Arial"/>
          <w:sz w:val="24"/>
          <w:szCs w:val="24"/>
          <w:lang w:val="en-CA"/>
        </w:rPr>
        <w:t>know</w:t>
      </w:r>
      <w:r w:rsidRPr="0084150A">
        <w:rPr>
          <w:rStyle w:val="cf01"/>
          <w:rFonts w:ascii="Arial" w:hAnsi="Arial" w:cs="Arial"/>
          <w:sz w:val="24"/>
          <w:szCs w:val="24"/>
          <w:lang w:val="en-CA"/>
        </w:rPr>
        <w:t xml:space="preserve"> about Napec until his son </w:t>
      </w:r>
      <w:r w:rsidR="005940D3">
        <w:rPr>
          <w:rStyle w:val="cf01"/>
          <w:rFonts w:ascii="Arial" w:hAnsi="Arial" w:cs="Arial"/>
          <w:sz w:val="24"/>
          <w:szCs w:val="24"/>
          <w:lang w:val="en-CA"/>
        </w:rPr>
        <w:t>told</w:t>
      </w:r>
      <w:r w:rsidRPr="0084150A">
        <w:rPr>
          <w:rStyle w:val="cf01"/>
          <w:rFonts w:ascii="Arial" w:hAnsi="Arial" w:cs="Arial"/>
          <w:sz w:val="24"/>
          <w:szCs w:val="24"/>
          <w:lang w:val="en-CA"/>
        </w:rPr>
        <w:t xml:space="preserve"> him about it.</w:t>
      </w:r>
      <w:r w:rsidR="005D25C5" w:rsidRPr="0084150A">
        <w:rPr>
          <w:vertAlign w:val="superscript"/>
          <w:lang w:val="en-CA"/>
        </w:rPr>
        <w:footnoteReference w:id="137"/>
      </w:r>
      <w:r w:rsidR="005D25C5" w:rsidRPr="0084150A">
        <w:rPr>
          <w:lang w:val="en-CA"/>
        </w:rPr>
        <w:t xml:space="preserve"> </w:t>
      </w:r>
      <w:r w:rsidR="00745D28" w:rsidRPr="0084150A">
        <w:rPr>
          <w:lang w:val="en-CA"/>
        </w:rPr>
        <w:t>In addition, his son also allegedly confirmed that [</w:t>
      </w:r>
      <w:r w:rsidR="00745D28" w:rsidRPr="0084150A">
        <w:rPr>
          <w:smallCaps/>
          <w:lang w:val="en-CA"/>
        </w:rPr>
        <w:t xml:space="preserve">translation] </w:t>
      </w:r>
      <w:r w:rsidR="00745D28" w:rsidRPr="0084150A">
        <w:rPr>
          <w:lang w:val="en-CA"/>
        </w:rPr>
        <w:t>“the company would be worth about two bucks ($2)”.</w:t>
      </w:r>
      <w:r w:rsidR="005D25C5" w:rsidRPr="0084150A">
        <w:rPr>
          <w:rStyle w:val="Appelnotedebasdep"/>
          <w:lang w:val="en-CA"/>
        </w:rPr>
        <w:footnoteReference w:id="138"/>
      </w:r>
    </w:p>
    <w:p w14:paraId="5F4C9F32" w14:textId="130B7A80" w:rsidR="0058193B" w:rsidRPr="0084150A" w:rsidRDefault="0061751E" w:rsidP="001E16C6">
      <w:pPr>
        <w:pStyle w:val="Paragraphe"/>
        <w:rPr>
          <w:lang w:val="en-CA"/>
        </w:rPr>
      </w:pPr>
      <w:r w:rsidRPr="0084150A">
        <w:rPr>
          <w:lang w:val="en-CA"/>
        </w:rPr>
        <w:t>During his cross-examination, when confronted about contradictions between his testimony before investigators and his testimony before the Tribunal, Gilles Racine described his examination by investigators as an assault. He explained that he was taken by surprise and that the investigators were aggressive and insulting towards him. He testified that they tried to make him say things that were not accurate</w:t>
      </w:r>
      <w:r w:rsidR="00F938CA" w:rsidRPr="0084150A">
        <w:rPr>
          <w:lang w:val="en-CA"/>
        </w:rPr>
        <w:t xml:space="preserve">. </w:t>
      </w:r>
    </w:p>
    <w:p w14:paraId="216A96D1" w14:textId="070BCE12" w:rsidR="00833757" w:rsidRPr="0084150A" w:rsidRDefault="00E2412D" w:rsidP="001E16C6">
      <w:pPr>
        <w:pStyle w:val="Paragraphe"/>
        <w:rPr>
          <w:lang w:val="en-CA"/>
        </w:rPr>
      </w:pPr>
      <w:r w:rsidRPr="0084150A">
        <w:rPr>
          <w:lang w:val="en-CA"/>
        </w:rPr>
        <w:t xml:space="preserve">He admitted, however, that investigators told him that he was under no obligation to answer their questions and that he had the right to </w:t>
      </w:r>
      <w:r w:rsidR="00504AA6">
        <w:rPr>
          <w:lang w:val="en-CA"/>
        </w:rPr>
        <w:t>communicate with counsel</w:t>
      </w:r>
      <w:r w:rsidR="005D25C5" w:rsidRPr="0084150A">
        <w:rPr>
          <w:lang w:val="en-CA"/>
        </w:rPr>
        <w:t xml:space="preserve">. </w:t>
      </w:r>
      <w:r w:rsidRPr="0084150A">
        <w:rPr>
          <w:lang w:val="en-CA"/>
        </w:rPr>
        <w:t xml:space="preserve">Despite </w:t>
      </w:r>
      <w:r w:rsidRPr="0084150A">
        <w:rPr>
          <w:lang w:val="en-CA"/>
        </w:rPr>
        <w:lastRenderedPageBreak/>
        <w:t>these warnings, he admitted before the Tribunal that he agreed to answer the questions and, more importantly, he confirmed that he told investigators the truth</w:t>
      </w:r>
      <w:r w:rsidR="005D25C5" w:rsidRPr="0084150A">
        <w:rPr>
          <w:lang w:val="en-CA"/>
        </w:rPr>
        <w:t xml:space="preserve">. </w:t>
      </w:r>
    </w:p>
    <w:p w14:paraId="38689A4F" w14:textId="704826E0" w:rsidR="00F938CA" w:rsidRPr="0084150A" w:rsidRDefault="00ED1DEE" w:rsidP="001E16C6">
      <w:pPr>
        <w:pStyle w:val="Paragraphe"/>
        <w:rPr>
          <w:lang w:val="en-CA"/>
        </w:rPr>
      </w:pPr>
      <w:r w:rsidRPr="0084150A">
        <w:rPr>
          <w:lang w:val="en-CA"/>
        </w:rPr>
        <w:t xml:space="preserve">He </w:t>
      </w:r>
      <w:r w:rsidR="00504AA6">
        <w:rPr>
          <w:lang w:val="en-CA"/>
        </w:rPr>
        <w:t>told</w:t>
      </w:r>
      <w:r w:rsidRPr="0084150A">
        <w:rPr>
          <w:lang w:val="en-CA"/>
        </w:rPr>
        <w:t xml:space="preserve"> the Tribunal that, at the time of his examination</w:t>
      </w:r>
      <w:r w:rsidR="00B53868" w:rsidRPr="0084150A">
        <w:rPr>
          <w:lang w:val="en-CA"/>
        </w:rPr>
        <w:t xml:space="preserve"> by the Authority’s investigators, he did not know what the consequences would be for his son. He added that, at the time, he had not made </w:t>
      </w:r>
      <w:r w:rsidR="00504AA6">
        <w:rPr>
          <w:lang w:val="en-CA"/>
        </w:rPr>
        <w:t>the</w:t>
      </w:r>
      <w:r w:rsidR="00B53868" w:rsidRPr="0084150A">
        <w:rPr>
          <w:lang w:val="en-CA"/>
        </w:rPr>
        <w:t xml:space="preserve"> connection with the reports from </w:t>
      </w:r>
      <w:r w:rsidR="00B53868" w:rsidRPr="0084150A">
        <w:rPr>
          <w:i/>
          <w:iCs/>
          <w:lang w:val="en-CA"/>
        </w:rPr>
        <w:t xml:space="preserve">Seeking Alpha </w:t>
      </w:r>
      <w:r w:rsidR="00B53868" w:rsidRPr="0084150A">
        <w:rPr>
          <w:lang w:val="en-CA"/>
        </w:rPr>
        <w:t>that he himself allegedly gave to Frédéric Racine</w:t>
      </w:r>
      <w:r w:rsidR="005D25C5" w:rsidRPr="0084150A">
        <w:rPr>
          <w:lang w:val="en-CA"/>
        </w:rPr>
        <w:t xml:space="preserve">. </w:t>
      </w:r>
      <w:r w:rsidR="00B53868" w:rsidRPr="0084150A">
        <w:rPr>
          <w:lang w:val="en-CA"/>
        </w:rPr>
        <w:t xml:space="preserve">He ultimately acknowledged that he did not discuss </w:t>
      </w:r>
      <w:r w:rsidR="00B53868" w:rsidRPr="0084150A">
        <w:rPr>
          <w:i/>
          <w:iCs/>
          <w:lang w:val="en-CA"/>
        </w:rPr>
        <w:t xml:space="preserve">Seeking Alpha </w:t>
      </w:r>
      <w:r w:rsidR="00B53868" w:rsidRPr="0084150A">
        <w:rPr>
          <w:lang w:val="en-CA"/>
        </w:rPr>
        <w:t xml:space="preserve">with the investigators or </w:t>
      </w:r>
      <w:r w:rsidR="00E81ED9" w:rsidRPr="0084150A">
        <w:rPr>
          <w:lang w:val="en-CA"/>
        </w:rPr>
        <w:t xml:space="preserve">contact them </w:t>
      </w:r>
      <w:r w:rsidR="005D11F2">
        <w:rPr>
          <w:lang w:val="en-CA"/>
        </w:rPr>
        <w:t>later</w:t>
      </w:r>
      <w:r w:rsidR="005D11F2" w:rsidRPr="0084150A">
        <w:rPr>
          <w:lang w:val="en-CA"/>
        </w:rPr>
        <w:t xml:space="preserve"> </w:t>
      </w:r>
      <w:r w:rsidR="00E81ED9" w:rsidRPr="0084150A">
        <w:rPr>
          <w:lang w:val="en-CA"/>
        </w:rPr>
        <w:t>to correct his testimony</w:t>
      </w:r>
      <w:r w:rsidR="00AC36C1" w:rsidRPr="0084150A">
        <w:rPr>
          <w:lang w:val="en-CA"/>
        </w:rPr>
        <w:t>.</w:t>
      </w:r>
    </w:p>
    <w:p w14:paraId="1B442FD5" w14:textId="4F9AAC25" w:rsidR="00A0673D" w:rsidRPr="0084150A" w:rsidRDefault="00BC5757" w:rsidP="001E16C6">
      <w:pPr>
        <w:pStyle w:val="Paragraphe"/>
        <w:rPr>
          <w:lang w:val="en-CA"/>
        </w:rPr>
      </w:pPr>
      <w:r w:rsidRPr="0084150A">
        <w:rPr>
          <w:lang w:val="en-CA"/>
        </w:rPr>
        <w:t xml:space="preserve">Between November 13 and 28, 2017, Gilles Racine purchased, through his brokerage accounts, a total of 70,000 shares of Napec for $94,675. </w:t>
      </w:r>
      <w:r w:rsidR="00163C7F">
        <w:rPr>
          <w:lang w:val="en-CA"/>
        </w:rPr>
        <w:t>The security of Napec</w:t>
      </w:r>
      <w:r w:rsidRPr="0084150A">
        <w:rPr>
          <w:lang w:val="en-CA"/>
        </w:rPr>
        <w:t xml:space="preserve"> was the only security in which Gilles Racine traded in November 2017.</w:t>
      </w:r>
      <w:r w:rsidR="005D25C5" w:rsidRPr="0084150A">
        <w:rPr>
          <w:vertAlign w:val="superscript"/>
          <w:lang w:val="en-CA"/>
        </w:rPr>
        <w:footnoteReference w:id="139"/>
      </w:r>
    </w:p>
    <w:p w14:paraId="6A0D307D" w14:textId="08C6D324" w:rsidR="00A0673D" w:rsidRPr="0084150A" w:rsidRDefault="00391CEF" w:rsidP="001E16C6">
      <w:pPr>
        <w:pStyle w:val="Paragraphe"/>
        <w:rPr>
          <w:lang w:val="en-CA"/>
        </w:rPr>
      </w:pPr>
      <w:r w:rsidRPr="0084150A">
        <w:rPr>
          <w:lang w:val="en-CA"/>
        </w:rPr>
        <w:t xml:space="preserve">In addition, </w:t>
      </w:r>
      <w:r w:rsidR="001F3DD6">
        <w:rPr>
          <w:lang w:val="en-CA"/>
        </w:rPr>
        <w:t xml:space="preserve">in November 2017, </w:t>
      </w:r>
      <w:r w:rsidR="00E46224">
        <w:rPr>
          <w:lang w:val="en-CA"/>
        </w:rPr>
        <w:t>because</w:t>
      </w:r>
      <w:r w:rsidR="00E46224" w:rsidRPr="0084150A">
        <w:rPr>
          <w:lang w:val="en-CA"/>
        </w:rPr>
        <w:t xml:space="preserve"> </w:t>
      </w:r>
      <w:r w:rsidRPr="0084150A">
        <w:rPr>
          <w:lang w:val="en-CA"/>
        </w:rPr>
        <w:t xml:space="preserve">Gilles Racine was authorized to </w:t>
      </w:r>
      <w:r w:rsidR="00E46224">
        <w:rPr>
          <w:lang w:val="en-CA"/>
        </w:rPr>
        <w:t>trade</w:t>
      </w:r>
      <w:r w:rsidR="00E46224" w:rsidRPr="0084150A">
        <w:rPr>
          <w:lang w:val="en-CA"/>
        </w:rPr>
        <w:t xml:space="preserve"> </w:t>
      </w:r>
      <w:r w:rsidRPr="0084150A">
        <w:rPr>
          <w:lang w:val="en-CA"/>
        </w:rPr>
        <w:t>in his spouse’s brokerage account, he purchased 5,700 shares of Napec for her for $7,724.90.</w:t>
      </w:r>
      <w:r w:rsidR="005D25C5" w:rsidRPr="0084150A">
        <w:rPr>
          <w:vertAlign w:val="superscript"/>
          <w:lang w:val="en-CA"/>
        </w:rPr>
        <w:footnoteReference w:id="140"/>
      </w:r>
    </w:p>
    <w:p w14:paraId="135E716E" w14:textId="4D661358" w:rsidR="00C5214A" w:rsidRPr="0084150A" w:rsidRDefault="001F2271" w:rsidP="001E16C6">
      <w:pPr>
        <w:pStyle w:val="Paragraphe"/>
        <w:rPr>
          <w:lang w:val="en-CA"/>
        </w:rPr>
      </w:pPr>
      <w:r w:rsidRPr="0084150A">
        <w:rPr>
          <w:lang w:val="en-CA"/>
        </w:rPr>
        <w:t xml:space="preserve">The only explanations that Gilles Racine gave the Tribunal about the contradictions between the answers given to investigators and his testimony during the hearing rest on the fact that he was stressed </w:t>
      </w:r>
      <w:r w:rsidR="00FB6024" w:rsidRPr="0084150A">
        <w:rPr>
          <w:lang w:val="en-CA"/>
        </w:rPr>
        <w:t>during the examination, he ha</w:t>
      </w:r>
      <w:r w:rsidR="00E46224">
        <w:rPr>
          <w:lang w:val="en-CA"/>
        </w:rPr>
        <w:t>s</w:t>
      </w:r>
      <w:r w:rsidR="00FB6024" w:rsidRPr="0084150A">
        <w:rPr>
          <w:lang w:val="en-CA"/>
        </w:rPr>
        <w:t xml:space="preserve"> memory problems, and he </w:t>
      </w:r>
      <w:r w:rsidR="005D11F2">
        <w:rPr>
          <w:lang w:val="en-CA"/>
        </w:rPr>
        <w:t>was unaware</w:t>
      </w:r>
      <w:r w:rsidR="00FB6024" w:rsidRPr="0084150A">
        <w:rPr>
          <w:lang w:val="en-CA"/>
        </w:rPr>
        <w:t xml:space="preserve"> what the consequences would be for his son</w:t>
      </w:r>
      <w:r w:rsidR="007D7625" w:rsidRPr="0084150A">
        <w:rPr>
          <w:lang w:val="en-CA"/>
        </w:rPr>
        <w:t>.</w:t>
      </w:r>
    </w:p>
    <w:p w14:paraId="1B7CA6CD" w14:textId="1F50673E" w:rsidR="007D7625" w:rsidRPr="0084150A" w:rsidRDefault="00FB6024" w:rsidP="001E16C6">
      <w:pPr>
        <w:pStyle w:val="Paragraphe"/>
        <w:rPr>
          <w:lang w:val="en-CA"/>
        </w:rPr>
      </w:pPr>
      <w:r w:rsidRPr="0084150A">
        <w:rPr>
          <w:lang w:val="en-CA"/>
        </w:rPr>
        <w:t xml:space="preserve">The Tribunal does not see how Gilles Racine can </w:t>
      </w:r>
      <w:r w:rsidR="007E68A5">
        <w:rPr>
          <w:lang w:val="en-CA"/>
        </w:rPr>
        <w:t>claim,</w:t>
      </w:r>
      <w:r w:rsidRPr="0084150A">
        <w:rPr>
          <w:lang w:val="en-CA"/>
        </w:rPr>
        <w:t xml:space="preserve"> </w:t>
      </w:r>
      <w:r w:rsidR="00E46224">
        <w:rPr>
          <w:lang w:val="en-CA"/>
        </w:rPr>
        <w:t>at</w:t>
      </w:r>
      <w:r w:rsidR="00E46224" w:rsidRPr="0084150A">
        <w:rPr>
          <w:lang w:val="en-CA"/>
        </w:rPr>
        <w:t xml:space="preserve"> </w:t>
      </w:r>
      <w:r w:rsidRPr="0084150A">
        <w:rPr>
          <w:lang w:val="en-CA"/>
        </w:rPr>
        <w:t>the hearing</w:t>
      </w:r>
      <w:r w:rsidR="007E68A5">
        <w:rPr>
          <w:lang w:val="en-CA"/>
        </w:rPr>
        <w:t>,</w:t>
      </w:r>
      <w:r w:rsidRPr="0084150A">
        <w:rPr>
          <w:lang w:val="en-CA"/>
        </w:rPr>
        <w:t xml:space="preserve"> that he had been following Napec’s security for almost a year before his purchases, consulting information and blogs about Napec regularly, and</w:t>
      </w:r>
      <w:r w:rsidR="00E46224">
        <w:rPr>
          <w:lang w:val="en-CA"/>
        </w:rPr>
        <w:t xml:space="preserve"> that</w:t>
      </w:r>
      <w:r w:rsidRPr="0084150A">
        <w:rPr>
          <w:lang w:val="en-CA"/>
        </w:rPr>
        <w:t xml:space="preserve"> it</w:t>
      </w:r>
      <w:r w:rsidR="00DD3240" w:rsidRPr="0084150A">
        <w:rPr>
          <w:lang w:val="en-CA"/>
        </w:rPr>
        <w:t xml:space="preserve"> </w:t>
      </w:r>
      <w:r w:rsidRPr="0084150A">
        <w:rPr>
          <w:lang w:val="en-CA"/>
        </w:rPr>
        <w:t xml:space="preserve">was he who had allegedly recommended to his son Frédéric Racine that he purchase shares of Napec whereas he told investigators, closer to the time of the events, that he was not familiar with Napec before his son discussed it with him. </w:t>
      </w:r>
      <w:r w:rsidR="00DD3240" w:rsidRPr="0084150A">
        <w:rPr>
          <w:lang w:val="en-CA"/>
        </w:rPr>
        <w:t xml:space="preserve">Even if his recollection of the facts that occurred two years </w:t>
      </w:r>
      <w:r w:rsidR="001E2226">
        <w:rPr>
          <w:lang w:val="en-CA"/>
        </w:rPr>
        <w:t>earlier</w:t>
      </w:r>
      <w:r w:rsidR="001E2226" w:rsidRPr="0084150A">
        <w:rPr>
          <w:lang w:val="en-CA"/>
        </w:rPr>
        <w:t xml:space="preserve"> </w:t>
      </w:r>
      <w:r w:rsidR="00DD3240" w:rsidRPr="0084150A">
        <w:rPr>
          <w:lang w:val="en-CA"/>
        </w:rPr>
        <w:t xml:space="preserve">can be affected, the Tribunal does not believe that it can be affected to that extent </w:t>
      </w:r>
      <w:r w:rsidR="007E68A5">
        <w:rPr>
          <w:lang w:val="en-CA"/>
        </w:rPr>
        <w:t xml:space="preserve">with respect to </w:t>
      </w:r>
      <w:r w:rsidR="00DD3240" w:rsidRPr="0084150A">
        <w:rPr>
          <w:lang w:val="en-CA"/>
        </w:rPr>
        <w:t>such important facts</w:t>
      </w:r>
      <w:r w:rsidR="00FD0F73" w:rsidRPr="0084150A">
        <w:rPr>
          <w:lang w:val="en-CA"/>
        </w:rPr>
        <w:t xml:space="preserve">. </w:t>
      </w:r>
    </w:p>
    <w:p w14:paraId="26AB1ADA" w14:textId="6E83CF52" w:rsidR="00272795" w:rsidRPr="0084150A" w:rsidRDefault="00567625" w:rsidP="00422EA5">
      <w:pPr>
        <w:pStyle w:val="Paragraphe"/>
        <w:rPr>
          <w:lang w:val="en-CA"/>
        </w:rPr>
      </w:pPr>
      <w:r w:rsidRPr="00567625">
        <w:rPr>
          <w:lang w:val="en-CA"/>
        </w:rPr>
        <w:t>Before the Tribunal</w:t>
      </w:r>
      <w:r w:rsidR="005D25C5" w:rsidRPr="00567625">
        <w:rPr>
          <w:lang w:val="en-CA"/>
        </w:rPr>
        <w:t>, Gilles Racine</w:t>
      </w:r>
      <w:r w:rsidR="001E2226">
        <w:rPr>
          <w:lang w:val="en-CA"/>
        </w:rPr>
        <w:t>’s</w:t>
      </w:r>
      <w:r w:rsidRPr="00567625">
        <w:rPr>
          <w:lang w:val="en-CA"/>
        </w:rPr>
        <w:t xml:space="preserve"> testi</w:t>
      </w:r>
      <w:r w:rsidR="001E2226">
        <w:rPr>
          <w:lang w:val="en-CA"/>
        </w:rPr>
        <w:t>mony was lucid</w:t>
      </w:r>
      <w:r w:rsidRPr="00567625">
        <w:rPr>
          <w:lang w:val="en-CA"/>
        </w:rPr>
        <w:t>, and the Tribunal does not perceive any memory issues but rather</w:t>
      </w:r>
      <w:r>
        <w:rPr>
          <w:lang w:val="en-CA"/>
        </w:rPr>
        <w:t xml:space="preserve"> that he wants to protect his son </w:t>
      </w:r>
      <w:r w:rsidR="001E2226">
        <w:rPr>
          <w:lang w:val="en-CA"/>
        </w:rPr>
        <w:t xml:space="preserve">from </w:t>
      </w:r>
      <w:r>
        <w:rPr>
          <w:lang w:val="en-CA"/>
        </w:rPr>
        <w:t>the Authority’s proceedings and is aligning his version of the facts with that of his son</w:t>
      </w:r>
      <w:r w:rsidR="005D25C5" w:rsidRPr="0084150A">
        <w:rPr>
          <w:lang w:val="en-CA"/>
        </w:rPr>
        <w:t>.</w:t>
      </w:r>
      <w:r w:rsidR="00422EA5" w:rsidRPr="0084150A">
        <w:rPr>
          <w:rFonts w:ascii="Segoe UI" w:hAnsi="Segoe UI" w:cs="Segoe UI"/>
          <w:kern w:val="0"/>
          <w:sz w:val="18"/>
          <w:szCs w:val="18"/>
          <w:lang w:val="en-CA" w:eastAsia="fr-CA"/>
        </w:rPr>
        <w:t xml:space="preserve"> </w:t>
      </w:r>
    </w:p>
    <w:p w14:paraId="6042E192" w14:textId="3B20DA83" w:rsidR="00272795" w:rsidRPr="0084150A" w:rsidRDefault="00567625" w:rsidP="001E16C6">
      <w:pPr>
        <w:pStyle w:val="Paragraphe"/>
        <w:rPr>
          <w:lang w:val="en-CA"/>
        </w:rPr>
      </w:pPr>
      <w:r w:rsidRPr="00567625">
        <w:rPr>
          <w:lang w:val="en-CA"/>
        </w:rPr>
        <w:t>The Tribunal accepts Gilles Racine’s testimony before</w:t>
      </w:r>
      <w:r w:rsidR="001E2226">
        <w:rPr>
          <w:lang w:val="en-CA"/>
        </w:rPr>
        <w:t xml:space="preserve"> the</w:t>
      </w:r>
      <w:r w:rsidRPr="00567625">
        <w:rPr>
          <w:lang w:val="en-CA"/>
        </w:rPr>
        <w:t xml:space="preserve"> investigators rather than the explanations given at the hearing</w:t>
      </w:r>
      <w:r w:rsidR="001E2226">
        <w:rPr>
          <w:lang w:val="en-CA"/>
        </w:rPr>
        <w:t>,</w:t>
      </w:r>
      <w:r w:rsidRPr="00567625">
        <w:rPr>
          <w:lang w:val="en-CA"/>
        </w:rPr>
        <w:t xml:space="preserve"> </w:t>
      </w:r>
      <w:r w:rsidR="001E2226">
        <w:rPr>
          <w:lang w:val="en-CA"/>
        </w:rPr>
        <w:t>according to</w:t>
      </w:r>
      <w:r w:rsidR="001E2226" w:rsidRPr="00567625">
        <w:rPr>
          <w:lang w:val="en-CA"/>
        </w:rPr>
        <w:t xml:space="preserve"> </w:t>
      </w:r>
      <w:r w:rsidRPr="00567625">
        <w:rPr>
          <w:lang w:val="en-CA"/>
        </w:rPr>
        <w:t xml:space="preserve">which Frédéric Racine spoke to him about the possibility that Napec would be </w:t>
      </w:r>
      <w:r w:rsidR="004F2462">
        <w:rPr>
          <w:lang w:val="en-CA"/>
        </w:rPr>
        <w:t>bought</w:t>
      </w:r>
      <w:r w:rsidRPr="00567625">
        <w:rPr>
          <w:lang w:val="en-CA"/>
        </w:rPr>
        <w:t xml:space="preserve"> or sold, which constitutes privileged in</w:t>
      </w:r>
      <w:r>
        <w:rPr>
          <w:lang w:val="en-CA"/>
        </w:rPr>
        <w:t xml:space="preserve">formation. </w:t>
      </w:r>
      <w:r w:rsidRPr="00567625">
        <w:rPr>
          <w:lang w:val="en-CA"/>
        </w:rPr>
        <w:t xml:space="preserve">Moreover, according to </w:t>
      </w:r>
      <w:r w:rsidR="001E2226" w:rsidRPr="00567625">
        <w:rPr>
          <w:lang w:val="en-CA"/>
        </w:rPr>
        <w:t>Gilles Racine</w:t>
      </w:r>
      <w:r w:rsidR="001E2226">
        <w:rPr>
          <w:lang w:val="en-CA"/>
        </w:rPr>
        <w:t>’s</w:t>
      </w:r>
      <w:r w:rsidR="001E2226" w:rsidRPr="00567625">
        <w:rPr>
          <w:lang w:val="en-CA"/>
        </w:rPr>
        <w:t xml:space="preserve"> </w:t>
      </w:r>
      <w:r w:rsidRPr="00567625">
        <w:rPr>
          <w:lang w:val="en-CA"/>
        </w:rPr>
        <w:t>accepted testimony, Frédéric Racine recommended that he purchase shares of Napec</w:t>
      </w:r>
      <w:r w:rsidR="00C110D0" w:rsidRPr="0084150A">
        <w:rPr>
          <w:lang w:val="en-CA"/>
        </w:rPr>
        <w:t>.</w:t>
      </w:r>
    </w:p>
    <w:p w14:paraId="77A32C78" w14:textId="6D217D34" w:rsidR="00A0673D" w:rsidRPr="0084150A" w:rsidRDefault="001E2226" w:rsidP="001E16C6">
      <w:pPr>
        <w:pStyle w:val="Paragraphe"/>
        <w:rPr>
          <w:lang w:val="en-CA"/>
        </w:rPr>
      </w:pPr>
      <w:r>
        <w:rPr>
          <w:lang w:val="en-CA"/>
        </w:rPr>
        <w:t>I</w:t>
      </w:r>
      <w:r w:rsidR="00192430" w:rsidRPr="0084150A">
        <w:rPr>
          <w:lang w:val="en-CA"/>
        </w:rPr>
        <w:t>n the Tribunal’s view, the Authority presented evidence</w:t>
      </w:r>
      <w:r>
        <w:rPr>
          <w:lang w:val="en-CA"/>
        </w:rPr>
        <w:t xml:space="preserve"> on a balance of </w:t>
      </w:r>
      <w:r w:rsidR="004506AB">
        <w:rPr>
          <w:lang w:val="en-CA"/>
        </w:rPr>
        <w:t>probabilities</w:t>
      </w:r>
      <w:r w:rsidR="00192430" w:rsidRPr="0084150A">
        <w:rPr>
          <w:lang w:val="en-CA"/>
        </w:rPr>
        <w:t xml:space="preserve"> that Frédéric Racine disclosed privileged information and recommended to his father, Gilles Racine, that he</w:t>
      </w:r>
      <w:r w:rsidR="00E11FA7">
        <w:rPr>
          <w:lang w:val="en-CA"/>
        </w:rPr>
        <w:t xml:space="preserve"> </w:t>
      </w:r>
      <w:r w:rsidR="00192430" w:rsidRPr="0084150A">
        <w:rPr>
          <w:lang w:val="en-CA"/>
        </w:rPr>
        <w:t xml:space="preserve">trade in securities of Napec in November 2017 while </w:t>
      </w:r>
      <w:r w:rsidR="00192430" w:rsidRPr="0084150A">
        <w:rPr>
          <w:lang w:val="en-CA"/>
        </w:rPr>
        <w:lastRenderedPageBreak/>
        <w:t>having privileged information</w:t>
      </w:r>
      <w:r w:rsidR="005D25C5" w:rsidRPr="0084150A">
        <w:rPr>
          <w:lang w:val="en-CA"/>
        </w:rPr>
        <w:t xml:space="preserve">. </w:t>
      </w:r>
      <w:r w:rsidR="00192430" w:rsidRPr="0084150A">
        <w:rPr>
          <w:lang w:val="en-CA"/>
        </w:rPr>
        <w:t xml:space="preserve">The Tribunal concludes that Frédéric Racine thereby committed a </w:t>
      </w:r>
      <w:r w:rsidR="00E06DF9">
        <w:rPr>
          <w:lang w:val="en-CA"/>
        </w:rPr>
        <w:t>contravention</w:t>
      </w:r>
      <w:r w:rsidR="00E06DF9" w:rsidRPr="0084150A">
        <w:rPr>
          <w:lang w:val="en-CA"/>
        </w:rPr>
        <w:t xml:space="preserve"> </w:t>
      </w:r>
      <w:r w:rsidR="00192430" w:rsidRPr="0084150A">
        <w:rPr>
          <w:lang w:val="en-CA"/>
        </w:rPr>
        <w:t xml:space="preserve">of section 188 of the </w:t>
      </w:r>
      <w:r w:rsidR="00192430" w:rsidRPr="0084150A">
        <w:rPr>
          <w:i/>
          <w:iCs/>
          <w:lang w:val="en-CA"/>
        </w:rPr>
        <w:t>SA</w:t>
      </w:r>
      <w:r w:rsidR="005D25C5" w:rsidRPr="0084150A">
        <w:rPr>
          <w:lang w:val="en-CA"/>
        </w:rPr>
        <w:t>.</w:t>
      </w:r>
    </w:p>
    <w:p w14:paraId="4839EB03" w14:textId="27CB0784" w:rsidR="00A0673D" w:rsidRPr="0084150A" w:rsidRDefault="005D25C5" w:rsidP="006837C9">
      <w:pPr>
        <w:pStyle w:val="Titre2"/>
        <w:rPr>
          <w:lang w:val="en-CA"/>
        </w:rPr>
      </w:pPr>
      <w:r w:rsidRPr="0084150A">
        <w:rPr>
          <w:lang w:val="en-CA"/>
        </w:rPr>
        <w:t xml:space="preserve">6. </w:t>
      </w:r>
      <w:bookmarkStart w:id="16" w:name="_Hlk160116148"/>
      <w:r w:rsidR="00997366" w:rsidRPr="0084150A">
        <w:rPr>
          <w:lang w:val="en-CA"/>
        </w:rPr>
        <w:t>Did Frédéric Racine recommend to Anne Roy-Dussault that she trade in securities of Napec</w:t>
      </w:r>
      <w:r w:rsidR="00A318B5" w:rsidRPr="0084150A">
        <w:rPr>
          <w:lang w:val="en-CA"/>
        </w:rPr>
        <w:t>,</w:t>
      </w:r>
      <w:r w:rsidR="00997366" w:rsidRPr="0084150A">
        <w:rPr>
          <w:lang w:val="en-CA"/>
        </w:rPr>
        <w:t xml:space="preserve"> </w:t>
      </w:r>
      <w:r w:rsidR="00A318B5" w:rsidRPr="0084150A">
        <w:rPr>
          <w:lang w:val="en-CA"/>
        </w:rPr>
        <w:t>in</w:t>
      </w:r>
      <w:r w:rsidR="00997366" w:rsidRPr="0084150A">
        <w:rPr>
          <w:lang w:val="en-CA"/>
        </w:rPr>
        <w:t xml:space="preserve"> respect </w:t>
      </w:r>
      <w:r w:rsidR="00A318B5" w:rsidRPr="0084150A">
        <w:rPr>
          <w:lang w:val="en-CA"/>
        </w:rPr>
        <w:t>of</w:t>
      </w:r>
      <w:r w:rsidR="00997366" w:rsidRPr="0084150A">
        <w:rPr>
          <w:lang w:val="en-CA"/>
        </w:rPr>
        <w:t xml:space="preserve"> which he had pr</w:t>
      </w:r>
      <w:r w:rsidR="00F36365" w:rsidRPr="0084150A">
        <w:rPr>
          <w:lang w:val="en-CA"/>
        </w:rPr>
        <w:t>iv</w:t>
      </w:r>
      <w:r w:rsidR="00997366" w:rsidRPr="0084150A">
        <w:rPr>
          <w:lang w:val="en-CA"/>
        </w:rPr>
        <w:t>ileged information</w:t>
      </w:r>
      <w:bookmarkEnd w:id="16"/>
      <w:r w:rsidRPr="0084150A">
        <w:rPr>
          <w:lang w:val="en-CA"/>
        </w:rPr>
        <w:t>?</w:t>
      </w:r>
    </w:p>
    <w:p w14:paraId="36CF696B" w14:textId="5D2296A6" w:rsidR="00A0673D" w:rsidRPr="0084150A" w:rsidRDefault="00A318B5" w:rsidP="001E16C6">
      <w:pPr>
        <w:pStyle w:val="Paragraphe"/>
        <w:rPr>
          <w:lang w:val="en-CA"/>
        </w:rPr>
      </w:pPr>
      <w:r w:rsidRPr="0084150A">
        <w:rPr>
          <w:lang w:val="en-CA"/>
        </w:rPr>
        <w:t xml:space="preserve">The Tribunal </w:t>
      </w:r>
      <w:r w:rsidR="009C2D6F">
        <w:rPr>
          <w:lang w:val="en-CA"/>
        </w:rPr>
        <w:t>concludes</w:t>
      </w:r>
      <w:r w:rsidR="009C2D6F" w:rsidRPr="0084150A">
        <w:rPr>
          <w:lang w:val="en-CA"/>
        </w:rPr>
        <w:t xml:space="preserve"> </w:t>
      </w:r>
      <w:r w:rsidRPr="0084150A">
        <w:rPr>
          <w:lang w:val="en-CA"/>
        </w:rPr>
        <w:t xml:space="preserve">that Frédéric Racine recommended to Anne Roy-Dussault that she trade in </w:t>
      </w:r>
      <w:r w:rsidR="00725BB2">
        <w:rPr>
          <w:lang w:val="en-CA"/>
        </w:rPr>
        <w:t>the security of Napec</w:t>
      </w:r>
      <w:r w:rsidRPr="0084150A">
        <w:rPr>
          <w:lang w:val="en-CA"/>
        </w:rPr>
        <w:t>, in respect of which he had privileged information</w:t>
      </w:r>
      <w:r w:rsidR="005D25C5" w:rsidRPr="0084150A">
        <w:rPr>
          <w:lang w:val="en-CA"/>
        </w:rPr>
        <w:t>.</w:t>
      </w:r>
    </w:p>
    <w:p w14:paraId="3A6352E6" w14:textId="78E71FF1" w:rsidR="00A0673D" w:rsidRPr="0084150A" w:rsidRDefault="00CA5839" w:rsidP="001E16C6">
      <w:pPr>
        <w:pStyle w:val="Paragraphe"/>
        <w:rPr>
          <w:lang w:val="en-CA"/>
        </w:rPr>
      </w:pPr>
      <w:r w:rsidRPr="0084150A">
        <w:rPr>
          <w:lang w:val="en-CA"/>
        </w:rPr>
        <w:t xml:space="preserve">As previously stated, because the prohibitions set out in sections 187 and 188 of the </w:t>
      </w:r>
      <w:r w:rsidRPr="0084150A">
        <w:rPr>
          <w:i/>
          <w:iCs/>
          <w:lang w:val="en-CA"/>
        </w:rPr>
        <w:t xml:space="preserve">SA </w:t>
      </w:r>
      <w:r w:rsidRPr="0084150A">
        <w:rPr>
          <w:lang w:val="en-CA"/>
        </w:rPr>
        <w:t xml:space="preserve">apply to Frédéric Racine </w:t>
      </w:r>
      <w:r w:rsidR="00C92649">
        <w:rPr>
          <w:lang w:val="en-CA"/>
        </w:rPr>
        <w:t>pursuant to</w:t>
      </w:r>
      <w:r w:rsidRPr="0084150A">
        <w:rPr>
          <w:lang w:val="en-CA"/>
        </w:rPr>
        <w:t xml:space="preserve"> section 189(5) of the </w:t>
      </w:r>
      <w:r w:rsidRPr="0084150A">
        <w:rPr>
          <w:i/>
          <w:iCs/>
          <w:lang w:val="en-CA"/>
        </w:rPr>
        <w:t>SA</w:t>
      </w:r>
      <w:r w:rsidRPr="0084150A">
        <w:rPr>
          <w:lang w:val="en-CA"/>
        </w:rPr>
        <w:t>,</w:t>
      </w:r>
      <w:r w:rsidRPr="0084150A">
        <w:rPr>
          <w:i/>
          <w:iCs/>
          <w:lang w:val="en-CA"/>
        </w:rPr>
        <w:t xml:space="preserve"> </w:t>
      </w:r>
      <w:r w:rsidRPr="0084150A">
        <w:rPr>
          <w:lang w:val="en-CA"/>
        </w:rPr>
        <w:t>he could not disclose privileged information that he had regarding Napec or recommend that another party trade in securities of Napec</w:t>
      </w:r>
      <w:r w:rsidR="005D25C5" w:rsidRPr="0084150A">
        <w:rPr>
          <w:lang w:val="en-CA"/>
        </w:rPr>
        <w:t>.</w:t>
      </w:r>
    </w:p>
    <w:p w14:paraId="3BFDAD4A" w14:textId="3B0B4E04" w:rsidR="004763A8" w:rsidRPr="0084150A" w:rsidRDefault="005D25C5" w:rsidP="001E16C6">
      <w:pPr>
        <w:pStyle w:val="Paragraphe"/>
        <w:rPr>
          <w:lang w:val="en-CA"/>
        </w:rPr>
      </w:pPr>
      <w:r w:rsidRPr="0084150A">
        <w:rPr>
          <w:lang w:val="en-CA"/>
        </w:rPr>
        <w:t xml:space="preserve">Anne Roy-Dussault </w:t>
      </w:r>
      <w:r w:rsidR="00D4147D" w:rsidRPr="0084150A">
        <w:rPr>
          <w:lang w:val="en-CA"/>
        </w:rPr>
        <w:t>testified before investigators on January 23, 2020, after being served with a subpoen</w:t>
      </w:r>
      <w:r w:rsidRPr="0084150A">
        <w:rPr>
          <w:lang w:val="en-CA"/>
        </w:rPr>
        <w:t xml:space="preserve">a. </w:t>
      </w:r>
      <w:r w:rsidR="00D4147D" w:rsidRPr="0084150A">
        <w:rPr>
          <w:lang w:val="en-CA"/>
        </w:rPr>
        <w:t>The transcript of her examination was filed into evidence.</w:t>
      </w:r>
      <w:r w:rsidRPr="0084150A">
        <w:rPr>
          <w:rStyle w:val="Appelnotedebasdep"/>
          <w:lang w:val="en-CA"/>
        </w:rPr>
        <w:footnoteReference w:id="141"/>
      </w:r>
      <w:r w:rsidRPr="0084150A">
        <w:rPr>
          <w:lang w:val="en-CA"/>
        </w:rPr>
        <w:t xml:space="preserve"> </w:t>
      </w:r>
    </w:p>
    <w:p w14:paraId="6F7DE276" w14:textId="11DAAA02" w:rsidR="00DB460E" w:rsidRPr="0084150A" w:rsidRDefault="00D4147D" w:rsidP="001E16C6">
      <w:pPr>
        <w:pStyle w:val="Paragraphe"/>
        <w:rPr>
          <w:lang w:val="en-CA"/>
        </w:rPr>
      </w:pPr>
      <w:r w:rsidRPr="0084150A">
        <w:rPr>
          <w:lang w:val="en-CA"/>
        </w:rPr>
        <w:t xml:space="preserve">At the time, </w:t>
      </w:r>
      <w:r w:rsidR="005D25C5" w:rsidRPr="0084150A">
        <w:rPr>
          <w:lang w:val="en-CA"/>
        </w:rPr>
        <w:t xml:space="preserve">Anne Roy-Dussault </w:t>
      </w:r>
      <w:r w:rsidRPr="0084150A">
        <w:rPr>
          <w:lang w:val="en-CA"/>
        </w:rPr>
        <w:t>told investigators that Frédéric Racine recommended that she trade in securities of Napec.</w:t>
      </w:r>
      <w:r w:rsidR="005D25C5" w:rsidRPr="0084150A">
        <w:rPr>
          <w:vertAlign w:val="superscript"/>
          <w:lang w:val="en-CA"/>
        </w:rPr>
        <w:footnoteReference w:id="142"/>
      </w:r>
      <w:r w:rsidR="005D25C5" w:rsidRPr="0084150A">
        <w:rPr>
          <w:lang w:val="en-CA"/>
        </w:rPr>
        <w:t xml:space="preserve"> </w:t>
      </w:r>
      <w:r w:rsidRPr="0084150A">
        <w:rPr>
          <w:lang w:val="en-CA"/>
        </w:rPr>
        <w:t>She maintain</w:t>
      </w:r>
      <w:r w:rsidR="00C92649">
        <w:rPr>
          <w:lang w:val="en-CA"/>
        </w:rPr>
        <w:t>ed</w:t>
      </w:r>
      <w:r w:rsidRPr="0084150A">
        <w:rPr>
          <w:lang w:val="en-CA"/>
        </w:rPr>
        <w:t xml:space="preserve"> this testimony before the Tribunal</w:t>
      </w:r>
      <w:r w:rsidR="005D25C5" w:rsidRPr="0084150A">
        <w:rPr>
          <w:lang w:val="en-CA"/>
        </w:rPr>
        <w:t>.</w:t>
      </w:r>
    </w:p>
    <w:p w14:paraId="1FE08CD7" w14:textId="61307800" w:rsidR="004763A8" w:rsidRPr="0084150A" w:rsidRDefault="00D4147D" w:rsidP="001E16C6">
      <w:pPr>
        <w:pStyle w:val="Paragraphe"/>
        <w:rPr>
          <w:lang w:val="en-CA"/>
        </w:rPr>
      </w:pPr>
      <w:r w:rsidRPr="0084150A">
        <w:rPr>
          <w:lang w:val="en-CA"/>
        </w:rPr>
        <w:t xml:space="preserve">The Tribunal accepts Anne Roy-Dussault’s version because it is clear, convincing, and </w:t>
      </w:r>
      <w:r w:rsidR="00C92649">
        <w:rPr>
          <w:lang w:val="en-CA"/>
        </w:rPr>
        <w:t>consistent</w:t>
      </w:r>
      <w:r w:rsidR="005D25C5" w:rsidRPr="0084150A">
        <w:rPr>
          <w:lang w:val="en-CA"/>
        </w:rPr>
        <w:t>.</w:t>
      </w:r>
    </w:p>
    <w:p w14:paraId="1C77FC78" w14:textId="66C3F8EB" w:rsidR="004763A8" w:rsidRPr="0084150A" w:rsidRDefault="003A0BE7" w:rsidP="00A537E9">
      <w:pPr>
        <w:pStyle w:val="Paragraphe"/>
        <w:rPr>
          <w:lang w:val="en-CA"/>
        </w:rPr>
      </w:pPr>
      <w:r w:rsidRPr="0084150A">
        <w:rPr>
          <w:lang w:val="en-CA"/>
        </w:rPr>
        <w:t>She confirmed that Frédéric Racine recommended that she purchase shares of Napec in a bar after a lunch. The text messages they exchanged confirm that this lunch took place on November 2</w:t>
      </w:r>
      <w:r w:rsidR="00325A52" w:rsidRPr="0084150A">
        <w:rPr>
          <w:lang w:val="en-CA"/>
        </w:rPr>
        <w:t>3, 2017.</w:t>
      </w:r>
      <w:r w:rsidR="005D25C5" w:rsidRPr="0084150A">
        <w:rPr>
          <w:vertAlign w:val="superscript"/>
          <w:lang w:val="en-CA"/>
        </w:rPr>
        <w:footnoteReference w:id="143"/>
      </w:r>
      <w:r w:rsidR="00C93973" w:rsidRPr="0084150A">
        <w:rPr>
          <w:lang w:val="en-CA"/>
        </w:rPr>
        <w:t xml:space="preserve"> </w:t>
      </w:r>
      <w:r w:rsidR="00325A52" w:rsidRPr="0084150A">
        <w:rPr>
          <w:lang w:val="en-CA"/>
        </w:rPr>
        <w:t>After that recommendation of November 23, 2023, Anne Roy-Dussault purchased six thousand one hundred (6,100) shares of Napec between November 24 and 27, 2017.</w:t>
      </w:r>
      <w:r w:rsidR="005D25C5" w:rsidRPr="0084150A">
        <w:rPr>
          <w:vertAlign w:val="superscript"/>
          <w:lang w:val="en-CA"/>
        </w:rPr>
        <w:footnoteReference w:id="144"/>
      </w:r>
    </w:p>
    <w:p w14:paraId="2756BEEA" w14:textId="64FE07DB" w:rsidR="004763A8" w:rsidRPr="0084150A" w:rsidRDefault="00F0373B" w:rsidP="001E16C6">
      <w:pPr>
        <w:pStyle w:val="Paragraphe"/>
        <w:rPr>
          <w:lang w:val="en-CA"/>
        </w:rPr>
      </w:pPr>
      <w:r w:rsidRPr="0084150A">
        <w:rPr>
          <w:lang w:val="en-CA"/>
        </w:rPr>
        <w:t xml:space="preserve">It </w:t>
      </w:r>
      <w:r w:rsidR="00177AE2">
        <w:rPr>
          <w:lang w:val="en-CA"/>
        </w:rPr>
        <w:t>has been</w:t>
      </w:r>
      <w:r w:rsidR="00177AE2" w:rsidRPr="0084150A">
        <w:rPr>
          <w:lang w:val="en-CA"/>
        </w:rPr>
        <w:t xml:space="preserve"> </w:t>
      </w:r>
      <w:r w:rsidRPr="0084150A">
        <w:rPr>
          <w:lang w:val="en-CA"/>
        </w:rPr>
        <w:t>shown that Frédéric Racine and Anne Roy-Dussault often discussed investments</w:t>
      </w:r>
      <w:r w:rsidR="005D25C5" w:rsidRPr="0084150A">
        <w:rPr>
          <w:vertAlign w:val="superscript"/>
          <w:lang w:val="en-CA"/>
        </w:rPr>
        <w:footnoteReference w:id="145"/>
      </w:r>
      <w:r w:rsidR="00066228" w:rsidRPr="0084150A">
        <w:rPr>
          <w:lang w:val="en-CA"/>
        </w:rPr>
        <w:t xml:space="preserve"> </w:t>
      </w:r>
      <w:r w:rsidRPr="0084150A">
        <w:rPr>
          <w:lang w:val="en-CA"/>
        </w:rPr>
        <w:t>at the time of the facts in this case</w:t>
      </w:r>
      <w:r w:rsidR="00066228" w:rsidRPr="0084150A">
        <w:rPr>
          <w:lang w:val="en-CA"/>
        </w:rPr>
        <w:t xml:space="preserve">. </w:t>
      </w:r>
    </w:p>
    <w:p w14:paraId="066A41D8" w14:textId="35C1391A" w:rsidR="00C04E48" w:rsidRPr="0084150A" w:rsidRDefault="00F0373B" w:rsidP="001E16C6">
      <w:pPr>
        <w:pStyle w:val="Paragraphe"/>
        <w:rPr>
          <w:lang w:val="en-CA"/>
        </w:rPr>
      </w:pPr>
      <w:r w:rsidRPr="0084150A">
        <w:rPr>
          <w:lang w:val="en-CA"/>
        </w:rPr>
        <w:t>The Tribunal recalls that, during his examination by investigators, Frédéric Racine never denied that he recommended to Anne Roy-Dussault that she purchase shares of Napec.</w:t>
      </w:r>
      <w:r w:rsidR="005D25C5" w:rsidRPr="0084150A">
        <w:rPr>
          <w:rStyle w:val="Appelnotedebasdep"/>
          <w:rFonts w:cs="Arial"/>
          <w:szCs w:val="24"/>
          <w:lang w:val="en-CA"/>
        </w:rPr>
        <w:footnoteReference w:id="146"/>
      </w:r>
      <w:r w:rsidR="007D3C58" w:rsidRPr="0084150A">
        <w:rPr>
          <w:lang w:val="en-CA"/>
        </w:rPr>
        <w:t xml:space="preserve"> </w:t>
      </w:r>
      <w:r w:rsidRPr="0084150A">
        <w:rPr>
          <w:lang w:val="en-CA"/>
        </w:rPr>
        <w:t>However, during his testimony before the Tribunal, although he vague</w:t>
      </w:r>
      <w:r w:rsidR="00366524">
        <w:rPr>
          <w:lang w:val="en-CA"/>
        </w:rPr>
        <w:t>ly</w:t>
      </w:r>
      <w:r w:rsidRPr="0084150A">
        <w:rPr>
          <w:lang w:val="en-CA"/>
        </w:rPr>
        <w:t xml:space="preserve"> recollect</w:t>
      </w:r>
      <w:r w:rsidR="00366524">
        <w:rPr>
          <w:lang w:val="en-CA"/>
        </w:rPr>
        <w:t xml:space="preserve">ed </w:t>
      </w:r>
      <w:r w:rsidRPr="0084150A">
        <w:rPr>
          <w:lang w:val="en-CA"/>
        </w:rPr>
        <w:t>a lunch with Anne Roy-Dussault, he denied having spoken to her about Napec</w:t>
      </w:r>
      <w:r w:rsidR="007D3C58" w:rsidRPr="0084150A">
        <w:rPr>
          <w:lang w:val="en-CA"/>
        </w:rPr>
        <w:t xml:space="preserve">. </w:t>
      </w:r>
      <w:r w:rsidRPr="0084150A">
        <w:rPr>
          <w:lang w:val="en-CA"/>
        </w:rPr>
        <w:t xml:space="preserve">He </w:t>
      </w:r>
      <w:r w:rsidR="00040EE6" w:rsidRPr="0084150A">
        <w:rPr>
          <w:lang w:val="en-CA"/>
        </w:rPr>
        <w:t>claimed</w:t>
      </w:r>
      <w:r w:rsidRPr="0084150A">
        <w:rPr>
          <w:lang w:val="en-CA"/>
        </w:rPr>
        <w:t xml:space="preserve"> </w:t>
      </w:r>
      <w:r w:rsidR="00366524">
        <w:rPr>
          <w:lang w:val="en-CA"/>
        </w:rPr>
        <w:t>instead</w:t>
      </w:r>
      <w:r w:rsidR="00366524" w:rsidRPr="0084150A">
        <w:rPr>
          <w:lang w:val="en-CA"/>
        </w:rPr>
        <w:t xml:space="preserve"> </w:t>
      </w:r>
      <w:r w:rsidRPr="0084150A">
        <w:rPr>
          <w:lang w:val="en-CA"/>
        </w:rPr>
        <w:t>that</w:t>
      </w:r>
      <w:r w:rsidR="00366524">
        <w:rPr>
          <w:lang w:val="en-CA"/>
        </w:rPr>
        <w:t xml:space="preserve"> the suggestion to purchase the shares of Napec allegedly came from</w:t>
      </w:r>
      <w:r w:rsidRPr="0084150A">
        <w:rPr>
          <w:lang w:val="en-CA"/>
        </w:rPr>
        <w:t xml:space="preserve"> one of his friends in attendance on November 23, 2017.</w:t>
      </w:r>
      <w:r w:rsidR="007D3C58" w:rsidRPr="0084150A">
        <w:rPr>
          <w:lang w:val="en-CA"/>
        </w:rPr>
        <w:t xml:space="preserve"> </w:t>
      </w:r>
      <w:r w:rsidRPr="0084150A">
        <w:rPr>
          <w:lang w:val="en-CA"/>
        </w:rPr>
        <w:t>This allegation has not been corroborated by any evidence whatsoever</w:t>
      </w:r>
      <w:r w:rsidR="007D3C58" w:rsidRPr="0084150A">
        <w:rPr>
          <w:lang w:val="en-CA"/>
        </w:rPr>
        <w:t>.</w:t>
      </w:r>
    </w:p>
    <w:p w14:paraId="744F3A0A" w14:textId="0E577CF2" w:rsidR="00A537E9" w:rsidRPr="0084150A" w:rsidRDefault="00F0373B" w:rsidP="00A537E9">
      <w:pPr>
        <w:pStyle w:val="Paragraphe"/>
        <w:rPr>
          <w:lang w:val="en-CA"/>
        </w:rPr>
      </w:pPr>
      <w:r w:rsidRPr="0084150A">
        <w:rPr>
          <w:lang w:val="en-CA"/>
        </w:rPr>
        <w:t xml:space="preserve">In addition, </w:t>
      </w:r>
      <w:r w:rsidR="00366524">
        <w:rPr>
          <w:lang w:val="en-CA"/>
        </w:rPr>
        <w:t>before</w:t>
      </w:r>
      <w:r w:rsidR="00366524" w:rsidRPr="0084150A">
        <w:rPr>
          <w:lang w:val="en-CA"/>
        </w:rPr>
        <w:t xml:space="preserve"> </w:t>
      </w:r>
      <w:r w:rsidRPr="0084150A">
        <w:rPr>
          <w:lang w:val="en-CA"/>
        </w:rPr>
        <w:t xml:space="preserve">they met on November 23, 2017, Frédéric Racine told her the following in a text message after selling </w:t>
      </w:r>
      <w:r w:rsidR="006F1C83">
        <w:rPr>
          <w:lang w:val="en-CA"/>
        </w:rPr>
        <w:t>securities in another company</w:t>
      </w:r>
      <w:r w:rsidRPr="0084150A">
        <w:rPr>
          <w:lang w:val="en-CA"/>
        </w:rPr>
        <w:t>:</w:t>
      </w:r>
    </w:p>
    <w:p w14:paraId="628A1118" w14:textId="3EDA9EA7" w:rsidR="00F0373B" w:rsidRPr="0084150A" w:rsidRDefault="00F0373B" w:rsidP="00F0373B">
      <w:pPr>
        <w:pStyle w:val="Paragraphe"/>
        <w:numPr>
          <w:ilvl w:val="0"/>
          <w:numId w:val="0"/>
        </w:numPr>
        <w:ind w:left="1237"/>
        <w:rPr>
          <w:smallCaps/>
          <w:lang w:val="en-CA"/>
        </w:rPr>
      </w:pPr>
      <w:r w:rsidRPr="0084150A">
        <w:rPr>
          <w:lang w:val="en-CA"/>
        </w:rPr>
        <w:lastRenderedPageBreak/>
        <w:t>[</w:t>
      </w:r>
      <w:r w:rsidRPr="0084150A">
        <w:rPr>
          <w:smallCaps/>
          <w:lang w:val="en-CA"/>
        </w:rPr>
        <w:t>translation]</w:t>
      </w:r>
    </w:p>
    <w:p w14:paraId="711D410F" w14:textId="0451C809" w:rsidR="00A537E9" w:rsidRPr="0084150A" w:rsidRDefault="00F0373B" w:rsidP="008B51F6">
      <w:pPr>
        <w:pStyle w:val="Citationendoubleretrait"/>
      </w:pPr>
      <w:r w:rsidRPr="0084150A">
        <w:t xml:space="preserve">I’m on another deal that should make me </w:t>
      </w:r>
      <w:r w:rsidR="00366524">
        <w:t>+</w:t>
      </w:r>
      <w:r w:rsidRPr="0084150A">
        <w:t>50% within a few days, and with 100,000 shares, I</w:t>
      </w:r>
      <w:r w:rsidR="00366524">
        <w:t xml:space="preserve"> was</w:t>
      </w:r>
      <w:r w:rsidRPr="0084150A">
        <w:t xml:space="preserve"> starting to have a lot.</w:t>
      </w:r>
      <w:r w:rsidR="005D25C5" w:rsidRPr="0084150A">
        <w:rPr>
          <w:rStyle w:val="Appelnotedebasdep"/>
        </w:rPr>
        <w:footnoteReference w:id="147"/>
      </w:r>
    </w:p>
    <w:p w14:paraId="4D9EE682" w14:textId="4F5CAFD5" w:rsidR="00EC5E9B" w:rsidRPr="0084150A" w:rsidRDefault="00512A49" w:rsidP="001E16C6">
      <w:pPr>
        <w:pStyle w:val="Paragraphe"/>
        <w:rPr>
          <w:lang w:val="en-CA"/>
        </w:rPr>
      </w:pPr>
      <w:r w:rsidRPr="0084150A">
        <w:rPr>
          <w:lang w:val="en-CA"/>
        </w:rPr>
        <w:t>According to the Authority, Frédéric Racine was referring</w:t>
      </w:r>
      <w:r w:rsidR="000A6D01">
        <w:rPr>
          <w:lang w:val="en-CA"/>
        </w:rPr>
        <w:t xml:space="preserve"> to Napec</w:t>
      </w:r>
      <w:r w:rsidRPr="0084150A">
        <w:rPr>
          <w:lang w:val="en-CA"/>
        </w:rPr>
        <w:t xml:space="preserve"> in that text message</w:t>
      </w:r>
      <w:r w:rsidR="005D25C5" w:rsidRPr="0084150A">
        <w:rPr>
          <w:lang w:val="en-CA"/>
        </w:rPr>
        <w:t xml:space="preserve">. </w:t>
      </w:r>
    </w:p>
    <w:p w14:paraId="33C609EF" w14:textId="17F079D8" w:rsidR="00C04E48" w:rsidRPr="0084150A" w:rsidRDefault="00040EE6" w:rsidP="001E16C6">
      <w:pPr>
        <w:pStyle w:val="Paragraphe"/>
        <w:rPr>
          <w:lang w:val="en-CA"/>
        </w:rPr>
      </w:pPr>
      <w:r w:rsidRPr="0084150A">
        <w:rPr>
          <w:lang w:val="en-CA"/>
        </w:rPr>
        <w:t xml:space="preserve">During his testimony before the Tribunal, Frédéric Racine denied that he was referring to the shares of Napec. He claimed </w:t>
      </w:r>
      <w:r w:rsidR="00DC7095">
        <w:rPr>
          <w:lang w:val="en-CA"/>
        </w:rPr>
        <w:t>instead</w:t>
      </w:r>
      <w:r w:rsidR="00DC7095" w:rsidRPr="0084150A">
        <w:rPr>
          <w:lang w:val="en-CA"/>
        </w:rPr>
        <w:t xml:space="preserve"> that</w:t>
      </w:r>
      <w:r w:rsidR="006A7DD5" w:rsidRPr="0084150A">
        <w:rPr>
          <w:lang w:val="en-CA"/>
        </w:rPr>
        <w:t xml:space="preserve"> he was referring to the profits he expected to make after the sale of two of his condominiums</w:t>
      </w:r>
      <w:r w:rsidR="007D3C58" w:rsidRPr="0084150A">
        <w:rPr>
          <w:lang w:val="en-CA"/>
        </w:rPr>
        <w:t xml:space="preserve">. </w:t>
      </w:r>
      <w:r w:rsidR="006A7DD5" w:rsidRPr="0084150A">
        <w:rPr>
          <w:lang w:val="en-CA"/>
        </w:rPr>
        <w:t>He even provided the Tribunal with a mathematical explanation of his calculation,</w:t>
      </w:r>
      <w:r w:rsidR="005D25C5" w:rsidRPr="0084150A">
        <w:rPr>
          <w:rStyle w:val="Appelnotedebasdep"/>
          <w:lang w:val="en-CA"/>
        </w:rPr>
        <w:footnoteReference w:id="148"/>
      </w:r>
      <w:r w:rsidR="007D3C58" w:rsidRPr="0084150A">
        <w:rPr>
          <w:lang w:val="en-CA"/>
        </w:rPr>
        <w:t xml:space="preserve"> </w:t>
      </w:r>
      <w:r w:rsidR="006A7DD5" w:rsidRPr="0084150A">
        <w:rPr>
          <w:lang w:val="en-CA"/>
        </w:rPr>
        <w:t xml:space="preserve">which explanation was </w:t>
      </w:r>
      <w:proofErr w:type="gramStart"/>
      <w:r w:rsidR="006A7DD5" w:rsidRPr="0084150A">
        <w:rPr>
          <w:lang w:val="en-CA"/>
        </w:rPr>
        <w:t>completely demolished</w:t>
      </w:r>
      <w:proofErr w:type="gramEnd"/>
      <w:r w:rsidR="006A7DD5" w:rsidRPr="0084150A">
        <w:rPr>
          <w:lang w:val="en-CA"/>
        </w:rPr>
        <w:t xml:space="preserve"> during his cross-examination</w:t>
      </w:r>
      <w:r w:rsidR="007D3C58" w:rsidRPr="0084150A">
        <w:rPr>
          <w:lang w:val="en-CA"/>
        </w:rPr>
        <w:t xml:space="preserve">. </w:t>
      </w:r>
    </w:p>
    <w:p w14:paraId="16D5FF1E" w14:textId="57608828" w:rsidR="00C04E48" w:rsidRPr="0084150A" w:rsidRDefault="006A7DD5" w:rsidP="001E16C6">
      <w:pPr>
        <w:pStyle w:val="Paragraphe"/>
        <w:rPr>
          <w:lang w:val="en-CA"/>
        </w:rPr>
      </w:pPr>
      <w:r w:rsidRPr="0084150A">
        <w:rPr>
          <w:lang w:val="en-CA"/>
        </w:rPr>
        <w:t xml:space="preserve">The Tribunal accepts the Authority’s position in which the 50% profit referred to his purchases of </w:t>
      </w:r>
      <w:r w:rsidR="00C87965" w:rsidRPr="0084150A">
        <w:rPr>
          <w:lang w:val="en-CA"/>
        </w:rPr>
        <w:t xml:space="preserve">Napec </w:t>
      </w:r>
      <w:r w:rsidRPr="0084150A">
        <w:rPr>
          <w:lang w:val="en-CA"/>
        </w:rPr>
        <w:t xml:space="preserve">shares and to his potential </w:t>
      </w:r>
      <w:r w:rsidR="00C87965">
        <w:rPr>
          <w:lang w:val="en-CA"/>
        </w:rPr>
        <w:t>profit</w:t>
      </w:r>
      <w:r w:rsidR="00EC5E9B" w:rsidRPr="0084150A">
        <w:rPr>
          <w:lang w:val="en-CA"/>
        </w:rPr>
        <w:t>.</w:t>
      </w:r>
    </w:p>
    <w:p w14:paraId="0F988EF1" w14:textId="4D4075A5" w:rsidR="00A0673D" w:rsidRPr="0084150A" w:rsidRDefault="006A7DD5" w:rsidP="001E16C6">
      <w:pPr>
        <w:pStyle w:val="Paragraphe"/>
        <w:rPr>
          <w:lang w:val="en-CA"/>
        </w:rPr>
      </w:pPr>
      <w:r w:rsidRPr="0084150A">
        <w:rPr>
          <w:lang w:val="en-CA"/>
        </w:rPr>
        <w:t xml:space="preserve">The Tribunal concludes that Frédéric Racine recommended that Anne Roy-Dussault trade in shares of Napec on November 23, 2017, while having privileged information and that he, therefore, committed a </w:t>
      </w:r>
      <w:r w:rsidR="00E06DF9">
        <w:rPr>
          <w:lang w:val="en-CA"/>
        </w:rPr>
        <w:t>contravention</w:t>
      </w:r>
      <w:r w:rsidR="00E06DF9" w:rsidRPr="0084150A">
        <w:rPr>
          <w:lang w:val="en-CA"/>
        </w:rPr>
        <w:t xml:space="preserve"> </w:t>
      </w:r>
      <w:r w:rsidRPr="0084150A">
        <w:rPr>
          <w:lang w:val="en-CA"/>
        </w:rPr>
        <w:t xml:space="preserve">of section 188 of the </w:t>
      </w:r>
      <w:r w:rsidRPr="0084150A">
        <w:rPr>
          <w:i/>
          <w:iCs/>
          <w:lang w:val="en-CA"/>
        </w:rPr>
        <w:t>SA</w:t>
      </w:r>
      <w:r w:rsidR="005D25C5" w:rsidRPr="0084150A">
        <w:rPr>
          <w:lang w:val="en-CA"/>
        </w:rPr>
        <w:t>.</w:t>
      </w:r>
    </w:p>
    <w:p w14:paraId="66148892" w14:textId="73C55A55" w:rsidR="006979D7" w:rsidRPr="0084150A" w:rsidRDefault="005D25C5" w:rsidP="006837C9">
      <w:pPr>
        <w:pStyle w:val="Titre2"/>
        <w:rPr>
          <w:lang w:val="en-CA"/>
        </w:rPr>
      </w:pPr>
      <w:r w:rsidRPr="0084150A">
        <w:rPr>
          <w:lang w:val="en-CA"/>
        </w:rPr>
        <w:t xml:space="preserve">7. </w:t>
      </w:r>
      <w:r w:rsidR="00DE2A98">
        <w:rPr>
          <w:lang w:val="en-CA"/>
        </w:rPr>
        <w:t>If so, w</w:t>
      </w:r>
      <w:r w:rsidR="00260886" w:rsidRPr="005E07F3">
        <w:rPr>
          <w:lang w:val="en-CA"/>
        </w:rPr>
        <w:t xml:space="preserve">hat penalties and other administrative measures, if any, must the Tribunal </w:t>
      </w:r>
      <w:r w:rsidR="00E540E9" w:rsidRPr="005E07F3">
        <w:rPr>
          <w:lang w:val="en-CA"/>
        </w:rPr>
        <w:t xml:space="preserve">impose </w:t>
      </w:r>
      <w:r w:rsidR="00260886" w:rsidRPr="005E07F3">
        <w:rPr>
          <w:lang w:val="en-CA"/>
        </w:rPr>
        <w:t>on Philippe Gauthier and Frédéric Racine?</w:t>
      </w:r>
    </w:p>
    <w:p w14:paraId="3CC82C78" w14:textId="2EA95468" w:rsidR="006979D7" w:rsidRPr="0084150A" w:rsidRDefault="00BF4503" w:rsidP="006979D7">
      <w:pPr>
        <w:pStyle w:val="Paragraphe"/>
        <w:rPr>
          <w:lang w:val="en-CA"/>
        </w:rPr>
      </w:pPr>
      <w:r w:rsidRPr="0084150A">
        <w:rPr>
          <w:lang w:val="en-CA"/>
        </w:rPr>
        <w:t>A</w:t>
      </w:r>
      <w:r w:rsidR="008A1369" w:rsidRPr="0084150A">
        <w:rPr>
          <w:lang w:val="en-CA"/>
        </w:rPr>
        <w:t xml:space="preserve">s protective, preventive, and dissuasive administrative measures against Philippe Gauthier and Frédéric Racine, </w:t>
      </w:r>
      <w:r w:rsidRPr="0084150A">
        <w:rPr>
          <w:lang w:val="en-CA"/>
        </w:rPr>
        <w:t xml:space="preserve">the Tribunal </w:t>
      </w:r>
      <w:r w:rsidR="005E2B98">
        <w:rPr>
          <w:lang w:val="en-CA"/>
        </w:rPr>
        <w:t xml:space="preserve">has </w:t>
      </w:r>
      <w:r w:rsidRPr="0084150A">
        <w:rPr>
          <w:lang w:val="en-CA"/>
        </w:rPr>
        <w:t>decide</w:t>
      </w:r>
      <w:r w:rsidR="005E2B98">
        <w:rPr>
          <w:lang w:val="en-CA"/>
        </w:rPr>
        <w:t>d</w:t>
      </w:r>
      <w:r w:rsidRPr="0084150A">
        <w:rPr>
          <w:lang w:val="en-CA"/>
        </w:rPr>
        <w:t xml:space="preserve">, in the public interest, to order </w:t>
      </w:r>
      <w:r w:rsidR="008A1369" w:rsidRPr="0084150A">
        <w:rPr>
          <w:lang w:val="en-CA"/>
        </w:rPr>
        <w:t xml:space="preserve">an administrative </w:t>
      </w:r>
      <w:r w:rsidR="000D0885">
        <w:rPr>
          <w:lang w:val="en-CA"/>
        </w:rPr>
        <w:t>penalty</w:t>
      </w:r>
      <w:r w:rsidR="008A1369" w:rsidRPr="0084150A">
        <w:rPr>
          <w:lang w:val="en-CA"/>
        </w:rPr>
        <w:t xml:space="preserve"> in the amount of $350,000 and $250,000 respectively</w:t>
      </w:r>
      <w:r w:rsidR="00EC5FF2" w:rsidRPr="0084150A">
        <w:rPr>
          <w:lang w:val="en-CA"/>
        </w:rPr>
        <w:t>. Moreover, the Tribunal</w:t>
      </w:r>
      <w:r w:rsidR="005E2B98">
        <w:rPr>
          <w:lang w:val="en-CA"/>
        </w:rPr>
        <w:t xml:space="preserve"> issue</w:t>
      </w:r>
      <w:r w:rsidR="004506AB">
        <w:rPr>
          <w:lang w:val="en-CA"/>
        </w:rPr>
        <w:t>s</w:t>
      </w:r>
      <w:r w:rsidR="005E2B98">
        <w:rPr>
          <w:lang w:val="en-CA"/>
        </w:rPr>
        <w:t xml:space="preserve"> </w:t>
      </w:r>
      <w:r w:rsidR="005179D6">
        <w:rPr>
          <w:lang w:val="en-CA"/>
        </w:rPr>
        <w:t xml:space="preserve">a limited </w:t>
      </w:r>
      <w:r w:rsidR="005E2B98">
        <w:rPr>
          <w:lang w:val="en-CA"/>
        </w:rPr>
        <w:t xml:space="preserve">cease trading </w:t>
      </w:r>
      <w:r w:rsidRPr="0084150A">
        <w:rPr>
          <w:lang w:val="en-CA"/>
        </w:rPr>
        <w:t>order</w:t>
      </w:r>
      <w:r w:rsidR="00EC5FF2" w:rsidRPr="0084150A">
        <w:rPr>
          <w:lang w:val="en-CA"/>
        </w:rPr>
        <w:t xml:space="preserve"> and prohibits them from acting as a director or officer of a reporting issuer, adviser or investment fund manager</w:t>
      </w:r>
      <w:r w:rsidR="005D25C5" w:rsidRPr="0084150A">
        <w:rPr>
          <w:lang w:val="en-CA"/>
        </w:rPr>
        <w:t xml:space="preserve">. </w:t>
      </w:r>
      <w:r w:rsidR="005A27AF" w:rsidRPr="0084150A">
        <w:rPr>
          <w:lang w:val="en-CA"/>
        </w:rPr>
        <w:t>In addition</w:t>
      </w:r>
      <w:r w:rsidR="005D25C5" w:rsidRPr="0084150A">
        <w:rPr>
          <w:lang w:val="en-CA"/>
        </w:rPr>
        <w:t xml:space="preserve">, </w:t>
      </w:r>
      <w:r w:rsidR="005A27AF" w:rsidRPr="0084150A">
        <w:rPr>
          <w:lang w:val="en-CA"/>
        </w:rPr>
        <w:t xml:space="preserve">the Tribunal </w:t>
      </w:r>
      <w:r w:rsidR="00A02FC4">
        <w:rPr>
          <w:lang w:val="en-CA"/>
        </w:rPr>
        <w:t>orders</w:t>
      </w:r>
      <w:r w:rsidR="00A02FC4" w:rsidRPr="0084150A">
        <w:rPr>
          <w:lang w:val="en-CA"/>
        </w:rPr>
        <w:t xml:space="preserve"> </w:t>
      </w:r>
      <w:r w:rsidR="005A27AF" w:rsidRPr="0084150A">
        <w:rPr>
          <w:lang w:val="en-CA"/>
        </w:rPr>
        <w:t xml:space="preserve">Frédéric Racine to disgorge to the Authority </w:t>
      </w:r>
      <w:r w:rsidR="00A02FC4">
        <w:rPr>
          <w:lang w:val="en-CA"/>
        </w:rPr>
        <w:t xml:space="preserve">the </w:t>
      </w:r>
      <w:r w:rsidR="005A27AF" w:rsidRPr="0084150A">
        <w:rPr>
          <w:lang w:val="en-CA"/>
        </w:rPr>
        <w:t xml:space="preserve">amounts obtained </w:t>
      </w:r>
      <w:proofErr w:type="gramStart"/>
      <w:r w:rsidR="005A27AF" w:rsidRPr="0084150A">
        <w:rPr>
          <w:lang w:val="en-CA"/>
        </w:rPr>
        <w:t>as a result of</w:t>
      </w:r>
      <w:proofErr w:type="gramEnd"/>
      <w:r w:rsidR="005A27AF" w:rsidRPr="0084150A">
        <w:rPr>
          <w:lang w:val="en-CA"/>
        </w:rPr>
        <w:t xml:space="preserve"> the non-compliance</w:t>
      </w:r>
      <w:r w:rsidR="005D25C5" w:rsidRPr="0084150A">
        <w:rPr>
          <w:lang w:val="en-CA"/>
        </w:rPr>
        <w:t xml:space="preserve">. </w:t>
      </w:r>
    </w:p>
    <w:p w14:paraId="665ED2DB" w14:textId="5A524AC7" w:rsidR="006979D7" w:rsidRPr="0084150A" w:rsidRDefault="003B0991" w:rsidP="006979D7">
      <w:pPr>
        <w:pStyle w:val="Paragraphe"/>
        <w:rPr>
          <w:lang w:val="en-CA"/>
        </w:rPr>
      </w:pPr>
      <w:r w:rsidRPr="0084150A">
        <w:rPr>
          <w:lang w:val="en-CA"/>
        </w:rPr>
        <w:t>The Authority seeks the following conclusions against Philippe Gauthier</w:t>
      </w:r>
      <w:r w:rsidR="005D25C5" w:rsidRPr="0084150A">
        <w:rPr>
          <w:lang w:val="en-CA"/>
        </w:rPr>
        <w:t xml:space="preserve">: </w:t>
      </w:r>
    </w:p>
    <w:p w14:paraId="5ECBFE8A" w14:textId="7F6922F4" w:rsidR="006979D7" w:rsidRPr="0084150A" w:rsidRDefault="003B0991" w:rsidP="006979D7">
      <w:pPr>
        <w:pStyle w:val="Paragraphe"/>
        <w:numPr>
          <w:ilvl w:val="0"/>
          <w:numId w:val="8"/>
        </w:numPr>
        <w:rPr>
          <w:rFonts w:cs="Arial"/>
          <w:szCs w:val="24"/>
          <w:lang w:val="en-CA"/>
        </w:rPr>
      </w:pPr>
      <w:r w:rsidRPr="0084150A">
        <w:rPr>
          <w:lang w:val="en-CA"/>
        </w:rPr>
        <w:t xml:space="preserve">an administrative </w:t>
      </w:r>
      <w:r w:rsidR="00D908CE">
        <w:rPr>
          <w:lang w:val="en-CA"/>
        </w:rPr>
        <w:t>penalty</w:t>
      </w:r>
      <w:r w:rsidRPr="0084150A">
        <w:rPr>
          <w:lang w:val="en-CA"/>
        </w:rPr>
        <w:t xml:space="preserve"> of </w:t>
      </w:r>
      <w:proofErr w:type="gramStart"/>
      <w:r w:rsidRPr="0084150A">
        <w:rPr>
          <w:lang w:val="en-CA"/>
        </w:rPr>
        <w:t>$350,000;</w:t>
      </w:r>
      <w:proofErr w:type="gramEnd"/>
      <w:r w:rsidR="005D25C5" w:rsidRPr="0084150A">
        <w:rPr>
          <w:lang w:val="en-CA"/>
        </w:rPr>
        <w:t xml:space="preserve"> </w:t>
      </w:r>
    </w:p>
    <w:p w14:paraId="52F0CBF3" w14:textId="62E27678" w:rsidR="006979D7" w:rsidRPr="0084150A" w:rsidRDefault="003B0991" w:rsidP="006979D7">
      <w:pPr>
        <w:pStyle w:val="Paragraphe"/>
        <w:numPr>
          <w:ilvl w:val="0"/>
          <w:numId w:val="8"/>
        </w:numPr>
        <w:rPr>
          <w:rFonts w:cs="Arial"/>
          <w:szCs w:val="24"/>
          <w:lang w:val="en-CA"/>
        </w:rPr>
      </w:pPr>
      <w:r w:rsidRPr="005E07F3">
        <w:rPr>
          <w:rFonts w:cs="Arial"/>
          <w:szCs w:val="24"/>
          <w:lang w:val="en-CA"/>
        </w:rPr>
        <w:t xml:space="preserve">an order to cease trading in securities and derivatives, </w:t>
      </w:r>
      <w:proofErr w:type="gramStart"/>
      <w:r w:rsidRPr="005E07F3">
        <w:rPr>
          <w:rFonts w:cs="Arial"/>
          <w:szCs w:val="24"/>
          <w:lang w:val="en-CA"/>
        </w:rPr>
        <w:t>with the exception of</w:t>
      </w:r>
      <w:proofErr w:type="gramEnd"/>
      <w:r w:rsidRPr="005E07F3">
        <w:rPr>
          <w:rFonts w:cs="Arial"/>
          <w:szCs w:val="24"/>
          <w:lang w:val="en-CA"/>
        </w:rPr>
        <w:t xml:space="preserve"> trades carried out for his own </w:t>
      </w:r>
      <w:r w:rsidR="00A150B4" w:rsidRPr="005E07F3">
        <w:rPr>
          <w:rFonts w:cs="Arial"/>
          <w:szCs w:val="24"/>
          <w:lang w:val="en-CA"/>
        </w:rPr>
        <w:t>behalf</w:t>
      </w:r>
      <w:r w:rsidR="00201967" w:rsidRPr="005E07F3">
        <w:rPr>
          <w:rFonts w:cs="Arial"/>
          <w:szCs w:val="24"/>
          <w:lang w:val="en-CA"/>
        </w:rPr>
        <w:t>, under certain conditions, for a period of five years;</w:t>
      </w:r>
      <w:r w:rsidR="00201967" w:rsidRPr="0084150A">
        <w:rPr>
          <w:rFonts w:cs="Arial"/>
          <w:szCs w:val="24"/>
          <w:lang w:val="en-CA"/>
        </w:rPr>
        <w:t xml:space="preserve"> and</w:t>
      </w:r>
    </w:p>
    <w:p w14:paraId="7ACCFE9E" w14:textId="22E44CB4" w:rsidR="006979D7" w:rsidRPr="0084150A" w:rsidRDefault="00201967" w:rsidP="006979D7">
      <w:pPr>
        <w:pStyle w:val="Paragraphe"/>
        <w:numPr>
          <w:ilvl w:val="0"/>
          <w:numId w:val="8"/>
        </w:numPr>
        <w:rPr>
          <w:rFonts w:cs="Arial"/>
          <w:szCs w:val="24"/>
          <w:lang w:val="en-CA"/>
        </w:rPr>
      </w:pPr>
      <w:r w:rsidRPr="0084150A">
        <w:rPr>
          <w:rFonts w:cs="Arial"/>
          <w:szCs w:val="24"/>
          <w:lang w:val="en-CA"/>
        </w:rPr>
        <w:t>a prohibition from acting as a director or officer of a reporting issuer, adviser, or investment fund manager for a period of five years</w:t>
      </w:r>
      <w:r w:rsidR="002A3D78" w:rsidRPr="0084150A">
        <w:rPr>
          <w:rFonts w:cs="Arial"/>
          <w:szCs w:val="24"/>
          <w:lang w:val="en-CA"/>
        </w:rPr>
        <w:t>.</w:t>
      </w:r>
    </w:p>
    <w:p w14:paraId="2550EF55" w14:textId="21174765" w:rsidR="006979D7" w:rsidRPr="0084150A" w:rsidRDefault="00B177A1" w:rsidP="006979D7">
      <w:pPr>
        <w:pStyle w:val="Paragraphe"/>
        <w:rPr>
          <w:lang w:val="en-CA"/>
        </w:rPr>
      </w:pPr>
      <w:r w:rsidRPr="0084150A">
        <w:rPr>
          <w:lang w:val="en-CA"/>
        </w:rPr>
        <w:t>The Authority seeks the following conclusions against Frédéric Racine</w:t>
      </w:r>
      <w:r w:rsidR="005D25C5" w:rsidRPr="0084150A">
        <w:rPr>
          <w:lang w:val="en-CA"/>
        </w:rPr>
        <w:t xml:space="preserve">: </w:t>
      </w:r>
    </w:p>
    <w:p w14:paraId="2CFA5424" w14:textId="50B89A8A" w:rsidR="006979D7" w:rsidRPr="0084150A" w:rsidRDefault="00B177A1" w:rsidP="006979D7">
      <w:pPr>
        <w:pStyle w:val="Paragraphe"/>
        <w:numPr>
          <w:ilvl w:val="0"/>
          <w:numId w:val="9"/>
        </w:numPr>
        <w:rPr>
          <w:rFonts w:cs="Arial"/>
          <w:szCs w:val="24"/>
          <w:lang w:val="en-CA"/>
        </w:rPr>
      </w:pPr>
      <w:r w:rsidRPr="005E07F3">
        <w:rPr>
          <w:rFonts w:cs="Arial"/>
          <w:szCs w:val="24"/>
          <w:lang w:val="en-CA"/>
        </w:rPr>
        <w:t>an</w:t>
      </w:r>
      <w:r w:rsidR="005D25C5" w:rsidRPr="005E07F3">
        <w:rPr>
          <w:rFonts w:cs="Arial"/>
          <w:szCs w:val="24"/>
          <w:lang w:val="en-CA"/>
        </w:rPr>
        <w:t xml:space="preserve"> administrative </w:t>
      </w:r>
      <w:r w:rsidR="004B253F" w:rsidRPr="005E07F3">
        <w:rPr>
          <w:rFonts w:cs="Arial"/>
          <w:szCs w:val="24"/>
          <w:lang w:val="en-CA"/>
        </w:rPr>
        <w:t>penalty</w:t>
      </w:r>
      <w:r w:rsidRPr="005E07F3">
        <w:rPr>
          <w:rFonts w:cs="Arial"/>
          <w:szCs w:val="24"/>
          <w:lang w:val="en-CA"/>
        </w:rPr>
        <w:t xml:space="preserve"> of </w:t>
      </w:r>
      <w:proofErr w:type="gramStart"/>
      <w:r w:rsidR="005D25C5" w:rsidRPr="005E07F3">
        <w:rPr>
          <w:rFonts w:cs="Arial"/>
          <w:szCs w:val="24"/>
          <w:lang w:val="en-CA"/>
        </w:rPr>
        <w:t>$250</w:t>
      </w:r>
      <w:r w:rsidRPr="005E07F3">
        <w:rPr>
          <w:rFonts w:cs="Arial"/>
          <w:szCs w:val="24"/>
          <w:lang w:val="en-CA"/>
        </w:rPr>
        <w:t>,000</w:t>
      </w:r>
      <w:r w:rsidRPr="0084150A">
        <w:rPr>
          <w:rFonts w:cs="Arial"/>
          <w:szCs w:val="24"/>
          <w:lang w:val="en-CA"/>
        </w:rPr>
        <w:t>;</w:t>
      </w:r>
      <w:proofErr w:type="gramEnd"/>
    </w:p>
    <w:p w14:paraId="1A7AAEC4" w14:textId="12507D1B" w:rsidR="006979D7" w:rsidRPr="005E07F3" w:rsidRDefault="00B177A1" w:rsidP="006979D7">
      <w:pPr>
        <w:pStyle w:val="Paragraphedeliste"/>
        <w:numPr>
          <w:ilvl w:val="0"/>
          <w:numId w:val="9"/>
        </w:numPr>
        <w:spacing w:after="160" w:line="259" w:lineRule="auto"/>
        <w:jc w:val="both"/>
        <w:rPr>
          <w:rFonts w:cs="Arial"/>
          <w:kern w:val="28"/>
          <w:szCs w:val="24"/>
          <w:lang w:val="en-CA"/>
        </w:rPr>
      </w:pPr>
      <w:r w:rsidRPr="005E07F3">
        <w:rPr>
          <w:rFonts w:cs="Arial"/>
          <w:kern w:val="28"/>
          <w:szCs w:val="24"/>
          <w:lang w:val="en-CA"/>
        </w:rPr>
        <w:lastRenderedPageBreak/>
        <w:t xml:space="preserve">an order to cease trading in securities and derivatives, with the exception of trades carried out for his own </w:t>
      </w:r>
      <w:r w:rsidR="00474378" w:rsidRPr="005E07F3">
        <w:rPr>
          <w:rFonts w:cs="Arial"/>
          <w:kern w:val="28"/>
          <w:szCs w:val="24"/>
          <w:lang w:val="en-CA"/>
        </w:rPr>
        <w:t>behalf</w:t>
      </w:r>
      <w:r w:rsidRPr="005E07F3">
        <w:rPr>
          <w:rFonts w:cs="Arial"/>
          <w:kern w:val="28"/>
          <w:szCs w:val="24"/>
          <w:lang w:val="en-CA"/>
        </w:rPr>
        <w:t xml:space="preserve">, under certain conditions, for a period of five </w:t>
      </w:r>
      <w:proofErr w:type="gramStart"/>
      <w:r w:rsidRPr="005E07F3">
        <w:rPr>
          <w:rFonts w:cs="Arial"/>
          <w:kern w:val="28"/>
          <w:szCs w:val="24"/>
          <w:lang w:val="en-CA"/>
        </w:rPr>
        <w:t>years</w:t>
      </w:r>
      <w:r w:rsidR="005D25C5" w:rsidRPr="005E07F3">
        <w:rPr>
          <w:rFonts w:cs="Arial"/>
          <w:kern w:val="28"/>
          <w:szCs w:val="24"/>
          <w:lang w:val="en-CA"/>
        </w:rPr>
        <w:t>;</w:t>
      </w:r>
      <w:proofErr w:type="gramEnd"/>
    </w:p>
    <w:p w14:paraId="6F8F45D4" w14:textId="176EC851" w:rsidR="006979D7" w:rsidRPr="0084150A" w:rsidRDefault="00B177A1" w:rsidP="006979D7">
      <w:pPr>
        <w:pStyle w:val="Paragraphe"/>
        <w:numPr>
          <w:ilvl w:val="0"/>
          <w:numId w:val="9"/>
        </w:numPr>
        <w:rPr>
          <w:rFonts w:cs="Arial"/>
          <w:szCs w:val="24"/>
          <w:lang w:val="en-CA"/>
        </w:rPr>
      </w:pPr>
      <w:r w:rsidRPr="0084150A">
        <w:rPr>
          <w:rFonts w:cs="Arial"/>
          <w:szCs w:val="24"/>
          <w:lang w:val="en-CA"/>
        </w:rPr>
        <w:t>a prohibition from acting as a director or officer of a reporting issuer, adviser, or investment fund manager for a period of five years; and</w:t>
      </w:r>
    </w:p>
    <w:p w14:paraId="6676D1CC" w14:textId="5D42DD38" w:rsidR="006979D7" w:rsidRPr="0084150A" w:rsidRDefault="00B177A1" w:rsidP="006979D7">
      <w:pPr>
        <w:pStyle w:val="Paragraphe"/>
        <w:numPr>
          <w:ilvl w:val="0"/>
          <w:numId w:val="9"/>
        </w:numPr>
        <w:rPr>
          <w:rFonts w:cs="Arial"/>
          <w:szCs w:val="24"/>
          <w:lang w:val="en-CA"/>
        </w:rPr>
      </w:pPr>
      <w:r w:rsidRPr="0084150A">
        <w:rPr>
          <w:lang w:val="en-CA"/>
        </w:rPr>
        <w:t xml:space="preserve">an order to </w:t>
      </w:r>
      <w:r w:rsidR="00A764FB" w:rsidRPr="0084150A">
        <w:rPr>
          <w:lang w:val="en-CA"/>
        </w:rPr>
        <w:t xml:space="preserve">disgorge to the Authority the amount of $88,398 obtained </w:t>
      </w:r>
      <w:proofErr w:type="gramStart"/>
      <w:r w:rsidR="00A764FB" w:rsidRPr="0084150A">
        <w:rPr>
          <w:lang w:val="en-CA"/>
        </w:rPr>
        <w:t>as a result of</w:t>
      </w:r>
      <w:proofErr w:type="gramEnd"/>
      <w:r w:rsidR="00A764FB" w:rsidRPr="0084150A">
        <w:rPr>
          <w:lang w:val="en-CA"/>
        </w:rPr>
        <w:t xml:space="preserve"> the non-compliance</w:t>
      </w:r>
      <w:r w:rsidR="005D25C5" w:rsidRPr="0084150A">
        <w:rPr>
          <w:lang w:val="en-CA"/>
        </w:rPr>
        <w:t xml:space="preserve">. </w:t>
      </w:r>
    </w:p>
    <w:p w14:paraId="775B5BA5" w14:textId="4C7F987D" w:rsidR="006979D7" w:rsidRPr="0084150A" w:rsidRDefault="00FC4CCE" w:rsidP="006979D7">
      <w:pPr>
        <w:pStyle w:val="Paragraphe"/>
        <w:rPr>
          <w:rFonts w:cs="Arial"/>
          <w:szCs w:val="24"/>
          <w:lang w:val="en-CA"/>
        </w:rPr>
      </w:pPr>
      <w:r w:rsidRPr="0084150A">
        <w:rPr>
          <w:lang w:val="en-CA"/>
        </w:rPr>
        <w:t xml:space="preserve">Pursuant to section 273.1 of the </w:t>
      </w:r>
      <w:r w:rsidRPr="0084150A">
        <w:rPr>
          <w:i/>
          <w:iCs/>
          <w:lang w:val="en-CA"/>
        </w:rPr>
        <w:t>SA</w:t>
      </w:r>
      <w:r w:rsidRPr="0084150A">
        <w:rPr>
          <w:lang w:val="en-CA"/>
        </w:rPr>
        <w:t xml:space="preserve">, the Tribunal </w:t>
      </w:r>
      <w:r w:rsidR="00781970" w:rsidRPr="0084150A">
        <w:rPr>
          <w:lang w:val="en-CA"/>
        </w:rPr>
        <w:t xml:space="preserve">may impose an administrative </w:t>
      </w:r>
      <w:r w:rsidR="005B5EA4" w:rsidRPr="0084150A">
        <w:rPr>
          <w:lang w:val="en-CA"/>
        </w:rPr>
        <w:t>penalty</w:t>
      </w:r>
      <w:r w:rsidR="00781970" w:rsidRPr="0084150A">
        <w:rPr>
          <w:lang w:val="en-CA"/>
        </w:rPr>
        <w:t xml:space="preserve"> not to exceed $2,000,000 for each contravention of the </w:t>
      </w:r>
      <w:r w:rsidR="00781970" w:rsidRPr="0084150A">
        <w:rPr>
          <w:i/>
          <w:iCs/>
          <w:lang w:val="en-CA"/>
        </w:rPr>
        <w:t>Act</w:t>
      </w:r>
      <w:r w:rsidR="005D25C5" w:rsidRPr="0084150A">
        <w:rPr>
          <w:rFonts w:cs="Arial"/>
          <w:color w:val="000000"/>
          <w:lang w:val="en-CA"/>
        </w:rPr>
        <w:t>.</w:t>
      </w:r>
    </w:p>
    <w:p w14:paraId="06D7AF4C" w14:textId="5186574D" w:rsidR="006979D7" w:rsidRPr="005E07F3" w:rsidRDefault="008D6E54" w:rsidP="006979D7">
      <w:pPr>
        <w:pStyle w:val="Paragraphe"/>
        <w:rPr>
          <w:rFonts w:cs="Arial"/>
          <w:szCs w:val="24"/>
          <w:lang w:val="en-CA"/>
        </w:rPr>
      </w:pPr>
      <w:r w:rsidRPr="005E07F3">
        <w:rPr>
          <w:lang w:val="en-CA"/>
        </w:rPr>
        <w:t xml:space="preserve">Pursuant to section 265, the Tribunal may also order a person to cease any activity in respect of a </w:t>
      </w:r>
      <w:r w:rsidR="00D83154" w:rsidRPr="005E07F3">
        <w:rPr>
          <w:lang w:val="en-CA"/>
        </w:rPr>
        <w:t>transaction in securities</w:t>
      </w:r>
      <w:r w:rsidR="005D25C5" w:rsidRPr="005E07F3">
        <w:rPr>
          <w:lang w:val="en-CA"/>
        </w:rPr>
        <w:t xml:space="preserve">. </w:t>
      </w:r>
    </w:p>
    <w:p w14:paraId="1B6CAEE2" w14:textId="03B6F328" w:rsidR="006979D7" w:rsidRPr="0084150A" w:rsidRDefault="0016386D" w:rsidP="006979D7">
      <w:pPr>
        <w:pStyle w:val="Paragraphe"/>
        <w:rPr>
          <w:rFonts w:cs="Arial"/>
          <w:szCs w:val="24"/>
          <w:lang w:val="en-CA"/>
        </w:rPr>
      </w:pPr>
      <w:r w:rsidRPr="0084150A">
        <w:rPr>
          <w:rFonts w:cs="Arial"/>
          <w:szCs w:val="24"/>
          <w:lang w:val="en-CA"/>
        </w:rPr>
        <w:t xml:space="preserve">Pursuant to section 273.3 of the </w:t>
      </w:r>
      <w:r w:rsidRPr="0084150A">
        <w:rPr>
          <w:rFonts w:cs="Arial"/>
          <w:i/>
          <w:iCs/>
          <w:szCs w:val="24"/>
          <w:lang w:val="en-CA"/>
        </w:rPr>
        <w:t>SA</w:t>
      </w:r>
      <w:r w:rsidRPr="0084150A">
        <w:rPr>
          <w:rFonts w:cs="Arial"/>
          <w:szCs w:val="24"/>
          <w:lang w:val="en-CA"/>
        </w:rPr>
        <w:t xml:space="preserve">, the Tribunal also has the power to prohibit a person from acting as a director or officer of an issuer, dealer, adviser, or investment fund manager on the grounds set out in article 329 of the </w:t>
      </w:r>
      <w:r w:rsidRPr="0084150A">
        <w:rPr>
          <w:rFonts w:cs="Arial"/>
          <w:i/>
          <w:iCs/>
          <w:szCs w:val="24"/>
          <w:lang w:val="en-CA"/>
        </w:rPr>
        <w:t>Civil Code of Québec</w:t>
      </w:r>
      <w:r w:rsidRPr="0084150A">
        <w:rPr>
          <w:rFonts w:cs="Arial"/>
          <w:szCs w:val="24"/>
          <w:lang w:val="en-CA"/>
        </w:rPr>
        <w:t>,</w:t>
      </w:r>
      <w:r w:rsidRPr="0084150A">
        <w:rPr>
          <w:rFonts w:cs="Arial"/>
          <w:i/>
          <w:iCs/>
          <w:szCs w:val="24"/>
          <w:lang w:val="en-CA"/>
        </w:rPr>
        <w:t xml:space="preserve"> </w:t>
      </w:r>
      <w:r w:rsidRPr="0084150A">
        <w:rPr>
          <w:rFonts w:cs="Arial"/>
          <w:szCs w:val="24"/>
          <w:lang w:val="en-CA"/>
        </w:rPr>
        <w:t xml:space="preserve">or where a sanction has been imposed on the person </w:t>
      </w:r>
      <w:r w:rsidR="000B7A1C" w:rsidRPr="0084150A">
        <w:rPr>
          <w:rFonts w:cs="Arial"/>
          <w:szCs w:val="24"/>
          <w:lang w:val="en-CA"/>
        </w:rPr>
        <w:t xml:space="preserve">under the </w:t>
      </w:r>
      <w:r w:rsidR="000B7A1C" w:rsidRPr="0084150A">
        <w:rPr>
          <w:rFonts w:cs="Arial"/>
          <w:i/>
          <w:iCs/>
          <w:szCs w:val="24"/>
          <w:lang w:val="en-CA"/>
        </w:rPr>
        <w:t>SA</w:t>
      </w:r>
      <w:r w:rsidR="000B7A1C" w:rsidRPr="0084150A">
        <w:rPr>
          <w:rFonts w:cs="Arial"/>
          <w:szCs w:val="24"/>
          <w:lang w:val="en-CA"/>
        </w:rPr>
        <w:t>, for a period not exceeding five years</w:t>
      </w:r>
      <w:r w:rsidR="005D25C5" w:rsidRPr="0084150A">
        <w:rPr>
          <w:rFonts w:cs="Arial"/>
          <w:szCs w:val="24"/>
          <w:lang w:val="en-CA"/>
        </w:rPr>
        <w:t>.</w:t>
      </w:r>
    </w:p>
    <w:p w14:paraId="337DD763" w14:textId="25EAFCCE" w:rsidR="006979D7" w:rsidRPr="0084150A" w:rsidRDefault="00434522" w:rsidP="006979D7">
      <w:pPr>
        <w:pStyle w:val="Paragraphe"/>
        <w:rPr>
          <w:rFonts w:cs="Arial"/>
          <w:szCs w:val="24"/>
          <w:lang w:val="en-CA"/>
        </w:rPr>
      </w:pPr>
      <w:r w:rsidRPr="0084150A">
        <w:rPr>
          <w:lang w:val="en-CA"/>
        </w:rPr>
        <w:t xml:space="preserve">Finally, section 262.1(9) of the </w:t>
      </w:r>
      <w:r w:rsidRPr="0084150A">
        <w:rPr>
          <w:i/>
          <w:iCs/>
          <w:lang w:val="en-CA"/>
        </w:rPr>
        <w:t>SA</w:t>
      </w:r>
      <w:r w:rsidRPr="0084150A">
        <w:rPr>
          <w:lang w:val="en-CA"/>
        </w:rPr>
        <w:t xml:space="preserve"> allows the Tribunal to require a person to disgorge to the Authority amounts obtained </w:t>
      </w:r>
      <w:proofErr w:type="gramStart"/>
      <w:r w:rsidRPr="0084150A">
        <w:rPr>
          <w:lang w:val="en-CA"/>
        </w:rPr>
        <w:t>as a result of</w:t>
      </w:r>
      <w:proofErr w:type="gramEnd"/>
      <w:r w:rsidRPr="0084150A">
        <w:rPr>
          <w:lang w:val="en-CA"/>
        </w:rPr>
        <w:t xml:space="preserve"> the non-compliance</w:t>
      </w:r>
      <w:r w:rsidR="005D25C5" w:rsidRPr="0084150A">
        <w:rPr>
          <w:lang w:val="en-CA"/>
        </w:rPr>
        <w:t xml:space="preserve">. </w:t>
      </w:r>
    </w:p>
    <w:p w14:paraId="7DBCCF25" w14:textId="51834DE5" w:rsidR="006979D7" w:rsidRPr="0084150A" w:rsidRDefault="004C4E1D" w:rsidP="006979D7">
      <w:pPr>
        <w:pStyle w:val="Paragraphe"/>
        <w:rPr>
          <w:rFonts w:cs="Arial"/>
          <w:szCs w:val="24"/>
          <w:lang w:val="en-CA"/>
        </w:rPr>
      </w:pPr>
      <w:r w:rsidRPr="0022736E">
        <w:rPr>
          <w:lang w:val="en-CA"/>
        </w:rPr>
        <w:t>The</w:t>
      </w:r>
      <w:r w:rsidR="005D25C5" w:rsidRPr="0022736E">
        <w:rPr>
          <w:lang w:val="en-CA"/>
        </w:rPr>
        <w:t xml:space="preserve"> orders the Tribunal makes are not punitive</w:t>
      </w:r>
      <w:r w:rsidR="005D25C5" w:rsidRPr="005E07F3">
        <w:rPr>
          <w:lang w:val="en-CA"/>
        </w:rPr>
        <w:t>;</w:t>
      </w:r>
      <w:bookmarkStart w:id="17" w:name="_Ref167262576"/>
      <w:r w:rsidR="005B0A50" w:rsidRPr="0084150A">
        <w:rPr>
          <w:rStyle w:val="Appelnotedebasdep"/>
          <w:rFonts w:cs="Arial"/>
          <w:szCs w:val="24"/>
          <w:lang w:val="en-CA"/>
        </w:rPr>
        <w:footnoteReference w:id="149"/>
      </w:r>
      <w:bookmarkEnd w:id="17"/>
      <w:r w:rsidR="005D25C5" w:rsidRPr="005E07F3">
        <w:rPr>
          <w:lang w:val="en-CA"/>
        </w:rPr>
        <w:t xml:space="preserve"> they are intended to protect the public.</w:t>
      </w:r>
      <w:r w:rsidR="005D25C5" w:rsidRPr="0084150A">
        <w:rPr>
          <w:lang w:val="en-CA"/>
        </w:rPr>
        <w:t xml:space="preserve"> </w:t>
      </w:r>
      <w:r w:rsidRPr="0084150A">
        <w:rPr>
          <w:lang w:val="en-CA"/>
        </w:rPr>
        <w:t xml:space="preserve">To achieve this objective, the Tribunal’s orders may be </w:t>
      </w:r>
      <w:r w:rsidR="00452695" w:rsidRPr="0084150A">
        <w:rPr>
          <w:lang w:val="en-CA"/>
        </w:rPr>
        <w:t xml:space="preserve">prospective in that </w:t>
      </w:r>
      <w:r w:rsidR="00F613DF">
        <w:rPr>
          <w:lang w:val="en-CA"/>
        </w:rPr>
        <w:t>they are intended to restrain future conduct that is likely to be prejudicial to the public interest</w:t>
      </w:r>
      <w:r w:rsidR="006A085F" w:rsidRPr="0084150A">
        <w:rPr>
          <w:lang w:val="en-CA"/>
        </w:rPr>
        <w:t>.</w:t>
      </w:r>
      <w:r w:rsidR="005D25C5" w:rsidRPr="0084150A">
        <w:rPr>
          <w:rStyle w:val="Appelnotedebasdep"/>
          <w:rFonts w:cs="Arial"/>
          <w:szCs w:val="24"/>
          <w:lang w:val="en-CA"/>
        </w:rPr>
        <w:footnoteReference w:id="150"/>
      </w:r>
      <w:r w:rsidR="005D25C5" w:rsidRPr="0084150A">
        <w:rPr>
          <w:lang w:val="en-CA"/>
        </w:rPr>
        <w:t xml:space="preserve"> </w:t>
      </w:r>
      <w:r w:rsidR="00B71BAB">
        <w:rPr>
          <w:lang w:val="en-CA"/>
        </w:rPr>
        <w:t>In this sense</w:t>
      </w:r>
      <w:r w:rsidR="001E0BA4" w:rsidRPr="0084150A">
        <w:rPr>
          <w:lang w:val="en-CA"/>
        </w:rPr>
        <w:t>, the orders the Tribunal makes are protective and preventive,</w:t>
      </w:r>
      <w:r w:rsidR="005D25C5" w:rsidRPr="0084150A">
        <w:rPr>
          <w:rStyle w:val="Appelnotedebasdep"/>
          <w:lang w:val="en-CA"/>
        </w:rPr>
        <w:footnoteReference w:id="151"/>
      </w:r>
      <w:r w:rsidR="005D25C5" w:rsidRPr="0084150A">
        <w:rPr>
          <w:lang w:val="en-CA"/>
        </w:rPr>
        <w:t xml:space="preserve"> </w:t>
      </w:r>
      <w:r w:rsidR="001E0BA4" w:rsidRPr="0084150A">
        <w:rPr>
          <w:lang w:val="en-CA"/>
        </w:rPr>
        <w:t xml:space="preserve">and must be </w:t>
      </w:r>
      <w:r w:rsidR="00B71BAB">
        <w:rPr>
          <w:lang w:val="en-CA"/>
        </w:rPr>
        <w:t xml:space="preserve">a </w:t>
      </w:r>
      <w:r w:rsidR="001E0BA4" w:rsidRPr="0084150A">
        <w:rPr>
          <w:lang w:val="en-CA"/>
        </w:rPr>
        <w:t>deterrent.</w:t>
      </w:r>
      <w:r w:rsidR="005D25C5" w:rsidRPr="0084150A">
        <w:rPr>
          <w:rStyle w:val="Appelnotedebasdep"/>
          <w:rFonts w:cs="Arial"/>
          <w:szCs w:val="24"/>
          <w:lang w:val="en-CA"/>
        </w:rPr>
        <w:footnoteReference w:id="152"/>
      </w:r>
    </w:p>
    <w:p w14:paraId="4F63CB02" w14:textId="27657FCD" w:rsidR="006979D7" w:rsidRPr="0084150A" w:rsidRDefault="005D25C5" w:rsidP="006979D7">
      <w:pPr>
        <w:pStyle w:val="Paragraphe"/>
        <w:rPr>
          <w:rFonts w:cs="Arial"/>
          <w:szCs w:val="24"/>
          <w:lang w:val="en-CA"/>
        </w:rPr>
      </w:pPr>
      <w:r w:rsidRPr="0084150A">
        <w:rPr>
          <w:rFonts w:cs="Arial"/>
          <w:szCs w:val="24"/>
          <w:lang w:val="en-CA"/>
        </w:rPr>
        <w:t xml:space="preserve"> </w:t>
      </w:r>
      <w:r w:rsidR="0011397D" w:rsidRPr="0084150A">
        <w:rPr>
          <w:rFonts w:cs="Arial"/>
          <w:szCs w:val="24"/>
          <w:lang w:val="en-CA"/>
        </w:rPr>
        <w:t xml:space="preserve">To determine the appropriate administrative measures that it </w:t>
      </w:r>
      <w:r w:rsidR="00B71BAB">
        <w:rPr>
          <w:rFonts w:cs="Arial"/>
          <w:szCs w:val="24"/>
          <w:lang w:val="en-CA"/>
        </w:rPr>
        <w:t>must</w:t>
      </w:r>
      <w:r w:rsidR="00B71BAB" w:rsidRPr="0084150A">
        <w:rPr>
          <w:rFonts w:cs="Arial"/>
          <w:szCs w:val="24"/>
          <w:lang w:val="en-CA"/>
        </w:rPr>
        <w:t xml:space="preserve"> </w:t>
      </w:r>
      <w:r w:rsidR="0011397D" w:rsidRPr="0084150A">
        <w:rPr>
          <w:rFonts w:cs="Arial"/>
          <w:szCs w:val="24"/>
          <w:lang w:val="en-CA"/>
        </w:rPr>
        <w:t xml:space="preserve">impose, the Tribunal is guided by the criteria developed in </w:t>
      </w:r>
      <w:r w:rsidR="0011397D" w:rsidRPr="0084150A">
        <w:rPr>
          <w:rFonts w:cs="Arial"/>
          <w:i/>
          <w:iCs/>
          <w:szCs w:val="24"/>
          <w:lang w:val="en-CA"/>
        </w:rPr>
        <w:t>Demers</w:t>
      </w:r>
      <w:r w:rsidR="0011397D" w:rsidRPr="0084150A">
        <w:rPr>
          <w:rFonts w:cs="Arial"/>
          <w:szCs w:val="24"/>
          <w:lang w:val="en-CA"/>
        </w:rPr>
        <w:t>,</w:t>
      </w:r>
      <w:r w:rsidRPr="0084150A">
        <w:rPr>
          <w:rStyle w:val="Appelnotedebasdep"/>
          <w:rFonts w:cs="Arial"/>
          <w:szCs w:val="24"/>
          <w:lang w:val="en-CA"/>
        </w:rPr>
        <w:footnoteReference w:id="153"/>
      </w:r>
      <w:r w:rsidRPr="0084150A">
        <w:rPr>
          <w:rFonts w:cs="Arial"/>
          <w:szCs w:val="24"/>
          <w:lang w:val="en-CA"/>
        </w:rPr>
        <w:t xml:space="preserve"> </w:t>
      </w:r>
      <w:r w:rsidR="0011397D" w:rsidRPr="0084150A">
        <w:rPr>
          <w:rFonts w:cs="Arial"/>
          <w:szCs w:val="24"/>
          <w:lang w:val="en-CA"/>
        </w:rPr>
        <w:t>including</w:t>
      </w:r>
      <w:r w:rsidRPr="0084150A">
        <w:rPr>
          <w:rFonts w:cs="Arial"/>
          <w:szCs w:val="24"/>
          <w:lang w:val="en-CA"/>
        </w:rPr>
        <w:t xml:space="preserve">: </w:t>
      </w:r>
    </w:p>
    <w:p w14:paraId="426FDC46" w14:textId="5A75C5EE" w:rsidR="006979D7" w:rsidRPr="005E07F3" w:rsidRDefault="00856A8B"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type and quantity of </w:t>
      </w:r>
      <w:r w:rsidR="00E06DF9">
        <w:rPr>
          <w:rFonts w:cs="Arial"/>
          <w:color w:val="000000"/>
          <w:szCs w:val="24"/>
          <w:lang w:val="en-CA" w:eastAsia="fr-CA"/>
        </w:rPr>
        <w:t>contraventions</w:t>
      </w:r>
      <w:r w:rsidR="00E06DF9" w:rsidRPr="005E07F3">
        <w:rPr>
          <w:rFonts w:cs="Arial"/>
          <w:color w:val="000000"/>
          <w:szCs w:val="24"/>
          <w:lang w:val="en-CA" w:eastAsia="fr-CA"/>
        </w:rPr>
        <w:t xml:space="preserve"> </w:t>
      </w:r>
      <w:r w:rsidR="005D25C5" w:rsidRPr="005E07F3">
        <w:rPr>
          <w:rFonts w:cs="Arial"/>
          <w:color w:val="000000"/>
          <w:szCs w:val="24"/>
          <w:lang w:val="en-CA" w:eastAsia="fr-CA"/>
        </w:rPr>
        <w:t>as well as the seriousness of the acts</w:t>
      </w:r>
      <w:r w:rsidR="0057647E" w:rsidRPr="005E07F3">
        <w:rPr>
          <w:rFonts w:cs="Arial"/>
          <w:color w:val="000000"/>
          <w:szCs w:val="24"/>
          <w:lang w:val="en-CA" w:eastAsia="fr-CA"/>
        </w:rPr>
        <w:t xml:space="preserve"> </w:t>
      </w:r>
      <w:proofErr w:type="gramStart"/>
      <w:r w:rsidR="0057647E" w:rsidRPr="005E07F3">
        <w:rPr>
          <w:rFonts w:cs="Arial"/>
          <w:color w:val="000000"/>
          <w:szCs w:val="24"/>
          <w:lang w:val="en-CA" w:eastAsia="fr-CA"/>
        </w:rPr>
        <w:t>committed</w:t>
      </w:r>
      <w:r w:rsidR="005D25C5" w:rsidRPr="005E07F3">
        <w:rPr>
          <w:rFonts w:cs="Arial"/>
          <w:color w:val="000000"/>
          <w:szCs w:val="24"/>
          <w:lang w:val="en-CA" w:eastAsia="fr-CA"/>
        </w:rPr>
        <w:t>;</w:t>
      </w:r>
      <w:proofErr w:type="gramEnd"/>
    </w:p>
    <w:p w14:paraId="58624D62" w14:textId="1CC56657" w:rsidR="006979D7" w:rsidRPr="0084150A" w:rsidRDefault="005D25C5"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 xml:space="preserve">past </w:t>
      </w:r>
      <w:proofErr w:type="gramStart"/>
      <w:r w:rsidRPr="005E07F3">
        <w:rPr>
          <w:rFonts w:cs="Arial"/>
          <w:color w:val="000000"/>
          <w:szCs w:val="24"/>
          <w:lang w:val="en-CA" w:eastAsia="fr-CA"/>
        </w:rPr>
        <w:t>conduct</w:t>
      </w:r>
      <w:r w:rsidR="00856A8B" w:rsidRPr="0084150A">
        <w:rPr>
          <w:rFonts w:cs="Arial"/>
          <w:color w:val="000000"/>
          <w:szCs w:val="24"/>
          <w:lang w:val="en-CA" w:eastAsia="fr-CA"/>
        </w:rPr>
        <w:t>;</w:t>
      </w:r>
      <w:proofErr w:type="gramEnd"/>
    </w:p>
    <w:p w14:paraId="4E3F8E47" w14:textId="481F3882" w:rsidR="006979D7" w:rsidRPr="005E07F3" w:rsidRDefault="00856A8B"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vulnerability of the investors </w:t>
      </w:r>
      <w:proofErr w:type="gramStart"/>
      <w:r w:rsidR="005D25C5" w:rsidRPr="005E07F3">
        <w:rPr>
          <w:rFonts w:cs="Arial"/>
          <w:color w:val="000000"/>
          <w:szCs w:val="24"/>
          <w:lang w:val="en-CA" w:eastAsia="fr-CA"/>
        </w:rPr>
        <w:t>solicited;</w:t>
      </w:r>
      <w:proofErr w:type="gramEnd"/>
    </w:p>
    <w:p w14:paraId="77422649" w14:textId="353EEE42" w:rsidR="006979D7" w:rsidRPr="005E07F3" w:rsidRDefault="00856A8B"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losses suffered by the </w:t>
      </w:r>
      <w:proofErr w:type="gramStart"/>
      <w:r w:rsidR="005D25C5" w:rsidRPr="005E07F3">
        <w:rPr>
          <w:rFonts w:cs="Arial"/>
          <w:color w:val="000000"/>
          <w:szCs w:val="24"/>
          <w:lang w:val="en-CA" w:eastAsia="fr-CA"/>
        </w:rPr>
        <w:t>investors;</w:t>
      </w:r>
      <w:proofErr w:type="gramEnd"/>
    </w:p>
    <w:p w14:paraId="3FC3BF52" w14:textId="6DDB82D7" w:rsidR="006979D7" w:rsidRPr="005E07F3" w:rsidRDefault="00BD26FC"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lastRenderedPageBreak/>
        <w:t>t</w:t>
      </w:r>
      <w:r w:rsidR="005D25C5" w:rsidRPr="005E07F3">
        <w:rPr>
          <w:rFonts w:cs="Arial"/>
          <w:color w:val="000000"/>
          <w:szCs w:val="24"/>
          <w:lang w:val="en-CA" w:eastAsia="fr-CA"/>
        </w:rPr>
        <w:t xml:space="preserve">he profits </w:t>
      </w:r>
      <w:proofErr w:type="gramStart"/>
      <w:r w:rsidR="00B71BAB">
        <w:rPr>
          <w:rFonts w:cs="Arial"/>
          <w:color w:val="000000"/>
          <w:szCs w:val="24"/>
          <w:lang w:val="en-CA" w:eastAsia="fr-CA"/>
        </w:rPr>
        <w:t>made</w:t>
      </w:r>
      <w:r w:rsidR="005D25C5" w:rsidRPr="005E07F3">
        <w:rPr>
          <w:rFonts w:cs="Arial"/>
          <w:color w:val="000000"/>
          <w:szCs w:val="24"/>
          <w:lang w:val="en-CA" w:eastAsia="fr-CA"/>
        </w:rPr>
        <w:t>;</w:t>
      </w:r>
      <w:proofErr w:type="gramEnd"/>
    </w:p>
    <w:p w14:paraId="538F8FEB" w14:textId="35FE83BB" w:rsidR="006979D7" w:rsidRPr="005E07F3" w:rsidRDefault="00B71BAB"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Pr>
          <w:rFonts w:cs="Arial"/>
          <w:color w:val="000000"/>
          <w:szCs w:val="24"/>
          <w:lang w:val="en-CA" w:eastAsia="fr-CA"/>
        </w:rPr>
        <w:t xml:space="preserve">the </w:t>
      </w:r>
      <w:proofErr w:type="gramStart"/>
      <w:r w:rsidR="005D25C5" w:rsidRPr="005E07F3">
        <w:rPr>
          <w:rFonts w:cs="Arial"/>
          <w:color w:val="000000"/>
          <w:szCs w:val="24"/>
          <w:lang w:val="en-CA" w:eastAsia="fr-CA"/>
        </w:rPr>
        <w:t>experience;</w:t>
      </w:r>
      <w:proofErr w:type="gramEnd"/>
    </w:p>
    <w:p w14:paraId="45911020" w14:textId="1839F3F0" w:rsidR="006979D7" w:rsidRPr="0084150A" w:rsidRDefault="00BD26FC"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84150A">
        <w:rPr>
          <w:rFonts w:cs="Arial"/>
          <w:color w:val="000000"/>
          <w:szCs w:val="24"/>
          <w:lang w:val="en-CA" w:eastAsia="fr-CA"/>
        </w:rPr>
        <w:t xml:space="preserve">the position and </w:t>
      </w:r>
      <w:proofErr w:type="gramStart"/>
      <w:r w:rsidRPr="0084150A">
        <w:rPr>
          <w:rFonts w:cs="Arial"/>
          <w:color w:val="000000"/>
          <w:szCs w:val="24"/>
          <w:lang w:val="en-CA" w:eastAsia="fr-CA"/>
        </w:rPr>
        <w:t>status</w:t>
      </w:r>
      <w:r w:rsidR="005D25C5" w:rsidRPr="0084150A">
        <w:rPr>
          <w:rFonts w:cs="Arial"/>
          <w:color w:val="000000"/>
          <w:szCs w:val="24"/>
          <w:lang w:val="en-CA" w:eastAsia="fr-CA"/>
        </w:rPr>
        <w:t>;</w:t>
      </w:r>
      <w:proofErr w:type="gramEnd"/>
    </w:p>
    <w:p w14:paraId="692468B9" w14:textId="2DAF3C4E" w:rsidR="006979D7" w:rsidRPr="005E07F3" w:rsidRDefault="00BD26FC"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w:t>
      </w:r>
      <w:r w:rsidR="00B71BAB">
        <w:rPr>
          <w:rFonts w:cs="Arial"/>
          <w:color w:val="000000"/>
          <w:szCs w:val="24"/>
          <w:lang w:val="en-CA" w:eastAsia="fr-CA"/>
        </w:rPr>
        <w:t>scope</w:t>
      </w:r>
      <w:r w:rsidR="00B71BAB" w:rsidRPr="005E07F3">
        <w:rPr>
          <w:rFonts w:cs="Arial"/>
          <w:color w:val="000000"/>
          <w:szCs w:val="24"/>
          <w:lang w:val="en-CA" w:eastAsia="fr-CA"/>
        </w:rPr>
        <w:t xml:space="preserve"> </w:t>
      </w:r>
      <w:r w:rsidR="005D25C5" w:rsidRPr="005E07F3">
        <w:rPr>
          <w:rFonts w:cs="Arial"/>
          <w:color w:val="000000"/>
          <w:szCs w:val="24"/>
          <w:lang w:val="en-CA" w:eastAsia="fr-CA"/>
        </w:rPr>
        <w:t xml:space="preserve">of the offender’s activities on the financial </w:t>
      </w:r>
      <w:proofErr w:type="gramStart"/>
      <w:r w:rsidR="005D25C5" w:rsidRPr="005E07F3">
        <w:rPr>
          <w:rFonts w:cs="Arial"/>
          <w:color w:val="000000"/>
          <w:szCs w:val="24"/>
          <w:lang w:val="en-CA" w:eastAsia="fr-CA"/>
        </w:rPr>
        <w:t>markets;</w:t>
      </w:r>
      <w:proofErr w:type="gramEnd"/>
    </w:p>
    <w:p w14:paraId="34D27DE4" w14:textId="0091FCDE" w:rsidR="006979D7" w:rsidRPr="005E07F3" w:rsidRDefault="0075084D"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intentional nature of the acts </w:t>
      </w:r>
      <w:proofErr w:type="gramStart"/>
      <w:r w:rsidR="005D25C5" w:rsidRPr="005E07F3">
        <w:rPr>
          <w:rFonts w:cs="Arial"/>
          <w:color w:val="000000"/>
          <w:szCs w:val="24"/>
          <w:lang w:val="en-CA" w:eastAsia="fr-CA"/>
        </w:rPr>
        <w:t>committed;</w:t>
      </w:r>
      <w:proofErr w:type="gramEnd"/>
    </w:p>
    <w:p w14:paraId="0A3450E6" w14:textId="474B7BEE" w:rsidR="006979D7" w:rsidRPr="0084150A" w:rsidRDefault="00D1499E"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risk </w:t>
      </w:r>
      <w:r w:rsidRPr="005E07F3">
        <w:rPr>
          <w:rFonts w:cs="Arial"/>
          <w:color w:val="000000"/>
          <w:szCs w:val="24"/>
          <w:lang w:val="en-CA" w:eastAsia="fr-CA"/>
        </w:rPr>
        <w:t>the offender poses to</w:t>
      </w:r>
      <w:r w:rsidR="005D25C5" w:rsidRPr="005E07F3">
        <w:rPr>
          <w:rFonts w:cs="Arial"/>
          <w:color w:val="000000"/>
          <w:szCs w:val="24"/>
          <w:lang w:val="en-CA" w:eastAsia="fr-CA"/>
        </w:rPr>
        <w:t xml:space="preserve"> investors and capital markets </w:t>
      </w:r>
      <w:r w:rsidRPr="0084150A">
        <w:rPr>
          <w:rFonts w:cs="Arial"/>
          <w:color w:val="000000"/>
          <w:szCs w:val="24"/>
          <w:lang w:val="en-CA" w:eastAsia="fr-CA"/>
        </w:rPr>
        <w:t xml:space="preserve">if the offender is allowed to pursue their </w:t>
      </w:r>
      <w:proofErr w:type="gramStart"/>
      <w:r w:rsidRPr="0084150A">
        <w:rPr>
          <w:rFonts w:cs="Arial"/>
          <w:color w:val="000000"/>
          <w:szCs w:val="24"/>
          <w:lang w:val="en-CA" w:eastAsia="fr-CA"/>
        </w:rPr>
        <w:t>activities;</w:t>
      </w:r>
      <w:proofErr w:type="gramEnd"/>
    </w:p>
    <w:p w14:paraId="14103C75" w14:textId="06382656" w:rsidR="006979D7" w:rsidRPr="005E07F3" w:rsidRDefault="00D1499E"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damage caused to the integrity of the </w:t>
      </w:r>
      <w:proofErr w:type="gramStart"/>
      <w:r w:rsidR="005D25C5" w:rsidRPr="005E07F3">
        <w:rPr>
          <w:rFonts w:cs="Arial"/>
          <w:color w:val="000000"/>
          <w:szCs w:val="24"/>
          <w:lang w:val="en-CA" w:eastAsia="fr-CA"/>
        </w:rPr>
        <w:t>markets;</w:t>
      </w:r>
      <w:proofErr w:type="gramEnd"/>
    </w:p>
    <w:p w14:paraId="4DEC111F" w14:textId="385205BD" w:rsidR="006979D7" w:rsidRPr="0084150A" w:rsidRDefault="00BB0998"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Pr>
          <w:rFonts w:cs="Arial"/>
          <w:color w:val="000000"/>
          <w:szCs w:val="24"/>
          <w:lang w:val="en-CA" w:eastAsia="fr-CA"/>
        </w:rPr>
        <w:t xml:space="preserve">the </w:t>
      </w:r>
      <w:proofErr w:type="gramStart"/>
      <w:r w:rsidR="00D1499E" w:rsidRPr="0084150A">
        <w:rPr>
          <w:rFonts w:cs="Arial"/>
          <w:color w:val="000000"/>
          <w:szCs w:val="24"/>
          <w:lang w:val="en-CA" w:eastAsia="fr-CA"/>
        </w:rPr>
        <w:t>deterrents</w:t>
      </w:r>
      <w:r w:rsidR="005D25C5" w:rsidRPr="0084150A">
        <w:rPr>
          <w:rFonts w:cs="Arial"/>
          <w:color w:val="000000"/>
          <w:szCs w:val="24"/>
          <w:lang w:val="en-CA" w:eastAsia="fr-CA"/>
        </w:rPr>
        <w:t>;</w:t>
      </w:r>
      <w:proofErr w:type="gramEnd"/>
    </w:p>
    <w:p w14:paraId="7459AA13" w14:textId="3CE683F9" w:rsidR="006979D7" w:rsidRPr="005E07F3" w:rsidRDefault="00BB0998"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Pr>
          <w:rFonts w:cs="Arial"/>
          <w:color w:val="000000"/>
          <w:szCs w:val="24"/>
          <w:lang w:val="en-CA" w:eastAsia="fr-CA"/>
        </w:rPr>
        <w:t xml:space="preserve">the </w:t>
      </w:r>
      <w:proofErr w:type="gramStart"/>
      <w:r w:rsidR="00D1499E" w:rsidRPr="005E07F3">
        <w:rPr>
          <w:rFonts w:cs="Arial"/>
          <w:color w:val="000000"/>
          <w:szCs w:val="24"/>
          <w:lang w:val="en-CA" w:eastAsia="fr-CA"/>
        </w:rPr>
        <w:t>c</w:t>
      </w:r>
      <w:r w:rsidR="005D25C5" w:rsidRPr="005E07F3">
        <w:rPr>
          <w:rFonts w:cs="Arial"/>
          <w:color w:val="000000"/>
          <w:szCs w:val="24"/>
          <w:lang w:val="en-CA" w:eastAsia="fr-CA"/>
        </w:rPr>
        <w:t>ooperation;</w:t>
      </w:r>
      <w:proofErr w:type="gramEnd"/>
      <w:r w:rsidR="005D25C5" w:rsidRPr="005E07F3">
        <w:rPr>
          <w:rFonts w:cs="Arial"/>
          <w:color w:val="000000"/>
          <w:szCs w:val="24"/>
          <w:lang w:val="en-CA" w:eastAsia="fr-CA"/>
        </w:rPr>
        <w:t xml:space="preserve"> </w:t>
      </w:r>
    </w:p>
    <w:p w14:paraId="2EDE969C" w14:textId="7A096861" w:rsidR="006979D7" w:rsidRPr="005E07F3" w:rsidRDefault="00D1499E"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degree of remorse shown by the </w:t>
      </w:r>
      <w:proofErr w:type="gramStart"/>
      <w:r w:rsidR="005D25C5" w:rsidRPr="005E07F3">
        <w:rPr>
          <w:rFonts w:cs="Arial"/>
          <w:color w:val="000000"/>
          <w:szCs w:val="24"/>
          <w:lang w:val="en-CA" w:eastAsia="fr-CA"/>
        </w:rPr>
        <w:t>offender;</w:t>
      </w:r>
      <w:proofErr w:type="gramEnd"/>
    </w:p>
    <w:p w14:paraId="2C44B451" w14:textId="5C18B6CF" w:rsidR="006979D7" w:rsidRPr="005E07F3" w:rsidRDefault="005D25C5"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mitigating factors; and</w:t>
      </w:r>
    </w:p>
    <w:p w14:paraId="62C65281" w14:textId="45987F3C" w:rsidR="006979D7" w:rsidRPr="0084150A" w:rsidRDefault="00D1499E" w:rsidP="006979D7">
      <w:pPr>
        <w:pStyle w:val="Paragraphedeliste"/>
        <w:numPr>
          <w:ilvl w:val="0"/>
          <w:numId w:val="10"/>
        </w:numPr>
        <w:spacing w:before="120" w:after="120" w:line="259" w:lineRule="auto"/>
        <w:ind w:right="1140"/>
        <w:contextualSpacing w:val="0"/>
        <w:jc w:val="both"/>
        <w:rPr>
          <w:rFonts w:cs="Arial"/>
          <w:color w:val="000000"/>
          <w:szCs w:val="24"/>
          <w:lang w:val="en-CA" w:eastAsia="fr-CA"/>
        </w:rPr>
      </w:pPr>
      <w:r w:rsidRPr="005E07F3">
        <w:rPr>
          <w:rFonts w:cs="Arial"/>
          <w:color w:val="000000"/>
          <w:szCs w:val="24"/>
          <w:lang w:val="en-CA" w:eastAsia="fr-CA"/>
        </w:rPr>
        <w:t>t</w:t>
      </w:r>
      <w:r w:rsidR="005D25C5" w:rsidRPr="005E07F3">
        <w:rPr>
          <w:rFonts w:cs="Arial"/>
          <w:color w:val="000000"/>
          <w:szCs w:val="24"/>
          <w:lang w:val="en-CA" w:eastAsia="fr-CA"/>
        </w:rPr>
        <w:t xml:space="preserve">he </w:t>
      </w:r>
      <w:r w:rsidRPr="005E07F3">
        <w:rPr>
          <w:rFonts w:cs="Arial"/>
          <w:color w:val="000000"/>
          <w:szCs w:val="24"/>
          <w:lang w:val="en-CA" w:eastAsia="fr-CA"/>
        </w:rPr>
        <w:t>sanctions</w:t>
      </w:r>
      <w:r w:rsidR="005D25C5" w:rsidRPr="005E07F3">
        <w:rPr>
          <w:rFonts w:cs="Arial"/>
          <w:color w:val="000000"/>
          <w:szCs w:val="24"/>
          <w:lang w:val="en-CA" w:eastAsia="fr-CA"/>
        </w:rPr>
        <w:t xml:space="preserve"> imposed in similar circumstances.</w:t>
      </w:r>
    </w:p>
    <w:p w14:paraId="6D57F8DA" w14:textId="4E3AE7E5" w:rsidR="006979D7" w:rsidRPr="0084150A" w:rsidRDefault="00D1499E" w:rsidP="006979D7">
      <w:pPr>
        <w:pStyle w:val="Paragraphe"/>
        <w:rPr>
          <w:lang w:val="en-CA" w:eastAsia="fr-CA"/>
        </w:rPr>
      </w:pPr>
      <w:r w:rsidRPr="0084150A">
        <w:rPr>
          <w:lang w:val="en-CA" w:eastAsia="fr-CA"/>
        </w:rPr>
        <w:t>These criteria must be assessed on a case-by-case basis, and according to the circumstances and facts specific to each case.</w:t>
      </w:r>
      <w:r w:rsidR="005D25C5" w:rsidRPr="0084150A">
        <w:rPr>
          <w:rStyle w:val="Appelnotedebasdep"/>
          <w:lang w:val="en-CA"/>
        </w:rPr>
        <w:footnoteReference w:id="154"/>
      </w:r>
      <w:r w:rsidRPr="0084150A">
        <w:rPr>
          <w:lang w:val="en-CA"/>
        </w:rPr>
        <w:t xml:space="preserve"> In this case, the Tribunal </w:t>
      </w:r>
      <w:r w:rsidR="00BD7824" w:rsidRPr="0084150A">
        <w:rPr>
          <w:lang w:val="en-CA"/>
        </w:rPr>
        <w:t>considers</w:t>
      </w:r>
      <w:r w:rsidRPr="0084150A">
        <w:rPr>
          <w:lang w:val="en-CA"/>
        </w:rPr>
        <w:t xml:space="preserve"> the following</w:t>
      </w:r>
      <w:r w:rsidR="00BD7824" w:rsidRPr="0084150A">
        <w:rPr>
          <w:lang w:val="en-CA"/>
        </w:rPr>
        <w:t xml:space="preserve"> criteria</w:t>
      </w:r>
      <w:r w:rsidR="005D25C5" w:rsidRPr="0084150A">
        <w:rPr>
          <w:lang w:val="en-CA"/>
        </w:rPr>
        <w:t xml:space="preserve">. </w:t>
      </w:r>
    </w:p>
    <w:p w14:paraId="62F2A2CD" w14:textId="11AD22C6" w:rsidR="006979D7" w:rsidRPr="0084150A" w:rsidRDefault="005D25C5" w:rsidP="006979D7">
      <w:pPr>
        <w:pStyle w:val="Titre3"/>
        <w:numPr>
          <w:ilvl w:val="0"/>
          <w:numId w:val="0"/>
        </w:numPr>
        <w:ind w:left="360" w:hanging="360"/>
        <w:jc w:val="both"/>
        <w:rPr>
          <w:lang w:val="en-CA"/>
        </w:rPr>
      </w:pPr>
      <w:r w:rsidRPr="005E07F3">
        <w:rPr>
          <w:lang w:val="en-CA"/>
        </w:rPr>
        <w:t xml:space="preserve">The type and quantity of </w:t>
      </w:r>
      <w:r w:rsidR="00E06DF9">
        <w:rPr>
          <w:lang w:val="en-CA"/>
        </w:rPr>
        <w:t>contraventions</w:t>
      </w:r>
      <w:r w:rsidR="00E06DF9" w:rsidRPr="005E07F3">
        <w:rPr>
          <w:lang w:val="en-CA"/>
        </w:rPr>
        <w:t xml:space="preserve"> </w:t>
      </w:r>
      <w:r w:rsidRPr="005E07F3">
        <w:rPr>
          <w:lang w:val="en-CA"/>
        </w:rPr>
        <w:t xml:space="preserve">as well as the seriousness of the </w:t>
      </w:r>
      <w:r w:rsidR="00C153A7" w:rsidRPr="0084150A">
        <w:rPr>
          <w:lang w:val="en-CA"/>
        </w:rPr>
        <w:t>acts committed</w:t>
      </w:r>
    </w:p>
    <w:p w14:paraId="115C89FD" w14:textId="251DABF1" w:rsidR="006979D7" w:rsidRPr="0084150A" w:rsidRDefault="008D6E28" w:rsidP="006979D7">
      <w:pPr>
        <w:pStyle w:val="Paragraphe"/>
        <w:rPr>
          <w:lang w:val="en-CA" w:eastAsia="fr-CA"/>
        </w:rPr>
      </w:pPr>
      <w:r w:rsidRPr="0084150A">
        <w:rPr>
          <w:lang w:val="en-CA" w:eastAsia="fr-CA"/>
        </w:rPr>
        <w:t xml:space="preserve">Philippe Gauthier </w:t>
      </w:r>
      <w:r w:rsidR="00C153A7" w:rsidRPr="0084150A">
        <w:rPr>
          <w:lang w:val="en-CA" w:eastAsia="fr-CA"/>
        </w:rPr>
        <w:t xml:space="preserve">is the </w:t>
      </w:r>
      <w:r w:rsidR="00894D74">
        <w:rPr>
          <w:lang w:val="en-CA" w:eastAsia="fr-CA"/>
        </w:rPr>
        <w:t>individual</w:t>
      </w:r>
      <w:r w:rsidR="00C153A7" w:rsidRPr="0084150A">
        <w:rPr>
          <w:lang w:val="en-CA" w:eastAsia="fr-CA"/>
        </w:rPr>
        <w:t xml:space="preserve"> who </w:t>
      </w:r>
      <w:r w:rsidR="00D71D75">
        <w:rPr>
          <w:lang w:val="en-CA" w:eastAsia="fr-CA"/>
        </w:rPr>
        <w:t xml:space="preserve">first </w:t>
      </w:r>
      <w:r w:rsidR="00C153A7" w:rsidRPr="0084150A">
        <w:rPr>
          <w:lang w:val="en-CA" w:eastAsia="fr-CA"/>
        </w:rPr>
        <w:t>had</w:t>
      </w:r>
      <w:r w:rsidR="00D71D75">
        <w:rPr>
          <w:lang w:val="en-CA" w:eastAsia="fr-CA"/>
        </w:rPr>
        <w:t xml:space="preserve"> the</w:t>
      </w:r>
      <w:r w:rsidR="00C153A7" w:rsidRPr="0084150A">
        <w:rPr>
          <w:lang w:val="en-CA" w:eastAsia="fr-CA"/>
        </w:rPr>
        <w:t xml:space="preserve"> privileged information, </w:t>
      </w:r>
      <w:r w:rsidR="00D71D75">
        <w:rPr>
          <w:lang w:val="en-CA" w:eastAsia="fr-CA"/>
        </w:rPr>
        <w:t>as of</w:t>
      </w:r>
      <w:r w:rsidR="00C153A7" w:rsidRPr="0084150A">
        <w:rPr>
          <w:lang w:val="en-CA" w:eastAsia="fr-CA"/>
        </w:rPr>
        <w:t xml:space="preserve"> November 3, 2017</w:t>
      </w:r>
      <w:r w:rsidRPr="0084150A">
        <w:rPr>
          <w:lang w:val="en-CA" w:eastAsia="fr-CA"/>
        </w:rPr>
        <w:t xml:space="preserve">. </w:t>
      </w:r>
      <w:r w:rsidR="00C153A7" w:rsidRPr="0084150A">
        <w:rPr>
          <w:lang w:val="en-CA" w:eastAsia="fr-CA"/>
        </w:rPr>
        <w:t>He disclosed the privileged information and recommended to two people, his friends Vincent Pouliot and Frédéric Racine, that they purchase securities of Napec. He also recommended to Paul Ayoub that he purchase securities of Napec</w:t>
      </w:r>
      <w:r w:rsidRPr="0084150A">
        <w:rPr>
          <w:lang w:val="en-CA" w:eastAsia="fr-CA"/>
        </w:rPr>
        <w:t xml:space="preserve">. </w:t>
      </w:r>
    </w:p>
    <w:p w14:paraId="26265786" w14:textId="23AE50D5" w:rsidR="006979D7" w:rsidRPr="0084150A" w:rsidRDefault="005D25C5" w:rsidP="006979D7">
      <w:pPr>
        <w:pStyle w:val="Paragraphe"/>
        <w:rPr>
          <w:lang w:val="en-CA" w:eastAsia="fr-CA"/>
        </w:rPr>
      </w:pPr>
      <w:r w:rsidRPr="0084150A">
        <w:rPr>
          <w:lang w:val="en-CA" w:eastAsia="fr-CA"/>
        </w:rPr>
        <w:t xml:space="preserve">Frédéric Racine </w:t>
      </w:r>
      <w:r w:rsidR="00B53B2C" w:rsidRPr="0084150A">
        <w:rPr>
          <w:lang w:val="en-CA" w:eastAsia="fr-CA"/>
        </w:rPr>
        <w:t>also disclosed</w:t>
      </w:r>
      <w:r w:rsidR="00D71D75">
        <w:rPr>
          <w:lang w:val="en-CA" w:eastAsia="fr-CA"/>
        </w:rPr>
        <w:t xml:space="preserve"> the</w:t>
      </w:r>
      <w:r w:rsidR="00B53B2C" w:rsidRPr="0084150A">
        <w:rPr>
          <w:lang w:val="en-CA" w:eastAsia="fr-CA"/>
        </w:rPr>
        <w:t xml:space="preserve"> privileged information and recommended to his father that he purchase securities of Napec. In addition, he recommended to </w:t>
      </w:r>
      <w:r w:rsidR="0067738D">
        <w:rPr>
          <w:lang w:val="en-CA" w:eastAsia="fr-CA"/>
        </w:rPr>
        <w:t xml:space="preserve">Anne Roy-Dussault, </w:t>
      </w:r>
      <w:r w:rsidR="00B53B2C" w:rsidRPr="0084150A">
        <w:rPr>
          <w:lang w:val="en-CA" w:eastAsia="fr-CA"/>
        </w:rPr>
        <w:t>an acquaintance, that she purchase these securities</w:t>
      </w:r>
      <w:r w:rsidRPr="0084150A">
        <w:rPr>
          <w:lang w:val="en-CA" w:eastAsia="fr-CA"/>
        </w:rPr>
        <w:t xml:space="preserve">. </w:t>
      </w:r>
      <w:r w:rsidR="00B53B2C" w:rsidRPr="0084150A">
        <w:rPr>
          <w:lang w:val="en-CA" w:eastAsia="fr-CA"/>
        </w:rPr>
        <w:t>Moreover, he used the privileged information to purchase securities of Napec several times</w:t>
      </w:r>
      <w:r w:rsidRPr="0084150A">
        <w:rPr>
          <w:lang w:val="en-CA" w:eastAsia="fr-CA"/>
        </w:rPr>
        <w:t xml:space="preserve">. </w:t>
      </w:r>
    </w:p>
    <w:p w14:paraId="066D9637" w14:textId="77777777" w:rsidR="002A5074" w:rsidRPr="0084150A" w:rsidRDefault="005D25C5" w:rsidP="006979D7">
      <w:pPr>
        <w:pStyle w:val="Paragraphe"/>
        <w:rPr>
          <w:lang w:val="en-CA"/>
        </w:rPr>
      </w:pPr>
      <w:r w:rsidRPr="005E07F3">
        <w:rPr>
          <w:lang w:val="en-CA"/>
        </w:rPr>
        <w:t>The Court recalls that</w:t>
      </w:r>
      <w:r w:rsidR="002A5074" w:rsidRPr="0084150A">
        <w:rPr>
          <w:lang w:val="en-CA"/>
        </w:rPr>
        <w:t>:</w:t>
      </w:r>
    </w:p>
    <w:p w14:paraId="27F87464" w14:textId="74089919" w:rsidR="006979D7" w:rsidRPr="0084150A" w:rsidRDefault="002A5074" w:rsidP="002A5074">
      <w:pPr>
        <w:pStyle w:val="Paragraphe"/>
        <w:numPr>
          <w:ilvl w:val="0"/>
          <w:numId w:val="0"/>
        </w:numPr>
        <w:ind w:left="1236"/>
        <w:rPr>
          <w:smallCaps/>
          <w:sz w:val="22"/>
          <w:szCs w:val="22"/>
          <w:lang w:val="en-CA"/>
        </w:rPr>
      </w:pPr>
      <w:r w:rsidRPr="0084150A">
        <w:rPr>
          <w:sz w:val="22"/>
          <w:szCs w:val="22"/>
          <w:lang w:val="en-CA"/>
        </w:rPr>
        <w:t>[</w:t>
      </w:r>
      <w:r w:rsidRPr="0084150A">
        <w:rPr>
          <w:smallCaps/>
          <w:sz w:val="22"/>
          <w:szCs w:val="22"/>
          <w:lang w:val="en-CA"/>
        </w:rPr>
        <w:t>translation]</w:t>
      </w:r>
    </w:p>
    <w:p w14:paraId="0195E976" w14:textId="72116AEF" w:rsidR="006979D7" w:rsidRPr="0084150A" w:rsidRDefault="005D25C5" w:rsidP="006979D7">
      <w:pPr>
        <w:pStyle w:val="Citationendoubleretrait"/>
        <w:spacing w:before="120" w:after="120"/>
        <w:ind w:left="1236" w:right="851"/>
      </w:pPr>
      <w:r w:rsidRPr="0084150A">
        <w:t xml:space="preserve">[25] </w:t>
      </w:r>
      <w:r w:rsidR="002A5074" w:rsidRPr="0084150A">
        <w:t xml:space="preserve">The illegal use of privileged information is a reprehensible </w:t>
      </w:r>
      <w:r w:rsidR="00D71D75">
        <w:t>failure</w:t>
      </w:r>
      <w:r w:rsidR="00D71D75" w:rsidRPr="0084150A">
        <w:t xml:space="preserve"> </w:t>
      </w:r>
      <w:r w:rsidR="002A5074" w:rsidRPr="0084150A">
        <w:t>because it constitutes a breach of trust that undermines the foundations on which financial markets rest</w:t>
      </w:r>
      <w:r w:rsidRPr="0084150A">
        <w:t xml:space="preserve">. </w:t>
      </w:r>
      <w:r w:rsidR="002A5074" w:rsidRPr="0084150A">
        <w:t>Indeed, the case law repeatedly points out that the</w:t>
      </w:r>
      <w:r w:rsidR="00D71D75">
        <w:t xml:space="preserve"> prohibition on the</w:t>
      </w:r>
      <w:r w:rsidR="002A5074" w:rsidRPr="0084150A">
        <w:t xml:space="preserve"> </w:t>
      </w:r>
      <w:r w:rsidR="00781488" w:rsidRPr="0084150A">
        <w:t xml:space="preserve">use of privileged information </w:t>
      </w:r>
      <w:r w:rsidR="002A5074" w:rsidRPr="0084150A">
        <w:t xml:space="preserve">is </w:t>
      </w:r>
      <w:r w:rsidR="00D71D75">
        <w:t>intended to</w:t>
      </w:r>
      <w:r w:rsidR="002A5074" w:rsidRPr="0084150A">
        <w:t xml:space="preserve"> ensur</w:t>
      </w:r>
      <w:r w:rsidR="00D71D75">
        <w:t>e</w:t>
      </w:r>
      <w:r w:rsidR="002A5074" w:rsidRPr="0084150A">
        <w:t xml:space="preserve"> that </w:t>
      </w:r>
      <w:r w:rsidR="002A5074" w:rsidRPr="0084150A">
        <w:lastRenderedPageBreak/>
        <w:t>all investors have access to the same information</w:t>
      </w:r>
      <w:r w:rsidR="00D71D75">
        <w:t>,</w:t>
      </w:r>
      <w:r w:rsidR="002A5074" w:rsidRPr="0084150A">
        <w:t xml:space="preserve"> at the same time</w:t>
      </w:r>
      <w:r w:rsidRPr="0084150A">
        <w:t xml:space="preserve">. </w:t>
      </w:r>
      <w:r w:rsidR="002A5074" w:rsidRPr="0084150A">
        <w:t>This way, they are all on an equal footing</w:t>
      </w:r>
      <w:r w:rsidRPr="0084150A">
        <w:t>.</w:t>
      </w:r>
      <w:r w:rsidRPr="0084150A">
        <w:rPr>
          <w:rStyle w:val="Appelnotedebasdep"/>
        </w:rPr>
        <w:footnoteReference w:id="155"/>
      </w:r>
    </w:p>
    <w:p w14:paraId="6F2A1221" w14:textId="20F0933F" w:rsidR="006979D7" w:rsidRPr="005E07F3" w:rsidRDefault="005D25C5" w:rsidP="006979D7">
      <w:pPr>
        <w:pStyle w:val="Citationendoubleretrait"/>
        <w:spacing w:before="120" w:after="120"/>
        <w:ind w:left="1236" w:right="851"/>
      </w:pPr>
      <w:r w:rsidRPr="005E07F3">
        <w:t>[Citations omitted]</w:t>
      </w:r>
    </w:p>
    <w:p w14:paraId="3C067A05" w14:textId="3FA0BE58" w:rsidR="006979D7" w:rsidRPr="0084150A" w:rsidRDefault="0076212A" w:rsidP="006979D7">
      <w:pPr>
        <w:pStyle w:val="Paragraphe"/>
        <w:rPr>
          <w:lang w:val="en-CA" w:eastAsia="fr-CA"/>
        </w:rPr>
      </w:pPr>
      <w:r w:rsidRPr="0084150A">
        <w:rPr>
          <w:lang w:val="en-CA" w:eastAsia="fr-CA"/>
        </w:rPr>
        <w:t xml:space="preserve">This type of </w:t>
      </w:r>
      <w:r w:rsidR="00E06DF9">
        <w:rPr>
          <w:lang w:val="en-CA" w:eastAsia="fr-CA"/>
        </w:rPr>
        <w:t>contravention</w:t>
      </w:r>
      <w:r w:rsidR="00E06DF9" w:rsidRPr="0084150A">
        <w:rPr>
          <w:lang w:val="en-CA" w:eastAsia="fr-CA"/>
        </w:rPr>
        <w:t xml:space="preserve"> </w:t>
      </w:r>
      <w:r w:rsidRPr="0084150A">
        <w:rPr>
          <w:lang w:val="en-CA" w:eastAsia="fr-CA"/>
        </w:rPr>
        <w:t xml:space="preserve">is considered one of the most significant, with major consequences, because it undermines investor confidence in the financial markets and </w:t>
      </w:r>
      <w:r w:rsidR="00834068" w:rsidRPr="0084150A">
        <w:rPr>
          <w:lang w:val="en-CA" w:eastAsia="fr-CA"/>
        </w:rPr>
        <w:t xml:space="preserve">hinders </w:t>
      </w:r>
      <w:r w:rsidRPr="0084150A">
        <w:rPr>
          <w:lang w:val="en-CA" w:eastAsia="fr-CA"/>
        </w:rPr>
        <w:t xml:space="preserve">their proper operation, which </w:t>
      </w:r>
      <w:r w:rsidR="007954AA">
        <w:rPr>
          <w:lang w:val="en-CA" w:eastAsia="fr-CA"/>
        </w:rPr>
        <w:t>assumes</w:t>
      </w:r>
      <w:r w:rsidR="007954AA" w:rsidRPr="0084150A">
        <w:rPr>
          <w:lang w:val="en-CA" w:eastAsia="fr-CA"/>
        </w:rPr>
        <w:t xml:space="preserve"> </w:t>
      </w:r>
      <w:r w:rsidRPr="0084150A">
        <w:rPr>
          <w:lang w:val="en-CA" w:eastAsia="fr-CA"/>
        </w:rPr>
        <w:t xml:space="preserve">that all </w:t>
      </w:r>
      <w:r w:rsidR="00FD6485">
        <w:rPr>
          <w:lang w:val="en-CA" w:eastAsia="fr-CA"/>
        </w:rPr>
        <w:t>individuals</w:t>
      </w:r>
      <w:r w:rsidRPr="0084150A">
        <w:rPr>
          <w:lang w:val="en-CA" w:eastAsia="fr-CA"/>
        </w:rPr>
        <w:t xml:space="preserve"> who trade in securities of reporting issuers are equal and transact with the same information</w:t>
      </w:r>
      <w:r w:rsidR="005D25C5" w:rsidRPr="0084150A">
        <w:rPr>
          <w:lang w:val="en-CA" w:eastAsia="fr-CA"/>
        </w:rPr>
        <w:t xml:space="preserve">. </w:t>
      </w:r>
    </w:p>
    <w:p w14:paraId="5F83E4C3" w14:textId="32156719" w:rsidR="006979D7" w:rsidRPr="0084150A" w:rsidRDefault="00F710A4" w:rsidP="006979D7">
      <w:pPr>
        <w:pStyle w:val="Titre3"/>
        <w:numPr>
          <w:ilvl w:val="0"/>
          <w:numId w:val="0"/>
        </w:numPr>
        <w:ind w:left="360" w:hanging="360"/>
        <w:jc w:val="both"/>
        <w:rPr>
          <w:lang w:val="en-CA"/>
        </w:rPr>
      </w:pPr>
      <w:r w:rsidRPr="0084150A">
        <w:rPr>
          <w:lang w:val="en-CA"/>
        </w:rPr>
        <w:t>Past conduct</w:t>
      </w:r>
    </w:p>
    <w:p w14:paraId="61EBE999" w14:textId="63887665" w:rsidR="006979D7" w:rsidRPr="0084150A" w:rsidRDefault="00F710A4" w:rsidP="006979D7">
      <w:pPr>
        <w:pStyle w:val="Paragraphe"/>
        <w:rPr>
          <w:lang w:val="en-CA" w:eastAsia="fr-CA"/>
        </w:rPr>
      </w:pPr>
      <w:r w:rsidRPr="0084150A">
        <w:rPr>
          <w:lang w:val="en-CA" w:eastAsia="fr-CA"/>
        </w:rPr>
        <w:t xml:space="preserve">No evidence was submitted to the Tribunal indicating that Philippe Gauthier and Frédéric Racine </w:t>
      </w:r>
      <w:r w:rsidR="007954AA">
        <w:rPr>
          <w:lang w:val="en-CA" w:eastAsia="fr-CA"/>
        </w:rPr>
        <w:t xml:space="preserve">might </w:t>
      </w:r>
      <w:r w:rsidRPr="0084150A">
        <w:rPr>
          <w:lang w:val="en-CA" w:eastAsia="fr-CA"/>
        </w:rPr>
        <w:t xml:space="preserve">have previously committed </w:t>
      </w:r>
      <w:r w:rsidR="007954AA">
        <w:rPr>
          <w:lang w:val="en-CA" w:eastAsia="fr-CA"/>
        </w:rPr>
        <w:t>contraventions</w:t>
      </w:r>
      <w:r w:rsidR="007954AA" w:rsidRPr="0084150A">
        <w:rPr>
          <w:lang w:val="en-CA" w:eastAsia="fr-CA"/>
        </w:rPr>
        <w:t xml:space="preserve"> </w:t>
      </w:r>
      <w:r w:rsidRPr="0084150A">
        <w:rPr>
          <w:lang w:val="en-CA" w:eastAsia="fr-CA"/>
        </w:rPr>
        <w:t xml:space="preserve">relating to the financial sector; therefore, these are their first </w:t>
      </w:r>
      <w:r w:rsidR="00E06DF9">
        <w:rPr>
          <w:lang w:val="en-CA" w:eastAsia="fr-CA"/>
        </w:rPr>
        <w:t>contraventions</w:t>
      </w:r>
      <w:r w:rsidR="005D25C5" w:rsidRPr="0084150A">
        <w:rPr>
          <w:lang w:val="en-CA" w:eastAsia="fr-CA"/>
        </w:rPr>
        <w:t xml:space="preserve">. </w:t>
      </w:r>
    </w:p>
    <w:p w14:paraId="326D8DD7" w14:textId="0FD2C967" w:rsidR="006979D7" w:rsidRPr="0084150A" w:rsidRDefault="00A46C6B" w:rsidP="006979D7">
      <w:pPr>
        <w:pStyle w:val="Titre3"/>
        <w:numPr>
          <w:ilvl w:val="0"/>
          <w:numId w:val="0"/>
        </w:numPr>
        <w:ind w:left="360" w:hanging="360"/>
        <w:jc w:val="both"/>
        <w:rPr>
          <w:lang w:val="en-CA"/>
        </w:rPr>
      </w:pPr>
      <w:r w:rsidRPr="005E07F3">
        <w:rPr>
          <w:lang w:val="en-CA"/>
        </w:rPr>
        <w:t xml:space="preserve">The losses suffered by investors and the profits </w:t>
      </w:r>
      <w:r w:rsidR="00E868F8">
        <w:rPr>
          <w:lang w:val="en-CA"/>
        </w:rPr>
        <w:t>made by the respondents</w:t>
      </w:r>
    </w:p>
    <w:p w14:paraId="2FE7433A" w14:textId="169C5184" w:rsidR="006979D7" w:rsidRPr="0084150A" w:rsidRDefault="00E41F2B" w:rsidP="006979D7">
      <w:pPr>
        <w:pStyle w:val="Paragraphe"/>
        <w:rPr>
          <w:lang w:val="en-CA"/>
        </w:rPr>
      </w:pPr>
      <w:r w:rsidRPr="0084150A">
        <w:rPr>
          <w:lang w:val="en-CA"/>
        </w:rPr>
        <w:t>The i</w:t>
      </w:r>
      <w:r w:rsidR="00A46C6B" w:rsidRPr="0084150A">
        <w:rPr>
          <w:lang w:val="en-CA"/>
        </w:rPr>
        <w:t xml:space="preserve">nvestors </w:t>
      </w:r>
      <w:r w:rsidRPr="0084150A">
        <w:rPr>
          <w:lang w:val="en-CA"/>
        </w:rPr>
        <w:t xml:space="preserve">who allegedly suffered losses due to their investment decision in connection to </w:t>
      </w:r>
      <w:r w:rsidR="00B64CB5">
        <w:rPr>
          <w:lang w:val="en-CA"/>
        </w:rPr>
        <w:t>the security of Napec</w:t>
      </w:r>
      <w:r w:rsidRPr="0084150A">
        <w:rPr>
          <w:lang w:val="en-CA"/>
        </w:rPr>
        <w:t xml:space="preserve"> at the time of the </w:t>
      </w:r>
      <w:r w:rsidR="007954AA">
        <w:rPr>
          <w:lang w:val="en-CA"/>
        </w:rPr>
        <w:t>contraventions</w:t>
      </w:r>
      <w:r w:rsidR="007954AA" w:rsidRPr="0084150A">
        <w:rPr>
          <w:lang w:val="en-CA"/>
        </w:rPr>
        <w:t xml:space="preserve"> </w:t>
      </w:r>
      <w:r w:rsidRPr="0084150A">
        <w:rPr>
          <w:lang w:val="en-CA"/>
        </w:rPr>
        <w:t>committed by Philippe Gauthier and Frédéric Racine cannot be identified</w:t>
      </w:r>
      <w:r w:rsidR="005D25C5" w:rsidRPr="0084150A">
        <w:rPr>
          <w:lang w:val="en-CA"/>
        </w:rPr>
        <w:t xml:space="preserve">. </w:t>
      </w:r>
      <w:r w:rsidRPr="0084150A">
        <w:rPr>
          <w:lang w:val="en-CA"/>
        </w:rPr>
        <w:t xml:space="preserve">Investors in general have been </w:t>
      </w:r>
      <w:r w:rsidR="007954AA">
        <w:rPr>
          <w:lang w:val="en-CA"/>
        </w:rPr>
        <w:t>swindled</w:t>
      </w:r>
      <w:r w:rsidRPr="0084150A">
        <w:rPr>
          <w:lang w:val="en-CA"/>
        </w:rPr>
        <w:t>.</w:t>
      </w:r>
      <w:r w:rsidR="005D25C5" w:rsidRPr="0084150A">
        <w:rPr>
          <w:rStyle w:val="Appelnotedebasdep"/>
          <w:lang w:val="en-CA"/>
        </w:rPr>
        <w:footnoteReference w:id="156"/>
      </w:r>
      <w:r w:rsidR="005D25C5" w:rsidRPr="0084150A">
        <w:rPr>
          <w:lang w:val="en-CA"/>
        </w:rPr>
        <w:t xml:space="preserve"> </w:t>
      </w:r>
    </w:p>
    <w:p w14:paraId="560AE4E8" w14:textId="1ABB0DD5" w:rsidR="006979D7" w:rsidRPr="0084150A" w:rsidRDefault="005D25C5" w:rsidP="006979D7">
      <w:pPr>
        <w:pStyle w:val="Paragraphe"/>
        <w:rPr>
          <w:lang w:val="en-CA" w:eastAsia="fr-CA"/>
        </w:rPr>
      </w:pPr>
      <w:r w:rsidRPr="0084150A">
        <w:rPr>
          <w:lang w:val="en-CA" w:eastAsia="fr-CA"/>
        </w:rPr>
        <w:t xml:space="preserve">Philippe Gauthier </w:t>
      </w:r>
      <w:r w:rsidR="00E91ABB" w:rsidRPr="0084150A">
        <w:rPr>
          <w:lang w:val="en-CA" w:eastAsia="fr-CA"/>
        </w:rPr>
        <w:t xml:space="preserve">did not trade in </w:t>
      </w:r>
      <w:r w:rsidR="00AA389A">
        <w:rPr>
          <w:lang w:val="en-CA" w:eastAsia="fr-CA"/>
        </w:rPr>
        <w:t>the security of Napec</w:t>
      </w:r>
      <w:r w:rsidRPr="0084150A">
        <w:rPr>
          <w:lang w:val="en-CA" w:eastAsia="fr-CA"/>
        </w:rPr>
        <w:t xml:space="preserve">. </w:t>
      </w:r>
      <w:r w:rsidR="00E91ABB" w:rsidRPr="0084150A">
        <w:rPr>
          <w:lang w:val="en-CA" w:eastAsia="fr-CA"/>
        </w:rPr>
        <w:t xml:space="preserve">Moreover, the evidence </w:t>
      </w:r>
      <w:r w:rsidR="00732356" w:rsidRPr="0084150A">
        <w:rPr>
          <w:lang w:val="en-CA" w:eastAsia="fr-CA"/>
        </w:rPr>
        <w:t xml:space="preserve">does not establish </w:t>
      </w:r>
      <w:r w:rsidR="00550A19" w:rsidRPr="0084150A">
        <w:rPr>
          <w:lang w:val="en-CA" w:eastAsia="fr-CA"/>
        </w:rPr>
        <w:t xml:space="preserve">that he received compensation or a benefit from the people to whom he disclosed the privileged information and to whom he recommended the purchase of </w:t>
      </w:r>
      <w:r w:rsidR="009834E3">
        <w:rPr>
          <w:lang w:val="en-CA" w:eastAsia="fr-CA"/>
        </w:rPr>
        <w:t>the security of Napec</w:t>
      </w:r>
      <w:r w:rsidRPr="0084150A">
        <w:rPr>
          <w:lang w:val="en-CA" w:eastAsia="fr-CA"/>
        </w:rPr>
        <w:t xml:space="preserve">. </w:t>
      </w:r>
      <w:r w:rsidR="00550A19" w:rsidRPr="0084150A">
        <w:rPr>
          <w:lang w:val="en-CA" w:eastAsia="fr-CA"/>
        </w:rPr>
        <w:t xml:space="preserve">However, it is not necessary to establish that he benefited to conclude that </w:t>
      </w:r>
      <w:r w:rsidR="007954AA">
        <w:rPr>
          <w:lang w:val="en-CA" w:eastAsia="fr-CA"/>
        </w:rPr>
        <w:t>he cont</w:t>
      </w:r>
      <w:r w:rsidR="00103D21">
        <w:rPr>
          <w:lang w:val="en-CA" w:eastAsia="fr-CA"/>
        </w:rPr>
        <w:t>ra</w:t>
      </w:r>
      <w:r w:rsidR="007954AA">
        <w:rPr>
          <w:lang w:val="en-CA" w:eastAsia="fr-CA"/>
        </w:rPr>
        <w:t>vened</w:t>
      </w:r>
      <w:r w:rsidRPr="0084150A">
        <w:rPr>
          <w:lang w:val="en-CA" w:eastAsia="fr-CA"/>
        </w:rPr>
        <w:t>.</w:t>
      </w:r>
    </w:p>
    <w:p w14:paraId="7AFC7424" w14:textId="4C9C5FF9" w:rsidR="006979D7" w:rsidRPr="0084150A" w:rsidRDefault="00D6322F" w:rsidP="006979D7">
      <w:pPr>
        <w:pStyle w:val="Paragraphe"/>
        <w:rPr>
          <w:lang w:val="en-CA" w:eastAsia="fr-CA"/>
        </w:rPr>
      </w:pPr>
      <w:r w:rsidRPr="0084150A">
        <w:rPr>
          <w:lang w:val="en-CA" w:eastAsia="fr-CA"/>
        </w:rPr>
        <w:t>To this end, the Bureau de décision et de révision stated the following in</w:t>
      </w:r>
      <w:r w:rsidR="005D25C5" w:rsidRPr="0084150A">
        <w:rPr>
          <w:lang w:val="en-CA" w:eastAsia="fr-CA"/>
        </w:rPr>
        <w:t xml:space="preserve"> </w:t>
      </w:r>
      <w:r w:rsidR="005D25C5" w:rsidRPr="0084150A">
        <w:rPr>
          <w:i/>
          <w:iCs/>
          <w:lang w:val="en-CA"/>
        </w:rPr>
        <w:t>Autorité des marchés financiers</w:t>
      </w:r>
      <w:r w:rsidR="005D25C5" w:rsidRPr="0084150A">
        <w:rPr>
          <w:lang w:val="en-CA"/>
        </w:rPr>
        <w:t xml:space="preserve"> c. </w:t>
      </w:r>
      <w:r w:rsidR="005D25C5" w:rsidRPr="0084150A">
        <w:rPr>
          <w:i/>
          <w:iCs/>
          <w:lang w:val="en-CA"/>
        </w:rPr>
        <w:t>Lamarre</w:t>
      </w:r>
      <w:r w:rsidRPr="0084150A">
        <w:rPr>
          <w:lang w:val="en-CA"/>
        </w:rPr>
        <w:t>:</w:t>
      </w:r>
      <w:r w:rsidR="005D25C5" w:rsidRPr="0084150A">
        <w:rPr>
          <w:rStyle w:val="Appelnotedebasdep"/>
          <w:lang w:val="en-CA"/>
        </w:rPr>
        <w:footnoteReference w:id="157"/>
      </w:r>
    </w:p>
    <w:p w14:paraId="40D3AB76" w14:textId="774A9009" w:rsidR="003F6E63" w:rsidRPr="0084150A" w:rsidRDefault="003F6E63" w:rsidP="003F6E63">
      <w:pPr>
        <w:pStyle w:val="Paragraphe"/>
        <w:numPr>
          <w:ilvl w:val="0"/>
          <w:numId w:val="0"/>
        </w:numPr>
        <w:ind w:left="1237"/>
        <w:rPr>
          <w:smallCaps/>
          <w:sz w:val="22"/>
          <w:szCs w:val="22"/>
          <w:lang w:val="en-CA" w:eastAsia="fr-CA"/>
        </w:rPr>
      </w:pPr>
      <w:r w:rsidRPr="0084150A">
        <w:rPr>
          <w:sz w:val="22"/>
          <w:szCs w:val="22"/>
          <w:lang w:val="en-CA"/>
        </w:rPr>
        <w:t>[</w:t>
      </w:r>
      <w:r w:rsidRPr="0084150A">
        <w:rPr>
          <w:smallCaps/>
          <w:sz w:val="22"/>
          <w:szCs w:val="22"/>
          <w:lang w:val="en-CA"/>
        </w:rPr>
        <w:t>translation]</w:t>
      </w:r>
    </w:p>
    <w:p w14:paraId="42007D71" w14:textId="4FE5EF0A" w:rsidR="006979D7" w:rsidRPr="0084150A" w:rsidRDefault="005D25C5" w:rsidP="006979D7">
      <w:pPr>
        <w:pStyle w:val="Citationendoubleretrait"/>
      </w:pPr>
      <w:r w:rsidRPr="0084150A">
        <w:t xml:space="preserve">[128] </w:t>
      </w:r>
      <w:r w:rsidR="006A6679">
        <w:t>It was</w:t>
      </w:r>
      <w:r w:rsidR="006A6679" w:rsidRPr="0084150A">
        <w:t xml:space="preserve"> </w:t>
      </w:r>
      <w:r w:rsidR="008F78E7" w:rsidRPr="0084150A">
        <w:t xml:space="preserve">also suggested to the Bureau, during the hearing, that there was no need to establish that there had been a dishonest intention by </w:t>
      </w:r>
      <w:r w:rsidR="001461F0" w:rsidRPr="0084150A">
        <w:t xml:space="preserve">the person who passed on the tip or even that they benefited from it. </w:t>
      </w:r>
      <w:r w:rsidR="00032036" w:rsidRPr="0084150A">
        <w:t xml:space="preserve">In the context of this </w:t>
      </w:r>
      <w:r w:rsidR="006A6679">
        <w:t>failure</w:t>
      </w:r>
      <w:r w:rsidR="00032036" w:rsidRPr="0084150A">
        <w:t>, all that would be needed is to transfer information without necessarily knowing that it would</w:t>
      </w:r>
      <w:r w:rsidR="00E73EB4">
        <w:t xml:space="preserve"> lead</w:t>
      </w:r>
      <w:r w:rsidR="00032036" w:rsidRPr="0084150A">
        <w:t xml:space="preserve"> to its use on the markets. This is what was determined in Rankin, </w:t>
      </w:r>
      <w:r w:rsidR="00032036" w:rsidRPr="0084150A">
        <w:rPr>
          <w:i/>
          <w:iCs/>
        </w:rPr>
        <w:t>supra</w:t>
      </w:r>
      <w:r w:rsidR="00032036" w:rsidRPr="0084150A">
        <w:t>:</w:t>
      </w:r>
      <w:r w:rsidRPr="0084150A">
        <w:t xml:space="preserve"> </w:t>
      </w:r>
    </w:p>
    <w:p w14:paraId="698C92E1" w14:textId="77777777" w:rsidR="00A66F03" w:rsidRPr="0084150A" w:rsidRDefault="00A66F03" w:rsidP="006979D7">
      <w:pPr>
        <w:pStyle w:val="Citationendoubleretrait"/>
      </w:pPr>
    </w:p>
    <w:p w14:paraId="27D93557" w14:textId="0DC2F535" w:rsidR="006979D7" w:rsidRPr="0084150A" w:rsidRDefault="005D25C5" w:rsidP="006979D7">
      <w:pPr>
        <w:pStyle w:val="Citationendoubleretrait"/>
        <w:ind w:left="2202"/>
      </w:pPr>
      <w:r w:rsidRPr="0084150A">
        <w:t xml:space="preserve">[32] … In our view, tipping is itself a very serious breach of securities law. Though Rankin did not advert to the fact that his friend might misuse the confidential information imparted by him, he should have. We acknowledge, however, that this is not a case, based on the facts presented to us, where Rankin knew and intended that Duic trade on the confidential material information </w:t>
      </w:r>
      <w:r w:rsidRPr="0084150A">
        <w:lastRenderedPageBreak/>
        <w:t>communicated to him. We also recognize, based on the Settlement Agreement, that this is not a case in which Rankin himself traded with knowledge of material undisclosed information.</w:t>
      </w:r>
    </w:p>
    <w:p w14:paraId="52E0038D" w14:textId="3AE54297" w:rsidR="006979D7" w:rsidRPr="005E07F3" w:rsidRDefault="005D25C5" w:rsidP="008B1CF4">
      <w:pPr>
        <w:pStyle w:val="Citationendoubleretrait"/>
        <w:spacing w:before="120" w:after="120"/>
        <w:ind w:left="2200" w:right="851"/>
      </w:pPr>
      <w:r w:rsidRPr="005E07F3">
        <w:t>[Citations omitted]</w:t>
      </w:r>
    </w:p>
    <w:p w14:paraId="76F513DB" w14:textId="372ACFE9" w:rsidR="006979D7" w:rsidRPr="0084150A" w:rsidRDefault="00A33B37" w:rsidP="006979D7">
      <w:pPr>
        <w:pStyle w:val="Paragraphe"/>
        <w:rPr>
          <w:lang w:val="en-CA" w:eastAsia="fr-CA"/>
        </w:rPr>
      </w:pPr>
      <w:r w:rsidRPr="0084150A">
        <w:rPr>
          <w:lang w:val="en-CA" w:eastAsia="fr-CA"/>
        </w:rPr>
        <w:t>The Authority attempted to establish that Philippe Gauthier intended to benefit from Frédéric Racine’s purchase of Napec shares. In</w:t>
      </w:r>
      <w:r w:rsidR="00EC6850">
        <w:rPr>
          <w:lang w:val="en-CA" w:eastAsia="fr-CA"/>
        </w:rPr>
        <w:t>deed</w:t>
      </w:r>
      <w:r w:rsidRPr="0084150A">
        <w:rPr>
          <w:lang w:val="en-CA" w:eastAsia="fr-CA"/>
        </w:rPr>
        <w:t xml:space="preserve">, according to the Authority, Philippe Gauthier </w:t>
      </w:r>
      <w:r w:rsidR="00EC6850">
        <w:rPr>
          <w:lang w:val="en-CA" w:eastAsia="fr-CA"/>
        </w:rPr>
        <w:t>gave</w:t>
      </w:r>
      <w:r w:rsidR="00EC6850" w:rsidRPr="0084150A">
        <w:rPr>
          <w:lang w:val="en-CA" w:eastAsia="fr-CA"/>
        </w:rPr>
        <w:t xml:space="preserve"> </w:t>
      </w:r>
      <w:r w:rsidRPr="0084150A">
        <w:rPr>
          <w:lang w:val="en-CA" w:eastAsia="fr-CA"/>
        </w:rPr>
        <w:t xml:space="preserve">cash to Frédéric Racine to finance the trade </w:t>
      </w:r>
      <w:r w:rsidR="00EC6850">
        <w:rPr>
          <w:lang w:val="en-CA" w:eastAsia="fr-CA"/>
        </w:rPr>
        <w:t>in</w:t>
      </w:r>
      <w:r w:rsidR="00EC6850" w:rsidRPr="0084150A">
        <w:rPr>
          <w:lang w:val="en-CA" w:eastAsia="fr-CA"/>
        </w:rPr>
        <w:t xml:space="preserve"> </w:t>
      </w:r>
      <w:r w:rsidR="00BA56D7">
        <w:rPr>
          <w:lang w:val="en-CA" w:eastAsia="fr-CA"/>
        </w:rPr>
        <w:t>the securities of Napec</w:t>
      </w:r>
      <w:r w:rsidRPr="0084150A">
        <w:rPr>
          <w:lang w:val="en-CA" w:eastAsia="fr-CA"/>
        </w:rPr>
        <w:t>. The Authority’s evidence relies primarily on coincidences between withdrawals and deposits of money and meetings between Philippe Gauthier and Frédéric Racine</w:t>
      </w:r>
      <w:r w:rsidR="005D25C5" w:rsidRPr="0084150A">
        <w:rPr>
          <w:lang w:val="en-CA"/>
        </w:rPr>
        <w:t xml:space="preserve">. </w:t>
      </w:r>
    </w:p>
    <w:p w14:paraId="3307BE62" w14:textId="5F159DF4" w:rsidR="006979D7" w:rsidRPr="0084150A" w:rsidRDefault="003D14C6" w:rsidP="006979D7">
      <w:pPr>
        <w:pStyle w:val="Paragraphe"/>
        <w:rPr>
          <w:lang w:val="en-CA" w:eastAsia="fr-CA"/>
        </w:rPr>
      </w:pPr>
      <w:r w:rsidRPr="0084150A">
        <w:rPr>
          <w:lang w:val="en-CA"/>
        </w:rPr>
        <w:t xml:space="preserve">However, this evidence is </w:t>
      </w:r>
      <w:r w:rsidR="00352871" w:rsidRPr="0084150A">
        <w:rPr>
          <w:lang w:val="en-CA"/>
        </w:rPr>
        <w:t xml:space="preserve">not </w:t>
      </w:r>
      <w:r w:rsidRPr="0084150A">
        <w:rPr>
          <w:lang w:val="en-CA"/>
        </w:rPr>
        <w:t>conclusive, especially since it was established</w:t>
      </w:r>
      <w:r w:rsidR="00EC6850">
        <w:rPr>
          <w:lang w:val="en-CA"/>
        </w:rPr>
        <w:t xml:space="preserve"> at the hearing</w:t>
      </w:r>
      <w:r w:rsidRPr="0084150A">
        <w:rPr>
          <w:lang w:val="en-CA"/>
        </w:rPr>
        <w:t xml:space="preserve"> that Philippe Gauthier and Frédéric Racine saw each other frequently and that they were business partners, </w:t>
      </w:r>
      <w:r w:rsidR="00EC6850">
        <w:rPr>
          <w:lang w:val="en-CA"/>
        </w:rPr>
        <w:t>including</w:t>
      </w:r>
      <w:r w:rsidR="00EC6850" w:rsidRPr="0084150A">
        <w:rPr>
          <w:lang w:val="en-CA"/>
        </w:rPr>
        <w:t xml:space="preserve"> </w:t>
      </w:r>
      <w:r w:rsidRPr="0084150A">
        <w:rPr>
          <w:lang w:val="en-CA"/>
        </w:rPr>
        <w:t>for the purchase of condominiums</w:t>
      </w:r>
      <w:r w:rsidR="005D25C5" w:rsidRPr="0084150A">
        <w:rPr>
          <w:lang w:val="en-CA"/>
        </w:rPr>
        <w:t xml:space="preserve">. </w:t>
      </w:r>
    </w:p>
    <w:p w14:paraId="4B1F78F6" w14:textId="1B7B1D58" w:rsidR="006979D7" w:rsidRPr="0084150A" w:rsidRDefault="00CB5E86" w:rsidP="006979D7">
      <w:pPr>
        <w:pStyle w:val="Paragraphe"/>
        <w:rPr>
          <w:lang w:val="en-CA" w:eastAsia="fr-CA"/>
        </w:rPr>
      </w:pPr>
      <w:r w:rsidRPr="0084150A">
        <w:rPr>
          <w:lang w:val="en-CA"/>
        </w:rPr>
        <w:t xml:space="preserve">To prove the intent to benefit from the purchase of shares of Napec, the Authority </w:t>
      </w:r>
      <w:r w:rsidR="00786083">
        <w:rPr>
          <w:lang w:val="en-CA"/>
        </w:rPr>
        <w:t xml:space="preserve">has </w:t>
      </w:r>
      <w:r w:rsidRPr="0084150A">
        <w:rPr>
          <w:lang w:val="en-CA"/>
        </w:rPr>
        <w:t>also relie</w:t>
      </w:r>
      <w:r w:rsidR="00786083">
        <w:rPr>
          <w:lang w:val="en-CA"/>
        </w:rPr>
        <w:t>d</w:t>
      </w:r>
      <w:r w:rsidRPr="0084150A">
        <w:rPr>
          <w:lang w:val="en-CA"/>
        </w:rPr>
        <w:t xml:space="preserve"> on </w:t>
      </w:r>
      <w:r w:rsidR="007B1F18">
        <w:rPr>
          <w:lang w:val="en-CA"/>
        </w:rPr>
        <w:t>the</w:t>
      </w:r>
      <w:r w:rsidR="007B1F18" w:rsidRPr="0084150A">
        <w:rPr>
          <w:lang w:val="en-CA"/>
        </w:rPr>
        <w:t xml:space="preserve"> </w:t>
      </w:r>
      <w:r w:rsidRPr="0084150A">
        <w:rPr>
          <w:lang w:val="en-CA"/>
        </w:rPr>
        <w:t>sale</w:t>
      </w:r>
      <w:r w:rsidR="00352871" w:rsidRPr="0084150A">
        <w:rPr>
          <w:lang w:val="en-CA"/>
        </w:rPr>
        <w:t xml:space="preserve"> </w:t>
      </w:r>
      <w:r w:rsidRPr="0084150A">
        <w:rPr>
          <w:lang w:val="en-CA"/>
        </w:rPr>
        <w:t xml:space="preserve">and repurchase of </w:t>
      </w:r>
      <w:r w:rsidR="007B1F18">
        <w:rPr>
          <w:lang w:val="en-CA"/>
        </w:rPr>
        <w:t xml:space="preserve">the </w:t>
      </w:r>
      <w:r w:rsidRPr="0084150A">
        <w:rPr>
          <w:lang w:val="en-CA"/>
        </w:rPr>
        <w:t xml:space="preserve">shares </w:t>
      </w:r>
      <w:r w:rsidR="007B1F18">
        <w:rPr>
          <w:lang w:val="en-CA"/>
        </w:rPr>
        <w:t>of</w:t>
      </w:r>
      <w:r w:rsidR="007B1F18" w:rsidRPr="0084150A">
        <w:rPr>
          <w:lang w:val="en-CA"/>
        </w:rPr>
        <w:t xml:space="preserve"> </w:t>
      </w:r>
      <w:r w:rsidRPr="0084150A">
        <w:rPr>
          <w:lang w:val="en-CA"/>
        </w:rPr>
        <w:t>a</w:t>
      </w:r>
      <w:r w:rsidR="00352871" w:rsidRPr="0084150A">
        <w:rPr>
          <w:lang w:val="en-CA"/>
        </w:rPr>
        <w:t xml:space="preserve"> private corporation </w:t>
      </w:r>
      <w:r w:rsidR="00DC621B">
        <w:rPr>
          <w:lang w:val="en-CA"/>
        </w:rPr>
        <w:t>that took place</w:t>
      </w:r>
      <w:r w:rsidR="00352871" w:rsidRPr="0084150A">
        <w:rPr>
          <w:lang w:val="en-CA"/>
        </w:rPr>
        <w:t xml:space="preserve"> between Philippe Gauthier and Frédéric Racine, which, in the Authority’s view, </w:t>
      </w:r>
      <w:r w:rsidR="00DC621B">
        <w:rPr>
          <w:lang w:val="en-CA"/>
        </w:rPr>
        <w:t>did not actually take place</w:t>
      </w:r>
      <w:r w:rsidR="00352871" w:rsidRPr="0084150A">
        <w:rPr>
          <w:lang w:val="en-CA"/>
        </w:rPr>
        <w:t xml:space="preserve"> and </w:t>
      </w:r>
      <w:r w:rsidR="00DC621B">
        <w:rPr>
          <w:lang w:val="en-CA"/>
        </w:rPr>
        <w:t>was intended</w:t>
      </w:r>
      <w:r w:rsidR="00352871" w:rsidRPr="0084150A">
        <w:rPr>
          <w:lang w:val="en-CA"/>
        </w:rPr>
        <w:t xml:space="preserve"> to conceal exchanges of money to finance the purchases of </w:t>
      </w:r>
      <w:r w:rsidR="00DC621B" w:rsidRPr="0084150A">
        <w:rPr>
          <w:lang w:val="en-CA"/>
        </w:rPr>
        <w:t xml:space="preserve">Napec </w:t>
      </w:r>
      <w:r w:rsidR="00352871" w:rsidRPr="0084150A">
        <w:rPr>
          <w:lang w:val="en-CA"/>
        </w:rPr>
        <w:t>shares</w:t>
      </w:r>
      <w:r w:rsidR="005D25C5" w:rsidRPr="0084150A">
        <w:rPr>
          <w:lang w:val="en-CA"/>
        </w:rPr>
        <w:t xml:space="preserve">. </w:t>
      </w:r>
      <w:r w:rsidR="00352871" w:rsidRPr="0084150A">
        <w:rPr>
          <w:lang w:val="en-CA"/>
        </w:rPr>
        <w:t xml:space="preserve">This </w:t>
      </w:r>
      <w:r w:rsidR="00036A52" w:rsidRPr="0084150A">
        <w:rPr>
          <w:lang w:val="en-CA"/>
        </w:rPr>
        <w:t xml:space="preserve">evidence is not conclusive due </w:t>
      </w:r>
      <w:r w:rsidR="00865C95" w:rsidRPr="0084150A">
        <w:rPr>
          <w:lang w:val="en-CA"/>
        </w:rPr>
        <w:t>to</w:t>
      </w:r>
      <w:r w:rsidR="00036A52" w:rsidRPr="0084150A">
        <w:rPr>
          <w:lang w:val="en-CA"/>
        </w:rPr>
        <w:t xml:space="preserve"> the existence of an agreement signed between the parties for the purchase of shares and a cheque </w:t>
      </w:r>
      <w:r w:rsidR="00865C95">
        <w:rPr>
          <w:lang w:val="en-CA"/>
        </w:rPr>
        <w:t>for</w:t>
      </w:r>
      <w:r w:rsidR="00036A52" w:rsidRPr="0084150A">
        <w:rPr>
          <w:lang w:val="en-CA"/>
        </w:rPr>
        <w:t xml:space="preserve"> that purpose.</w:t>
      </w:r>
      <w:r w:rsidR="005D25C5" w:rsidRPr="0084150A">
        <w:rPr>
          <w:rStyle w:val="Appelnotedebasdep"/>
          <w:lang w:val="en-CA"/>
        </w:rPr>
        <w:footnoteReference w:id="158"/>
      </w:r>
      <w:r w:rsidR="005D25C5" w:rsidRPr="0084150A">
        <w:rPr>
          <w:lang w:val="en-CA"/>
        </w:rPr>
        <w:t xml:space="preserve"> </w:t>
      </w:r>
    </w:p>
    <w:p w14:paraId="11705A86" w14:textId="34B85462" w:rsidR="006979D7" w:rsidRPr="0084150A" w:rsidRDefault="001E50E6" w:rsidP="006979D7">
      <w:pPr>
        <w:pStyle w:val="Paragraphe"/>
        <w:rPr>
          <w:lang w:val="en-CA" w:eastAsia="fr-CA"/>
        </w:rPr>
      </w:pPr>
      <w:r w:rsidRPr="0084150A">
        <w:rPr>
          <w:lang w:val="en-CA" w:eastAsia="fr-CA"/>
        </w:rPr>
        <w:t>In addition</w:t>
      </w:r>
      <w:r w:rsidR="00A33AE1" w:rsidRPr="0084150A">
        <w:rPr>
          <w:lang w:val="en-CA" w:eastAsia="fr-CA"/>
        </w:rPr>
        <w:t xml:space="preserve">, Frédéric Racine traded in </w:t>
      </w:r>
      <w:r w:rsidR="000C6905">
        <w:rPr>
          <w:lang w:val="en-CA" w:eastAsia="fr-CA"/>
        </w:rPr>
        <w:t>the security of Napec</w:t>
      </w:r>
      <w:r w:rsidR="00A33AE1" w:rsidRPr="0084150A">
        <w:rPr>
          <w:lang w:val="en-CA" w:eastAsia="fr-CA"/>
        </w:rPr>
        <w:t xml:space="preserve"> several times while having privileged information, for an amount of $197,508.49. </w:t>
      </w:r>
      <w:r w:rsidRPr="0084150A">
        <w:rPr>
          <w:lang w:val="en-CA" w:eastAsia="fr-CA"/>
        </w:rPr>
        <w:t xml:space="preserve">As a result of the sale of the </w:t>
      </w:r>
      <w:r w:rsidR="00DC621B" w:rsidRPr="0084150A">
        <w:rPr>
          <w:lang w:val="en-CA" w:eastAsia="fr-CA"/>
        </w:rPr>
        <w:t xml:space="preserve">Napec </w:t>
      </w:r>
      <w:r w:rsidRPr="0084150A">
        <w:rPr>
          <w:lang w:val="en-CA" w:eastAsia="fr-CA"/>
        </w:rPr>
        <w:t>shares, he made a profit of $88,398.16.</w:t>
      </w:r>
      <w:r w:rsidR="005D25C5" w:rsidRPr="0084150A">
        <w:rPr>
          <w:lang w:val="en-CA" w:eastAsia="fr-CA"/>
        </w:rPr>
        <w:t xml:space="preserve"> </w:t>
      </w:r>
    </w:p>
    <w:p w14:paraId="1E4D8266" w14:textId="45321276" w:rsidR="006979D7" w:rsidRPr="0084150A" w:rsidRDefault="005A1AFC" w:rsidP="006979D7">
      <w:pPr>
        <w:pStyle w:val="Paragraphe"/>
        <w:rPr>
          <w:lang w:val="en-CA" w:eastAsia="fr-CA"/>
        </w:rPr>
      </w:pPr>
      <w:r w:rsidRPr="0084150A">
        <w:rPr>
          <w:lang w:val="en-CA" w:eastAsia="fr-CA"/>
        </w:rPr>
        <w:t xml:space="preserve">Frédéric Racine recommended </w:t>
      </w:r>
      <w:r w:rsidR="00DC621B">
        <w:rPr>
          <w:lang w:val="en-CA" w:eastAsia="fr-CA"/>
        </w:rPr>
        <w:t>to</w:t>
      </w:r>
      <w:r w:rsidR="00DC621B" w:rsidRPr="0084150A">
        <w:rPr>
          <w:lang w:val="en-CA" w:eastAsia="fr-CA"/>
        </w:rPr>
        <w:t xml:space="preserve"> </w:t>
      </w:r>
      <w:r w:rsidRPr="0084150A">
        <w:rPr>
          <w:lang w:val="en-CA" w:eastAsia="fr-CA"/>
        </w:rPr>
        <w:t xml:space="preserve">two people </w:t>
      </w:r>
      <w:r w:rsidR="00DC621B">
        <w:rPr>
          <w:lang w:val="en-CA" w:eastAsia="fr-CA"/>
        </w:rPr>
        <w:t xml:space="preserve">that they </w:t>
      </w:r>
      <w:r w:rsidRPr="0084150A">
        <w:rPr>
          <w:lang w:val="en-CA" w:eastAsia="fr-CA"/>
        </w:rPr>
        <w:t xml:space="preserve">purchase </w:t>
      </w:r>
      <w:r w:rsidR="00F06A79">
        <w:rPr>
          <w:lang w:val="en-CA" w:eastAsia="fr-CA"/>
        </w:rPr>
        <w:t>the security of Napec</w:t>
      </w:r>
      <w:r w:rsidRPr="0084150A">
        <w:rPr>
          <w:lang w:val="en-CA" w:eastAsia="fr-CA"/>
        </w:rPr>
        <w:t xml:space="preserve"> while having privileged information</w:t>
      </w:r>
      <w:r w:rsidR="005D25C5" w:rsidRPr="0084150A">
        <w:rPr>
          <w:lang w:val="en-CA" w:eastAsia="fr-CA"/>
        </w:rPr>
        <w:t xml:space="preserve">. </w:t>
      </w:r>
      <w:r w:rsidR="00896CB2" w:rsidRPr="0084150A">
        <w:rPr>
          <w:lang w:val="en-CA" w:eastAsia="fr-CA"/>
        </w:rPr>
        <w:t>He also disclosed privileged information to his father. However, the evidence does not show that he received compensation or a benefit from them</w:t>
      </w:r>
      <w:r w:rsidR="00DC621B" w:rsidRPr="00DC621B">
        <w:rPr>
          <w:lang w:val="en-CA" w:eastAsia="fr-CA"/>
        </w:rPr>
        <w:t xml:space="preserve"> </w:t>
      </w:r>
      <w:r w:rsidR="00DC621B" w:rsidRPr="0084150A">
        <w:rPr>
          <w:lang w:val="en-CA" w:eastAsia="fr-CA"/>
        </w:rPr>
        <w:t>in exchange</w:t>
      </w:r>
      <w:r w:rsidR="005D25C5" w:rsidRPr="0084150A">
        <w:rPr>
          <w:lang w:val="en-CA" w:eastAsia="fr-CA"/>
        </w:rPr>
        <w:t xml:space="preserve">. </w:t>
      </w:r>
    </w:p>
    <w:p w14:paraId="1E9053FB" w14:textId="6FDE9D56" w:rsidR="006979D7" w:rsidRPr="0084150A" w:rsidRDefault="00896CB2" w:rsidP="006979D7">
      <w:pPr>
        <w:pStyle w:val="Paragraphe"/>
        <w:rPr>
          <w:lang w:val="en-CA" w:eastAsia="fr-CA"/>
        </w:rPr>
      </w:pPr>
      <w:r w:rsidRPr="0084150A">
        <w:rPr>
          <w:lang w:val="en-CA" w:eastAsia="fr-CA"/>
        </w:rPr>
        <w:t xml:space="preserve">Moreover, the Tribunal takes into consideration the following profits made by the other </w:t>
      </w:r>
      <w:r w:rsidR="00CF4107">
        <w:rPr>
          <w:lang w:val="en-CA" w:eastAsia="fr-CA"/>
        </w:rPr>
        <w:t>individuals</w:t>
      </w:r>
      <w:r w:rsidRPr="0084150A">
        <w:rPr>
          <w:lang w:val="en-CA" w:eastAsia="fr-CA"/>
        </w:rPr>
        <w:t xml:space="preserve"> to whom it was recommended </w:t>
      </w:r>
      <w:r w:rsidR="00DC621B">
        <w:rPr>
          <w:lang w:val="en-CA" w:eastAsia="fr-CA"/>
        </w:rPr>
        <w:t>that they</w:t>
      </w:r>
      <w:r w:rsidR="00DC621B" w:rsidRPr="0084150A">
        <w:rPr>
          <w:lang w:val="en-CA" w:eastAsia="fr-CA"/>
        </w:rPr>
        <w:t xml:space="preserve"> </w:t>
      </w:r>
      <w:r w:rsidR="00412B02" w:rsidRPr="0084150A">
        <w:rPr>
          <w:lang w:val="en-CA" w:eastAsia="fr-CA"/>
        </w:rPr>
        <w:t>purchase shares of Napec</w:t>
      </w:r>
      <w:r w:rsidR="005D25C5" w:rsidRPr="0084150A">
        <w:rPr>
          <w:lang w:val="en-CA" w:eastAsia="fr-CA"/>
        </w:rPr>
        <w:t>:</w:t>
      </w:r>
    </w:p>
    <w:p w14:paraId="67C51A74" w14:textId="57E3CF88" w:rsidR="00121F03" w:rsidRPr="0084150A" w:rsidRDefault="00412B02" w:rsidP="00121F03">
      <w:pPr>
        <w:pStyle w:val="Sous-paragraphe"/>
        <w:numPr>
          <w:ilvl w:val="0"/>
          <w:numId w:val="12"/>
        </w:numPr>
        <w:rPr>
          <w:lang w:val="en-CA" w:eastAsia="fr-CA"/>
        </w:rPr>
      </w:pPr>
      <w:r w:rsidRPr="0084150A">
        <w:rPr>
          <w:lang w:val="en-CA" w:eastAsia="fr-CA"/>
        </w:rPr>
        <w:t xml:space="preserve">$2,630.05 for </w:t>
      </w:r>
      <w:r w:rsidR="005D25C5" w:rsidRPr="0084150A">
        <w:rPr>
          <w:lang w:val="en-CA" w:eastAsia="fr-CA"/>
        </w:rPr>
        <w:t xml:space="preserve">Vincent </w:t>
      </w:r>
      <w:proofErr w:type="gramStart"/>
      <w:r w:rsidR="005D25C5" w:rsidRPr="0084150A">
        <w:rPr>
          <w:lang w:val="en-CA" w:eastAsia="fr-CA"/>
        </w:rPr>
        <w:t>Pouliot;</w:t>
      </w:r>
      <w:proofErr w:type="gramEnd"/>
      <w:r w:rsidR="005D25C5" w:rsidRPr="0084150A">
        <w:rPr>
          <w:lang w:val="en-CA" w:eastAsia="fr-CA"/>
        </w:rPr>
        <w:t xml:space="preserve"> </w:t>
      </w:r>
    </w:p>
    <w:p w14:paraId="07D94E76" w14:textId="0D24FA81" w:rsidR="00F445C8" w:rsidRPr="0084150A" w:rsidRDefault="00412B02" w:rsidP="00121F03">
      <w:pPr>
        <w:pStyle w:val="Sous-paragraphe"/>
        <w:numPr>
          <w:ilvl w:val="0"/>
          <w:numId w:val="12"/>
        </w:numPr>
        <w:rPr>
          <w:lang w:val="en-CA" w:eastAsia="fr-CA"/>
        </w:rPr>
      </w:pPr>
      <w:r w:rsidRPr="0084150A">
        <w:rPr>
          <w:lang w:val="en-CA" w:eastAsia="fr-CA"/>
        </w:rPr>
        <w:t>$</w:t>
      </w:r>
      <w:r w:rsidR="0030364E" w:rsidRPr="0084150A">
        <w:rPr>
          <w:lang w:val="en-CA" w:eastAsia="fr-CA"/>
        </w:rPr>
        <w:t>2</w:t>
      </w:r>
      <w:r w:rsidRPr="0084150A">
        <w:rPr>
          <w:lang w:val="en-CA" w:eastAsia="fr-CA"/>
        </w:rPr>
        <w:t>,</w:t>
      </w:r>
      <w:r w:rsidR="0030364E" w:rsidRPr="0084150A">
        <w:rPr>
          <w:lang w:val="en-CA" w:eastAsia="fr-CA"/>
        </w:rPr>
        <w:t>150</w:t>
      </w:r>
      <w:r w:rsidRPr="0084150A">
        <w:rPr>
          <w:lang w:val="en-CA" w:eastAsia="fr-CA"/>
        </w:rPr>
        <w:t>.</w:t>
      </w:r>
      <w:r w:rsidR="0030364E" w:rsidRPr="0084150A">
        <w:rPr>
          <w:lang w:val="en-CA" w:eastAsia="fr-CA"/>
        </w:rPr>
        <w:t xml:space="preserve">10 </w:t>
      </w:r>
      <w:r w:rsidRPr="0084150A">
        <w:rPr>
          <w:lang w:val="en-CA" w:eastAsia="fr-CA"/>
        </w:rPr>
        <w:t>for</w:t>
      </w:r>
      <w:r w:rsidR="0030364E" w:rsidRPr="0084150A">
        <w:rPr>
          <w:lang w:val="en-CA" w:eastAsia="fr-CA"/>
        </w:rPr>
        <w:t xml:space="preserve"> Paul </w:t>
      </w:r>
      <w:proofErr w:type="gramStart"/>
      <w:r w:rsidR="0030364E" w:rsidRPr="0084150A">
        <w:rPr>
          <w:lang w:val="en-CA" w:eastAsia="fr-CA"/>
        </w:rPr>
        <w:t>Ayoub;</w:t>
      </w:r>
      <w:proofErr w:type="gramEnd"/>
    </w:p>
    <w:p w14:paraId="6EE254AF" w14:textId="1D2EDEE1" w:rsidR="006979D7" w:rsidRPr="0084150A" w:rsidRDefault="009774AE" w:rsidP="006979D7">
      <w:pPr>
        <w:pStyle w:val="Sous-paragraphe"/>
        <w:numPr>
          <w:ilvl w:val="0"/>
          <w:numId w:val="12"/>
        </w:numPr>
        <w:rPr>
          <w:lang w:val="en-CA" w:eastAsia="fr-CA"/>
        </w:rPr>
      </w:pPr>
      <w:r w:rsidRPr="0084150A">
        <w:rPr>
          <w:lang w:val="en-CA" w:eastAsia="fr-CA"/>
        </w:rPr>
        <w:t>$</w:t>
      </w:r>
      <w:r w:rsidR="005D25C5" w:rsidRPr="0084150A">
        <w:rPr>
          <w:lang w:val="en-CA" w:eastAsia="fr-CA"/>
        </w:rPr>
        <w:t>40</w:t>
      </w:r>
      <w:r w:rsidRPr="0084150A">
        <w:rPr>
          <w:lang w:val="en-CA" w:eastAsia="fr-CA"/>
        </w:rPr>
        <w:t>,</w:t>
      </w:r>
      <w:r w:rsidR="005D25C5" w:rsidRPr="0084150A">
        <w:rPr>
          <w:lang w:val="en-CA" w:eastAsia="fr-CA"/>
        </w:rPr>
        <w:t>370</w:t>
      </w:r>
      <w:r w:rsidRPr="0084150A">
        <w:rPr>
          <w:lang w:val="en-CA" w:eastAsia="fr-CA"/>
        </w:rPr>
        <w:t>.</w:t>
      </w:r>
      <w:r w:rsidR="005D25C5" w:rsidRPr="0084150A">
        <w:rPr>
          <w:lang w:val="en-CA" w:eastAsia="fr-CA"/>
        </w:rPr>
        <w:t xml:space="preserve">15 </w:t>
      </w:r>
      <w:r w:rsidRPr="0084150A">
        <w:rPr>
          <w:lang w:val="en-CA" w:eastAsia="fr-CA"/>
        </w:rPr>
        <w:t>for</w:t>
      </w:r>
      <w:r w:rsidR="005D25C5" w:rsidRPr="0084150A">
        <w:rPr>
          <w:lang w:val="en-CA" w:eastAsia="fr-CA"/>
        </w:rPr>
        <w:t xml:space="preserve"> Gilles </w:t>
      </w:r>
      <w:proofErr w:type="gramStart"/>
      <w:r w:rsidR="005D25C5" w:rsidRPr="0084150A">
        <w:rPr>
          <w:lang w:val="en-CA" w:eastAsia="fr-CA"/>
        </w:rPr>
        <w:t>Racine;</w:t>
      </w:r>
      <w:proofErr w:type="gramEnd"/>
      <w:r w:rsidR="005D25C5" w:rsidRPr="0084150A">
        <w:rPr>
          <w:lang w:val="en-CA" w:eastAsia="fr-CA"/>
        </w:rPr>
        <w:t xml:space="preserve"> </w:t>
      </w:r>
    </w:p>
    <w:p w14:paraId="7BD7ABF1" w14:textId="1E48A7B6" w:rsidR="006979D7" w:rsidRPr="0084150A" w:rsidRDefault="009774AE" w:rsidP="006979D7">
      <w:pPr>
        <w:pStyle w:val="Sous-paragraphe"/>
        <w:numPr>
          <w:ilvl w:val="0"/>
          <w:numId w:val="12"/>
        </w:numPr>
        <w:rPr>
          <w:lang w:val="en-CA" w:eastAsia="fr-CA"/>
        </w:rPr>
      </w:pPr>
      <w:r w:rsidRPr="0084150A">
        <w:rPr>
          <w:lang w:val="en-CA" w:eastAsia="fr-CA"/>
        </w:rPr>
        <w:t>$</w:t>
      </w:r>
      <w:r w:rsidR="005D25C5" w:rsidRPr="0084150A">
        <w:rPr>
          <w:lang w:val="en-CA" w:eastAsia="fr-CA"/>
        </w:rPr>
        <w:t>3</w:t>
      </w:r>
      <w:r w:rsidRPr="0084150A">
        <w:rPr>
          <w:lang w:val="en-CA" w:eastAsia="fr-CA"/>
        </w:rPr>
        <w:t>,</w:t>
      </w:r>
      <w:r w:rsidR="005D25C5" w:rsidRPr="0084150A">
        <w:rPr>
          <w:lang w:val="en-CA" w:eastAsia="fr-CA"/>
        </w:rPr>
        <w:t>274</w:t>
      </w:r>
      <w:r w:rsidRPr="0084150A">
        <w:rPr>
          <w:lang w:val="en-CA" w:eastAsia="fr-CA"/>
        </w:rPr>
        <w:t>.</w:t>
      </w:r>
      <w:r w:rsidR="005D25C5" w:rsidRPr="0084150A">
        <w:rPr>
          <w:lang w:val="en-CA" w:eastAsia="fr-CA"/>
        </w:rPr>
        <w:t xml:space="preserve">70 </w:t>
      </w:r>
      <w:r w:rsidRPr="0084150A">
        <w:rPr>
          <w:lang w:val="en-CA" w:eastAsia="fr-CA"/>
        </w:rPr>
        <w:t>for</w:t>
      </w:r>
      <w:r w:rsidR="005D25C5" w:rsidRPr="0084150A">
        <w:rPr>
          <w:lang w:val="en-CA" w:eastAsia="fr-CA"/>
        </w:rPr>
        <w:t xml:space="preserve"> Christiane Côté, </w:t>
      </w:r>
      <w:r w:rsidRPr="0084150A">
        <w:rPr>
          <w:lang w:val="en-CA" w:eastAsia="fr-CA"/>
        </w:rPr>
        <w:t xml:space="preserve">through the </w:t>
      </w:r>
      <w:r w:rsidR="00DC621B">
        <w:rPr>
          <w:lang w:val="en-CA" w:eastAsia="fr-CA"/>
        </w:rPr>
        <w:t>trades made</w:t>
      </w:r>
      <w:r w:rsidRPr="0084150A">
        <w:rPr>
          <w:lang w:val="en-CA" w:eastAsia="fr-CA"/>
        </w:rPr>
        <w:t xml:space="preserve"> by Gilles Racine</w:t>
      </w:r>
      <w:r w:rsidR="005D25C5" w:rsidRPr="0084150A">
        <w:rPr>
          <w:lang w:val="en-CA" w:eastAsia="fr-CA"/>
        </w:rPr>
        <w:t xml:space="preserve">; </w:t>
      </w:r>
      <w:r w:rsidR="004005A9" w:rsidRPr="005E07F3">
        <w:rPr>
          <w:lang w:val="en-CA" w:eastAsia="fr-CA"/>
        </w:rPr>
        <w:t>and</w:t>
      </w:r>
    </w:p>
    <w:p w14:paraId="1BEC2BD2" w14:textId="1DE77B6C" w:rsidR="006979D7" w:rsidRPr="0084150A" w:rsidRDefault="009774AE" w:rsidP="006979D7">
      <w:pPr>
        <w:pStyle w:val="Sous-paragraphe"/>
        <w:numPr>
          <w:ilvl w:val="0"/>
          <w:numId w:val="12"/>
        </w:numPr>
        <w:rPr>
          <w:lang w:val="en-CA" w:eastAsia="fr-CA"/>
        </w:rPr>
      </w:pPr>
      <w:r w:rsidRPr="0084150A">
        <w:rPr>
          <w:lang w:val="en-CA" w:eastAsia="fr-CA"/>
        </w:rPr>
        <w:t>$</w:t>
      </w:r>
      <w:r w:rsidR="005D25C5" w:rsidRPr="0084150A">
        <w:rPr>
          <w:lang w:val="en-CA" w:eastAsia="fr-CA"/>
        </w:rPr>
        <w:t>3</w:t>
      </w:r>
      <w:r w:rsidRPr="0084150A">
        <w:rPr>
          <w:lang w:val="en-CA" w:eastAsia="fr-CA"/>
        </w:rPr>
        <w:t>,</w:t>
      </w:r>
      <w:r w:rsidR="005D25C5" w:rsidRPr="0084150A">
        <w:rPr>
          <w:lang w:val="en-CA" w:eastAsia="fr-CA"/>
        </w:rPr>
        <w:t>898</w:t>
      </w:r>
      <w:r w:rsidRPr="0084150A">
        <w:rPr>
          <w:lang w:val="en-CA" w:eastAsia="fr-CA"/>
        </w:rPr>
        <w:t>.</w:t>
      </w:r>
      <w:r w:rsidR="005D25C5" w:rsidRPr="0084150A">
        <w:rPr>
          <w:lang w:val="en-CA" w:eastAsia="fr-CA"/>
        </w:rPr>
        <w:t xml:space="preserve">15 </w:t>
      </w:r>
      <w:r w:rsidRPr="0084150A">
        <w:rPr>
          <w:lang w:val="en-CA" w:eastAsia="fr-CA"/>
        </w:rPr>
        <w:t>for</w:t>
      </w:r>
      <w:r w:rsidR="005D25C5" w:rsidRPr="0084150A">
        <w:rPr>
          <w:lang w:val="en-CA" w:eastAsia="fr-CA"/>
        </w:rPr>
        <w:t xml:space="preserve"> Anne Roy-Dussault. </w:t>
      </w:r>
    </w:p>
    <w:p w14:paraId="4E59E716" w14:textId="4916299D" w:rsidR="006979D7" w:rsidRPr="0084150A" w:rsidRDefault="00C0518F" w:rsidP="006979D7">
      <w:pPr>
        <w:pStyle w:val="Titre3"/>
        <w:numPr>
          <w:ilvl w:val="0"/>
          <w:numId w:val="0"/>
        </w:numPr>
        <w:ind w:left="360" w:hanging="360"/>
        <w:jc w:val="both"/>
        <w:rPr>
          <w:lang w:val="en-CA"/>
        </w:rPr>
      </w:pPr>
      <w:r w:rsidRPr="0084150A">
        <w:rPr>
          <w:lang w:val="en-CA"/>
        </w:rPr>
        <w:lastRenderedPageBreak/>
        <w:t>The experience, position, and status</w:t>
      </w:r>
    </w:p>
    <w:p w14:paraId="6A0321FD" w14:textId="6865C64C" w:rsidR="006979D7" w:rsidRPr="0084150A" w:rsidRDefault="005D25C5" w:rsidP="006979D7">
      <w:pPr>
        <w:pStyle w:val="Paragraphe"/>
        <w:rPr>
          <w:lang w:val="en-CA" w:eastAsia="fr-CA"/>
        </w:rPr>
      </w:pPr>
      <w:r w:rsidRPr="0084150A">
        <w:rPr>
          <w:lang w:val="en-CA" w:eastAsia="fr-CA"/>
        </w:rPr>
        <w:t xml:space="preserve">Philippe Gauthier </w:t>
      </w:r>
      <w:r w:rsidR="00C0518F" w:rsidRPr="0084150A">
        <w:rPr>
          <w:lang w:val="en-CA" w:eastAsia="fr-CA"/>
        </w:rPr>
        <w:t xml:space="preserve">is an accountant by training and has been a member of the </w:t>
      </w:r>
      <w:r w:rsidRPr="0084150A">
        <w:rPr>
          <w:lang w:val="en-CA" w:eastAsia="fr-CA"/>
        </w:rPr>
        <w:t xml:space="preserve">Ordre des comptables professionnels agréés </w:t>
      </w:r>
      <w:r w:rsidR="00C0518F" w:rsidRPr="0084150A">
        <w:rPr>
          <w:lang w:val="en-CA" w:eastAsia="fr-CA"/>
        </w:rPr>
        <w:t>for several years</w:t>
      </w:r>
      <w:r w:rsidRPr="0084150A">
        <w:rPr>
          <w:lang w:val="en-CA" w:eastAsia="fr-CA"/>
        </w:rPr>
        <w:t xml:space="preserve">. </w:t>
      </w:r>
      <w:r w:rsidR="00C0518F" w:rsidRPr="0084150A">
        <w:rPr>
          <w:lang w:val="en-CA" w:eastAsia="fr-CA"/>
        </w:rPr>
        <w:t>He holds an MBA and the CPA-CMA titles</w:t>
      </w:r>
      <w:r w:rsidRPr="0084150A">
        <w:rPr>
          <w:lang w:val="en-CA" w:eastAsia="fr-CA"/>
        </w:rPr>
        <w:t xml:space="preserve">. </w:t>
      </w:r>
      <w:r w:rsidR="00C0518F" w:rsidRPr="0084150A">
        <w:rPr>
          <w:lang w:val="en-CA" w:eastAsia="fr-CA"/>
        </w:rPr>
        <w:t xml:space="preserve">At the time of the </w:t>
      </w:r>
      <w:r w:rsidR="00B907C9">
        <w:rPr>
          <w:lang w:val="en-CA" w:eastAsia="fr-CA"/>
        </w:rPr>
        <w:t>contraventions</w:t>
      </w:r>
      <w:r w:rsidR="00B907C9" w:rsidRPr="0084150A">
        <w:rPr>
          <w:lang w:val="en-CA" w:eastAsia="fr-CA"/>
        </w:rPr>
        <w:t xml:space="preserve"> </w:t>
      </w:r>
      <w:r w:rsidR="00C0518F" w:rsidRPr="0084150A">
        <w:rPr>
          <w:lang w:val="en-CA" w:eastAsia="fr-CA"/>
        </w:rPr>
        <w:t>committed, he was senior director, syndication, Quebec and Eastern Canada at LBC</w:t>
      </w:r>
      <w:r w:rsidR="004E2B62" w:rsidRPr="0084150A">
        <w:rPr>
          <w:lang w:val="en-CA" w:eastAsia="fr-CA"/>
        </w:rPr>
        <w:t xml:space="preserve">. </w:t>
      </w:r>
      <w:r w:rsidR="00C0518F" w:rsidRPr="0084150A">
        <w:rPr>
          <w:lang w:val="en-CA" w:eastAsia="fr-CA"/>
        </w:rPr>
        <w:t>He was a banker and had several years of experience in that field</w:t>
      </w:r>
      <w:r w:rsidR="004E2B62" w:rsidRPr="0084150A">
        <w:rPr>
          <w:lang w:val="en-CA" w:eastAsia="fr-CA"/>
        </w:rPr>
        <w:t xml:space="preserve">. </w:t>
      </w:r>
      <w:r w:rsidR="00FD1C2A" w:rsidRPr="0084150A">
        <w:rPr>
          <w:lang w:val="en-CA" w:eastAsia="fr-CA"/>
        </w:rPr>
        <w:t xml:space="preserve">Moreover, Philippe Gauthier had signed </w:t>
      </w:r>
      <w:r w:rsidR="00B907C9">
        <w:rPr>
          <w:lang w:val="en-CA" w:eastAsia="fr-CA"/>
        </w:rPr>
        <w:t>the</w:t>
      </w:r>
      <w:r w:rsidR="00FD1C2A" w:rsidRPr="0084150A">
        <w:rPr>
          <w:lang w:val="en-CA" w:eastAsia="fr-CA"/>
        </w:rPr>
        <w:t xml:space="preserve"> confidentiality agreement on behalf of LBC and </w:t>
      </w:r>
      <w:r w:rsidR="009220BA">
        <w:rPr>
          <w:lang w:val="en-CA" w:eastAsia="fr-CA"/>
        </w:rPr>
        <w:t>was aware</w:t>
      </w:r>
      <w:r w:rsidR="00FD1C2A" w:rsidRPr="0084150A">
        <w:rPr>
          <w:lang w:val="en-CA" w:eastAsia="fr-CA"/>
        </w:rPr>
        <w:t xml:space="preserve"> that the information regarding the </w:t>
      </w:r>
      <w:r w:rsidR="00B907C9">
        <w:rPr>
          <w:lang w:val="en-CA" w:eastAsia="fr-CA"/>
        </w:rPr>
        <w:t>T</w:t>
      </w:r>
      <w:r w:rsidR="00FD1C2A" w:rsidRPr="0084150A">
        <w:rPr>
          <w:lang w:val="en-CA" w:eastAsia="fr-CA"/>
        </w:rPr>
        <w:t>ransaction was confidential</w:t>
      </w:r>
      <w:r w:rsidR="004E2B62" w:rsidRPr="0084150A">
        <w:rPr>
          <w:lang w:val="en-CA" w:eastAsia="fr-CA"/>
        </w:rPr>
        <w:t>.</w:t>
      </w:r>
    </w:p>
    <w:p w14:paraId="153BCF70" w14:textId="5975DC5F" w:rsidR="006979D7" w:rsidRPr="0084150A" w:rsidRDefault="00D070A1" w:rsidP="004E2B62">
      <w:pPr>
        <w:pStyle w:val="Paragraphe"/>
        <w:rPr>
          <w:lang w:val="en-CA" w:eastAsia="fr-CA"/>
        </w:rPr>
      </w:pPr>
      <w:r w:rsidRPr="0084150A">
        <w:rPr>
          <w:lang w:val="en-CA" w:eastAsia="fr-CA"/>
        </w:rPr>
        <w:t xml:space="preserve">Frédéric Racine </w:t>
      </w:r>
      <w:r w:rsidR="00FD1C2A" w:rsidRPr="0084150A">
        <w:rPr>
          <w:lang w:val="en-CA" w:eastAsia="fr-CA"/>
        </w:rPr>
        <w:t xml:space="preserve">is also an accountant by training and has been a member of the </w:t>
      </w:r>
      <w:r w:rsidRPr="0084150A">
        <w:rPr>
          <w:lang w:val="en-CA" w:eastAsia="fr-CA"/>
        </w:rPr>
        <w:t xml:space="preserve">Ordre des comptables professionnels agréés </w:t>
      </w:r>
      <w:r w:rsidR="00FD1C2A" w:rsidRPr="0084150A">
        <w:rPr>
          <w:lang w:val="en-CA" w:eastAsia="fr-CA"/>
        </w:rPr>
        <w:t>for several years</w:t>
      </w:r>
      <w:r w:rsidRPr="0084150A">
        <w:rPr>
          <w:lang w:val="en-CA" w:eastAsia="fr-CA"/>
        </w:rPr>
        <w:t xml:space="preserve">. </w:t>
      </w:r>
      <w:r w:rsidR="00FD1C2A" w:rsidRPr="0084150A">
        <w:rPr>
          <w:lang w:val="en-CA" w:eastAsia="fr-CA"/>
        </w:rPr>
        <w:t xml:space="preserve">He was the director of finance of a major infrastructure project at the time of the alleged facts. He </w:t>
      </w:r>
      <w:r w:rsidR="00F8769F">
        <w:rPr>
          <w:lang w:val="en-CA" w:eastAsia="fr-CA"/>
        </w:rPr>
        <w:t xml:space="preserve">had </w:t>
      </w:r>
      <w:r w:rsidR="00FD1C2A" w:rsidRPr="0084150A">
        <w:rPr>
          <w:lang w:val="en-CA" w:eastAsia="fr-CA"/>
        </w:rPr>
        <w:t>worked for a public corporation</w:t>
      </w:r>
      <w:r w:rsidR="00F8769F">
        <w:rPr>
          <w:lang w:val="en-CA" w:eastAsia="fr-CA"/>
        </w:rPr>
        <w:t xml:space="preserve"> in the past</w:t>
      </w:r>
      <w:r w:rsidRPr="0084150A">
        <w:rPr>
          <w:lang w:val="en-CA" w:eastAsia="fr-CA"/>
        </w:rPr>
        <w:t>.</w:t>
      </w:r>
    </w:p>
    <w:p w14:paraId="3291BE13" w14:textId="3A3CB070" w:rsidR="006979D7" w:rsidRPr="0084150A" w:rsidRDefault="00F3198A" w:rsidP="006979D7">
      <w:pPr>
        <w:pStyle w:val="Paragraphe"/>
        <w:rPr>
          <w:lang w:val="en-CA" w:eastAsia="fr-CA"/>
        </w:rPr>
      </w:pPr>
      <w:r w:rsidRPr="0084150A">
        <w:rPr>
          <w:lang w:val="en-CA" w:eastAsia="fr-CA"/>
        </w:rPr>
        <w:t xml:space="preserve">Both Philippe Gauthier and Frédéric Racine </w:t>
      </w:r>
      <w:r w:rsidR="00F8769F">
        <w:rPr>
          <w:lang w:val="en-CA" w:eastAsia="fr-CA"/>
        </w:rPr>
        <w:t>are</w:t>
      </w:r>
      <w:r w:rsidR="00F8769F" w:rsidRPr="0084150A">
        <w:rPr>
          <w:lang w:val="en-CA" w:eastAsia="fr-CA"/>
        </w:rPr>
        <w:t xml:space="preserve"> </w:t>
      </w:r>
      <w:r w:rsidRPr="0084150A">
        <w:rPr>
          <w:lang w:val="en-CA" w:eastAsia="fr-CA"/>
        </w:rPr>
        <w:t xml:space="preserve">passionate about investing and active in the markets. They were part of a group of friends that </w:t>
      </w:r>
      <w:proofErr w:type="gramStart"/>
      <w:r w:rsidRPr="0084150A">
        <w:rPr>
          <w:lang w:val="en-CA" w:eastAsia="fr-CA"/>
        </w:rPr>
        <w:t>often discussed</w:t>
      </w:r>
      <w:proofErr w:type="gramEnd"/>
      <w:r w:rsidRPr="0084150A">
        <w:rPr>
          <w:lang w:val="en-CA" w:eastAsia="fr-CA"/>
        </w:rPr>
        <w:t xml:space="preserve"> securities</w:t>
      </w:r>
      <w:r w:rsidR="005D25C5" w:rsidRPr="0084150A">
        <w:rPr>
          <w:lang w:val="en-CA" w:eastAsia="fr-CA"/>
        </w:rPr>
        <w:t>.</w:t>
      </w:r>
    </w:p>
    <w:p w14:paraId="1C35B632" w14:textId="3B0E1856" w:rsidR="006979D7" w:rsidRPr="0084150A" w:rsidRDefault="00F3198A" w:rsidP="006979D7">
      <w:pPr>
        <w:pStyle w:val="Paragraphe"/>
        <w:rPr>
          <w:lang w:val="en-CA" w:eastAsia="fr-CA"/>
        </w:rPr>
      </w:pPr>
      <w:r w:rsidRPr="0084150A">
        <w:rPr>
          <w:lang w:val="en-CA" w:eastAsia="fr-CA"/>
        </w:rPr>
        <w:t xml:space="preserve">In the Tribunal’s view, they knew that there </w:t>
      </w:r>
      <w:r w:rsidR="00426399">
        <w:rPr>
          <w:lang w:val="en-CA" w:eastAsia="fr-CA"/>
        </w:rPr>
        <w:t>are</w:t>
      </w:r>
      <w:r w:rsidR="00426399" w:rsidRPr="0084150A">
        <w:rPr>
          <w:lang w:val="en-CA" w:eastAsia="fr-CA"/>
        </w:rPr>
        <w:t xml:space="preserve"> </w:t>
      </w:r>
      <w:r w:rsidRPr="0084150A">
        <w:rPr>
          <w:lang w:val="en-CA" w:eastAsia="fr-CA"/>
        </w:rPr>
        <w:t>rules prohibiting the use of privileged information</w:t>
      </w:r>
      <w:r w:rsidR="005D25C5" w:rsidRPr="0084150A">
        <w:rPr>
          <w:lang w:val="en-CA" w:eastAsia="fr-CA"/>
        </w:rPr>
        <w:t xml:space="preserve">. </w:t>
      </w:r>
      <w:r w:rsidRPr="0084150A">
        <w:rPr>
          <w:lang w:val="en-CA" w:eastAsia="fr-CA"/>
        </w:rPr>
        <w:t>The Tribunal recalls the testimony of Frédéric Racine to the Authority’s investigators in which he admitted that he did not ask too many questions of his friend Philippe Gauthier precisely to avoid ending up in a compromising position</w:t>
      </w:r>
      <w:r w:rsidR="005D25C5" w:rsidRPr="0084150A">
        <w:rPr>
          <w:lang w:val="en-CA" w:eastAsia="fr-CA"/>
        </w:rPr>
        <w:t xml:space="preserve">. </w:t>
      </w:r>
      <w:r w:rsidR="008802CA" w:rsidRPr="0084150A">
        <w:rPr>
          <w:lang w:val="en-CA" w:eastAsia="fr-CA"/>
        </w:rPr>
        <w:t>The Tribunal also recalls his use of the term [</w:t>
      </w:r>
      <w:r w:rsidR="008802CA" w:rsidRPr="0084150A">
        <w:rPr>
          <w:smallCaps/>
          <w:lang w:val="en-CA" w:eastAsia="fr-CA"/>
        </w:rPr>
        <w:t xml:space="preserve">translation] </w:t>
      </w:r>
      <w:r w:rsidR="008802CA" w:rsidRPr="0084150A">
        <w:rPr>
          <w:lang w:val="en-CA" w:eastAsia="fr-CA"/>
        </w:rPr>
        <w:t>“tip” and [</w:t>
      </w:r>
      <w:r w:rsidR="008802CA" w:rsidRPr="0084150A">
        <w:rPr>
          <w:smallCaps/>
          <w:lang w:val="en-CA" w:eastAsia="fr-CA"/>
        </w:rPr>
        <w:t xml:space="preserve">translation] </w:t>
      </w:r>
      <w:r w:rsidR="008802CA" w:rsidRPr="0084150A">
        <w:rPr>
          <w:lang w:val="en-CA" w:eastAsia="fr-CA"/>
        </w:rPr>
        <w:t>“insider information” to characterize the information sent by Philippe Gauthier. The Tribunal is of the view that they could not be unaware that they had privileged information and that any use of that information was illegal</w:t>
      </w:r>
      <w:r w:rsidR="005D25C5" w:rsidRPr="0084150A">
        <w:rPr>
          <w:lang w:val="en-CA" w:eastAsia="fr-CA"/>
        </w:rPr>
        <w:t>.</w:t>
      </w:r>
    </w:p>
    <w:p w14:paraId="539B6717" w14:textId="6880EF13" w:rsidR="006979D7" w:rsidRPr="0084150A" w:rsidRDefault="000D4272" w:rsidP="006979D7">
      <w:pPr>
        <w:pStyle w:val="Paragraphe"/>
        <w:rPr>
          <w:lang w:val="en-CA" w:eastAsia="fr-CA"/>
        </w:rPr>
      </w:pPr>
      <w:r w:rsidRPr="0084150A">
        <w:rPr>
          <w:lang w:val="en-CA" w:eastAsia="fr-CA"/>
        </w:rPr>
        <w:t xml:space="preserve">The Tribunal assigns great weight to the positions that Philippe Gauthier and Frédéric Racine held </w:t>
      </w:r>
      <w:r w:rsidR="00426399">
        <w:rPr>
          <w:lang w:val="en-CA" w:eastAsia="fr-CA"/>
        </w:rPr>
        <w:t>and to</w:t>
      </w:r>
      <w:r w:rsidRPr="0084150A">
        <w:rPr>
          <w:lang w:val="en-CA" w:eastAsia="fr-CA"/>
        </w:rPr>
        <w:t xml:space="preserve"> their status and experience</w:t>
      </w:r>
      <w:r w:rsidR="005D25C5" w:rsidRPr="0084150A">
        <w:rPr>
          <w:lang w:val="en-CA" w:eastAsia="fr-CA"/>
        </w:rPr>
        <w:t xml:space="preserve">. </w:t>
      </w:r>
    </w:p>
    <w:p w14:paraId="0BCECFC6" w14:textId="637CE590" w:rsidR="006979D7" w:rsidRPr="0084150A" w:rsidRDefault="005D25C5" w:rsidP="006979D7">
      <w:pPr>
        <w:pStyle w:val="Titre3"/>
        <w:numPr>
          <w:ilvl w:val="0"/>
          <w:numId w:val="0"/>
        </w:numPr>
        <w:ind w:left="360" w:hanging="360"/>
        <w:jc w:val="both"/>
        <w:rPr>
          <w:lang w:val="en-CA"/>
        </w:rPr>
      </w:pPr>
      <w:r w:rsidRPr="005E07F3">
        <w:rPr>
          <w:lang w:val="en-CA"/>
        </w:rPr>
        <w:t xml:space="preserve">The intentional nature of the </w:t>
      </w:r>
      <w:r w:rsidR="000D4272" w:rsidRPr="0084150A">
        <w:rPr>
          <w:lang w:val="en-CA"/>
        </w:rPr>
        <w:t>acts committed</w:t>
      </w:r>
    </w:p>
    <w:p w14:paraId="7643C819" w14:textId="691A6045" w:rsidR="008B1CF4" w:rsidRPr="0084150A" w:rsidRDefault="00492ED2" w:rsidP="006979D7">
      <w:pPr>
        <w:pStyle w:val="Paragraphe"/>
        <w:rPr>
          <w:lang w:val="en-CA" w:eastAsia="fr-CA"/>
        </w:rPr>
      </w:pPr>
      <w:r w:rsidRPr="0084150A">
        <w:rPr>
          <w:lang w:val="en-CA" w:eastAsia="fr-CA"/>
        </w:rPr>
        <w:t>The breaches were not committed by mistake, in good faith, or by inexperienced young people</w:t>
      </w:r>
      <w:r w:rsidR="00536C61" w:rsidRPr="0084150A">
        <w:rPr>
          <w:lang w:val="en-CA" w:eastAsia="fr-CA"/>
        </w:rPr>
        <w:t xml:space="preserve">. Philippe Gauthier </w:t>
      </w:r>
      <w:r w:rsidRPr="0084150A">
        <w:rPr>
          <w:lang w:val="en-CA" w:eastAsia="fr-CA"/>
        </w:rPr>
        <w:t>and</w:t>
      </w:r>
      <w:r w:rsidR="00536C61" w:rsidRPr="0084150A">
        <w:rPr>
          <w:lang w:val="en-CA" w:eastAsia="fr-CA"/>
        </w:rPr>
        <w:t xml:space="preserve"> Frédéric Racine, </w:t>
      </w:r>
      <w:r w:rsidRPr="0084150A">
        <w:rPr>
          <w:lang w:val="en-CA" w:eastAsia="fr-CA"/>
        </w:rPr>
        <w:t xml:space="preserve">two experienced professionals, </w:t>
      </w:r>
      <w:r w:rsidR="00CF68AC" w:rsidRPr="0084150A">
        <w:rPr>
          <w:lang w:val="en-CA" w:eastAsia="fr-CA"/>
        </w:rPr>
        <w:t>committed acts intentionally</w:t>
      </w:r>
      <w:r w:rsidR="00536C61" w:rsidRPr="0084150A">
        <w:rPr>
          <w:lang w:val="en-CA" w:eastAsia="fr-CA"/>
        </w:rPr>
        <w:t xml:space="preserve">. </w:t>
      </w:r>
      <w:r w:rsidR="00CF68AC" w:rsidRPr="0084150A">
        <w:rPr>
          <w:lang w:val="en-CA" w:eastAsia="fr-CA"/>
        </w:rPr>
        <w:t>In fact, Philippe Gauthier wanted his friends Frédéric Racine, Vincent Pouliot, and Paul Ayoub to benefit from the privileged information he had</w:t>
      </w:r>
      <w:r w:rsidR="00536C61" w:rsidRPr="0084150A">
        <w:rPr>
          <w:lang w:val="en-CA" w:eastAsia="fr-CA"/>
        </w:rPr>
        <w:t xml:space="preserve">. </w:t>
      </w:r>
      <w:r w:rsidR="00CF68AC" w:rsidRPr="0084150A">
        <w:rPr>
          <w:lang w:val="en-CA" w:eastAsia="fr-CA"/>
        </w:rPr>
        <w:t xml:space="preserve">As for Frédéric Racine, he wanted </w:t>
      </w:r>
      <w:r w:rsidR="00D24A40" w:rsidRPr="0084150A">
        <w:rPr>
          <w:lang w:val="en-CA" w:eastAsia="fr-CA"/>
        </w:rPr>
        <w:t>to benefit from the privileged information disclosed by Philippe Gauthier by purchasing shares of Napec. He also wanted his father and Anne Roy-Dussault to benefit from that information</w:t>
      </w:r>
      <w:r w:rsidR="00536C61" w:rsidRPr="0084150A">
        <w:rPr>
          <w:lang w:val="en-CA" w:eastAsia="fr-CA"/>
        </w:rPr>
        <w:t xml:space="preserve">. </w:t>
      </w:r>
    </w:p>
    <w:p w14:paraId="1805A06B" w14:textId="17555B7A" w:rsidR="006979D7" w:rsidRPr="0084150A" w:rsidRDefault="00D24A40" w:rsidP="006979D7">
      <w:pPr>
        <w:pStyle w:val="Paragraphe"/>
        <w:rPr>
          <w:lang w:val="en-CA" w:eastAsia="fr-CA"/>
        </w:rPr>
      </w:pPr>
      <w:r w:rsidRPr="0084150A">
        <w:rPr>
          <w:lang w:val="en-CA" w:eastAsia="fr-CA"/>
        </w:rPr>
        <w:t>The Tribunal accepts the chronology of events, the way that Frédéric Racine financed his transactions</w:t>
      </w:r>
      <w:r w:rsidR="001014AE">
        <w:rPr>
          <w:lang w:val="en-CA" w:eastAsia="fr-CA"/>
        </w:rPr>
        <w:t>,</w:t>
      </w:r>
      <w:r w:rsidRPr="0084150A">
        <w:rPr>
          <w:lang w:val="en-CA" w:eastAsia="fr-CA"/>
        </w:rPr>
        <w:t xml:space="preserve"> as well as the </w:t>
      </w:r>
      <w:r w:rsidR="00C8479F">
        <w:rPr>
          <w:lang w:val="en-CA" w:eastAsia="fr-CA"/>
        </w:rPr>
        <w:t>concentration</w:t>
      </w:r>
      <w:r w:rsidRPr="0084150A">
        <w:rPr>
          <w:lang w:val="en-CA" w:eastAsia="fr-CA"/>
        </w:rPr>
        <w:t xml:space="preserve"> of </w:t>
      </w:r>
      <w:r w:rsidR="001014AE">
        <w:rPr>
          <w:lang w:val="en-CA" w:eastAsia="fr-CA"/>
        </w:rPr>
        <w:t>the security of Napec</w:t>
      </w:r>
      <w:r w:rsidRPr="0084150A">
        <w:rPr>
          <w:lang w:val="en-CA" w:eastAsia="fr-CA"/>
        </w:rPr>
        <w:t xml:space="preserve"> in his TFSA and RRSP portfolios, the amount invested by Frédéric Racine over a brief period of less than one month, and the quick sale of all </w:t>
      </w:r>
      <w:r w:rsidR="00B97720">
        <w:rPr>
          <w:lang w:val="en-CA" w:eastAsia="fr-CA"/>
        </w:rPr>
        <w:t xml:space="preserve">Napec </w:t>
      </w:r>
      <w:r w:rsidRPr="0084150A">
        <w:rPr>
          <w:lang w:val="en-CA" w:eastAsia="fr-CA"/>
        </w:rPr>
        <w:t>securities on the day after the public announcement</w:t>
      </w:r>
      <w:r w:rsidR="005D25C5" w:rsidRPr="0084150A">
        <w:rPr>
          <w:lang w:val="en-CA" w:eastAsia="fr-CA"/>
        </w:rPr>
        <w:t xml:space="preserve">. </w:t>
      </w:r>
      <w:r w:rsidRPr="0084150A">
        <w:rPr>
          <w:lang w:val="en-CA" w:eastAsia="fr-CA"/>
        </w:rPr>
        <w:t xml:space="preserve">The Tribunal also takes into consideration the fact that Frédéric Racine boasted in a text message to Anne Roy-Dussault that he was going to </w:t>
      </w:r>
      <w:r w:rsidR="00B97720">
        <w:rPr>
          <w:lang w:val="en-CA" w:eastAsia="fr-CA"/>
        </w:rPr>
        <w:t>make a</w:t>
      </w:r>
      <w:r w:rsidR="00B97720" w:rsidRPr="0084150A">
        <w:rPr>
          <w:lang w:val="en-CA" w:eastAsia="fr-CA"/>
        </w:rPr>
        <w:t xml:space="preserve"> </w:t>
      </w:r>
      <w:r w:rsidRPr="0084150A">
        <w:rPr>
          <w:lang w:val="en-CA" w:eastAsia="fr-CA"/>
        </w:rPr>
        <w:t>50% profit on [</w:t>
      </w:r>
      <w:r w:rsidRPr="0084150A">
        <w:rPr>
          <w:smallCaps/>
          <w:lang w:val="en-CA" w:eastAsia="fr-CA"/>
        </w:rPr>
        <w:t>translation]</w:t>
      </w:r>
      <w:r w:rsidRPr="0084150A">
        <w:rPr>
          <w:lang w:val="en-CA" w:eastAsia="fr-CA"/>
        </w:rPr>
        <w:t xml:space="preserve"> “</w:t>
      </w:r>
      <w:r w:rsidR="000B60AD">
        <w:rPr>
          <w:lang w:val="en-CA" w:eastAsia="fr-CA"/>
        </w:rPr>
        <w:t>an</w:t>
      </w:r>
      <w:r w:rsidRPr="0084150A">
        <w:rPr>
          <w:lang w:val="en-CA" w:eastAsia="fr-CA"/>
        </w:rPr>
        <w:t xml:space="preserve">other deal” while </w:t>
      </w:r>
      <w:r w:rsidR="006F36BC" w:rsidRPr="0084150A">
        <w:rPr>
          <w:lang w:val="en-CA" w:eastAsia="fr-CA"/>
        </w:rPr>
        <w:t>referring to Napec</w:t>
      </w:r>
      <w:r w:rsidR="0099181F">
        <w:rPr>
          <w:lang w:val="en-CA" w:eastAsia="fr-CA"/>
        </w:rPr>
        <w:t>,</w:t>
      </w:r>
      <w:r w:rsidR="006F36BC" w:rsidRPr="0084150A">
        <w:rPr>
          <w:lang w:val="en-CA" w:eastAsia="fr-CA"/>
        </w:rPr>
        <w:t xml:space="preserve"> even though he denied to the Tribunal that he was referring to that security</w:t>
      </w:r>
      <w:r w:rsidR="005D25C5" w:rsidRPr="0084150A">
        <w:rPr>
          <w:lang w:val="en-CA" w:eastAsia="fr-CA"/>
        </w:rPr>
        <w:t>.</w:t>
      </w:r>
    </w:p>
    <w:p w14:paraId="2AE7F945" w14:textId="17C1B147" w:rsidR="006979D7" w:rsidRPr="0084150A" w:rsidRDefault="009975A6" w:rsidP="006979D7">
      <w:pPr>
        <w:pStyle w:val="Paragraphe"/>
        <w:rPr>
          <w:lang w:val="en-CA" w:eastAsia="fr-CA"/>
        </w:rPr>
      </w:pPr>
      <w:r w:rsidRPr="0084150A">
        <w:rPr>
          <w:lang w:val="en-CA"/>
        </w:rPr>
        <w:lastRenderedPageBreak/>
        <w:t>The Tribunal takes into consideration the contradictions in Frédéric Racine’s testimony before investigators and before the Tribunal</w:t>
      </w:r>
      <w:r w:rsidR="005D25C5" w:rsidRPr="0084150A">
        <w:rPr>
          <w:lang w:val="en-CA"/>
        </w:rPr>
        <w:t xml:space="preserve">. </w:t>
      </w:r>
    </w:p>
    <w:p w14:paraId="13597B2F" w14:textId="3FACB853" w:rsidR="001707FE" w:rsidRPr="0084150A" w:rsidRDefault="001C5836" w:rsidP="006979D7">
      <w:pPr>
        <w:pStyle w:val="Paragraphe"/>
        <w:rPr>
          <w:lang w:val="en-CA" w:eastAsia="fr-CA"/>
        </w:rPr>
      </w:pPr>
      <w:r w:rsidRPr="0084150A">
        <w:rPr>
          <w:lang w:val="en-CA"/>
        </w:rPr>
        <w:t xml:space="preserve">The Tribunal also accepts the contradictory testimony </w:t>
      </w:r>
      <w:r w:rsidR="00B459E0" w:rsidRPr="0084150A">
        <w:rPr>
          <w:lang w:val="en-CA"/>
        </w:rPr>
        <w:t>of Gilles Racine, Frédéric Racine</w:t>
      </w:r>
      <w:r w:rsidR="00B97720">
        <w:rPr>
          <w:lang w:val="en-CA"/>
        </w:rPr>
        <w:t>’s father</w:t>
      </w:r>
      <w:r w:rsidR="00B459E0" w:rsidRPr="0084150A">
        <w:rPr>
          <w:lang w:val="en-CA"/>
        </w:rPr>
        <w:t xml:space="preserve">, before the Authority’s investigators and before the Tribunal, in the same way as the testimony of his son. In </w:t>
      </w:r>
      <w:r w:rsidR="00B97720">
        <w:rPr>
          <w:lang w:val="en-CA"/>
        </w:rPr>
        <w:t>fact</w:t>
      </w:r>
      <w:r w:rsidR="00B459E0" w:rsidRPr="0084150A">
        <w:rPr>
          <w:lang w:val="en-CA"/>
        </w:rPr>
        <w:t>, his last version is aligned with his son’s</w:t>
      </w:r>
      <w:r w:rsidR="005D25C5" w:rsidRPr="0084150A">
        <w:rPr>
          <w:lang w:val="en-CA"/>
        </w:rPr>
        <w:t>.</w:t>
      </w:r>
    </w:p>
    <w:p w14:paraId="1345FF9C" w14:textId="3800D678" w:rsidR="006979D7" w:rsidRPr="0084150A" w:rsidRDefault="00853DAF" w:rsidP="00536C61">
      <w:pPr>
        <w:pStyle w:val="Paragraphe"/>
        <w:rPr>
          <w:lang w:val="en-CA" w:eastAsia="fr-CA"/>
        </w:rPr>
      </w:pPr>
      <w:r w:rsidRPr="0084150A">
        <w:rPr>
          <w:lang w:val="en-CA" w:eastAsia="fr-CA"/>
        </w:rPr>
        <w:t xml:space="preserve">The Tribunal also takes into consideration that both Philippe Gauthier and Frédéric Racine insinuated that the disclosure of the privileged information came from other </w:t>
      </w:r>
      <w:r w:rsidR="005B0CA6">
        <w:rPr>
          <w:lang w:val="en-CA" w:eastAsia="fr-CA"/>
        </w:rPr>
        <w:t>individuals</w:t>
      </w:r>
      <w:r w:rsidRPr="0084150A">
        <w:rPr>
          <w:lang w:val="en-CA" w:eastAsia="fr-CA"/>
        </w:rPr>
        <w:t xml:space="preserve"> within their network without these allegations being corroborated in any way whatsoever</w:t>
      </w:r>
      <w:r w:rsidR="005D25C5" w:rsidRPr="0084150A">
        <w:rPr>
          <w:lang w:val="en-CA" w:eastAsia="fr-CA"/>
        </w:rPr>
        <w:t>.</w:t>
      </w:r>
    </w:p>
    <w:p w14:paraId="692713A4" w14:textId="5B93317B" w:rsidR="006979D7" w:rsidRPr="0084150A" w:rsidRDefault="005D25C5" w:rsidP="006979D7">
      <w:pPr>
        <w:pStyle w:val="Titre3"/>
        <w:numPr>
          <w:ilvl w:val="0"/>
          <w:numId w:val="0"/>
        </w:numPr>
        <w:ind w:left="360" w:hanging="360"/>
        <w:jc w:val="both"/>
        <w:rPr>
          <w:lang w:val="en-CA"/>
        </w:rPr>
      </w:pPr>
      <w:r w:rsidRPr="005E07F3">
        <w:rPr>
          <w:lang w:val="en-CA"/>
        </w:rPr>
        <w:t xml:space="preserve">The </w:t>
      </w:r>
      <w:r w:rsidR="00087A04" w:rsidRPr="0084150A">
        <w:rPr>
          <w:lang w:val="en-CA"/>
        </w:rPr>
        <w:t>damage caused to the integrity of the markets</w:t>
      </w:r>
    </w:p>
    <w:p w14:paraId="1B295AB7" w14:textId="56D64BC5" w:rsidR="006979D7" w:rsidRPr="0084150A" w:rsidRDefault="00DB4A94" w:rsidP="006979D7">
      <w:pPr>
        <w:pStyle w:val="Paragraphe"/>
        <w:rPr>
          <w:lang w:val="en-CA" w:eastAsia="fr-CA"/>
        </w:rPr>
      </w:pPr>
      <w:r w:rsidRPr="0084150A">
        <w:rPr>
          <w:lang w:val="en-CA" w:eastAsia="fr-CA"/>
        </w:rPr>
        <w:t>As with any insider trading</w:t>
      </w:r>
      <w:r w:rsidR="001B0613" w:rsidRPr="0084150A">
        <w:rPr>
          <w:lang w:val="en-CA" w:eastAsia="fr-CA"/>
        </w:rPr>
        <w:t xml:space="preserve">, the </w:t>
      </w:r>
      <w:r w:rsidR="003F087B">
        <w:rPr>
          <w:lang w:val="en-CA" w:eastAsia="fr-CA"/>
        </w:rPr>
        <w:t>contraventions of</w:t>
      </w:r>
      <w:r w:rsidR="003F087B" w:rsidRPr="0084150A">
        <w:rPr>
          <w:lang w:val="en-CA" w:eastAsia="fr-CA"/>
        </w:rPr>
        <w:t xml:space="preserve"> </w:t>
      </w:r>
      <w:r w:rsidR="001B0613" w:rsidRPr="0084150A">
        <w:rPr>
          <w:lang w:val="en-CA" w:eastAsia="fr-CA"/>
        </w:rPr>
        <w:t>the</w:t>
      </w:r>
      <w:r w:rsidR="003F087B">
        <w:rPr>
          <w:lang w:val="en-CA" w:eastAsia="fr-CA"/>
        </w:rPr>
        <w:t xml:space="preserve"> prohibitions on the</w:t>
      </w:r>
      <w:r w:rsidR="001B0613" w:rsidRPr="0084150A">
        <w:rPr>
          <w:lang w:val="en-CA" w:eastAsia="fr-CA"/>
        </w:rPr>
        <w:t xml:space="preserve"> use of privileged information committed by Philippe Gauthier and Frédéric Racine caused damage to the integrity of the markets by creating inequality among participants, which affected </w:t>
      </w:r>
      <w:r w:rsidR="002A3982" w:rsidRPr="0084150A">
        <w:rPr>
          <w:lang w:val="en-CA" w:eastAsia="fr-CA"/>
        </w:rPr>
        <w:t>investor confidence</w:t>
      </w:r>
      <w:r w:rsidR="001B0613" w:rsidRPr="0084150A">
        <w:rPr>
          <w:lang w:val="en-CA" w:eastAsia="fr-CA"/>
        </w:rPr>
        <w:t xml:space="preserve"> in the markets</w:t>
      </w:r>
      <w:r w:rsidR="005D25C5" w:rsidRPr="0084150A">
        <w:rPr>
          <w:lang w:val="en-CA" w:eastAsia="fr-CA"/>
        </w:rPr>
        <w:t>.</w:t>
      </w:r>
    </w:p>
    <w:p w14:paraId="1C89D3AF" w14:textId="7F4396B1" w:rsidR="006979D7" w:rsidRPr="0084150A" w:rsidRDefault="00FD1D2E" w:rsidP="006979D7">
      <w:pPr>
        <w:pStyle w:val="Titre3"/>
        <w:numPr>
          <w:ilvl w:val="0"/>
          <w:numId w:val="0"/>
        </w:numPr>
        <w:ind w:left="360" w:hanging="360"/>
        <w:jc w:val="both"/>
        <w:rPr>
          <w:lang w:val="en-CA"/>
        </w:rPr>
      </w:pPr>
      <w:r w:rsidRPr="0084150A">
        <w:rPr>
          <w:lang w:val="en-CA"/>
        </w:rPr>
        <w:t>Deterrents</w:t>
      </w:r>
    </w:p>
    <w:p w14:paraId="6E8A92B3" w14:textId="42A2E41B" w:rsidR="006979D7" w:rsidRPr="0084150A" w:rsidRDefault="00F50B20" w:rsidP="006979D7">
      <w:pPr>
        <w:pStyle w:val="Paragraphe"/>
        <w:rPr>
          <w:lang w:val="en-CA"/>
        </w:rPr>
      </w:pPr>
      <w:r w:rsidRPr="0084150A">
        <w:rPr>
          <w:lang w:val="en-CA"/>
        </w:rPr>
        <w:t>The Tribunal has</w:t>
      </w:r>
      <w:r w:rsidR="005E0E32">
        <w:rPr>
          <w:lang w:val="en-CA"/>
        </w:rPr>
        <w:t xml:space="preserve"> repeatedly</w:t>
      </w:r>
      <w:r w:rsidRPr="0084150A">
        <w:rPr>
          <w:lang w:val="en-CA"/>
        </w:rPr>
        <w:t xml:space="preserve"> reiterated that an administrative measure, including a penalty, can constitute a deterrent for the offender and for other professionals who may be tempted to commit the same </w:t>
      </w:r>
      <w:r w:rsidR="005E0E32">
        <w:rPr>
          <w:lang w:val="en-CA"/>
        </w:rPr>
        <w:t>contraventions</w:t>
      </w:r>
      <w:r w:rsidRPr="0084150A">
        <w:rPr>
          <w:lang w:val="en-CA"/>
        </w:rPr>
        <w:t>. Deterr</w:t>
      </w:r>
      <w:r w:rsidR="00FB1917" w:rsidRPr="0084150A">
        <w:rPr>
          <w:lang w:val="en-CA"/>
        </w:rPr>
        <w:t>e</w:t>
      </w:r>
      <w:r w:rsidRPr="0084150A">
        <w:rPr>
          <w:lang w:val="en-CA"/>
        </w:rPr>
        <w:t xml:space="preserve">nce </w:t>
      </w:r>
      <w:r w:rsidR="00930029" w:rsidRPr="0084150A">
        <w:rPr>
          <w:lang w:val="en-CA"/>
        </w:rPr>
        <w:t>constitutes</w:t>
      </w:r>
      <w:r w:rsidRPr="0084150A">
        <w:rPr>
          <w:lang w:val="en-CA"/>
        </w:rPr>
        <w:t xml:space="preserve"> a factor that should be taken into consideration when analyzing the </w:t>
      </w:r>
      <w:r w:rsidR="00930029" w:rsidRPr="0084150A">
        <w:rPr>
          <w:lang w:val="en-CA"/>
        </w:rPr>
        <w:t>appropriateness</w:t>
      </w:r>
      <w:r w:rsidRPr="0084150A">
        <w:rPr>
          <w:lang w:val="en-CA"/>
        </w:rPr>
        <w:t xml:space="preserve"> of imposing an administrative measure</w:t>
      </w:r>
      <w:r w:rsidR="005D25C5" w:rsidRPr="0084150A">
        <w:rPr>
          <w:lang w:val="en-CA"/>
        </w:rPr>
        <w:t xml:space="preserve">. </w:t>
      </w:r>
    </w:p>
    <w:p w14:paraId="552ACAB9" w14:textId="4B3BCAEA" w:rsidR="006979D7" w:rsidRPr="0084150A" w:rsidRDefault="007D7E02" w:rsidP="006979D7">
      <w:pPr>
        <w:pStyle w:val="Paragraphe"/>
        <w:rPr>
          <w:lang w:val="en-CA"/>
        </w:rPr>
      </w:pPr>
      <w:r w:rsidRPr="0084150A">
        <w:rPr>
          <w:lang w:val="en-CA"/>
        </w:rPr>
        <w:t>In</w:t>
      </w:r>
      <w:r w:rsidR="005D25C5" w:rsidRPr="0084150A">
        <w:rPr>
          <w:lang w:val="en-CA"/>
        </w:rPr>
        <w:t xml:space="preserve"> </w:t>
      </w:r>
      <w:r w:rsidR="005D25C5" w:rsidRPr="0084150A">
        <w:rPr>
          <w:i/>
          <w:lang w:val="en-CA"/>
        </w:rPr>
        <w:t>Cartaway Ressources Corp. (Re)</w:t>
      </w:r>
      <w:r w:rsidRPr="0084150A">
        <w:rPr>
          <w:iCs/>
          <w:lang w:val="en-CA"/>
        </w:rPr>
        <w:t>,</w:t>
      </w:r>
      <w:r w:rsidR="005D25C5" w:rsidRPr="0084150A">
        <w:rPr>
          <w:rStyle w:val="Appelnotedebasdep"/>
          <w:rFonts w:cs="Arial"/>
          <w:iCs/>
          <w:szCs w:val="24"/>
          <w:lang w:val="en-CA"/>
        </w:rPr>
        <w:footnoteReference w:id="159"/>
      </w:r>
      <w:r w:rsidR="005D25C5" w:rsidRPr="0084150A">
        <w:rPr>
          <w:lang w:val="en-CA"/>
        </w:rPr>
        <w:t xml:space="preserve"> </w:t>
      </w:r>
      <w:r w:rsidRPr="0084150A">
        <w:rPr>
          <w:lang w:val="en-CA"/>
        </w:rPr>
        <w:t>the Supreme Court noted the relevance of considering the deterrent effect that the penalty imposed will have:</w:t>
      </w:r>
      <w:r w:rsidR="005D25C5" w:rsidRPr="0084150A">
        <w:rPr>
          <w:rStyle w:val="Appelnotedebasdep"/>
          <w:rFonts w:cs="Arial"/>
          <w:szCs w:val="24"/>
          <w:lang w:val="en-CA"/>
        </w:rPr>
        <w:footnoteReference w:id="160"/>
      </w:r>
      <w:r w:rsidR="005D25C5" w:rsidRPr="0084150A">
        <w:rPr>
          <w:lang w:val="en-CA"/>
        </w:rPr>
        <w:t xml:space="preserve"> </w:t>
      </w:r>
    </w:p>
    <w:p w14:paraId="65AFF20C" w14:textId="492095F6" w:rsidR="006979D7" w:rsidRPr="0084150A" w:rsidRDefault="00FB1917" w:rsidP="006979D7">
      <w:pPr>
        <w:pStyle w:val="Citationendoubleretrait"/>
      </w:pPr>
      <w:r w:rsidRPr="0084150A">
        <w:t>In my opinion, general deterrence is an appropriate factor in formulating a penalty in the public interest. General deterrence is both prospective and preventative in orientation. As such, it falls squarely within the public interest jurisdiction of securities commissions to maintain investor confidence in capital markets.</w:t>
      </w:r>
      <w:r w:rsidR="005D25C5" w:rsidRPr="0084150A">
        <w:rPr>
          <w:rStyle w:val="Appelnotedebasdep"/>
          <w:sz w:val="24"/>
          <w:szCs w:val="24"/>
        </w:rPr>
        <w:footnoteReference w:id="161"/>
      </w:r>
      <w:r w:rsidR="005D25C5" w:rsidRPr="0084150A">
        <w:t> </w:t>
      </w:r>
    </w:p>
    <w:p w14:paraId="69D943AB" w14:textId="4EA3C448" w:rsidR="006979D7" w:rsidRPr="0084150A" w:rsidRDefault="00FB1917" w:rsidP="00B24451">
      <w:pPr>
        <w:pStyle w:val="Paragraphe"/>
        <w:rPr>
          <w:lang w:val="en-CA"/>
        </w:rPr>
      </w:pPr>
      <w:r w:rsidRPr="0084150A">
        <w:rPr>
          <w:lang w:val="en-CA"/>
        </w:rPr>
        <w:t>This factor is relevant, even necessary to establish an order that is both protective and preventative</w:t>
      </w:r>
      <w:r w:rsidR="005D25C5" w:rsidRPr="0084150A">
        <w:rPr>
          <w:rStyle w:val="Appelnotedebasdep"/>
          <w:rFonts w:cs="Arial"/>
          <w:szCs w:val="24"/>
          <w:lang w:val="en-CA"/>
        </w:rPr>
        <w:footnoteReference w:id="162"/>
      </w:r>
      <w:r w:rsidR="005D25C5" w:rsidRPr="0084150A">
        <w:rPr>
          <w:lang w:val="en-CA"/>
        </w:rPr>
        <w:t xml:space="preserve"> </w:t>
      </w:r>
      <w:r w:rsidR="002E6A99">
        <w:rPr>
          <w:lang w:val="en-CA"/>
        </w:rPr>
        <w:t>that</w:t>
      </w:r>
      <w:r w:rsidRPr="0084150A">
        <w:rPr>
          <w:lang w:val="en-CA"/>
        </w:rPr>
        <w:t xml:space="preserve"> sends a clear message that this type of </w:t>
      </w:r>
      <w:r w:rsidR="002E6A99">
        <w:rPr>
          <w:lang w:val="en-CA"/>
        </w:rPr>
        <w:t>conduct</w:t>
      </w:r>
      <w:r w:rsidR="002E6A99" w:rsidRPr="0084150A">
        <w:rPr>
          <w:lang w:val="en-CA"/>
        </w:rPr>
        <w:t xml:space="preserve"> </w:t>
      </w:r>
      <w:r w:rsidRPr="0084150A">
        <w:rPr>
          <w:lang w:val="en-CA"/>
        </w:rPr>
        <w:t>cannot be tolerated</w:t>
      </w:r>
      <w:r w:rsidR="005D25C5" w:rsidRPr="0084150A">
        <w:rPr>
          <w:lang w:val="en-CA"/>
        </w:rPr>
        <w:t xml:space="preserve">. </w:t>
      </w:r>
    </w:p>
    <w:p w14:paraId="4F05DCB9" w14:textId="26DC1328" w:rsidR="006979D7" w:rsidRPr="0084150A" w:rsidRDefault="00041697" w:rsidP="006979D7">
      <w:pPr>
        <w:pStyle w:val="Paragraphe"/>
        <w:rPr>
          <w:lang w:val="en-CA"/>
        </w:rPr>
      </w:pPr>
      <w:r w:rsidRPr="0084150A">
        <w:rPr>
          <w:lang w:val="en-CA"/>
        </w:rPr>
        <w:t xml:space="preserve">The Tribunal finds that it is essential that all </w:t>
      </w:r>
      <w:r w:rsidR="00AA2A9B">
        <w:rPr>
          <w:lang w:val="en-CA"/>
        </w:rPr>
        <w:t>individuals</w:t>
      </w:r>
      <w:r w:rsidRPr="0084150A">
        <w:rPr>
          <w:lang w:val="en-CA"/>
        </w:rPr>
        <w:t xml:space="preserve"> involved in the market understand the importance of complying with the rules prohibiting the use of privileged information and that it is illegal to </w:t>
      </w:r>
      <w:r w:rsidR="002E6A99">
        <w:rPr>
          <w:lang w:val="en-CA"/>
        </w:rPr>
        <w:t>exchange</w:t>
      </w:r>
      <w:r w:rsidR="002E6A99" w:rsidRPr="0084150A">
        <w:rPr>
          <w:lang w:val="en-CA"/>
        </w:rPr>
        <w:t xml:space="preserve"> </w:t>
      </w:r>
      <w:r w:rsidRPr="0084150A">
        <w:rPr>
          <w:lang w:val="en-CA"/>
        </w:rPr>
        <w:t>[</w:t>
      </w:r>
      <w:r w:rsidRPr="0084150A">
        <w:rPr>
          <w:smallCaps/>
          <w:lang w:val="en-CA"/>
        </w:rPr>
        <w:t>translation]</w:t>
      </w:r>
      <w:r w:rsidRPr="0084150A">
        <w:rPr>
          <w:lang w:val="en-CA"/>
        </w:rPr>
        <w:t xml:space="preserve"> “tips” based on privileged information and to trade in securities based on that information</w:t>
      </w:r>
      <w:r w:rsidR="00C778B8" w:rsidRPr="0084150A">
        <w:rPr>
          <w:lang w:val="en-CA"/>
        </w:rPr>
        <w:t xml:space="preserve">. </w:t>
      </w:r>
    </w:p>
    <w:p w14:paraId="2EF18ABC" w14:textId="77777777" w:rsidR="006979D7" w:rsidRPr="005E07F3" w:rsidRDefault="005D25C5" w:rsidP="006979D7">
      <w:pPr>
        <w:pStyle w:val="Titre3"/>
        <w:numPr>
          <w:ilvl w:val="0"/>
          <w:numId w:val="0"/>
        </w:numPr>
        <w:ind w:left="360" w:hanging="360"/>
        <w:jc w:val="both"/>
        <w:rPr>
          <w:lang w:val="en-CA"/>
        </w:rPr>
      </w:pPr>
      <w:r w:rsidRPr="005E07F3">
        <w:rPr>
          <w:lang w:val="en-CA"/>
        </w:rPr>
        <w:lastRenderedPageBreak/>
        <w:t>Mitigating factors</w:t>
      </w:r>
    </w:p>
    <w:p w14:paraId="03642CDC" w14:textId="41FC81EB" w:rsidR="006979D7" w:rsidRPr="0084150A" w:rsidRDefault="00041697" w:rsidP="006979D7">
      <w:pPr>
        <w:pStyle w:val="Paragraphe"/>
        <w:rPr>
          <w:lang w:val="en-CA" w:eastAsia="fr-CA"/>
        </w:rPr>
      </w:pPr>
      <w:r w:rsidRPr="0084150A">
        <w:rPr>
          <w:lang w:val="en-CA" w:eastAsia="fr-CA"/>
        </w:rPr>
        <w:t xml:space="preserve">Although Philippe Gauthier and Frédéric Racine </w:t>
      </w:r>
      <w:r w:rsidR="00CA5C7A">
        <w:rPr>
          <w:lang w:val="en-CA" w:eastAsia="fr-CA"/>
        </w:rPr>
        <w:t>argue</w:t>
      </w:r>
      <w:r w:rsidR="00CA5C7A" w:rsidRPr="0084150A">
        <w:rPr>
          <w:lang w:val="en-CA" w:eastAsia="fr-CA"/>
        </w:rPr>
        <w:t xml:space="preserve"> </w:t>
      </w:r>
      <w:r w:rsidRPr="0084150A">
        <w:rPr>
          <w:lang w:val="en-CA" w:eastAsia="fr-CA"/>
        </w:rPr>
        <w:t>that the Tribunal must take their finances into consideration in determining the administrative penalty to be imposed, the Tribunal has had very little evidence in this respect</w:t>
      </w:r>
      <w:r w:rsidR="005D25C5" w:rsidRPr="0084150A">
        <w:rPr>
          <w:lang w:val="en-CA" w:eastAsia="fr-CA"/>
        </w:rPr>
        <w:t xml:space="preserve">. </w:t>
      </w:r>
    </w:p>
    <w:p w14:paraId="3519B03D" w14:textId="0947000D" w:rsidR="006979D7" w:rsidRPr="0084150A" w:rsidRDefault="005D25C5" w:rsidP="006979D7">
      <w:pPr>
        <w:pStyle w:val="Paragraphe"/>
        <w:rPr>
          <w:lang w:val="en-CA" w:eastAsia="fr-CA"/>
        </w:rPr>
      </w:pPr>
      <w:r w:rsidRPr="0084150A">
        <w:rPr>
          <w:lang w:val="en-CA" w:eastAsia="fr-CA"/>
        </w:rPr>
        <w:t xml:space="preserve">Philippe Gauthier </w:t>
      </w:r>
      <w:r w:rsidR="008D5197" w:rsidRPr="0084150A">
        <w:rPr>
          <w:lang w:val="en-CA" w:eastAsia="fr-CA"/>
        </w:rPr>
        <w:t>lost his job at LBC in 20</w:t>
      </w:r>
      <w:r w:rsidR="004D3EDA">
        <w:rPr>
          <w:lang w:val="en-CA" w:eastAsia="fr-CA"/>
        </w:rPr>
        <w:t>1</w:t>
      </w:r>
      <w:r w:rsidR="008D5197" w:rsidRPr="0084150A">
        <w:rPr>
          <w:lang w:val="en-CA" w:eastAsia="fr-CA"/>
        </w:rPr>
        <w:t xml:space="preserve">8, and he explained that he </w:t>
      </w:r>
      <w:r w:rsidR="004D3EDA">
        <w:rPr>
          <w:lang w:val="en-CA" w:eastAsia="fr-CA"/>
        </w:rPr>
        <w:t>has had</w:t>
      </w:r>
      <w:r w:rsidR="008D5197" w:rsidRPr="0084150A">
        <w:rPr>
          <w:lang w:val="en-CA" w:eastAsia="fr-CA"/>
        </w:rPr>
        <w:t xml:space="preserve"> trouble finding a job in the financial </w:t>
      </w:r>
      <w:r w:rsidR="00CA5C7A">
        <w:rPr>
          <w:lang w:val="en-CA" w:eastAsia="fr-CA"/>
        </w:rPr>
        <w:t>industry</w:t>
      </w:r>
      <w:r w:rsidR="008D5197" w:rsidRPr="0084150A">
        <w:rPr>
          <w:lang w:val="en-CA" w:eastAsia="fr-CA"/>
        </w:rPr>
        <w:t xml:space="preserve">. Therefore, he has not </w:t>
      </w:r>
      <w:r w:rsidR="00174D2E">
        <w:rPr>
          <w:lang w:val="en-CA" w:eastAsia="fr-CA"/>
        </w:rPr>
        <w:t>worked</w:t>
      </w:r>
      <w:r w:rsidR="008D5197" w:rsidRPr="0084150A">
        <w:rPr>
          <w:lang w:val="en-CA" w:eastAsia="fr-CA"/>
        </w:rPr>
        <w:t xml:space="preserve"> in the </w:t>
      </w:r>
      <w:r w:rsidR="00CA5C7A">
        <w:rPr>
          <w:lang w:val="en-CA" w:eastAsia="fr-CA"/>
        </w:rPr>
        <w:t>industry</w:t>
      </w:r>
      <w:r w:rsidR="00CA5C7A" w:rsidRPr="0084150A">
        <w:rPr>
          <w:lang w:val="en-CA" w:eastAsia="fr-CA"/>
        </w:rPr>
        <w:t xml:space="preserve"> </w:t>
      </w:r>
      <w:r w:rsidR="008D5197" w:rsidRPr="0084150A">
        <w:rPr>
          <w:lang w:val="en-CA" w:eastAsia="fr-CA"/>
        </w:rPr>
        <w:t>for several years</w:t>
      </w:r>
      <w:r w:rsidRPr="0084150A">
        <w:rPr>
          <w:lang w:val="en-CA" w:eastAsia="fr-CA"/>
        </w:rPr>
        <w:t xml:space="preserve">. </w:t>
      </w:r>
    </w:p>
    <w:p w14:paraId="358AF678" w14:textId="14681F78" w:rsidR="006979D7" w:rsidRPr="0084150A" w:rsidRDefault="005D25C5" w:rsidP="006979D7">
      <w:pPr>
        <w:pStyle w:val="Paragraphe"/>
        <w:rPr>
          <w:lang w:val="en-CA" w:eastAsia="fr-CA"/>
        </w:rPr>
      </w:pPr>
      <w:r w:rsidRPr="0084150A">
        <w:rPr>
          <w:lang w:val="en-CA" w:eastAsia="fr-CA"/>
        </w:rPr>
        <w:t xml:space="preserve">Frédéric Racine </w:t>
      </w:r>
      <w:r w:rsidR="008B23C7" w:rsidRPr="0084150A">
        <w:rPr>
          <w:lang w:val="en-CA" w:eastAsia="fr-CA"/>
        </w:rPr>
        <w:t xml:space="preserve">lost his job </w:t>
      </w:r>
      <w:r w:rsidR="00CA5C7A">
        <w:rPr>
          <w:lang w:val="en-CA" w:eastAsia="fr-CA"/>
        </w:rPr>
        <w:t>around</w:t>
      </w:r>
      <w:r w:rsidR="00CA5C7A" w:rsidRPr="0084150A">
        <w:rPr>
          <w:lang w:val="en-CA" w:eastAsia="fr-CA"/>
        </w:rPr>
        <w:t xml:space="preserve"> </w:t>
      </w:r>
      <w:r w:rsidR="008B23C7" w:rsidRPr="0084150A">
        <w:rPr>
          <w:lang w:val="en-CA" w:eastAsia="fr-CA"/>
        </w:rPr>
        <w:t>August 8, 2023. When this case was taken under advisement, he was still unemployed</w:t>
      </w:r>
      <w:r w:rsidRPr="0084150A">
        <w:rPr>
          <w:lang w:val="en-CA" w:eastAsia="fr-CA"/>
        </w:rPr>
        <w:t>.</w:t>
      </w:r>
    </w:p>
    <w:p w14:paraId="2F1E190F" w14:textId="4E383A4D" w:rsidR="006979D7" w:rsidRPr="0084150A" w:rsidRDefault="008B23C7" w:rsidP="006979D7">
      <w:pPr>
        <w:pStyle w:val="Paragraphe"/>
        <w:rPr>
          <w:lang w:val="en-CA" w:eastAsia="fr-CA"/>
        </w:rPr>
      </w:pPr>
      <w:r w:rsidRPr="0084150A">
        <w:rPr>
          <w:lang w:val="en-CA" w:eastAsia="fr-CA"/>
        </w:rPr>
        <w:t>In</w:t>
      </w:r>
      <w:r w:rsidR="005D25C5" w:rsidRPr="0084150A">
        <w:rPr>
          <w:lang w:val="en-CA" w:eastAsia="fr-CA"/>
        </w:rPr>
        <w:t xml:space="preserve"> </w:t>
      </w:r>
      <w:r w:rsidR="005D25C5" w:rsidRPr="0084150A">
        <w:rPr>
          <w:i/>
          <w:iCs/>
          <w:lang w:val="en-CA" w:eastAsia="fr-CA"/>
        </w:rPr>
        <w:t>Azeff</w:t>
      </w:r>
      <w:r w:rsidRPr="0084150A">
        <w:rPr>
          <w:lang w:val="en-CA" w:eastAsia="fr-CA"/>
        </w:rPr>
        <w:t>,</w:t>
      </w:r>
      <w:r w:rsidR="005D25C5" w:rsidRPr="0084150A">
        <w:rPr>
          <w:rStyle w:val="Appelnotedebasdep"/>
          <w:lang w:val="en-CA" w:eastAsia="fr-CA"/>
        </w:rPr>
        <w:footnoteReference w:id="163"/>
      </w:r>
      <w:r w:rsidR="0075567F" w:rsidRPr="0084150A">
        <w:rPr>
          <w:lang w:val="en-CA" w:eastAsia="fr-CA"/>
        </w:rPr>
        <w:t xml:space="preserve"> </w:t>
      </w:r>
      <w:r w:rsidRPr="0084150A">
        <w:rPr>
          <w:lang w:val="en-CA" w:eastAsia="fr-CA"/>
        </w:rPr>
        <w:t xml:space="preserve">the Ontario Securities Commission noted that the </w:t>
      </w:r>
      <w:r w:rsidR="002F7691" w:rsidRPr="0084150A">
        <w:rPr>
          <w:lang w:val="en-CA" w:eastAsia="fr-CA"/>
        </w:rPr>
        <w:t>respondent</w:t>
      </w:r>
      <w:r w:rsidR="00057226">
        <w:rPr>
          <w:lang w:val="en-CA" w:eastAsia="fr-CA"/>
        </w:rPr>
        <w:t>—</w:t>
      </w:r>
      <w:r w:rsidR="002F7691" w:rsidRPr="0084150A">
        <w:rPr>
          <w:lang w:val="en-CA" w:eastAsia="fr-CA"/>
        </w:rPr>
        <w:t>who had disclosed privileged information about mergers and acquisitions transactions on which he worked as an attorney for a major firm</w:t>
      </w:r>
      <w:r w:rsidR="00057226">
        <w:rPr>
          <w:lang w:val="en-CA" w:eastAsia="fr-CA"/>
        </w:rPr>
        <w:t>—</w:t>
      </w:r>
      <w:r w:rsidR="002F7691" w:rsidRPr="0084150A">
        <w:rPr>
          <w:lang w:val="en-CA" w:eastAsia="fr-CA"/>
        </w:rPr>
        <w:t>had lost his job and it was unlikely that he would find another job like it</w:t>
      </w:r>
      <w:r w:rsidR="0075567F" w:rsidRPr="0084150A">
        <w:rPr>
          <w:lang w:val="en-CA" w:eastAsia="fr-CA"/>
        </w:rPr>
        <w:t xml:space="preserve">. </w:t>
      </w:r>
      <w:r w:rsidR="002F7691" w:rsidRPr="0084150A">
        <w:rPr>
          <w:lang w:val="en-CA" w:eastAsia="fr-CA"/>
        </w:rPr>
        <w:t xml:space="preserve">However, it was decided that this </w:t>
      </w:r>
      <w:r w:rsidR="00CA5C7A">
        <w:rPr>
          <w:lang w:val="en-CA" w:eastAsia="fr-CA"/>
        </w:rPr>
        <w:t>should</w:t>
      </w:r>
      <w:r w:rsidR="00CA5C7A" w:rsidRPr="0084150A">
        <w:rPr>
          <w:lang w:val="en-CA" w:eastAsia="fr-CA"/>
        </w:rPr>
        <w:t xml:space="preserve"> </w:t>
      </w:r>
      <w:r w:rsidR="00E563DD" w:rsidRPr="0084150A">
        <w:rPr>
          <w:lang w:val="en-CA" w:eastAsia="fr-CA"/>
        </w:rPr>
        <w:t xml:space="preserve">not mitigate the measures taken against the respondent to show </w:t>
      </w:r>
      <w:r w:rsidR="0053252F">
        <w:rPr>
          <w:lang w:val="en-CA" w:eastAsia="fr-CA"/>
        </w:rPr>
        <w:t>individuals</w:t>
      </w:r>
      <w:r w:rsidR="00E563DD" w:rsidRPr="0084150A">
        <w:rPr>
          <w:lang w:val="en-CA" w:eastAsia="fr-CA"/>
        </w:rPr>
        <w:t xml:space="preserve"> who might be tempted to place themselves in that situation the consequences of such </w:t>
      </w:r>
      <w:r w:rsidR="00CA5C7A">
        <w:rPr>
          <w:lang w:val="en-CA" w:eastAsia="fr-CA"/>
        </w:rPr>
        <w:t>contraventions</w:t>
      </w:r>
      <w:r w:rsidR="0075567F" w:rsidRPr="0084150A">
        <w:rPr>
          <w:lang w:val="en-CA" w:eastAsia="fr-CA"/>
        </w:rPr>
        <w:t xml:space="preserve">. </w:t>
      </w:r>
      <w:r w:rsidR="005533F9" w:rsidRPr="0084150A">
        <w:rPr>
          <w:lang w:val="en-CA" w:eastAsia="fr-CA"/>
        </w:rPr>
        <w:t>The Tribunal comes to the same conclusion in this case</w:t>
      </w:r>
      <w:r w:rsidR="0075567F" w:rsidRPr="0084150A">
        <w:rPr>
          <w:lang w:val="en-CA" w:eastAsia="fr-CA"/>
        </w:rPr>
        <w:t xml:space="preserve">. </w:t>
      </w:r>
      <w:r w:rsidR="006E755A" w:rsidRPr="0084150A">
        <w:rPr>
          <w:lang w:val="en-CA" w:eastAsia="fr-CA"/>
        </w:rPr>
        <w:t xml:space="preserve">The fact that Philippe Gauthier and Frédéric Racine suffered financial losses and professional consequences does not constitute a mitigating factor in these circumstances. They are consequences that are a result of their </w:t>
      </w:r>
      <w:r w:rsidR="00CA5C7A">
        <w:rPr>
          <w:lang w:val="en-CA" w:eastAsia="fr-CA"/>
        </w:rPr>
        <w:t>failures</w:t>
      </w:r>
      <w:r w:rsidR="006E755A" w:rsidRPr="0084150A">
        <w:rPr>
          <w:lang w:val="en-CA" w:eastAsia="fr-CA"/>
        </w:rPr>
        <w:t>, for which they must fully assume responsibility</w:t>
      </w:r>
      <w:r w:rsidR="0075567F" w:rsidRPr="0084150A">
        <w:rPr>
          <w:lang w:val="en-CA" w:eastAsia="fr-CA"/>
        </w:rPr>
        <w:t xml:space="preserve">. </w:t>
      </w:r>
    </w:p>
    <w:p w14:paraId="30B42885" w14:textId="77777777" w:rsidR="006979D7" w:rsidRPr="005E07F3" w:rsidRDefault="005D25C5" w:rsidP="006979D7">
      <w:pPr>
        <w:pStyle w:val="Titre3"/>
        <w:numPr>
          <w:ilvl w:val="0"/>
          <w:numId w:val="0"/>
        </w:numPr>
        <w:ind w:left="360" w:hanging="360"/>
        <w:jc w:val="both"/>
        <w:rPr>
          <w:lang w:val="en-CA"/>
        </w:rPr>
      </w:pPr>
      <w:r w:rsidRPr="005E07F3">
        <w:rPr>
          <w:lang w:val="en-CA"/>
        </w:rPr>
        <w:t>Sanctions imposed in similar circumstances</w:t>
      </w:r>
    </w:p>
    <w:p w14:paraId="0A834884" w14:textId="487F210C" w:rsidR="006979D7" w:rsidRPr="0084150A" w:rsidRDefault="004B2F92" w:rsidP="006979D7">
      <w:pPr>
        <w:pStyle w:val="Paragraphe"/>
        <w:rPr>
          <w:lang w:val="en-CA"/>
        </w:rPr>
      </w:pPr>
      <w:r w:rsidRPr="0084150A">
        <w:rPr>
          <w:lang w:val="en-CA"/>
        </w:rPr>
        <w:t>To determine which administrative measures are appropriate in the circumstances, the Tribunal reviewed several decisions submitted by the parties</w:t>
      </w:r>
      <w:bookmarkStart w:id="18" w:name="_Ref167201615"/>
      <w:r w:rsidRPr="0084150A">
        <w:rPr>
          <w:lang w:val="en-CA"/>
        </w:rPr>
        <w:t>.</w:t>
      </w:r>
      <w:r w:rsidR="005D25C5" w:rsidRPr="0084150A">
        <w:rPr>
          <w:rStyle w:val="Appelnotedebasdep"/>
          <w:lang w:val="en-CA"/>
        </w:rPr>
        <w:footnoteReference w:id="164"/>
      </w:r>
      <w:bookmarkEnd w:id="18"/>
      <w:r w:rsidR="005D25C5" w:rsidRPr="0084150A">
        <w:rPr>
          <w:lang w:val="en-CA"/>
        </w:rPr>
        <w:t xml:space="preserve"> </w:t>
      </w:r>
    </w:p>
    <w:p w14:paraId="6981AD64" w14:textId="07A9D6C9" w:rsidR="006979D7" w:rsidRPr="0084150A" w:rsidRDefault="005E48ED" w:rsidP="006979D7">
      <w:pPr>
        <w:pStyle w:val="Paragraphe"/>
        <w:rPr>
          <w:lang w:val="en-CA"/>
        </w:rPr>
      </w:pPr>
      <w:r w:rsidRPr="0084150A">
        <w:rPr>
          <w:lang w:val="en-CA"/>
        </w:rPr>
        <w:t xml:space="preserve">According to this case law, the following sanctions are </w:t>
      </w:r>
      <w:r w:rsidR="00A100DE">
        <w:rPr>
          <w:lang w:val="en-CA"/>
        </w:rPr>
        <w:t>generally</w:t>
      </w:r>
      <w:r w:rsidR="00A100DE" w:rsidRPr="0084150A">
        <w:rPr>
          <w:lang w:val="en-CA"/>
        </w:rPr>
        <w:t xml:space="preserve"> </w:t>
      </w:r>
      <w:r w:rsidRPr="0084150A">
        <w:rPr>
          <w:lang w:val="en-CA"/>
        </w:rPr>
        <w:t>imposed</w:t>
      </w:r>
      <w:r w:rsidR="005D25C5" w:rsidRPr="0084150A">
        <w:rPr>
          <w:lang w:val="en-CA"/>
        </w:rPr>
        <w:t>:</w:t>
      </w:r>
    </w:p>
    <w:p w14:paraId="2EE5D36F" w14:textId="30D504C2" w:rsidR="006979D7" w:rsidRPr="0084150A" w:rsidRDefault="00C75948" w:rsidP="006979D7">
      <w:pPr>
        <w:pStyle w:val="Paragraphe"/>
        <w:numPr>
          <w:ilvl w:val="0"/>
          <w:numId w:val="13"/>
        </w:numPr>
        <w:rPr>
          <w:lang w:val="en-CA"/>
        </w:rPr>
      </w:pPr>
      <w:r w:rsidRPr="0084150A">
        <w:rPr>
          <w:lang w:val="en-CA"/>
        </w:rPr>
        <w:t>an order to cease transactions in securities (except under certain conditions</w:t>
      </w:r>
      <w:r w:rsidR="00A100DE">
        <w:rPr>
          <w:lang w:val="en-CA"/>
        </w:rPr>
        <w:t>,</w:t>
      </w:r>
      <w:r w:rsidRPr="0084150A">
        <w:rPr>
          <w:lang w:val="en-CA"/>
        </w:rPr>
        <w:t xml:space="preserve"> on their own behalf) for a period of one year up to a permanent </w:t>
      </w:r>
      <w:r w:rsidR="00075C69" w:rsidRPr="0084150A">
        <w:rPr>
          <w:lang w:val="en-CA"/>
        </w:rPr>
        <w:t>prohibition</w:t>
      </w:r>
      <w:r w:rsidRPr="0084150A">
        <w:rPr>
          <w:lang w:val="en-CA"/>
        </w:rPr>
        <w:t xml:space="preserve"> in the most serious </w:t>
      </w:r>
      <w:proofErr w:type="gramStart"/>
      <w:r w:rsidRPr="0084150A">
        <w:rPr>
          <w:lang w:val="en-CA"/>
        </w:rPr>
        <w:t>cases</w:t>
      </w:r>
      <w:r w:rsidR="005D25C5" w:rsidRPr="0084150A">
        <w:rPr>
          <w:lang w:val="en-CA"/>
        </w:rPr>
        <w:t>;</w:t>
      </w:r>
      <w:proofErr w:type="gramEnd"/>
    </w:p>
    <w:p w14:paraId="41ED17B3" w14:textId="0D64F22F" w:rsidR="006979D7" w:rsidRPr="0084150A" w:rsidRDefault="00075C69" w:rsidP="006979D7">
      <w:pPr>
        <w:pStyle w:val="Paragraphe"/>
        <w:numPr>
          <w:ilvl w:val="0"/>
          <w:numId w:val="13"/>
        </w:numPr>
        <w:rPr>
          <w:lang w:val="en-CA"/>
        </w:rPr>
      </w:pPr>
      <w:r w:rsidRPr="0084150A">
        <w:rPr>
          <w:lang w:val="en-CA"/>
        </w:rPr>
        <w:t xml:space="preserve">a prohibition from acting as a director or officer of an issuer, dealer, adviser, or investment fund manager for a period of one year up to a permanent prohibition </w:t>
      </w:r>
      <w:r w:rsidR="005D25C5" w:rsidRPr="0084150A">
        <w:rPr>
          <w:lang w:val="en-CA"/>
        </w:rPr>
        <w:t>(</w:t>
      </w:r>
      <w:r w:rsidRPr="0084150A">
        <w:rPr>
          <w:lang w:val="en-CA"/>
        </w:rPr>
        <w:t>not to exceed five years in Quebec</w:t>
      </w:r>
      <w:r w:rsidR="003D2025" w:rsidRPr="0084150A">
        <w:rPr>
          <w:lang w:val="en-CA"/>
        </w:rPr>
        <w:t>);</w:t>
      </w:r>
      <w:r w:rsidR="005D25C5" w:rsidRPr="0084150A">
        <w:rPr>
          <w:rStyle w:val="Appelnotedebasdep"/>
          <w:lang w:val="en-CA"/>
        </w:rPr>
        <w:footnoteReference w:id="165"/>
      </w:r>
    </w:p>
    <w:p w14:paraId="523BE194" w14:textId="07600381" w:rsidR="006979D7" w:rsidRPr="0084150A" w:rsidRDefault="00522E56" w:rsidP="00A730BB">
      <w:pPr>
        <w:pStyle w:val="Paragraphe"/>
        <w:numPr>
          <w:ilvl w:val="0"/>
          <w:numId w:val="13"/>
        </w:numPr>
        <w:rPr>
          <w:lang w:val="en-CA"/>
        </w:rPr>
      </w:pPr>
      <w:r w:rsidRPr="0084150A">
        <w:rPr>
          <w:lang w:val="en-CA"/>
        </w:rPr>
        <w:lastRenderedPageBreak/>
        <w:t xml:space="preserve">an administrative penalty of one to four times the </w:t>
      </w:r>
      <w:r w:rsidR="000D67A4" w:rsidRPr="0084150A">
        <w:rPr>
          <w:lang w:val="en-CA"/>
        </w:rPr>
        <w:t>profits</w:t>
      </w:r>
      <w:r w:rsidRPr="0084150A">
        <w:rPr>
          <w:lang w:val="en-CA"/>
        </w:rPr>
        <w:t xml:space="preserve"> or between $100,000 and $200,000 per </w:t>
      </w:r>
      <w:r w:rsidR="00A100DE">
        <w:rPr>
          <w:lang w:val="en-CA"/>
        </w:rPr>
        <w:t>contravention</w:t>
      </w:r>
      <w:r w:rsidRPr="0084150A">
        <w:rPr>
          <w:lang w:val="en-CA"/>
        </w:rPr>
        <w:t>;</w:t>
      </w:r>
      <w:r w:rsidR="005D25C5" w:rsidRPr="0084150A">
        <w:rPr>
          <w:rStyle w:val="Appelnotedebasdep"/>
          <w:lang w:val="en-CA"/>
        </w:rPr>
        <w:footnoteReference w:id="166"/>
      </w:r>
      <w:r w:rsidR="005D25C5" w:rsidRPr="0084150A">
        <w:rPr>
          <w:lang w:val="en-CA"/>
        </w:rPr>
        <w:t xml:space="preserve"> </w:t>
      </w:r>
      <w:r w:rsidR="004005A9" w:rsidRPr="005E07F3">
        <w:rPr>
          <w:lang w:val="en-CA"/>
        </w:rPr>
        <w:t>and</w:t>
      </w:r>
    </w:p>
    <w:p w14:paraId="5E49CC65" w14:textId="2C2D762B" w:rsidR="006979D7" w:rsidRPr="0084150A" w:rsidRDefault="009438F2" w:rsidP="006979D7">
      <w:pPr>
        <w:pStyle w:val="Paragraphe"/>
        <w:numPr>
          <w:ilvl w:val="0"/>
          <w:numId w:val="13"/>
        </w:numPr>
        <w:rPr>
          <w:lang w:val="en-CA"/>
        </w:rPr>
      </w:pPr>
      <w:r w:rsidRPr="0084150A">
        <w:rPr>
          <w:lang w:val="en-CA"/>
        </w:rPr>
        <w:t xml:space="preserve">the </w:t>
      </w:r>
      <w:r w:rsidR="006B6D99" w:rsidRPr="0084150A">
        <w:rPr>
          <w:lang w:val="en-CA"/>
        </w:rPr>
        <w:t>disgorgement</w:t>
      </w:r>
      <w:r w:rsidRPr="0084150A">
        <w:rPr>
          <w:lang w:val="en-CA"/>
        </w:rPr>
        <w:t xml:space="preserve"> to the regulator of the illegally obtained earnings</w:t>
      </w:r>
      <w:r w:rsidR="005D25C5" w:rsidRPr="0084150A">
        <w:rPr>
          <w:lang w:val="en-CA"/>
        </w:rPr>
        <w:t>.</w:t>
      </w:r>
    </w:p>
    <w:p w14:paraId="50333288" w14:textId="597436EE" w:rsidR="006979D7" w:rsidRPr="005E07F3" w:rsidRDefault="005D25C5" w:rsidP="006979D7">
      <w:pPr>
        <w:pStyle w:val="Titre3"/>
        <w:numPr>
          <w:ilvl w:val="0"/>
          <w:numId w:val="0"/>
        </w:numPr>
        <w:ind w:left="360" w:hanging="360"/>
        <w:jc w:val="both"/>
        <w:rPr>
          <w:lang w:val="en-CA"/>
        </w:rPr>
      </w:pPr>
      <w:r w:rsidRPr="005E07F3">
        <w:rPr>
          <w:lang w:val="en-CA"/>
        </w:rPr>
        <w:t>Administrative measures imposed</w:t>
      </w:r>
    </w:p>
    <w:p w14:paraId="57265E33" w14:textId="0F30A6C1" w:rsidR="006979D7" w:rsidRPr="0084150A" w:rsidRDefault="00A33593" w:rsidP="006979D7">
      <w:pPr>
        <w:pStyle w:val="Paragraphe"/>
        <w:rPr>
          <w:rFonts w:cs="Arial"/>
          <w:szCs w:val="24"/>
          <w:lang w:val="en-CA"/>
        </w:rPr>
      </w:pPr>
      <w:r w:rsidRPr="0084150A">
        <w:rPr>
          <w:lang w:val="en-CA" w:eastAsia="fr-CA"/>
        </w:rPr>
        <w:t xml:space="preserve">Taking all these criteria into consideration, the Tribunal </w:t>
      </w:r>
      <w:r w:rsidR="00CB17BB">
        <w:rPr>
          <w:lang w:val="en-CA" w:eastAsia="fr-CA"/>
        </w:rPr>
        <w:t>considers</w:t>
      </w:r>
      <w:r w:rsidRPr="0084150A">
        <w:rPr>
          <w:lang w:val="en-CA" w:eastAsia="fr-CA"/>
        </w:rPr>
        <w:t xml:space="preserve"> the following administrative measures sought by the Authority against Philippe Gauthier and Frédéric Racine</w:t>
      </w:r>
      <w:r w:rsidR="005D25C5" w:rsidRPr="0084150A">
        <w:rPr>
          <w:lang w:val="en-CA" w:eastAsia="fr-CA"/>
        </w:rPr>
        <w:t xml:space="preserve">. </w:t>
      </w:r>
    </w:p>
    <w:p w14:paraId="75F8BFB6" w14:textId="7492B23C" w:rsidR="006979D7" w:rsidRPr="005E07F3" w:rsidRDefault="00E36AC8" w:rsidP="00122A81">
      <w:pPr>
        <w:pStyle w:val="Titre4"/>
        <w:rPr>
          <w:lang w:val="en-CA"/>
        </w:rPr>
      </w:pPr>
      <w:r w:rsidRPr="005E07F3">
        <w:rPr>
          <w:lang w:val="en-CA"/>
        </w:rPr>
        <w:t>A</w:t>
      </w:r>
      <w:r w:rsidR="00B808D6" w:rsidRPr="005E07F3">
        <w:rPr>
          <w:lang w:val="en-CA"/>
        </w:rPr>
        <w:t>d</w:t>
      </w:r>
      <w:r w:rsidRPr="005E07F3">
        <w:rPr>
          <w:lang w:val="en-CA"/>
        </w:rPr>
        <w:t>ministrative penalties</w:t>
      </w:r>
      <w:r w:rsidRPr="00031C2F">
        <w:rPr>
          <w:u w:val="none"/>
          <w:lang w:val="en-CA"/>
        </w:rPr>
        <w:t> </w:t>
      </w:r>
    </w:p>
    <w:p w14:paraId="62DFAC9D" w14:textId="262D5961" w:rsidR="006979D7" w:rsidRPr="0084150A" w:rsidRDefault="005D25C5" w:rsidP="006979D7">
      <w:pPr>
        <w:pStyle w:val="Paragraphe"/>
        <w:rPr>
          <w:lang w:val="en-CA"/>
        </w:rPr>
      </w:pPr>
      <w:r w:rsidRPr="0084150A">
        <w:rPr>
          <w:lang w:val="en-CA"/>
        </w:rPr>
        <w:t xml:space="preserve">Philippe Gauthier </w:t>
      </w:r>
      <w:r w:rsidR="00B808D6" w:rsidRPr="0084150A">
        <w:rPr>
          <w:lang w:val="en-CA"/>
        </w:rPr>
        <w:t xml:space="preserve">is </w:t>
      </w:r>
      <w:r w:rsidR="00797745">
        <w:rPr>
          <w:lang w:val="en-CA"/>
        </w:rPr>
        <w:t>the source</w:t>
      </w:r>
      <w:r w:rsidR="00B808D6" w:rsidRPr="0084150A">
        <w:rPr>
          <w:lang w:val="en-CA"/>
        </w:rPr>
        <w:t xml:space="preserve"> of the </w:t>
      </w:r>
      <w:r w:rsidR="00797745">
        <w:rPr>
          <w:lang w:val="en-CA"/>
        </w:rPr>
        <w:t>contraventions</w:t>
      </w:r>
      <w:r w:rsidR="00797745" w:rsidRPr="0084150A">
        <w:rPr>
          <w:lang w:val="en-CA"/>
        </w:rPr>
        <w:t xml:space="preserve"> </w:t>
      </w:r>
      <w:r w:rsidR="00797745">
        <w:rPr>
          <w:lang w:val="en-CA"/>
        </w:rPr>
        <w:t>at issue in</w:t>
      </w:r>
      <w:r w:rsidR="00B808D6" w:rsidRPr="0084150A">
        <w:rPr>
          <w:lang w:val="en-CA"/>
        </w:rPr>
        <w:t xml:space="preserve"> this case. His situation is akin to that of Mitchell Finkelstein in </w:t>
      </w:r>
      <w:r w:rsidR="00B808D6" w:rsidRPr="0084150A">
        <w:rPr>
          <w:i/>
          <w:iCs/>
          <w:lang w:val="en-CA"/>
        </w:rPr>
        <w:t>Azeff</w:t>
      </w:r>
      <w:r w:rsidR="00B808D6" w:rsidRPr="0084150A">
        <w:rPr>
          <w:lang w:val="en-CA"/>
        </w:rPr>
        <w:t>.</w:t>
      </w:r>
      <w:r w:rsidRPr="0084150A">
        <w:rPr>
          <w:rStyle w:val="Appelnotedebasdep"/>
          <w:lang w:val="en-CA"/>
        </w:rPr>
        <w:footnoteReference w:id="167"/>
      </w:r>
      <w:r w:rsidRPr="0084150A">
        <w:rPr>
          <w:lang w:val="en-CA"/>
        </w:rPr>
        <w:t xml:space="preserve"> </w:t>
      </w:r>
      <w:r w:rsidR="00B808D6" w:rsidRPr="0084150A">
        <w:rPr>
          <w:lang w:val="en-CA"/>
        </w:rPr>
        <w:t xml:space="preserve">In that case, the respondent disclosed privileged information </w:t>
      </w:r>
      <w:r w:rsidR="00EA7797" w:rsidRPr="0084150A">
        <w:rPr>
          <w:lang w:val="en-CA"/>
        </w:rPr>
        <w:t xml:space="preserve">to his childhood friend </w:t>
      </w:r>
      <w:r w:rsidR="0084377E">
        <w:rPr>
          <w:lang w:val="en-CA"/>
        </w:rPr>
        <w:t>on three occasions</w:t>
      </w:r>
      <w:r w:rsidR="00EA7797" w:rsidRPr="0084150A">
        <w:rPr>
          <w:lang w:val="en-CA"/>
        </w:rPr>
        <w:t xml:space="preserve"> </w:t>
      </w:r>
      <w:r w:rsidR="00B808D6" w:rsidRPr="0084150A">
        <w:rPr>
          <w:lang w:val="en-CA"/>
        </w:rPr>
        <w:t>regarding merger</w:t>
      </w:r>
      <w:r w:rsidR="0084377E">
        <w:rPr>
          <w:lang w:val="en-CA"/>
        </w:rPr>
        <w:t>s</w:t>
      </w:r>
      <w:r w:rsidR="00B808D6" w:rsidRPr="0084150A">
        <w:rPr>
          <w:lang w:val="en-CA"/>
        </w:rPr>
        <w:t xml:space="preserve"> and acquisition</w:t>
      </w:r>
      <w:r w:rsidR="0084377E">
        <w:rPr>
          <w:lang w:val="en-CA"/>
        </w:rPr>
        <w:t>s</w:t>
      </w:r>
      <w:r w:rsidR="00B808D6" w:rsidRPr="0084150A">
        <w:rPr>
          <w:lang w:val="en-CA"/>
        </w:rPr>
        <w:t xml:space="preserve"> transactions </w:t>
      </w:r>
      <w:r w:rsidR="0084377E">
        <w:rPr>
          <w:lang w:val="en-CA"/>
        </w:rPr>
        <w:t>he or other members of his firm had been working on as lawyers</w:t>
      </w:r>
      <w:r w:rsidRPr="0084150A">
        <w:rPr>
          <w:lang w:val="en-CA"/>
        </w:rPr>
        <w:t xml:space="preserve">. </w:t>
      </w:r>
      <w:r w:rsidR="00346D82" w:rsidRPr="0084150A">
        <w:rPr>
          <w:lang w:val="en-CA"/>
        </w:rPr>
        <w:t xml:space="preserve">The Ontario Securities Commission imposed on him administrative penalties of $150,000 per </w:t>
      </w:r>
      <w:r w:rsidR="0084377E">
        <w:rPr>
          <w:lang w:val="en-CA"/>
        </w:rPr>
        <w:t>contravention</w:t>
      </w:r>
      <w:r w:rsidR="0084377E" w:rsidRPr="0084150A">
        <w:rPr>
          <w:lang w:val="en-CA"/>
        </w:rPr>
        <w:t xml:space="preserve"> </w:t>
      </w:r>
      <w:r w:rsidR="00346D82" w:rsidRPr="0084150A">
        <w:rPr>
          <w:lang w:val="en-CA"/>
        </w:rPr>
        <w:t>for a total of $450,000</w:t>
      </w:r>
      <w:r w:rsidRPr="0084150A">
        <w:rPr>
          <w:lang w:val="en-CA"/>
        </w:rPr>
        <w:t xml:space="preserve">. </w:t>
      </w:r>
      <w:r w:rsidR="00346D82" w:rsidRPr="0084150A">
        <w:rPr>
          <w:lang w:val="en-CA"/>
        </w:rPr>
        <w:t xml:space="preserve">As with Philippe Gauthier, it was not shown that Mitchell Finkelstein </w:t>
      </w:r>
      <w:r w:rsidR="0084377E">
        <w:rPr>
          <w:lang w:val="en-CA"/>
        </w:rPr>
        <w:t>personally made the trades</w:t>
      </w:r>
      <w:r w:rsidR="00346D82" w:rsidRPr="0084150A">
        <w:rPr>
          <w:lang w:val="en-CA"/>
        </w:rPr>
        <w:t xml:space="preserve"> while having privileged information or that he </w:t>
      </w:r>
      <w:r w:rsidR="00F048E7">
        <w:rPr>
          <w:lang w:val="en-CA"/>
        </w:rPr>
        <w:t>benefited</w:t>
      </w:r>
      <w:r w:rsidR="00346D82" w:rsidRPr="0084150A">
        <w:rPr>
          <w:lang w:val="en-CA"/>
        </w:rPr>
        <w:t xml:space="preserve"> from the </w:t>
      </w:r>
      <w:r w:rsidR="0084377E">
        <w:rPr>
          <w:lang w:val="en-CA"/>
        </w:rPr>
        <w:t>contraventions</w:t>
      </w:r>
      <w:r w:rsidR="0084377E" w:rsidRPr="0084150A">
        <w:rPr>
          <w:lang w:val="en-CA"/>
        </w:rPr>
        <w:t xml:space="preserve"> </w:t>
      </w:r>
      <w:r w:rsidR="00346D82" w:rsidRPr="0084150A">
        <w:rPr>
          <w:lang w:val="en-CA"/>
        </w:rPr>
        <w:t>he committed</w:t>
      </w:r>
      <w:r w:rsidRPr="0084150A">
        <w:rPr>
          <w:lang w:val="en-CA"/>
        </w:rPr>
        <w:t xml:space="preserve">. </w:t>
      </w:r>
    </w:p>
    <w:p w14:paraId="39EDFAD9" w14:textId="63BD7ED6" w:rsidR="006979D7" w:rsidRPr="0084150A" w:rsidRDefault="00CF4C9C" w:rsidP="006979D7">
      <w:pPr>
        <w:pStyle w:val="Paragraphe"/>
        <w:rPr>
          <w:lang w:val="en-CA"/>
        </w:rPr>
      </w:pPr>
      <w:r w:rsidRPr="0084150A">
        <w:rPr>
          <w:lang w:val="en-CA"/>
        </w:rPr>
        <w:t xml:space="preserve">The Tribunal is of the </w:t>
      </w:r>
      <w:r w:rsidR="007B7B6B">
        <w:rPr>
          <w:lang w:val="en-CA"/>
        </w:rPr>
        <w:t>view</w:t>
      </w:r>
      <w:r w:rsidRPr="0084150A">
        <w:rPr>
          <w:lang w:val="en-CA"/>
        </w:rPr>
        <w:t xml:space="preserve"> that it must apply this approach in the case of Philippe Gauthier. Thus, </w:t>
      </w:r>
      <w:r w:rsidR="00F45A5B" w:rsidRPr="0084150A">
        <w:rPr>
          <w:lang w:val="en-CA"/>
        </w:rPr>
        <w:t xml:space="preserve">since Philippe Gauthier disclosed privileged information and recommended the purchase of </w:t>
      </w:r>
      <w:r w:rsidR="00B10EFA">
        <w:rPr>
          <w:lang w:val="en-CA"/>
        </w:rPr>
        <w:t>securities of Napec</w:t>
      </w:r>
      <w:r w:rsidR="00F45A5B" w:rsidRPr="0084150A">
        <w:rPr>
          <w:lang w:val="en-CA"/>
        </w:rPr>
        <w:t xml:space="preserve"> while having privileged information </w:t>
      </w:r>
      <w:r w:rsidR="0074488B">
        <w:rPr>
          <w:lang w:val="en-CA"/>
        </w:rPr>
        <w:t>acquired</w:t>
      </w:r>
      <w:r w:rsidR="0074488B" w:rsidRPr="0084150A">
        <w:rPr>
          <w:lang w:val="en-CA"/>
        </w:rPr>
        <w:t xml:space="preserve"> </w:t>
      </w:r>
      <w:r w:rsidR="00F45A5B" w:rsidRPr="0084150A">
        <w:rPr>
          <w:lang w:val="en-CA"/>
        </w:rPr>
        <w:t xml:space="preserve">through his job to two of his friends at the time, namely Vincent Pouliot and Frédéric Racine, and that he recommended to Paul Ayoub that he purchase Napec securities, the Tribunal decides to impose on him an administrative penalty of the same magnitude. The Tribunal is of the view that a penalty of $350,000 is justified because he was the source of the disclosure of the privileged information and </w:t>
      </w:r>
      <w:r w:rsidR="0074488B">
        <w:rPr>
          <w:lang w:val="en-CA"/>
        </w:rPr>
        <w:t>because of</w:t>
      </w:r>
      <w:r w:rsidR="00F45A5B" w:rsidRPr="0084150A">
        <w:rPr>
          <w:lang w:val="en-CA"/>
        </w:rPr>
        <w:t xml:space="preserve"> </w:t>
      </w:r>
      <w:r w:rsidR="00111991">
        <w:rPr>
          <w:lang w:val="en-CA"/>
        </w:rPr>
        <w:t>his</w:t>
      </w:r>
      <w:r w:rsidR="00F45A5B" w:rsidRPr="0084150A">
        <w:rPr>
          <w:lang w:val="en-CA"/>
        </w:rPr>
        <w:t xml:space="preserve"> functions and the confidentiality to which he was held</w:t>
      </w:r>
      <w:r w:rsidR="00EF0308" w:rsidRPr="0084150A">
        <w:rPr>
          <w:lang w:val="en-CA"/>
        </w:rPr>
        <w:t>.</w:t>
      </w:r>
    </w:p>
    <w:p w14:paraId="79BD1B50" w14:textId="4F2B573F" w:rsidR="006979D7" w:rsidRPr="0084150A" w:rsidRDefault="00AB74D2" w:rsidP="006979D7">
      <w:pPr>
        <w:pStyle w:val="Paragraphe"/>
        <w:rPr>
          <w:lang w:val="en-CA"/>
        </w:rPr>
      </w:pPr>
      <w:r w:rsidRPr="0084150A">
        <w:rPr>
          <w:lang w:val="en-CA"/>
        </w:rPr>
        <w:t>Since the Tribunal finds that Frédéric Racine committe</w:t>
      </w:r>
      <w:r w:rsidR="00062199" w:rsidRPr="0084150A">
        <w:rPr>
          <w:lang w:val="en-CA"/>
        </w:rPr>
        <w:t xml:space="preserve">d the </w:t>
      </w:r>
      <w:r w:rsidR="0074488B">
        <w:rPr>
          <w:lang w:val="en-CA"/>
        </w:rPr>
        <w:t>contraventions</w:t>
      </w:r>
      <w:r w:rsidR="0074488B" w:rsidRPr="0084150A">
        <w:rPr>
          <w:lang w:val="en-CA"/>
        </w:rPr>
        <w:t xml:space="preserve"> </w:t>
      </w:r>
      <w:r w:rsidR="00062199" w:rsidRPr="0084150A">
        <w:rPr>
          <w:lang w:val="en-CA"/>
        </w:rPr>
        <w:t xml:space="preserve">alleged by the Authority, that is, trading in securities of Napec while having privileged information, disclosing privileged information to his </w:t>
      </w:r>
      <w:r w:rsidR="00930029" w:rsidRPr="0084150A">
        <w:rPr>
          <w:lang w:val="en-CA"/>
        </w:rPr>
        <w:t>father</w:t>
      </w:r>
      <w:r w:rsidR="00062199" w:rsidRPr="0084150A">
        <w:rPr>
          <w:lang w:val="en-CA"/>
        </w:rPr>
        <w:t>, Gilles Racine, and recommending that his father and Anne Roy-Dussault purchase shares of Napec, the Tribunal imposes the administrative penalty of $250,000 sought by the Authority</w:t>
      </w:r>
      <w:r w:rsidR="005D25C5" w:rsidRPr="0084150A">
        <w:rPr>
          <w:lang w:val="en-CA"/>
        </w:rPr>
        <w:t xml:space="preserve">. </w:t>
      </w:r>
    </w:p>
    <w:p w14:paraId="66CDCD03" w14:textId="7E2DDB98" w:rsidR="006979D7" w:rsidRPr="0084150A" w:rsidRDefault="004F7ECC" w:rsidP="006979D7">
      <w:pPr>
        <w:pStyle w:val="Paragraphe"/>
        <w:rPr>
          <w:lang w:val="en-CA"/>
        </w:rPr>
      </w:pPr>
      <w:r w:rsidRPr="0084150A">
        <w:rPr>
          <w:lang w:val="en-CA"/>
        </w:rPr>
        <w:t xml:space="preserve">This amount of $250,000 is slightly less than triple the amount of $88,398.16, which is the profit that Frédéric Racine made </w:t>
      </w:r>
      <w:proofErr w:type="gramStart"/>
      <w:r w:rsidRPr="0084150A">
        <w:rPr>
          <w:lang w:val="en-CA"/>
        </w:rPr>
        <w:t>as a result of</w:t>
      </w:r>
      <w:proofErr w:type="gramEnd"/>
      <w:r w:rsidRPr="0084150A">
        <w:rPr>
          <w:lang w:val="en-CA"/>
        </w:rPr>
        <w:t xml:space="preserve"> the </w:t>
      </w:r>
      <w:r w:rsidR="00BC2499">
        <w:rPr>
          <w:lang w:val="en-CA"/>
        </w:rPr>
        <w:t xml:space="preserve">contraventions </w:t>
      </w:r>
      <w:r w:rsidR="00BC2499" w:rsidRPr="0084150A">
        <w:rPr>
          <w:lang w:val="en-CA"/>
        </w:rPr>
        <w:t>he committed</w:t>
      </w:r>
      <w:r w:rsidR="00BC2499">
        <w:rPr>
          <w:lang w:val="en-CA"/>
        </w:rPr>
        <w:t xml:space="preserve"> to</w:t>
      </w:r>
      <w:r w:rsidRPr="0084150A">
        <w:rPr>
          <w:lang w:val="en-CA"/>
        </w:rPr>
        <w:t xml:space="preserve"> the</w:t>
      </w:r>
      <w:r w:rsidR="00BC2499">
        <w:rPr>
          <w:lang w:val="en-CA"/>
        </w:rPr>
        <w:t xml:space="preserve"> prohibitions on the</w:t>
      </w:r>
      <w:r w:rsidRPr="0084150A">
        <w:rPr>
          <w:lang w:val="en-CA"/>
        </w:rPr>
        <w:t xml:space="preserve"> use of privileged information</w:t>
      </w:r>
      <w:r w:rsidR="005D25C5" w:rsidRPr="0084150A">
        <w:rPr>
          <w:lang w:val="en-CA"/>
        </w:rPr>
        <w:t xml:space="preserve">. </w:t>
      </w:r>
    </w:p>
    <w:p w14:paraId="003EDD29" w14:textId="3B658C01" w:rsidR="006979D7" w:rsidRPr="0084150A" w:rsidRDefault="00935AE4" w:rsidP="006979D7">
      <w:pPr>
        <w:pStyle w:val="Paragraphe"/>
        <w:rPr>
          <w:lang w:val="en-CA"/>
        </w:rPr>
      </w:pPr>
      <w:r w:rsidRPr="0084150A">
        <w:rPr>
          <w:lang w:val="en-CA"/>
        </w:rPr>
        <w:t xml:space="preserve">According to the case law reviewed by the Tribunal, it is not rare in other Canadian provinces </w:t>
      </w:r>
      <w:r w:rsidR="009C4CE8" w:rsidRPr="0084150A">
        <w:rPr>
          <w:lang w:val="en-CA"/>
        </w:rPr>
        <w:t xml:space="preserve">that a multiple of three times the </w:t>
      </w:r>
      <w:r w:rsidR="000D7878" w:rsidRPr="0084150A">
        <w:rPr>
          <w:lang w:val="en-CA"/>
        </w:rPr>
        <w:t>profits</w:t>
      </w:r>
      <w:r w:rsidR="009C4CE8" w:rsidRPr="0084150A">
        <w:rPr>
          <w:lang w:val="en-CA"/>
        </w:rPr>
        <w:t xml:space="preserve"> or loss avoided be used to determine </w:t>
      </w:r>
      <w:r w:rsidR="009C4CE8" w:rsidRPr="0084150A">
        <w:rPr>
          <w:lang w:val="en-CA"/>
        </w:rPr>
        <w:lastRenderedPageBreak/>
        <w:t xml:space="preserve">the administrative penalty to be imposed </w:t>
      </w:r>
      <w:r w:rsidR="00435D00">
        <w:rPr>
          <w:lang w:val="en-CA"/>
        </w:rPr>
        <w:t>where</w:t>
      </w:r>
      <w:r w:rsidR="009C4CE8" w:rsidRPr="0084150A">
        <w:rPr>
          <w:lang w:val="en-CA"/>
        </w:rPr>
        <w:t xml:space="preserve"> the respondents are experienced and do not acknowledge their </w:t>
      </w:r>
      <w:r w:rsidR="00435D00">
        <w:rPr>
          <w:lang w:val="en-CA"/>
        </w:rPr>
        <w:t>failures</w:t>
      </w:r>
      <w:r w:rsidR="009C4CE8" w:rsidRPr="0084150A">
        <w:rPr>
          <w:lang w:val="en-CA"/>
        </w:rPr>
        <w:t>, as is the case with Frédéric Racine</w:t>
      </w:r>
      <w:r w:rsidR="005D25C5" w:rsidRPr="0084150A">
        <w:rPr>
          <w:lang w:val="en-CA"/>
        </w:rPr>
        <w:t xml:space="preserve">. </w:t>
      </w:r>
    </w:p>
    <w:p w14:paraId="06B7250C" w14:textId="09F07308" w:rsidR="006979D7" w:rsidRPr="0084150A" w:rsidRDefault="005D25C5" w:rsidP="006979D7">
      <w:pPr>
        <w:pStyle w:val="Paragraphe"/>
        <w:rPr>
          <w:lang w:val="en-CA"/>
        </w:rPr>
      </w:pPr>
      <w:r w:rsidRPr="0084150A">
        <w:rPr>
          <w:lang w:val="en-CA"/>
        </w:rPr>
        <w:t xml:space="preserve"> </w:t>
      </w:r>
      <w:r w:rsidR="000D67A4" w:rsidRPr="0084150A">
        <w:rPr>
          <w:lang w:val="en-CA"/>
        </w:rPr>
        <w:t>In Quebec, administrative penalties vary from one to four times the profits earned, depending on the circumstances.</w:t>
      </w:r>
      <w:r w:rsidRPr="0084150A">
        <w:rPr>
          <w:rStyle w:val="Appelnotedebasdep"/>
          <w:lang w:val="en-CA"/>
        </w:rPr>
        <w:footnoteReference w:id="168"/>
      </w:r>
    </w:p>
    <w:p w14:paraId="3B14E4D9" w14:textId="76DFC6B5" w:rsidR="006979D7" w:rsidRPr="0084150A" w:rsidRDefault="004B1E29" w:rsidP="006979D7">
      <w:pPr>
        <w:pStyle w:val="Paragraphe"/>
        <w:rPr>
          <w:lang w:val="en-CA"/>
        </w:rPr>
      </w:pPr>
      <w:r w:rsidRPr="0084150A">
        <w:rPr>
          <w:lang w:val="en-CA"/>
        </w:rPr>
        <w:t xml:space="preserve">In </w:t>
      </w:r>
      <w:r w:rsidRPr="0084150A">
        <w:rPr>
          <w:i/>
          <w:iCs/>
          <w:lang w:val="en-CA"/>
        </w:rPr>
        <w:t>Fiset</w:t>
      </w:r>
      <w:r w:rsidRPr="0084150A">
        <w:rPr>
          <w:lang w:val="en-CA"/>
        </w:rPr>
        <w:t>,</w:t>
      </w:r>
      <w:r w:rsidR="005D25C5" w:rsidRPr="0084150A">
        <w:rPr>
          <w:rStyle w:val="Appelnotedebasdep"/>
          <w:lang w:val="en-CA"/>
        </w:rPr>
        <w:footnoteReference w:id="169"/>
      </w:r>
      <w:r w:rsidR="005D25C5" w:rsidRPr="0084150A">
        <w:rPr>
          <w:lang w:val="en-CA"/>
        </w:rPr>
        <w:t xml:space="preserve"> </w:t>
      </w:r>
      <w:r w:rsidRPr="0084150A">
        <w:rPr>
          <w:lang w:val="en-CA"/>
        </w:rPr>
        <w:t xml:space="preserve">the Tribunal imposed an administrative penalty that was four times the loss avoided </w:t>
      </w:r>
      <w:r w:rsidR="00435D00">
        <w:rPr>
          <w:lang w:val="en-CA"/>
        </w:rPr>
        <w:t>through</w:t>
      </w:r>
      <w:r w:rsidR="00435D00" w:rsidRPr="0084150A">
        <w:rPr>
          <w:lang w:val="en-CA"/>
        </w:rPr>
        <w:t xml:space="preserve"> </w:t>
      </w:r>
      <w:r w:rsidRPr="0084150A">
        <w:rPr>
          <w:lang w:val="en-CA"/>
        </w:rPr>
        <w:t xml:space="preserve">the transactions </w:t>
      </w:r>
      <w:r w:rsidR="00EC0855">
        <w:rPr>
          <w:lang w:val="en-CA"/>
        </w:rPr>
        <w:t>performed</w:t>
      </w:r>
      <w:r w:rsidRPr="0084150A">
        <w:rPr>
          <w:lang w:val="en-CA"/>
        </w:rPr>
        <w:t xml:space="preserve"> by a person who had privileged information to send a clear message both to the respondent and to all </w:t>
      </w:r>
      <w:r w:rsidR="00F1162E">
        <w:rPr>
          <w:lang w:val="en-CA"/>
        </w:rPr>
        <w:t>individuals</w:t>
      </w:r>
      <w:r w:rsidRPr="0084150A">
        <w:rPr>
          <w:lang w:val="en-CA"/>
        </w:rPr>
        <w:t xml:space="preserve"> involved in the financial markets that </w:t>
      </w:r>
      <w:r w:rsidR="00435D00">
        <w:rPr>
          <w:lang w:val="en-CA"/>
        </w:rPr>
        <w:t>contraventions</w:t>
      </w:r>
      <w:r w:rsidR="00435D00" w:rsidRPr="0084150A">
        <w:rPr>
          <w:lang w:val="en-CA"/>
        </w:rPr>
        <w:t xml:space="preserve"> </w:t>
      </w:r>
      <w:r w:rsidRPr="0084150A">
        <w:rPr>
          <w:lang w:val="en-CA"/>
        </w:rPr>
        <w:t>concerning the prohibited use of privileged information would not be tolerated</w:t>
      </w:r>
      <w:r w:rsidR="005D25C5" w:rsidRPr="0084150A">
        <w:rPr>
          <w:lang w:val="en-CA"/>
        </w:rPr>
        <w:t>.</w:t>
      </w:r>
    </w:p>
    <w:p w14:paraId="2B9C367C" w14:textId="479F4DCC" w:rsidR="006979D7" w:rsidRPr="0084150A" w:rsidRDefault="004B1E29" w:rsidP="006979D7">
      <w:pPr>
        <w:pStyle w:val="Paragraphe"/>
        <w:rPr>
          <w:lang w:val="en-CA"/>
        </w:rPr>
      </w:pPr>
      <w:r w:rsidRPr="0084150A">
        <w:rPr>
          <w:lang w:val="en-CA"/>
        </w:rPr>
        <w:t>The Tribunal is of the view that the penalties imposed on Philippe Gauthier and Frédéric Racine must be a deterrent to ensure that the</w:t>
      </w:r>
      <w:r w:rsidR="00435D00">
        <w:rPr>
          <w:lang w:val="en-CA"/>
        </w:rPr>
        <w:t xml:space="preserve"> prohibitions on the</w:t>
      </w:r>
      <w:r w:rsidRPr="0084150A">
        <w:rPr>
          <w:lang w:val="en-CA"/>
        </w:rPr>
        <w:t xml:space="preserve"> use of privileged information are taken seriously. In a world where access to </w:t>
      </w:r>
      <w:r w:rsidR="00435D00">
        <w:rPr>
          <w:lang w:val="en-CA"/>
        </w:rPr>
        <w:t xml:space="preserve">information and its transfer </w:t>
      </w:r>
      <w:r w:rsidRPr="0084150A">
        <w:rPr>
          <w:lang w:val="en-CA"/>
        </w:rPr>
        <w:t xml:space="preserve">are fast and easy, the safeguarding of important, confidential information regarding reporting issuers by professionals who are the </w:t>
      </w:r>
      <w:proofErr w:type="gramStart"/>
      <w:r w:rsidRPr="0084150A">
        <w:rPr>
          <w:lang w:val="en-CA"/>
        </w:rPr>
        <w:t>keepers</w:t>
      </w:r>
      <w:proofErr w:type="gramEnd"/>
      <w:r w:rsidRPr="0084150A">
        <w:rPr>
          <w:lang w:val="en-CA"/>
        </w:rPr>
        <w:t xml:space="preserve"> of that information constitutes a fundamental duty to </w:t>
      </w:r>
      <w:r w:rsidR="00435D00">
        <w:rPr>
          <w:lang w:val="en-CA"/>
        </w:rPr>
        <w:t>protect</w:t>
      </w:r>
      <w:r w:rsidR="00435D00" w:rsidRPr="0084150A">
        <w:rPr>
          <w:lang w:val="en-CA"/>
        </w:rPr>
        <w:t xml:space="preserve"> </w:t>
      </w:r>
      <w:r w:rsidRPr="0084150A">
        <w:rPr>
          <w:lang w:val="en-CA"/>
        </w:rPr>
        <w:t>the integrity of the markets</w:t>
      </w:r>
      <w:r w:rsidR="005D25C5" w:rsidRPr="0084150A">
        <w:rPr>
          <w:lang w:val="en-CA"/>
        </w:rPr>
        <w:t xml:space="preserve">. </w:t>
      </w:r>
      <w:r w:rsidRPr="0084150A">
        <w:rPr>
          <w:lang w:val="en-CA"/>
        </w:rPr>
        <w:t xml:space="preserve">In addition, a strong message must be sent that </w:t>
      </w:r>
      <w:r w:rsidR="007A2643" w:rsidRPr="0084150A">
        <w:rPr>
          <w:lang w:val="en-CA"/>
        </w:rPr>
        <w:t>[</w:t>
      </w:r>
      <w:r w:rsidR="007A2643" w:rsidRPr="0084150A">
        <w:rPr>
          <w:smallCaps/>
          <w:lang w:val="en-CA"/>
        </w:rPr>
        <w:t xml:space="preserve">translation] </w:t>
      </w:r>
      <w:r w:rsidR="007A2643" w:rsidRPr="0084150A">
        <w:rPr>
          <w:lang w:val="en-CA"/>
        </w:rPr>
        <w:t xml:space="preserve">“tipping” is not allowed </w:t>
      </w:r>
      <w:r w:rsidR="0099257D" w:rsidRPr="0084150A">
        <w:rPr>
          <w:lang w:val="en-CA"/>
        </w:rPr>
        <w:t xml:space="preserve">in a market where everybody should be on an equal footing. Such a practice continues today, </w:t>
      </w:r>
      <w:r w:rsidR="00435D00">
        <w:rPr>
          <w:lang w:val="en-CA"/>
        </w:rPr>
        <w:t>but</w:t>
      </w:r>
      <w:r w:rsidR="00435D00" w:rsidRPr="0084150A">
        <w:rPr>
          <w:lang w:val="en-CA"/>
        </w:rPr>
        <w:t xml:space="preserve"> </w:t>
      </w:r>
      <w:r w:rsidR="0099257D" w:rsidRPr="0084150A">
        <w:rPr>
          <w:lang w:val="en-CA"/>
        </w:rPr>
        <w:t>it will not be tolerated</w:t>
      </w:r>
      <w:r w:rsidR="005D25C5" w:rsidRPr="0084150A">
        <w:rPr>
          <w:lang w:val="en-CA"/>
        </w:rPr>
        <w:t xml:space="preserve">. </w:t>
      </w:r>
    </w:p>
    <w:p w14:paraId="22E2FF8D" w14:textId="77777777" w:rsidR="006979D7" w:rsidRPr="005E07F3" w:rsidRDefault="005D25C5" w:rsidP="00122A81">
      <w:pPr>
        <w:pStyle w:val="Titre4"/>
        <w:rPr>
          <w:lang w:val="en-CA"/>
        </w:rPr>
      </w:pPr>
      <w:r w:rsidRPr="005E07F3">
        <w:rPr>
          <w:lang w:val="en-CA"/>
        </w:rPr>
        <w:t>Prohibitions</w:t>
      </w:r>
    </w:p>
    <w:p w14:paraId="79728927" w14:textId="45543E69" w:rsidR="006979D7" w:rsidRPr="0084150A" w:rsidRDefault="0099257D" w:rsidP="006979D7">
      <w:pPr>
        <w:pStyle w:val="Paragraphe"/>
        <w:rPr>
          <w:lang w:val="en-CA"/>
        </w:rPr>
      </w:pPr>
      <w:r w:rsidRPr="0084150A">
        <w:rPr>
          <w:lang w:val="en-CA"/>
        </w:rPr>
        <w:t xml:space="preserve">The Tribunal may prohibit offenders from trading in securities, </w:t>
      </w:r>
      <w:proofErr w:type="gramStart"/>
      <w:r w:rsidRPr="0084150A">
        <w:rPr>
          <w:lang w:val="en-CA"/>
        </w:rPr>
        <w:t>in particular because</w:t>
      </w:r>
      <w:proofErr w:type="gramEnd"/>
      <w:r w:rsidRPr="0084150A">
        <w:rPr>
          <w:lang w:val="en-CA"/>
        </w:rPr>
        <w:t xml:space="preserve"> they pose a risk to the integrity of the markets and for the purpose of specific and general deterrence</w:t>
      </w:r>
      <w:r w:rsidR="005D25C5" w:rsidRPr="0084150A">
        <w:rPr>
          <w:lang w:val="en-CA"/>
        </w:rPr>
        <w:t xml:space="preserve">. </w:t>
      </w:r>
    </w:p>
    <w:p w14:paraId="3A04A191" w14:textId="42539E9F" w:rsidR="006979D7" w:rsidRPr="0084150A" w:rsidRDefault="00F06402" w:rsidP="006979D7">
      <w:pPr>
        <w:pStyle w:val="Paragraphe"/>
        <w:rPr>
          <w:lang w:val="en-CA"/>
        </w:rPr>
      </w:pPr>
      <w:r w:rsidRPr="0084150A">
        <w:rPr>
          <w:lang w:val="en-CA"/>
        </w:rPr>
        <w:t>The Tribunal reiterates that the power of trading on the securities market is a privilege and not a right.</w:t>
      </w:r>
      <w:r w:rsidR="005D25C5" w:rsidRPr="0084150A">
        <w:rPr>
          <w:rStyle w:val="Appelnotedebasdep"/>
          <w:rFonts w:cs="Arial"/>
          <w:szCs w:val="24"/>
          <w:lang w:val="en-CA"/>
        </w:rPr>
        <w:footnoteReference w:id="170"/>
      </w:r>
      <w:r w:rsidR="005D25C5" w:rsidRPr="0084150A">
        <w:rPr>
          <w:rFonts w:cs="Arial"/>
          <w:szCs w:val="24"/>
          <w:lang w:val="en-CA"/>
        </w:rPr>
        <w:t xml:space="preserve"> </w:t>
      </w:r>
      <w:r w:rsidRPr="0084150A">
        <w:rPr>
          <w:rFonts w:cs="Arial"/>
          <w:szCs w:val="24"/>
          <w:lang w:val="en-CA"/>
        </w:rPr>
        <w:t xml:space="preserve">The Authority asks the Tribunal to restrict this privilege for Philippe Gauthier and Frédéric Racine by prohibiting them from trading </w:t>
      </w:r>
      <w:r w:rsidR="007476F4" w:rsidRPr="0084150A">
        <w:rPr>
          <w:rFonts w:cs="Arial"/>
          <w:szCs w:val="24"/>
          <w:lang w:val="en-CA"/>
        </w:rPr>
        <w:t xml:space="preserve">securities or derivatives except for transactions </w:t>
      </w:r>
      <w:r w:rsidR="00120E4C">
        <w:rPr>
          <w:rFonts w:cs="Arial"/>
          <w:szCs w:val="24"/>
          <w:lang w:val="en-CA"/>
        </w:rPr>
        <w:t>made</w:t>
      </w:r>
      <w:r w:rsidR="00120E4C" w:rsidRPr="0084150A">
        <w:rPr>
          <w:rFonts w:cs="Arial"/>
          <w:szCs w:val="24"/>
          <w:lang w:val="en-CA"/>
        </w:rPr>
        <w:t xml:space="preserve"> </w:t>
      </w:r>
      <w:r w:rsidR="007476F4" w:rsidRPr="0084150A">
        <w:rPr>
          <w:rFonts w:cs="Arial"/>
          <w:szCs w:val="24"/>
          <w:lang w:val="en-CA"/>
        </w:rPr>
        <w:t>on their own behalf, under certain conditions, for a period of five years</w:t>
      </w:r>
      <w:r w:rsidR="005D25C5" w:rsidRPr="0084150A">
        <w:rPr>
          <w:rFonts w:cs="Arial"/>
          <w:szCs w:val="24"/>
          <w:lang w:val="en-CA"/>
        </w:rPr>
        <w:t xml:space="preserve">. </w:t>
      </w:r>
      <w:r w:rsidR="00BF06AB" w:rsidRPr="0084150A">
        <w:rPr>
          <w:rFonts w:cs="Arial"/>
          <w:szCs w:val="24"/>
          <w:lang w:val="en-CA"/>
        </w:rPr>
        <w:t>Moreover, the Authority asks the Tribunal to prohibit Philippe Gauthier and Frédéric Racine from acting as an administrator or officer of a reporting issuer, adviser, or investment fund manager for a period of five years</w:t>
      </w:r>
      <w:r w:rsidR="005D25C5" w:rsidRPr="0084150A">
        <w:rPr>
          <w:rFonts w:cs="Arial"/>
          <w:szCs w:val="24"/>
          <w:lang w:val="en-CA"/>
        </w:rPr>
        <w:t>.</w:t>
      </w:r>
    </w:p>
    <w:p w14:paraId="5EB71004" w14:textId="735BDC6D" w:rsidR="006979D7" w:rsidRPr="0084150A" w:rsidRDefault="005C2993" w:rsidP="006979D7">
      <w:pPr>
        <w:pStyle w:val="Paragraphe"/>
        <w:rPr>
          <w:lang w:val="en-CA"/>
        </w:rPr>
      </w:pPr>
      <w:r w:rsidRPr="0084150A">
        <w:rPr>
          <w:lang w:val="en-CA"/>
        </w:rPr>
        <w:t>In the case law from other Canadian provinces</w:t>
      </w:r>
      <w:r w:rsidR="00120E4C">
        <w:rPr>
          <w:lang w:val="en-CA"/>
        </w:rPr>
        <w:t xml:space="preserve"> that was</w:t>
      </w:r>
      <w:r w:rsidRPr="0084150A">
        <w:rPr>
          <w:lang w:val="en-CA"/>
        </w:rPr>
        <w:t xml:space="preserve"> studied by the Tribunal, permanent trading prohibitions are often imposed in the case of </w:t>
      </w:r>
      <w:r w:rsidR="00120E4C">
        <w:rPr>
          <w:lang w:val="en-CA"/>
        </w:rPr>
        <w:t>contraventions</w:t>
      </w:r>
      <w:r w:rsidR="00120E4C" w:rsidRPr="0084150A">
        <w:rPr>
          <w:lang w:val="en-CA"/>
        </w:rPr>
        <w:t xml:space="preserve"> </w:t>
      </w:r>
      <w:r w:rsidRPr="0084150A">
        <w:rPr>
          <w:lang w:val="en-CA"/>
        </w:rPr>
        <w:t xml:space="preserve">to </w:t>
      </w:r>
      <w:r w:rsidR="00120E4C">
        <w:rPr>
          <w:lang w:val="en-CA"/>
        </w:rPr>
        <w:t xml:space="preserve">the prohibitions on the </w:t>
      </w:r>
      <w:r w:rsidRPr="0084150A">
        <w:rPr>
          <w:lang w:val="en-CA"/>
        </w:rPr>
        <w:t>use of privileged information</w:t>
      </w:r>
      <w:r w:rsidR="005D25C5" w:rsidRPr="0084150A">
        <w:rPr>
          <w:lang w:val="en-CA"/>
        </w:rPr>
        <w:t xml:space="preserve">. </w:t>
      </w:r>
      <w:r w:rsidRPr="0084150A">
        <w:rPr>
          <w:lang w:val="en-CA"/>
        </w:rPr>
        <w:t xml:space="preserve">Permanent prohibitions to act as a </w:t>
      </w:r>
      <w:r w:rsidRPr="0084150A">
        <w:rPr>
          <w:lang w:val="en-CA"/>
        </w:rPr>
        <w:lastRenderedPageBreak/>
        <w:t>director or an officer of a reporting issuer, adviser, or investment fund manager have also been issued.</w:t>
      </w:r>
      <w:r w:rsidR="005D25C5" w:rsidRPr="0084150A">
        <w:rPr>
          <w:rStyle w:val="Appelnotedebasdep"/>
          <w:rFonts w:cs="Arial"/>
          <w:szCs w:val="24"/>
          <w:lang w:val="en-CA"/>
        </w:rPr>
        <w:footnoteReference w:id="171"/>
      </w:r>
      <w:r w:rsidR="005D25C5" w:rsidRPr="0084150A">
        <w:rPr>
          <w:lang w:val="en-CA"/>
        </w:rPr>
        <w:t xml:space="preserve"> </w:t>
      </w:r>
      <w:r w:rsidRPr="0084150A">
        <w:rPr>
          <w:lang w:val="en-CA"/>
        </w:rPr>
        <w:t xml:space="preserve">Prohibition orders </w:t>
      </w:r>
      <w:r w:rsidR="00A26ECE" w:rsidRPr="0084150A">
        <w:rPr>
          <w:lang w:val="en-CA"/>
        </w:rPr>
        <w:t>for</w:t>
      </w:r>
      <w:r w:rsidRPr="0084150A">
        <w:rPr>
          <w:lang w:val="en-CA"/>
        </w:rPr>
        <w:t xml:space="preserve"> periods varying from 10 to 15 years </w:t>
      </w:r>
      <w:r w:rsidR="00120E4C">
        <w:rPr>
          <w:lang w:val="en-CA"/>
        </w:rPr>
        <w:t>also appear</w:t>
      </w:r>
      <w:r w:rsidR="005D25C5" w:rsidRPr="0084150A">
        <w:rPr>
          <w:lang w:val="en-CA"/>
        </w:rPr>
        <w:t xml:space="preserve">. </w:t>
      </w:r>
    </w:p>
    <w:p w14:paraId="2FEE4936" w14:textId="782848DD" w:rsidR="006979D7" w:rsidRPr="0084150A" w:rsidRDefault="00E83B89" w:rsidP="006979D7">
      <w:pPr>
        <w:pStyle w:val="Paragraphe"/>
        <w:rPr>
          <w:lang w:val="en-CA"/>
        </w:rPr>
      </w:pPr>
      <w:r w:rsidRPr="0084150A">
        <w:rPr>
          <w:lang w:val="en-CA"/>
        </w:rPr>
        <w:t xml:space="preserve">In Quebec, the prohibition periods imposed by the Tribunal are shorter and do not exceed five years in the case of a prohibition from acting as a director or officer of a reporting issuer, adviser, or investment fund manager. In this case, the Tribunal is of the view that it must impose the prohibitions for </w:t>
      </w:r>
      <w:r w:rsidR="00D963CB">
        <w:rPr>
          <w:lang w:val="en-CA"/>
        </w:rPr>
        <w:t>the</w:t>
      </w:r>
      <w:r w:rsidRPr="0084150A">
        <w:rPr>
          <w:lang w:val="en-CA"/>
        </w:rPr>
        <w:t xml:space="preserve"> period of five years sought by the Authority </w:t>
      </w:r>
      <w:r w:rsidR="00D963CB" w:rsidRPr="0084150A">
        <w:rPr>
          <w:lang w:val="en-CA"/>
        </w:rPr>
        <w:t>based on</w:t>
      </w:r>
      <w:r w:rsidRPr="0084150A">
        <w:rPr>
          <w:lang w:val="en-CA"/>
        </w:rPr>
        <w:t xml:space="preserve"> its analysis of the </w:t>
      </w:r>
      <w:r w:rsidR="00D963CB" w:rsidRPr="0084150A">
        <w:rPr>
          <w:lang w:val="en-CA"/>
        </w:rPr>
        <w:t xml:space="preserve">above </w:t>
      </w:r>
      <w:r w:rsidRPr="0084150A">
        <w:rPr>
          <w:lang w:val="en-CA"/>
        </w:rPr>
        <w:t>criteria</w:t>
      </w:r>
      <w:r w:rsidR="005D25C5" w:rsidRPr="0084150A">
        <w:rPr>
          <w:lang w:val="en-CA"/>
        </w:rPr>
        <w:t>.</w:t>
      </w:r>
    </w:p>
    <w:p w14:paraId="637B7BB3" w14:textId="40913C46" w:rsidR="006979D7" w:rsidRPr="0084150A" w:rsidRDefault="00A64E76" w:rsidP="006979D7">
      <w:pPr>
        <w:pStyle w:val="Paragraphe"/>
        <w:rPr>
          <w:lang w:val="en-CA"/>
        </w:rPr>
      </w:pPr>
      <w:r w:rsidRPr="0084150A">
        <w:rPr>
          <w:lang w:val="en-CA"/>
        </w:rPr>
        <w:t xml:space="preserve">The Tribunal finds it necessary to order prohibitions that will deter the respondents and those who could be tempted to </w:t>
      </w:r>
      <w:r w:rsidR="00D963CB">
        <w:rPr>
          <w:lang w:val="en-CA"/>
        </w:rPr>
        <w:t>act</w:t>
      </w:r>
      <w:r w:rsidR="00D963CB" w:rsidRPr="0084150A">
        <w:rPr>
          <w:lang w:val="en-CA"/>
        </w:rPr>
        <w:t xml:space="preserve"> </w:t>
      </w:r>
      <w:r w:rsidRPr="0084150A">
        <w:rPr>
          <w:lang w:val="en-CA"/>
        </w:rPr>
        <w:t xml:space="preserve">likewise and </w:t>
      </w:r>
      <w:proofErr w:type="gramStart"/>
      <w:r w:rsidRPr="0084150A">
        <w:rPr>
          <w:lang w:val="en-CA"/>
        </w:rPr>
        <w:t>continue on</w:t>
      </w:r>
      <w:proofErr w:type="gramEnd"/>
      <w:r w:rsidRPr="0084150A">
        <w:rPr>
          <w:lang w:val="en-CA"/>
        </w:rPr>
        <w:t xml:space="preserve"> the path they took</w:t>
      </w:r>
      <w:r w:rsidR="005D25C5" w:rsidRPr="0084150A">
        <w:rPr>
          <w:lang w:val="en-CA"/>
        </w:rPr>
        <w:t xml:space="preserve">. </w:t>
      </w:r>
    </w:p>
    <w:p w14:paraId="13456F20" w14:textId="3BBC67C4" w:rsidR="006979D7" w:rsidRPr="0084150A" w:rsidRDefault="0099114D" w:rsidP="006979D7">
      <w:pPr>
        <w:pStyle w:val="Paragraphe"/>
        <w:rPr>
          <w:rFonts w:cs="Arial"/>
          <w:szCs w:val="24"/>
          <w:lang w:val="en-CA"/>
        </w:rPr>
      </w:pPr>
      <w:r w:rsidRPr="0084150A">
        <w:rPr>
          <w:lang w:val="en-CA"/>
        </w:rPr>
        <w:t xml:space="preserve">The fact that Frédéric Racine is </w:t>
      </w:r>
      <w:proofErr w:type="gramStart"/>
      <w:r w:rsidRPr="0084150A">
        <w:rPr>
          <w:lang w:val="en-CA"/>
        </w:rPr>
        <w:t>unemployed</w:t>
      </w:r>
      <w:proofErr w:type="gramEnd"/>
      <w:r w:rsidRPr="0084150A">
        <w:rPr>
          <w:lang w:val="en-CA"/>
        </w:rPr>
        <w:t xml:space="preserve"> and that Philippe Gauthier has not worked </w:t>
      </w:r>
      <w:r w:rsidR="00D963CB" w:rsidRPr="0084150A">
        <w:rPr>
          <w:lang w:val="en-CA"/>
        </w:rPr>
        <w:t xml:space="preserve">in the financial </w:t>
      </w:r>
      <w:r w:rsidR="00D963CB">
        <w:rPr>
          <w:lang w:val="en-CA"/>
        </w:rPr>
        <w:t>industry</w:t>
      </w:r>
      <w:r w:rsidR="00D963CB" w:rsidRPr="0084150A">
        <w:rPr>
          <w:lang w:val="en-CA"/>
        </w:rPr>
        <w:t xml:space="preserve"> </w:t>
      </w:r>
      <w:r w:rsidRPr="0084150A">
        <w:rPr>
          <w:lang w:val="en-CA"/>
        </w:rPr>
        <w:t xml:space="preserve">for </w:t>
      </w:r>
      <w:r w:rsidR="00D963CB">
        <w:rPr>
          <w:lang w:val="en-CA"/>
        </w:rPr>
        <w:t>over</w:t>
      </w:r>
      <w:r w:rsidRPr="0084150A">
        <w:rPr>
          <w:lang w:val="en-CA"/>
        </w:rPr>
        <w:t xml:space="preserve"> six years does not justify </w:t>
      </w:r>
      <w:r w:rsidR="00D963CB">
        <w:rPr>
          <w:lang w:val="en-CA"/>
        </w:rPr>
        <w:t>ignoring the fact</w:t>
      </w:r>
      <w:r w:rsidR="00D963CB" w:rsidRPr="0084150A">
        <w:rPr>
          <w:lang w:val="en-CA"/>
        </w:rPr>
        <w:t xml:space="preserve"> </w:t>
      </w:r>
      <w:r w:rsidRPr="0084150A">
        <w:rPr>
          <w:lang w:val="en-CA"/>
        </w:rPr>
        <w:t>that they could be a threat to stock markets because, without a cease trad</w:t>
      </w:r>
      <w:r w:rsidR="00D963CB">
        <w:rPr>
          <w:lang w:val="en-CA"/>
        </w:rPr>
        <w:t>ing</w:t>
      </w:r>
      <w:r w:rsidRPr="0084150A">
        <w:rPr>
          <w:lang w:val="en-CA"/>
        </w:rPr>
        <w:t xml:space="preserve"> order, they could freely trade securities or derivatives </w:t>
      </w:r>
      <w:r w:rsidR="00D963CB">
        <w:rPr>
          <w:lang w:val="en-CA"/>
        </w:rPr>
        <w:t>while flouting</w:t>
      </w:r>
      <w:r w:rsidRPr="0084150A">
        <w:rPr>
          <w:lang w:val="en-CA"/>
        </w:rPr>
        <w:t xml:space="preserve"> the rules</w:t>
      </w:r>
      <w:r w:rsidR="005D25C5" w:rsidRPr="0084150A">
        <w:rPr>
          <w:lang w:val="en-CA"/>
        </w:rPr>
        <w:t>.</w:t>
      </w:r>
    </w:p>
    <w:p w14:paraId="69C4E415" w14:textId="449FCB4A" w:rsidR="006979D7" w:rsidRPr="0084150A" w:rsidRDefault="000E3151" w:rsidP="006979D7">
      <w:pPr>
        <w:pStyle w:val="Paragraphe"/>
        <w:rPr>
          <w:rFonts w:cs="Arial"/>
          <w:szCs w:val="24"/>
          <w:lang w:val="en-CA"/>
        </w:rPr>
      </w:pPr>
      <w:r w:rsidRPr="0084150A">
        <w:rPr>
          <w:rFonts w:cs="Arial"/>
          <w:szCs w:val="24"/>
          <w:lang w:val="en-CA"/>
        </w:rPr>
        <w:t>The Tribunal finds that imposing prohibitions for a period of five years is necessary for investors to have confidence in</w:t>
      </w:r>
      <w:r w:rsidR="00A51402">
        <w:rPr>
          <w:rFonts w:cs="Arial"/>
          <w:szCs w:val="24"/>
          <w:lang w:val="en-CA"/>
        </w:rPr>
        <w:t xml:space="preserve"> market</w:t>
      </w:r>
      <w:r w:rsidRPr="0084150A">
        <w:rPr>
          <w:rFonts w:cs="Arial"/>
          <w:szCs w:val="24"/>
          <w:lang w:val="en-CA"/>
        </w:rPr>
        <w:t xml:space="preserve"> efficiency</w:t>
      </w:r>
      <w:r w:rsidR="005D25C5" w:rsidRPr="0084150A">
        <w:rPr>
          <w:rFonts w:cs="Arial"/>
          <w:szCs w:val="24"/>
          <w:lang w:val="en-CA"/>
        </w:rPr>
        <w:t xml:space="preserve">. </w:t>
      </w:r>
      <w:r w:rsidR="00D9193C" w:rsidRPr="0084150A">
        <w:rPr>
          <w:rFonts w:cs="Arial"/>
          <w:szCs w:val="24"/>
          <w:lang w:val="en-CA"/>
        </w:rPr>
        <w:t xml:space="preserve">Moreover, the Tribunal agrees with the Authority to allow the respondents to trade </w:t>
      </w:r>
      <w:r w:rsidR="006B6D99" w:rsidRPr="0084150A">
        <w:rPr>
          <w:rFonts w:cs="Arial"/>
          <w:szCs w:val="24"/>
          <w:lang w:val="en-CA"/>
        </w:rPr>
        <w:t xml:space="preserve">in </w:t>
      </w:r>
      <w:r w:rsidR="00D9193C" w:rsidRPr="0084150A">
        <w:rPr>
          <w:rFonts w:cs="Arial"/>
          <w:szCs w:val="24"/>
          <w:lang w:val="en-CA"/>
        </w:rPr>
        <w:t>securities and derivatives on their own behalf</w:t>
      </w:r>
      <w:r w:rsidR="004E1612">
        <w:rPr>
          <w:rFonts w:cs="Arial"/>
          <w:szCs w:val="24"/>
          <w:lang w:val="en-CA"/>
        </w:rPr>
        <w:t>,</w:t>
      </w:r>
      <w:r w:rsidR="00D9193C" w:rsidRPr="0084150A">
        <w:rPr>
          <w:rFonts w:cs="Arial"/>
          <w:szCs w:val="24"/>
          <w:lang w:val="en-CA"/>
        </w:rPr>
        <w:t xml:space="preserve"> </w:t>
      </w:r>
      <w:r w:rsidR="006B6D99" w:rsidRPr="0084150A">
        <w:rPr>
          <w:rFonts w:cs="Arial"/>
          <w:szCs w:val="24"/>
          <w:lang w:val="en-CA"/>
        </w:rPr>
        <w:t>through a portfolio manager</w:t>
      </w:r>
      <w:r w:rsidR="004E1612">
        <w:rPr>
          <w:rFonts w:cs="Arial"/>
          <w:szCs w:val="24"/>
          <w:lang w:val="en-CA"/>
        </w:rPr>
        <w:t>,</w:t>
      </w:r>
      <w:r w:rsidR="006B6D99" w:rsidRPr="0084150A">
        <w:rPr>
          <w:rFonts w:cs="Arial"/>
          <w:szCs w:val="24"/>
          <w:lang w:val="en-CA"/>
        </w:rPr>
        <w:t xml:space="preserve"> for a period of five years</w:t>
      </w:r>
      <w:r w:rsidR="004E1612">
        <w:rPr>
          <w:rFonts w:cs="Arial"/>
          <w:szCs w:val="24"/>
          <w:lang w:val="en-CA"/>
        </w:rPr>
        <w:t xml:space="preserve">, </w:t>
      </w:r>
      <w:r w:rsidR="006B6D99" w:rsidRPr="0084150A">
        <w:rPr>
          <w:rFonts w:cs="Arial"/>
          <w:szCs w:val="24"/>
          <w:lang w:val="en-CA"/>
        </w:rPr>
        <w:t>to avoid any possibility that they trade in securities while having privileged information</w:t>
      </w:r>
      <w:r w:rsidR="005D25C5" w:rsidRPr="0084150A">
        <w:rPr>
          <w:rFonts w:cs="Arial"/>
          <w:szCs w:val="24"/>
          <w:lang w:val="en-CA"/>
        </w:rPr>
        <w:t>.</w:t>
      </w:r>
    </w:p>
    <w:p w14:paraId="416EE214" w14:textId="040C67F6" w:rsidR="006979D7" w:rsidRPr="0084150A" w:rsidRDefault="006B6D99" w:rsidP="00122A81">
      <w:pPr>
        <w:pStyle w:val="Titre4"/>
        <w:rPr>
          <w:lang w:val="en-CA"/>
        </w:rPr>
      </w:pPr>
      <w:r w:rsidRPr="0084150A">
        <w:rPr>
          <w:lang w:val="en-CA"/>
        </w:rPr>
        <w:t xml:space="preserve">Disgorgement of profits </w:t>
      </w:r>
      <w:r w:rsidR="00D94303">
        <w:rPr>
          <w:lang w:val="en-CA"/>
        </w:rPr>
        <w:t>made</w:t>
      </w:r>
      <w:r w:rsidR="005D25C5" w:rsidRPr="0084150A">
        <w:rPr>
          <w:lang w:val="en-CA"/>
        </w:rPr>
        <w:t xml:space="preserve"> </w:t>
      </w:r>
    </w:p>
    <w:p w14:paraId="55E3FB0C" w14:textId="7B0749FB" w:rsidR="006979D7" w:rsidRPr="0084150A" w:rsidRDefault="006B6D99" w:rsidP="006979D7">
      <w:pPr>
        <w:pStyle w:val="Paragraphe"/>
        <w:rPr>
          <w:lang w:val="en-CA"/>
        </w:rPr>
      </w:pPr>
      <w:r w:rsidRPr="0084150A">
        <w:rPr>
          <w:lang w:val="en-CA"/>
        </w:rPr>
        <w:t xml:space="preserve">Pursuant to section 262.1(9) of the </w:t>
      </w:r>
      <w:r w:rsidRPr="0084150A">
        <w:rPr>
          <w:i/>
          <w:iCs/>
          <w:lang w:val="en-CA"/>
        </w:rPr>
        <w:t>SA</w:t>
      </w:r>
      <w:r w:rsidRPr="0084150A">
        <w:rPr>
          <w:lang w:val="en-CA"/>
        </w:rPr>
        <w:t xml:space="preserve">, the </w:t>
      </w:r>
      <w:r w:rsidR="002C0EBB" w:rsidRPr="0084150A">
        <w:rPr>
          <w:lang w:val="en-CA"/>
        </w:rPr>
        <w:t xml:space="preserve">Tribunal </w:t>
      </w:r>
      <w:r w:rsidRPr="0084150A">
        <w:rPr>
          <w:lang w:val="en-CA"/>
        </w:rPr>
        <w:t xml:space="preserve">may order a respondent to disgorge to the Authority the profits </w:t>
      </w:r>
      <w:r w:rsidR="00915552">
        <w:rPr>
          <w:lang w:val="en-CA"/>
        </w:rPr>
        <w:t>made</w:t>
      </w:r>
      <w:r w:rsidRPr="0084150A">
        <w:rPr>
          <w:lang w:val="en-CA"/>
        </w:rPr>
        <w:t xml:space="preserve"> </w:t>
      </w:r>
      <w:proofErr w:type="gramStart"/>
      <w:r w:rsidRPr="0084150A">
        <w:rPr>
          <w:lang w:val="en-CA"/>
        </w:rPr>
        <w:t>as a result of</w:t>
      </w:r>
      <w:proofErr w:type="gramEnd"/>
      <w:r w:rsidRPr="0084150A">
        <w:rPr>
          <w:lang w:val="en-CA"/>
        </w:rPr>
        <w:t xml:space="preserve"> the </w:t>
      </w:r>
      <w:r w:rsidR="00A90CA8">
        <w:rPr>
          <w:lang w:val="en-CA"/>
        </w:rPr>
        <w:t xml:space="preserve">contraventions to </w:t>
      </w:r>
      <w:r w:rsidRPr="0084150A">
        <w:rPr>
          <w:lang w:val="en-CA"/>
        </w:rPr>
        <w:t>securities legislation</w:t>
      </w:r>
      <w:r w:rsidR="005D25C5" w:rsidRPr="0084150A">
        <w:rPr>
          <w:lang w:val="en-CA"/>
        </w:rPr>
        <w:t xml:space="preserve">. </w:t>
      </w:r>
      <w:r w:rsidRPr="0084150A">
        <w:rPr>
          <w:lang w:val="en-CA"/>
        </w:rPr>
        <w:t xml:space="preserve">This is not an administrative penalty, but a measure ordered in the public interest </w:t>
      </w:r>
      <w:r w:rsidR="00A90CA8">
        <w:rPr>
          <w:lang w:val="en-CA"/>
        </w:rPr>
        <w:t xml:space="preserve">to redress </w:t>
      </w:r>
      <w:r w:rsidR="000C42C7" w:rsidRPr="0084150A">
        <w:rPr>
          <w:lang w:val="en-CA"/>
        </w:rPr>
        <w:t>the situation</w:t>
      </w:r>
      <w:r w:rsidR="005D25C5" w:rsidRPr="0084150A">
        <w:rPr>
          <w:lang w:val="en-CA"/>
        </w:rPr>
        <w:t xml:space="preserve">. </w:t>
      </w:r>
    </w:p>
    <w:p w14:paraId="2622D6C6" w14:textId="7FE948C0" w:rsidR="006979D7" w:rsidRPr="0084150A" w:rsidRDefault="006304A5" w:rsidP="006979D7">
      <w:pPr>
        <w:pStyle w:val="Paragraphe"/>
        <w:rPr>
          <w:lang w:val="en-CA"/>
        </w:rPr>
      </w:pPr>
      <w:r w:rsidRPr="0084150A">
        <w:rPr>
          <w:lang w:val="en-CA"/>
        </w:rPr>
        <w:t>In</w:t>
      </w:r>
      <w:r w:rsidR="005D25C5" w:rsidRPr="0084150A">
        <w:rPr>
          <w:lang w:val="en-CA"/>
        </w:rPr>
        <w:t xml:space="preserve"> </w:t>
      </w:r>
      <w:r w:rsidR="005D25C5" w:rsidRPr="0084150A">
        <w:rPr>
          <w:i/>
          <w:iCs/>
          <w:lang w:val="en-CA"/>
        </w:rPr>
        <w:t>Autorité des marchés financiers</w:t>
      </w:r>
      <w:r w:rsidR="005D25C5" w:rsidRPr="0084150A">
        <w:rPr>
          <w:lang w:val="en-CA"/>
        </w:rPr>
        <w:t xml:space="preserve"> c. </w:t>
      </w:r>
      <w:r w:rsidR="005D25C5" w:rsidRPr="0084150A">
        <w:rPr>
          <w:i/>
          <w:iCs/>
          <w:lang w:val="en-CA"/>
        </w:rPr>
        <w:t>Productions Action Motivation inc.</w:t>
      </w:r>
      <w:r w:rsidRPr="0084150A">
        <w:rPr>
          <w:lang w:val="en-CA"/>
        </w:rPr>
        <w:t>,</w:t>
      </w:r>
      <w:r w:rsidR="005D25C5" w:rsidRPr="0084150A">
        <w:rPr>
          <w:rStyle w:val="Appelnotedebasdep"/>
          <w:rFonts w:cs="Arial"/>
          <w:szCs w:val="24"/>
          <w:lang w:val="en-CA"/>
        </w:rPr>
        <w:footnoteReference w:id="172"/>
      </w:r>
      <w:r w:rsidR="005D25C5" w:rsidRPr="0084150A">
        <w:rPr>
          <w:lang w:val="en-CA"/>
        </w:rPr>
        <w:t xml:space="preserve"> </w:t>
      </w:r>
      <w:r w:rsidRPr="0084150A">
        <w:rPr>
          <w:lang w:val="en-CA"/>
        </w:rPr>
        <w:t xml:space="preserve">the Tribunal determined </w:t>
      </w:r>
      <w:r w:rsidR="00A90CA8">
        <w:rPr>
          <w:lang w:val="en-CA"/>
        </w:rPr>
        <w:t xml:space="preserve">that </w:t>
      </w:r>
      <w:r w:rsidRPr="0084150A">
        <w:rPr>
          <w:lang w:val="en-CA"/>
        </w:rPr>
        <w:t xml:space="preserve">the following criteria </w:t>
      </w:r>
      <w:r w:rsidR="00A90CA8">
        <w:rPr>
          <w:lang w:val="en-CA"/>
        </w:rPr>
        <w:t>should be considered</w:t>
      </w:r>
      <w:r w:rsidRPr="0084150A">
        <w:rPr>
          <w:lang w:val="en-CA"/>
        </w:rPr>
        <w:t xml:space="preserve"> to exercise this power</w:t>
      </w:r>
      <w:r w:rsidR="005D25C5" w:rsidRPr="0084150A">
        <w:rPr>
          <w:lang w:val="en-CA"/>
        </w:rPr>
        <w:t xml:space="preserve">: </w:t>
      </w:r>
    </w:p>
    <w:p w14:paraId="18328832" w14:textId="5661DF90" w:rsidR="006304A5" w:rsidRPr="0084150A" w:rsidRDefault="006304A5" w:rsidP="006304A5">
      <w:pPr>
        <w:pStyle w:val="Paragraphe"/>
        <w:numPr>
          <w:ilvl w:val="0"/>
          <w:numId w:val="0"/>
        </w:numPr>
        <w:ind w:left="1236"/>
        <w:rPr>
          <w:smallCaps/>
          <w:lang w:val="en-CA"/>
        </w:rPr>
      </w:pPr>
      <w:r w:rsidRPr="0084150A">
        <w:rPr>
          <w:lang w:val="en-CA"/>
        </w:rPr>
        <w:t>[</w:t>
      </w:r>
      <w:r w:rsidRPr="0084150A">
        <w:rPr>
          <w:smallCaps/>
          <w:lang w:val="en-CA"/>
        </w:rPr>
        <w:t>translation]</w:t>
      </w:r>
    </w:p>
    <w:p w14:paraId="2196347C" w14:textId="03CA68EA" w:rsidR="006979D7" w:rsidRPr="0084150A" w:rsidRDefault="005D25C5" w:rsidP="00AB56F7">
      <w:pPr>
        <w:pStyle w:val="Citationendoubleretrait"/>
        <w:keepNext/>
        <w:spacing w:before="120" w:after="120"/>
        <w:ind w:left="1236" w:right="851"/>
      </w:pPr>
      <w:r w:rsidRPr="0084150A">
        <w:t>[47] …</w:t>
      </w:r>
    </w:p>
    <w:p w14:paraId="1A6848A0" w14:textId="6CB37068" w:rsidR="006979D7" w:rsidRPr="0084150A" w:rsidRDefault="006304A5" w:rsidP="00AB56F7">
      <w:pPr>
        <w:pStyle w:val="Citationendoubleretrait"/>
        <w:keepNext/>
        <w:spacing w:before="120" w:after="120"/>
        <w:ind w:left="1236" w:right="851"/>
      </w:pPr>
      <w:r w:rsidRPr="0084150A">
        <w:t>(1)</w:t>
      </w:r>
      <w:r w:rsidR="005D25C5" w:rsidRPr="0084150A">
        <w:t xml:space="preserve"> </w:t>
      </w:r>
      <w:r w:rsidRPr="0084150A">
        <w:t xml:space="preserve">whether an amount was obtained as a result of non-compliance with the </w:t>
      </w:r>
      <w:proofErr w:type="gramStart"/>
      <w:r w:rsidRPr="0084150A">
        <w:t>Act</w:t>
      </w:r>
      <w:r w:rsidR="005D25C5" w:rsidRPr="0084150A">
        <w:t>;</w:t>
      </w:r>
      <w:proofErr w:type="gramEnd"/>
    </w:p>
    <w:p w14:paraId="2DB6D1DB" w14:textId="15CC1336" w:rsidR="006979D7" w:rsidRPr="0084150A" w:rsidRDefault="006304A5" w:rsidP="006979D7">
      <w:pPr>
        <w:pStyle w:val="Citationendoubleretrait"/>
        <w:spacing w:before="120" w:after="120"/>
        <w:ind w:left="1236" w:right="851"/>
      </w:pPr>
      <w:r w:rsidRPr="0084150A">
        <w:t>(2)</w:t>
      </w:r>
      <w:r w:rsidR="005D25C5" w:rsidRPr="0084150A">
        <w:t xml:space="preserve"> </w:t>
      </w:r>
      <w:r w:rsidRPr="0084150A">
        <w:t xml:space="preserve">the seriousness of the misconduct and the breaches of the Act, and whether investors were seriously </w:t>
      </w:r>
      <w:proofErr w:type="gramStart"/>
      <w:r w:rsidRPr="0084150A">
        <w:t>harmed</w:t>
      </w:r>
      <w:r w:rsidR="005D25C5" w:rsidRPr="0084150A">
        <w:t>;</w:t>
      </w:r>
      <w:proofErr w:type="gramEnd"/>
    </w:p>
    <w:p w14:paraId="599D8D15" w14:textId="19BA485C" w:rsidR="006979D7" w:rsidRPr="0084150A" w:rsidRDefault="000D1CD9" w:rsidP="006979D7">
      <w:pPr>
        <w:pStyle w:val="Citationendoubleretrait"/>
        <w:spacing w:before="120" w:after="120"/>
        <w:ind w:left="1236" w:right="851"/>
      </w:pPr>
      <w:r w:rsidRPr="0084150A">
        <w:t>(3)</w:t>
      </w:r>
      <w:r w:rsidR="005D25C5" w:rsidRPr="0084150A">
        <w:t xml:space="preserve"> </w:t>
      </w:r>
      <w:r w:rsidRPr="0084150A">
        <w:t xml:space="preserve">whether the amount that a respondent obtained as a result of non-compliance with the Act is reasonably </w:t>
      </w:r>
      <w:proofErr w:type="gramStart"/>
      <w:r w:rsidRPr="0084150A">
        <w:t>ascertainable</w:t>
      </w:r>
      <w:r w:rsidR="005D25C5" w:rsidRPr="0084150A">
        <w:t>;</w:t>
      </w:r>
      <w:proofErr w:type="gramEnd"/>
    </w:p>
    <w:p w14:paraId="0C3A4642" w14:textId="35FF370F" w:rsidR="006979D7" w:rsidRPr="0084150A" w:rsidRDefault="000D1CD9" w:rsidP="006979D7">
      <w:pPr>
        <w:pStyle w:val="Citationendoubleretrait"/>
        <w:spacing w:before="120" w:after="120"/>
        <w:ind w:left="1236" w:right="851"/>
      </w:pPr>
      <w:r w:rsidRPr="0084150A">
        <w:lastRenderedPageBreak/>
        <w:t>(</w:t>
      </w:r>
      <w:r w:rsidR="005D25C5" w:rsidRPr="0084150A">
        <w:t>4</w:t>
      </w:r>
      <w:r w:rsidRPr="0084150A">
        <w:t>)</w:t>
      </w:r>
      <w:r w:rsidR="005D25C5" w:rsidRPr="0084150A">
        <w:t xml:space="preserve"> </w:t>
      </w:r>
      <w:r w:rsidRPr="0084150A">
        <w:t xml:space="preserve">whether the individuals </w:t>
      </w:r>
      <w:r w:rsidR="000F0E6C" w:rsidRPr="0084150A">
        <w:t>who suffered losses are likely to be able to obtain redress; and</w:t>
      </w:r>
    </w:p>
    <w:p w14:paraId="32A60D79" w14:textId="0958DC7E" w:rsidR="006979D7" w:rsidRPr="0084150A" w:rsidRDefault="000F0E6C" w:rsidP="006979D7">
      <w:pPr>
        <w:pStyle w:val="Citationendoubleretrait"/>
        <w:spacing w:before="120" w:after="120"/>
        <w:ind w:left="1236" w:right="851"/>
      </w:pPr>
      <w:r w:rsidRPr="0084150A">
        <w:t>(5)</w:t>
      </w:r>
      <w:r w:rsidR="005D25C5" w:rsidRPr="0084150A">
        <w:t xml:space="preserve"> </w:t>
      </w:r>
      <w:r w:rsidRPr="0084150A">
        <w:t>the deterrent effect of a disgorgement order on the respondents and other market participants</w:t>
      </w:r>
      <w:r w:rsidR="005D25C5" w:rsidRPr="0084150A">
        <w:t>.</w:t>
      </w:r>
    </w:p>
    <w:p w14:paraId="275F96FA" w14:textId="4B21ED0E" w:rsidR="006979D7" w:rsidRPr="0084150A" w:rsidRDefault="005D25C5" w:rsidP="006979D7">
      <w:pPr>
        <w:pStyle w:val="Citationendoubleretrait"/>
        <w:spacing w:before="120" w:after="120"/>
        <w:ind w:left="1236" w:right="851"/>
      </w:pPr>
      <w:r w:rsidRPr="0084150A">
        <w:t xml:space="preserve">[48] </w:t>
      </w:r>
      <w:r w:rsidR="006F5577" w:rsidRPr="0084150A">
        <w:t xml:space="preserve">This list is not exhaustive and not </w:t>
      </w:r>
      <w:proofErr w:type="gramStart"/>
      <w:r w:rsidR="006F5577" w:rsidRPr="0084150A">
        <w:t>all of</w:t>
      </w:r>
      <w:proofErr w:type="gramEnd"/>
      <w:r w:rsidR="006F5577" w:rsidRPr="0084150A">
        <w:t xml:space="preserve"> these factors need to be present for the Tribunal to exercise its discretion. Each matter will be reviewed </w:t>
      </w:r>
      <w:proofErr w:type="gramStart"/>
      <w:r w:rsidR="006F5577" w:rsidRPr="0084150A">
        <w:t>in light of</w:t>
      </w:r>
      <w:proofErr w:type="gramEnd"/>
      <w:r w:rsidR="006F5577" w:rsidRPr="0084150A">
        <w:t xml:space="preserve"> its own particular facts</w:t>
      </w:r>
      <w:r w:rsidRPr="0084150A">
        <w:t xml:space="preserve">. </w:t>
      </w:r>
    </w:p>
    <w:p w14:paraId="192FBB41" w14:textId="61C340DC" w:rsidR="006979D7" w:rsidRPr="005E07F3" w:rsidRDefault="003E6007" w:rsidP="006979D7">
      <w:pPr>
        <w:pStyle w:val="Citationendoubleretrait"/>
        <w:rPr>
          <w:sz w:val="27"/>
          <w:szCs w:val="27"/>
        </w:rPr>
      </w:pPr>
      <w:r w:rsidRPr="005E07F3">
        <w:t>[</w:t>
      </w:r>
      <w:r w:rsidR="00A90CA8">
        <w:t>Citation</w:t>
      </w:r>
      <w:r w:rsidR="00A90CA8" w:rsidRPr="005E07F3">
        <w:t xml:space="preserve"> </w:t>
      </w:r>
      <w:r w:rsidRPr="005E07F3">
        <w:t>omitted]</w:t>
      </w:r>
    </w:p>
    <w:p w14:paraId="572F7C90" w14:textId="45E8913A" w:rsidR="006979D7" w:rsidRPr="0084150A" w:rsidRDefault="002F1932" w:rsidP="006979D7">
      <w:pPr>
        <w:pStyle w:val="Paragraphe"/>
        <w:rPr>
          <w:lang w:val="en-CA"/>
        </w:rPr>
      </w:pPr>
      <w:r w:rsidRPr="0084150A">
        <w:rPr>
          <w:lang w:val="en-CA"/>
        </w:rPr>
        <w:t xml:space="preserve">Frédéric Racine </w:t>
      </w:r>
      <w:r w:rsidR="00532E9F">
        <w:rPr>
          <w:lang w:val="en-CA"/>
        </w:rPr>
        <w:t>contravened</w:t>
      </w:r>
      <w:r w:rsidRPr="0084150A">
        <w:rPr>
          <w:lang w:val="en-CA"/>
        </w:rPr>
        <w:t xml:space="preserve"> securit</w:t>
      </w:r>
      <w:r w:rsidR="00476BDE" w:rsidRPr="0084150A">
        <w:rPr>
          <w:lang w:val="en-CA"/>
        </w:rPr>
        <w:t>ies</w:t>
      </w:r>
      <w:r w:rsidRPr="0084150A">
        <w:rPr>
          <w:lang w:val="en-CA"/>
        </w:rPr>
        <w:t xml:space="preserve"> legislation by trading in securities of Napec while having privileged information, disclosing the privileged information in question, and recommending the purchase of </w:t>
      </w:r>
      <w:r w:rsidR="005B0A28">
        <w:rPr>
          <w:lang w:val="en-CA"/>
        </w:rPr>
        <w:t>the security of Napec</w:t>
      </w:r>
      <w:r w:rsidR="005D25C5" w:rsidRPr="0084150A">
        <w:rPr>
          <w:rFonts w:cs="Arial"/>
          <w:color w:val="000000"/>
          <w:lang w:val="en-CA"/>
        </w:rPr>
        <w:t xml:space="preserve">. </w:t>
      </w:r>
    </w:p>
    <w:p w14:paraId="53CA72E2" w14:textId="1F0AD518" w:rsidR="006979D7" w:rsidRPr="0084150A" w:rsidRDefault="002F1932" w:rsidP="006979D7">
      <w:pPr>
        <w:pStyle w:val="Paragraphe"/>
        <w:rPr>
          <w:lang w:val="en-CA"/>
        </w:rPr>
      </w:pPr>
      <w:r w:rsidRPr="0084150A">
        <w:rPr>
          <w:lang w:val="en-CA"/>
        </w:rPr>
        <w:t xml:space="preserve">Frédéric Racine </w:t>
      </w:r>
      <w:r w:rsidR="002F23AD">
        <w:rPr>
          <w:lang w:val="en-CA"/>
        </w:rPr>
        <w:t>made</w:t>
      </w:r>
      <w:r w:rsidRPr="0084150A">
        <w:rPr>
          <w:lang w:val="en-CA"/>
        </w:rPr>
        <w:t xml:space="preserve"> a profit of $88,398.16, which is not contested, </w:t>
      </w:r>
      <w:proofErr w:type="gramStart"/>
      <w:r w:rsidRPr="0084150A">
        <w:rPr>
          <w:lang w:val="en-CA"/>
        </w:rPr>
        <w:t>as a result of</w:t>
      </w:r>
      <w:proofErr w:type="gramEnd"/>
      <w:r w:rsidRPr="0084150A">
        <w:rPr>
          <w:lang w:val="en-CA"/>
        </w:rPr>
        <w:t xml:space="preserve"> </w:t>
      </w:r>
      <w:r w:rsidR="00532E9F">
        <w:rPr>
          <w:lang w:val="en-CA"/>
        </w:rPr>
        <w:t>purchasing</w:t>
      </w:r>
      <w:r w:rsidRPr="0084150A">
        <w:rPr>
          <w:lang w:val="en-CA"/>
        </w:rPr>
        <w:t xml:space="preserve"> shares of Napec</w:t>
      </w:r>
      <w:r w:rsidR="006D5DF9" w:rsidRPr="0084150A">
        <w:rPr>
          <w:lang w:val="en-CA"/>
        </w:rPr>
        <w:t xml:space="preserve">. </w:t>
      </w:r>
    </w:p>
    <w:p w14:paraId="18A62863" w14:textId="72E12F3E" w:rsidR="006979D7" w:rsidRPr="0084150A" w:rsidRDefault="001B72E6" w:rsidP="006979D7">
      <w:pPr>
        <w:pStyle w:val="Paragraphe"/>
        <w:rPr>
          <w:lang w:val="en-CA"/>
        </w:rPr>
      </w:pPr>
      <w:r w:rsidRPr="0084150A">
        <w:rPr>
          <w:lang w:val="en-CA"/>
        </w:rPr>
        <w:t xml:space="preserve">The Tribunal reiterates the seriousness of the </w:t>
      </w:r>
      <w:r w:rsidR="00DC3DFD">
        <w:rPr>
          <w:lang w:val="en-CA"/>
        </w:rPr>
        <w:t>contraventions</w:t>
      </w:r>
      <w:r w:rsidR="00DC3DFD" w:rsidRPr="0084150A">
        <w:rPr>
          <w:lang w:val="en-CA"/>
        </w:rPr>
        <w:t xml:space="preserve"> </w:t>
      </w:r>
      <w:r w:rsidRPr="0084150A">
        <w:rPr>
          <w:lang w:val="en-CA"/>
        </w:rPr>
        <w:t>committed by Frédéric Racine, which under</w:t>
      </w:r>
      <w:r w:rsidR="00560094" w:rsidRPr="0084150A">
        <w:rPr>
          <w:lang w:val="en-CA"/>
        </w:rPr>
        <w:t>m</w:t>
      </w:r>
      <w:r w:rsidRPr="0084150A">
        <w:rPr>
          <w:lang w:val="en-CA"/>
        </w:rPr>
        <w:t xml:space="preserve">ine </w:t>
      </w:r>
      <w:r w:rsidR="002A3982" w:rsidRPr="0084150A">
        <w:rPr>
          <w:lang w:val="en-CA"/>
        </w:rPr>
        <w:t>investor confidence</w:t>
      </w:r>
      <w:r w:rsidRPr="0084150A">
        <w:rPr>
          <w:lang w:val="en-CA"/>
        </w:rPr>
        <w:t xml:space="preserve"> in </w:t>
      </w:r>
      <w:r w:rsidR="00DC3DFD">
        <w:rPr>
          <w:lang w:val="en-CA"/>
        </w:rPr>
        <w:t>market</w:t>
      </w:r>
      <w:r w:rsidR="00DC3DFD" w:rsidRPr="0084150A">
        <w:rPr>
          <w:lang w:val="en-CA"/>
        </w:rPr>
        <w:t xml:space="preserve"> </w:t>
      </w:r>
      <w:r w:rsidRPr="0084150A">
        <w:rPr>
          <w:lang w:val="en-CA"/>
        </w:rPr>
        <w:t xml:space="preserve">integrity by </w:t>
      </w:r>
      <w:r w:rsidR="00DC3DFD">
        <w:rPr>
          <w:lang w:val="en-CA"/>
        </w:rPr>
        <w:t>breaking</w:t>
      </w:r>
      <w:r w:rsidR="00560094" w:rsidRPr="0084150A">
        <w:rPr>
          <w:lang w:val="en-CA"/>
        </w:rPr>
        <w:t xml:space="preserve"> equality among investors</w:t>
      </w:r>
      <w:bookmarkStart w:id="19" w:name="_ftnref20"/>
      <w:r w:rsidR="00560094" w:rsidRPr="0084150A">
        <w:rPr>
          <w:lang w:val="en-CA"/>
        </w:rPr>
        <w:t>.</w:t>
      </w:r>
      <w:r w:rsidR="005D25C5" w:rsidRPr="0084150A">
        <w:rPr>
          <w:rStyle w:val="Appelnotedebasdep"/>
          <w:rFonts w:cs="Arial"/>
          <w:color w:val="000000"/>
          <w:lang w:val="en-CA"/>
        </w:rPr>
        <w:footnoteReference w:id="173"/>
      </w:r>
      <w:bookmarkEnd w:id="19"/>
      <w:r w:rsidR="005D25C5" w:rsidRPr="0084150A">
        <w:rPr>
          <w:lang w:val="en-CA"/>
        </w:rPr>
        <w:t xml:space="preserve"> </w:t>
      </w:r>
    </w:p>
    <w:p w14:paraId="3968211A" w14:textId="2325A755" w:rsidR="006979D7" w:rsidRPr="0084150A" w:rsidRDefault="00560094" w:rsidP="006979D7">
      <w:pPr>
        <w:pStyle w:val="Paragraphe"/>
        <w:rPr>
          <w:lang w:val="en-CA"/>
        </w:rPr>
      </w:pPr>
      <w:r w:rsidRPr="0084150A">
        <w:rPr>
          <w:rFonts w:cs="Arial"/>
          <w:color w:val="000000"/>
          <w:lang w:val="en-CA"/>
        </w:rPr>
        <w:t>Concerning the criterion</w:t>
      </w:r>
      <w:r w:rsidR="007D7F02" w:rsidRPr="0084150A">
        <w:rPr>
          <w:rFonts w:cs="Arial"/>
          <w:color w:val="000000"/>
          <w:lang w:val="en-CA"/>
        </w:rPr>
        <w:t xml:space="preserve"> of</w:t>
      </w:r>
      <w:r w:rsidR="00DC3DFD">
        <w:rPr>
          <w:rFonts w:cs="Arial"/>
          <w:color w:val="000000"/>
          <w:lang w:val="en-CA"/>
        </w:rPr>
        <w:t xml:space="preserve"> redressing</w:t>
      </w:r>
      <w:r w:rsidR="007D7F02" w:rsidRPr="0084150A">
        <w:rPr>
          <w:rFonts w:cs="Arial"/>
          <w:color w:val="000000"/>
          <w:lang w:val="en-CA"/>
        </w:rPr>
        <w:t xml:space="preserve"> the situation of individuals who suffered losses, the Tribunal reproduces the following excerpt from </w:t>
      </w:r>
      <w:r w:rsidR="007D7F02" w:rsidRPr="0084150A">
        <w:rPr>
          <w:rFonts w:cs="Arial"/>
          <w:i/>
          <w:iCs/>
          <w:color w:val="000000"/>
          <w:lang w:val="en-CA"/>
        </w:rPr>
        <w:t>Lemire</w:t>
      </w:r>
      <w:r w:rsidR="007D7F02" w:rsidRPr="0084150A">
        <w:rPr>
          <w:rFonts w:cs="Arial"/>
          <w:color w:val="000000"/>
          <w:lang w:val="en-CA"/>
        </w:rPr>
        <w:t>,</w:t>
      </w:r>
      <w:r w:rsidR="007D7F02" w:rsidRPr="0084150A">
        <w:rPr>
          <w:rFonts w:cs="Arial"/>
          <w:i/>
          <w:iCs/>
          <w:color w:val="000000"/>
          <w:lang w:val="en-CA"/>
        </w:rPr>
        <w:t xml:space="preserve"> </w:t>
      </w:r>
      <w:r w:rsidR="007D7F02" w:rsidRPr="0084150A">
        <w:rPr>
          <w:rFonts w:cs="Arial"/>
          <w:color w:val="000000"/>
          <w:lang w:val="en-CA"/>
        </w:rPr>
        <w:t>in which the victim here is the financial market in general</w:t>
      </w:r>
      <w:r w:rsidR="005D25C5" w:rsidRPr="0084150A">
        <w:rPr>
          <w:rFonts w:cs="Arial"/>
          <w:color w:val="000000"/>
          <w:lang w:val="en-CA"/>
        </w:rPr>
        <w:t xml:space="preserve">: </w:t>
      </w:r>
    </w:p>
    <w:p w14:paraId="4465D6FC" w14:textId="3C0A2099" w:rsidR="00B34BBB" w:rsidRPr="0084150A" w:rsidRDefault="00B34BBB" w:rsidP="00B34BBB">
      <w:pPr>
        <w:pStyle w:val="Paragraphe"/>
        <w:numPr>
          <w:ilvl w:val="0"/>
          <w:numId w:val="0"/>
        </w:numPr>
        <w:ind w:left="1237"/>
        <w:rPr>
          <w:smallCaps/>
          <w:lang w:val="en-CA"/>
        </w:rPr>
      </w:pPr>
      <w:r w:rsidRPr="0084150A">
        <w:rPr>
          <w:lang w:val="en-CA"/>
        </w:rPr>
        <w:t>[</w:t>
      </w:r>
      <w:r w:rsidRPr="0084150A">
        <w:rPr>
          <w:smallCaps/>
          <w:lang w:val="en-CA"/>
        </w:rPr>
        <w:t>translation]</w:t>
      </w:r>
    </w:p>
    <w:p w14:paraId="6ACAB2B1" w14:textId="6518EB4E" w:rsidR="006979D7" w:rsidRPr="0084150A" w:rsidRDefault="005D25C5" w:rsidP="006979D7">
      <w:pPr>
        <w:pStyle w:val="Citationendoubleretrait"/>
      </w:pPr>
      <w:r w:rsidRPr="0084150A">
        <w:t>[156]</w:t>
      </w:r>
      <w:r w:rsidR="006B3C30" w:rsidRPr="0084150A">
        <w:rPr>
          <w:sz w:val="14"/>
          <w:szCs w:val="14"/>
        </w:rPr>
        <w:t xml:space="preserve"> </w:t>
      </w:r>
      <w:r w:rsidR="006B3C30" w:rsidRPr="0084150A">
        <w:t xml:space="preserve">In this regard, the Bureau notes that the victims of offences related to stock market manipulation or to the illegal use of privileged information are generally very difficult to identify for a very good </w:t>
      </w:r>
      <w:r w:rsidR="00DC3DFD">
        <w:t>reason</w:t>
      </w:r>
      <w:r w:rsidR="006B3C30" w:rsidRPr="0084150A">
        <w:t xml:space="preserve">. They are all the anonymous people who were fooled by these misleading manoeuvres through the investment decisions they made on the resulting false information or, more directly, as counterparties to specific transactions carried out by the perpetrators. Moreover, the Bureau underlines that one of the big losers is the very credibility </w:t>
      </w:r>
      <w:r w:rsidR="007064B0" w:rsidRPr="0084150A">
        <w:t>of the overall financial system, which sees investors lose confidence in its integrity</w:t>
      </w:r>
      <w:r w:rsidRPr="0084150A">
        <w:t>.</w:t>
      </w:r>
      <w:bookmarkStart w:id="20" w:name="_ftnref21"/>
      <w:r w:rsidRPr="0084150A">
        <w:rPr>
          <w:rStyle w:val="Appelnotedebasdep"/>
        </w:rPr>
        <w:footnoteReference w:id="174"/>
      </w:r>
      <w:bookmarkEnd w:id="20"/>
      <w:r w:rsidRPr="0084150A">
        <w:t xml:space="preserve"> </w:t>
      </w:r>
    </w:p>
    <w:p w14:paraId="7D361EBE" w14:textId="5DD42228" w:rsidR="006979D7" w:rsidRPr="0084150A" w:rsidRDefault="0029735F" w:rsidP="006979D7">
      <w:pPr>
        <w:pStyle w:val="Paragraphe"/>
        <w:rPr>
          <w:lang w:val="en-CA"/>
        </w:rPr>
      </w:pPr>
      <w:r w:rsidRPr="0084150A">
        <w:rPr>
          <w:lang w:val="en-CA"/>
        </w:rPr>
        <w:t xml:space="preserve">The disgorgement of the amounts to the Authority will have a clear deterrent effect on Frédéric Racine and </w:t>
      </w:r>
      <w:r w:rsidR="00306E5F">
        <w:rPr>
          <w:lang w:val="en-CA"/>
        </w:rPr>
        <w:t>those</w:t>
      </w:r>
      <w:r w:rsidRPr="0084150A">
        <w:rPr>
          <w:lang w:val="en-CA"/>
        </w:rPr>
        <w:t xml:space="preserve"> who might be tempted to commit such </w:t>
      </w:r>
      <w:r w:rsidR="00306E5F">
        <w:rPr>
          <w:lang w:val="en-CA"/>
        </w:rPr>
        <w:t>contraventions</w:t>
      </w:r>
      <w:r w:rsidR="005D25C5" w:rsidRPr="0084150A">
        <w:rPr>
          <w:lang w:val="en-CA"/>
        </w:rPr>
        <w:t xml:space="preserve">. </w:t>
      </w:r>
      <w:r w:rsidR="00306E5F">
        <w:rPr>
          <w:lang w:val="en-CA"/>
        </w:rPr>
        <w:t xml:space="preserve">Its objective is to deprive the offender of the earnings obtained </w:t>
      </w:r>
      <w:proofErr w:type="gramStart"/>
      <w:r w:rsidR="00306E5F">
        <w:rPr>
          <w:lang w:val="en-CA"/>
        </w:rPr>
        <w:t>as a result of</w:t>
      </w:r>
      <w:proofErr w:type="gramEnd"/>
      <w:r w:rsidR="00306E5F">
        <w:rPr>
          <w:lang w:val="en-CA"/>
        </w:rPr>
        <w:t xml:space="preserve"> the contraventions. </w:t>
      </w:r>
      <w:r w:rsidR="002A3982" w:rsidRPr="0084150A">
        <w:rPr>
          <w:lang w:val="en-CA"/>
        </w:rPr>
        <w:t xml:space="preserve">The Tribunal cannot tolerate offenders enriching themselves to the detriment of other investors in the market and </w:t>
      </w:r>
      <w:r w:rsidR="00F048E7">
        <w:rPr>
          <w:lang w:val="en-CA"/>
        </w:rPr>
        <w:t>benefiting</w:t>
      </w:r>
      <w:r w:rsidR="002A3982" w:rsidRPr="0084150A">
        <w:rPr>
          <w:lang w:val="en-CA"/>
        </w:rPr>
        <w:t xml:space="preserve"> from the earnings obtained </w:t>
      </w:r>
      <w:proofErr w:type="gramStart"/>
      <w:r w:rsidR="002A3982" w:rsidRPr="0084150A">
        <w:rPr>
          <w:lang w:val="en-CA"/>
        </w:rPr>
        <w:t>as a result of</w:t>
      </w:r>
      <w:proofErr w:type="gramEnd"/>
      <w:r w:rsidR="002A3982" w:rsidRPr="0084150A">
        <w:rPr>
          <w:lang w:val="en-CA"/>
        </w:rPr>
        <w:t xml:space="preserve"> the non-compliance with the </w:t>
      </w:r>
      <w:r w:rsidR="002A3982" w:rsidRPr="0084150A">
        <w:rPr>
          <w:i/>
          <w:iCs/>
          <w:lang w:val="en-CA"/>
        </w:rPr>
        <w:t>Act</w:t>
      </w:r>
      <w:r w:rsidR="005D25C5" w:rsidRPr="0084150A">
        <w:rPr>
          <w:lang w:val="en-CA"/>
        </w:rPr>
        <w:t xml:space="preserve">. </w:t>
      </w:r>
    </w:p>
    <w:p w14:paraId="5109BA9B" w14:textId="1A059288" w:rsidR="00A64F11" w:rsidRPr="0084150A" w:rsidRDefault="002A3982" w:rsidP="00BA51C6">
      <w:pPr>
        <w:pStyle w:val="Paragraphe"/>
        <w:rPr>
          <w:lang w:val="en-CA"/>
        </w:rPr>
      </w:pPr>
      <w:r w:rsidRPr="0084150A">
        <w:rPr>
          <w:lang w:val="en-CA"/>
        </w:rPr>
        <w:lastRenderedPageBreak/>
        <w:t xml:space="preserve">Thus, the Tribunal </w:t>
      </w:r>
      <w:r w:rsidR="00476BDE" w:rsidRPr="0084150A">
        <w:rPr>
          <w:lang w:val="en-CA"/>
        </w:rPr>
        <w:t xml:space="preserve">requires Frédéric Racine to disgorge $88,398.16 to the Authority, which is the profit he </w:t>
      </w:r>
      <w:r w:rsidR="00F51BD0">
        <w:rPr>
          <w:lang w:val="en-CA"/>
        </w:rPr>
        <w:t>made</w:t>
      </w:r>
      <w:r w:rsidR="00476BDE" w:rsidRPr="0084150A">
        <w:rPr>
          <w:lang w:val="en-CA"/>
        </w:rPr>
        <w:t xml:space="preserve"> </w:t>
      </w:r>
      <w:proofErr w:type="gramStart"/>
      <w:r w:rsidR="00476BDE" w:rsidRPr="0084150A">
        <w:rPr>
          <w:lang w:val="en-CA"/>
        </w:rPr>
        <w:t>as a result of</w:t>
      </w:r>
      <w:proofErr w:type="gramEnd"/>
      <w:r w:rsidR="00476BDE" w:rsidRPr="0084150A">
        <w:rPr>
          <w:lang w:val="en-CA"/>
        </w:rPr>
        <w:t xml:space="preserve"> </w:t>
      </w:r>
      <w:r w:rsidR="00306E5F">
        <w:rPr>
          <w:lang w:val="en-CA"/>
        </w:rPr>
        <w:t>contravening</w:t>
      </w:r>
      <w:r w:rsidR="00454032" w:rsidRPr="0084150A">
        <w:rPr>
          <w:lang w:val="en-CA"/>
        </w:rPr>
        <w:t xml:space="preserve"> the securities legislation</w:t>
      </w:r>
      <w:r w:rsidR="005D25C5" w:rsidRPr="0084150A">
        <w:rPr>
          <w:lang w:val="en-CA"/>
        </w:rPr>
        <w:t>.</w:t>
      </w:r>
    </w:p>
    <w:p w14:paraId="29180BD9" w14:textId="77777777" w:rsidR="00AC1961" w:rsidRPr="005E07F3" w:rsidRDefault="00AC1961" w:rsidP="00AC1961">
      <w:pPr>
        <w:pStyle w:val="Titre5"/>
        <w:keepNext/>
        <w:spacing w:before="120" w:after="120"/>
        <w:jc w:val="both"/>
        <w:rPr>
          <w:b/>
          <w:bCs/>
          <w:sz w:val="24"/>
          <w:szCs w:val="24"/>
          <w:lang w:val="en-CA"/>
        </w:rPr>
      </w:pPr>
    </w:p>
    <w:p w14:paraId="48C08FBD" w14:textId="7B394242" w:rsidR="00190278" w:rsidRPr="0084150A" w:rsidRDefault="005D25C5" w:rsidP="00AC1961">
      <w:pPr>
        <w:pStyle w:val="Titre5"/>
        <w:keepNext/>
        <w:spacing w:before="120" w:after="120"/>
        <w:jc w:val="both"/>
        <w:rPr>
          <w:sz w:val="24"/>
          <w:szCs w:val="24"/>
          <w:lang w:val="en-CA"/>
        </w:rPr>
      </w:pPr>
      <w:r w:rsidRPr="005E07F3">
        <w:rPr>
          <w:b/>
          <w:bCs/>
          <w:sz w:val="24"/>
          <w:szCs w:val="24"/>
          <w:lang w:val="en-CA"/>
        </w:rPr>
        <w:t xml:space="preserve">FOR THESE REASONS, </w:t>
      </w:r>
      <w:r w:rsidRPr="005E07F3">
        <w:rPr>
          <w:sz w:val="24"/>
          <w:szCs w:val="24"/>
          <w:lang w:val="en-CA"/>
        </w:rPr>
        <w:t>the Financial Markets Administrative Tribunal, pursuant to sections 93</w:t>
      </w:r>
      <w:r w:rsidR="00454032" w:rsidRPr="005E07F3">
        <w:rPr>
          <w:sz w:val="24"/>
          <w:szCs w:val="24"/>
          <w:lang w:val="en-CA"/>
        </w:rPr>
        <w:t xml:space="preserve"> and</w:t>
      </w:r>
      <w:r w:rsidRPr="005E07F3">
        <w:rPr>
          <w:sz w:val="24"/>
          <w:szCs w:val="24"/>
          <w:lang w:val="en-CA"/>
        </w:rPr>
        <w:t xml:space="preserve"> 94 of the </w:t>
      </w:r>
      <w:r w:rsidRPr="005E07F3">
        <w:rPr>
          <w:i/>
          <w:iCs/>
          <w:sz w:val="24"/>
          <w:szCs w:val="24"/>
          <w:lang w:val="en-CA"/>
        </w:rPr>
        <w:t>Act respecting the regulation of the financial sector</w:t>
      </w:r>
      <w:r w:rsidR="007B2239" w:rsidRPr="0084150A">
        <w:rPr>
          <w:sz w:val="24"/>
          <w:szCs w:val="24"/>
          <w:lang w:val="en-CA"/>
        </w:rPr>
        <w:t>;</w:t>
      </w:r>
      <w:r w:rsidR="00454032" w:rsidRPr="0084150A">
        <w:rPr>
          <w:rStyle w:val="Appelnotedebasdep"/>
          <w:rFonts w:cs="Arial"/>
          <w:color w:val="000000"/>
          <w:sz w:val="24"/>
          <w:szCs w:val="24"/>
          <w:shd w:val="clear" w:color="auto" w:fill="FFFFFF"/>
          <w:lang w:val="en-CA"/>
        </w:rPr>
        <w:footnoteReference w:id="175"/>
      </w:r>
      <w:r w:rsidRPr="005E07F3">
        <w:rPr>
          <w:sz w:val="24"/>
          <w:szCs w:val="24"/>
          <w:lang w:val="en-CA"/>
        </w:rPr>
        <w:t xml:space="preserve"> sections 26</w:t>
      </w:r>
      <w:r w:rsidR="00454032" w:rsidRPr="005E07F3">
        <w:rPr>
          <w:sz w:val="24"/>
          <w:szCs w:val="24"/>
          <w:lang w:val="en-CA"/>
        </w:rPr>
        <w:t>2.1(9)</w:t>
      </w:r>
      <w:r w:rsidRPr="005E07F3">
        <w:rPr>
          <w:sz w:val="24"/>
          <w:szCs w:val="24"/>
          <w:lang w:val="en-CA"/>
        </w:rPr>
        <w:t xml:space="preserve">, 265, 273.1 and 273.3 of the </w:t>
      </w:r>
      <w:r w:rsidRPr="005E07F3">
        <w:rPr>
          <w:i/>
          <w:iCs/>
          <w:sz w:val="24"/>
          <w:szCs w:val="24"/>
          <w:lang w:val="en-CA"/>
        </w:rPr>
        <w:t>Securities Act</w:t>
      </w:r>
      <w:r w:rsidR="007B2239" w:rsidRPr="0084150A">
        <w:rPr>
          <w:sz w:val="24"/>
          <w:szCs w:val="24"/>
          <w:lang w:val="en-CA"/>
        </w:rPr>
        <w:t>;</w:t>
      </w:r>
      <w:r w:rsidR="00454032" w:rsidRPr="0084150A">
        <w:rPr>
          <w:rStyle w:val="Appelnotedebasdep"/>
          <w:rFonts w:cs="Arial"/>
          <w:sz w:val="24"/>
          <w:szCs w:val="24"/>
          <w:lang w:val="en-CA"/>
        </w:rPr>
        <w:footnoteReference w:id="176"/>
      </w:r>
      <w:r w:rsidRPr="005E07F3">
        <w:rPr>
          <w:sz w:val="24"/>
          <w:szCs w:val="24"/>
          <w:lang w:val="en-CA"/>
        </w:rPr>
        <w:t xml:space="preserve"> and section 131 of the </w:t>
      </w:r>
      <w:r w:rsidRPr="005E07F3">
        <w:rPr>
          <w:i/>
          <w:iCs/>
          <w:sz w:val="24"/>
          <w:szCs w:val="24"/>
          <w:lang w:val="en-CA"/>
        </w:rPr>
        <w:t>Derivatives Act</w:t>
      </w:r>
      <w:r w:rsidRPr="005E07F3">
        <w:rPr>
          <w:sz w:val="24"/>
          <w:szCs w:val="24"/>
          <w:lang w:val="en-CA"/>
        </w:rPr>
        <w:t>:</w:t>
      </w:r>
      <w:r w:rsidR="00454032" w:rsidRPr="0084150A">
        <w:rPr>
          <w:rStyle w:val="Appelnotedebasdep"/>
          <w:rFonts w:cs="Arial"/>
          <w:color w:val="000000"/>
          <w:sz w:val="24"/>
          <w:szCs w:val="24"/>
          <w:lang w:val="en-CA"/>
        </w:rPr>
        <w:footnoteReference w:id="177"/>
      </w:r>
    </w:p>
    <w:p w14:paraId="792CEDD0" w14:textId="05EF4AA4" w:rsidR="00AD7181" w:rsidRPr="0084150A" w:rsidRDefault="008E4036" w:rsidP="00626B36">
      <w:pPr>
        <w:spacing w:before="120" w:after="120"/>
        <w:jc w:val="both"/>
        <w:rPr>
          <w:rFonts w:cs="Arial"/>
          <w:szCs w:val="24"/>
          <w:lang w:val="en-CA"/>
        </w:rPr>
      </w:pPr>
      <w:r w:rsidRPr="0084150A">
        <w:rPr>
          <w:rFonts w:cs="Arial"/>
          <w:b/>
          <w:szCs w:val="24"/>
          <w:lang w:val="en-CA"/>
        </w:rPr>
        <w:t>GRANTS</w:t>
      </w:r>
      <w:r w:rsidR="005D25C5" w:rsidRPr="0084150A">
        <w:rPr>
          <w:rFonts w:cs="Arial"/>
          <w:b/>
          <w:szCs w:val="24"/>
          <w:lang w:val="en-CA"/>
        </w:rPr>
        <w:t xml:space="preserve"> </w:t>
      </w:r>
      <w:r w:rsidRPr="0084150A">
        <w:rPr>
          <w:rFonts w:cs="Arial"/>
          <w:bCs/>
          <w:szCs w:val="24"/>
          <w:lang w:val="en-CA"/>
        </w:rPr>
        <w:t xml:space="preserve">the re-amended originating application by the </w:t>
      </w:r>
      <w:r w:rsidR="00626B36" w:rsidRPr="0084150A">
        <w:rPr>
          <w:rFonts w:cs="Arial"/>
          <w:szCs w:val="24"/>
          <w:lang w:val="en-CA"/>
        </w:rPr>
        <w:t xml:space="preserve">Autorité des marchés </w:t>
      </w:r>
      <w:proofErr w:type="gramStart"/>
      <w:r w:rsidR="00626B36" w:rsidRPr="0084150A">
        <w:rPr>
          <w:rFonts w:cs="Arial"/>
          <w:szCs w:val="24"/>
          <w:lang w:val="en-CA"/>
        </w:rPr>
        <w:t>financiers;</w:t>
      </w:r>
      <w:proofErr w:type="gramEnd"/>
    </w:p>
    <w:p w14:paraId="215EEB87" w14:textId="58663001" w:rsidR="00AD7181" w:rsidRPr="0084150A" w:rsidRDefault="008E4036" w:rsidP="00626B36">
      <w:pPr>
        <w:spacing w:before="120" w:after="120"/>
        <w:jc w:val="both"/>
        <w:rPr>
          <w:rFonts w:cs="Arial"/>
          <w:szCs w:val="24"/>
          <w:lang w:val="en-CA"/>
        </w:rPr>
      </w:pPr>
      <w:r w:rsidRPr="0084150A">
        <w:rPr>
          <w:rFonts w:cs="Arial"/>
          <w:b/>
          <w:bCs/>
          <w:szCs w:val="24"/>
          <w:lang w:val="en-CA"/>
        </w:rPr>
        <w:t>ORDERS</w:t>
      </w:r>
      <w:r w:rsidR="005D25C5" w:rsidRPr="0084150A">
        <w:rPr>
          <w:rFonts w:cs="Arial"/>
          <w:b/>
          <w:bCs/>
          <w:szCs w:val="24"/>
          <w:lang w:val="en-CA"/>
        </w:rPr>
        <w:t xml:space="preserve"> </w:t>
      </w:r>
      <w:r w:rsidR="005D25C5" w:rsidRPr="0084150A">
        <w:rPr>
          <w:rFonts w:cs="Arial"/>
          <w:szCs w:val="24"/>
          <w:lang w:val="en-CA"/>
        </w:rPr>
        <w:t>Philippe Gauthier</w:t>
      </w:r>
      <w:r w:rsidRPr="0084150A">
        <w:rPr>
          <w:rFonts w:cs="Arial"/>
          <w:szCs w:val="24"/>
          <w:lang w:val="en-CA"/>
        </w:rPr>
        <w:t xml:space="preserve"> to cease any activity</w:t>
      </w:r>
      <w:r w:rsidR="005D25C5" w:rsidRPr="0084150A">
        <w:rPr>
          <w:rFonts w:cs="Arial"/>
          <w:szCs w:val="24"/>
          <w:lang w:val="en-CA"/>
        </w:rPr>
        <w:t>,</w:t>
      </w:r>
      <w:r w:rsidRPr="0084150A">
        <w:rPr>
          <w:rFonts w:cs="Arial"/>
          <w:szCs w:val="24"/>
          <w:lang w:val="en-CA"/>
        </w:rPr>
        <w:t xml:space="preserve"> directly or indirectly, of a transaction in a particular security in any form of investment </w:t>
      </w:r>
      <w:r w:rsidR="00F17E54" w:rsidRPr="0084150A">
        <w:rPr>
          <w:rFonts w:cs="Arial"/>
          <w:szCs w:val="24"/>
          <w:lang w:val="en-CA"/>
        </w:rPr>
        <w:t xml:space="preserve">within the meaning of the </w:t>
      </w:r>
      <w:r w:rsidR="00F17E54" w:rsidRPr="0084150A">
        <w:rPr>
          <w:rFonts w:cs="Arial"/>
          <w:i/>
          <w:iCs/>
          <w:szCs w:val="24"/>
          <w:lang w:val="en-CA"/>
        </w:rPr>
        <w:t>Securities Act</w:t>
      </w:r>
      <w:r w:rsidR="005D25C5" w:rsidRPr="0084150A">
        <w:rPr>
          <w:rStyle w:val="Appelnotedebasdep"/>
          <w:rFonts w:cs="Arial"/>
          <w:szCs w:val="24"/>
          <w:lang w:val="en-CA"/>
        </w:rPr>
        <w:footnoteReference w:id="178"/>
      </w:r>
      <w:r w:rsidR="005D25C5" w:rsidRPr="0084150A">
        <w:rPr>
          <w:rFonts w:cs="Arial"/>
          <w:szCs w:val="24"/>
          <w:lang w:val="en-CA"/>
        </w:rPr>
        <w:t xml:space="preserve"> </w:t>
      </w:r>
      <w:r w:rsidR="00F17E54" w:rsidRPr="0084150A">
        <w:rPr>
          <w:rFonts w:cs="Arial"/>
          <w:szCs w:val="24"/>
          <w:lang w:val="en-CA"/>
        </w:rPr>
        <w:t xml:space="preserve">and any derivative within the meaning of the </w:t>
      </w:r>
      <w:r w:rsidR="00F17E54" w:rsidRPr="0084150A">
        <w:rPr>
          <w:rFonts w:cs="Arial"/>
          <w:i/>
          <w:iCs/>
          <w:szCs w:val="24"/>
          <w:lang w:val="en-CA"/>
        </w:rPr>
        <w:t>Derivatives Act</w:t>
      </w:r>
      <w:r w:rsidR="00F17E54" w:rsidRPr="0084150A">
        <w:rPr>
          <w:rFonts w:cs="Arial"/>
          <w:szCs w:val="24"/>
          <w:lang w:val="en-CA"/>
        </w:rPr>
        <w:t>,</w:t>
      </w:r>
      <w:r w:rsidR="005D25C5" w:rsidRPr="0084150A">
        <w:rPr>
          <w:rStyle w:val="Appelnotedebasdep"/>
          <w:rFonts w:cs="Arial"/>
          <w:szCs w:val="24"/>
          <w:lang w:val="en-CA"/>
        </w:rPr>
        <w:footnoteReference w:id="179"/>
      </w:r>
      <w:r w:rsidR="005D25C5" w:rsidRPr="0084150A">
        <w:rPr>
          <w:rFonts w:cs="Arial"/>
          <w:szCs w:val="24"/>
          <w:lang w:val="en-CA"/>
        </w:rPr>
        <w:t xml:space="preserve"> </w:t>
      </w:r>
      <w:r w:rsidR="00F17E54" w:rsidRPr="0084150A">
        <w:rPr>
          <w:rFonts w:cs="Arial"/>
          <w:szCs w:val="24"/>
          <w:lang w:val="en-CA"/>
        </w:rPr>
        <w:t xml:space="preserve">except for transactions </w:t>
      </w:r>
      <w:r w:rsidR="0028728F" w:rsidRPr="0084150A">
        <w:rPr>
          <w:rFonts w:cs="Arial"/>
          <w:szCs w:val="24"/>
          <w:lang w:val="en-CA"/>
        </w:rPr>
        <w:t>performed</w:t>
      </w:r>
      <w:r w:rsidR="00F17E54" w:rsidRPr="0084150A">
        <w:rPr>
          <w:rFonts w:cs="Arial"/>
          <w:szCs w:val="24"/>
          <w:lang w:val="en-CA"/>
        </w:rPr>
        <w:t xml:space="preserve"> on his own behalf under the following conditions</w:t>
      </w:r>
      <w:r w:rsidR="005D25C5" w:rsidRPr="0084150A">
        <w:rPr>
          <w:rFonts w:cs="Arial"/>
          <w:szCs w:val="24"/>
          <w:lang w:val="en-CA"/>
        </w:rPr>
        <w:t xml:space="preserve">: </w:t>
      </w:r>
    </w:p>
    <w:p w14:paraId="7617717C" w14:textId="2FF2CDAB" w:rsidR="00AD7181" w:rsidRPr="005E07F3" w:rsidRDefault="00C13A82" w:rsidP="00626B36">
      <w:pPr>
        <w:pStyle w:val="Paragraphedeliste"/>
        <w:numPr>
          <w:ilvl w:val="0"/>
          <w:numId w:val="14"/>
        </w:numPr>
        <w:spacing w:before="120" w:after="120"/>
        <w:ind w:left="714" w:hanging="357"/>
        <w:contextualSpacing w:val="0"/>
        <w:jc w:val="both"/>
        <w:rPr>
          <w:rFonts w:cs="Arial"/>
          <w:szCs w:val="24"/>
          <w:lang w:val="en-CA"/>
        </w:rPr>
      </w:pPr>
      <w:r w:rsidRPr="005E07F3">
        <w:rPr>
          <w:rFonts w:cs="Arial"/>
          <w:szCs w:val="24"/>
          <w:lang w:val="en-CA"/>
        </w:rPr>
        <w:t>transactions of</w:t>
      </w:r>
      <w:r w:rsidR="003367F8" w:rsidRPr="005E07F3">
        <w:rPr>
          <w:rFonts w:cs="Arial"/>
          <w:szCs w:val="24"/>
          <w:lang w:val="en-CA"/>
        </w:rPr>
        <w:t xml:space="preserve"> securities or derivatives must not be </w:t>
      </w:r>
      <w:r w:rsidRPr="005E07F3">
        <w:rPr>
          <w:rFonts w:cs="Arial"/>
          <w:szCs w:val="24"/>
          <w:lang w:val="en-CA"/>
        </w:rPr>
        <w:t>performed</w:t>
      </w:r>
      <w:r w:rsidR="007579F8" w:rsidRPr="005E07F3">
        <w:rPr>
          <w:rFonts w:cs="Arial"/>
          <w:szCs w:val="24"/>
          <w:lang w:val="en-CA"/>
        </w:rPr>
        <w:t xml:space="preserve"> with amounts obtained in a way that contravenes the </w:t>
      </w:r>
      <w:proofErr w:type="gramStart"/>
      <w:r w:rsidR="00120A52" w:rsidRPr="005E07F3">
        <w:rPr>
          <w:rFonts w:cs="Arial"/>
          <w:szCs w:val="24"/>
          <w:lang w:val="en-CA"/>
        </w:rPr>
        <w:t>law</w:t>
      </w:r>
      <w:r w:rsidR="005D25C5" w:rsidRPr="005E07F3">
        <w:rPr>
          <w:rFonts w:cs="Arial"/>
          <w:szCs w:val="24"/>
          <w:lang w:val="en-CA"/>
        </w:rPr>
        <w:t>;</w:t>
      </w:r>
      <w:proofErr w:type="gramEnd"/>
    </w:p>
    <w:p w14:paraId="7C6998F4" w14:textId="1F6BD22B" w:rsidR="00AD7181" w:rsidRPr="005E07F3" w:rsidRDefault="00C13A82" w:rsidP="00626B36">
      <w:pPr>
        <w:pStyle w:val="Paragraphedeliste"/>
        <w:numPr>
          <w:ilvl w:val="0"/>
          <w:numId w:val="14"/>
        </w:numPr>
        <w:spacing w:before="120" w:after="120"/>
        <w:ind w:left="714" w:hanging="357"/>
        <w:contextualSpacing w:val="0"/>
        <w:jc w:val="both"/>
        <w:rPr>
          <w:rFonts w:cs="Arial"/>
          <w:szCs w:val="24"/>
          <w:lang w:val="en-CA"/>
        </w:rPr>
      </w:pPr>
      <w:r w:rsidRPr="005E07F3">
        <w:rPr>
          <w:rFonts w:cs="Arial"/>
          <w:szCs w:val="24"/>
          <w:lang w:val="en-CA"/>
        </w:rPr>
        <w:t xml:space="preserve">transactions of securities or derivatives </w:t>
      </w:r>
      <w:r w:rsidR="007579F8" w:rsidRPr="005E07F3">
        <w:rPr>
          <w:rFonts w:cs="Arial"/>
          <w:szCs w:val="24"/>
          <w:lang w:val="en-CA"/>
        </w:rPr>
        <w:t xml:space="preserve">must be </w:t>
      </w:r>
      <w:r w:rsidRPr="005E07F3">
        <w:rPr>
          <w:rFonts w:cs="Arial"/>
          <w:szCs w:val="24"/>
          <w:lang w:val="en-CA"/>
        </w:rPr>
        <w:t>performed</w:t>
      </w:r>
      <w:r w:rsidR="007579F8" w:rsidRPr="005E07F3">
        <w:rPr>
          <w:rFonts w:cs="Arial"/>
          <w:szCs w:val="24"/>
          <w:lang w:val="en-CA"/>
        </w:rPr>
        <w:t xml:space="preserve"> through a dealer duly registered with the </w:t>
      </w:r>
      <w:r w:rsidR="005D25C5" w:rsidRPr="005E07F3">
        <w:rPr>
          <w:rFonts w:cs="Arial"/>
          <w:szCs w:val="24"/>
          <w:lang w:val="en-CA"/>
        </w:rPr>
        <w:t xml:space="preserve">Autorité des marchés </w:t>
      </w:r>
      <w:proofErr w:type="gramStart"/>
      <w:r w:rsidR="005D25C5" w:rsidRPr="005E07F3">
        <w:rPr>
          <w:rFonts w:cs="Arial"/>
          <w:szCs w:val="24"/>
          <w:lang w:val="en-CA"/>
        </w:rPr>
        <w:t>financiers;</w:t>
      </w:r>
      <w:proofErr w:type="gramEnd"/>
    </w:p>
    <w:p w14:paraId="7A1DD308" w14:textId="77F15E0D" w:rsidR="00AD7181" w:rsidRPr="0084150A" w:rsidRDefault="007579F8" w:rsidP="00626B36">
      <w:pPr>
        <w:pStyle w:val="Paragraphedeliste"/>
        <w:numPr>
          <w:ilvl w:val="0"/>
          <w:numId w:val="14"/>
        </w:numPr>
        <w:spacing w:before="120" w:after="120"/>
        <w:ind w:left="714" w:hanging="357"/>
        <w:contextualSpacing w:val="0"/>
        <w:jc w:val="both"/>
        <w:rPr>
          <w:rFonts w:cs="Arial"/>
          <w:szCs w:val="24"/>
          <w:lang w:val="en-CA"/>
        </w:rPr>
      </w:pPr>
      <w:r w:rsidRPr="005E07F3">
        <w:rPr>
          <w:rFonts w:cs="Arial"/>
          <w:szCs w:val="24"/>
          <w:lang w:val="en-CA"/>
        </w:rPr>
        <w:t>transactions of investment fund securities (mutual funds, exchange traded funds (“ETF”), etc.), government bonds, or guaranteed investment certificates (“GIF”) must be performed only in registered R</w:t>
      </w:r>
      <w:r w:rsidR="001F3CC4" w:rsidRPr="005E07F3">
        <w:rPr>
          <w:rFonts w:cs="Arial"/>
          <w:szCs w:val="24"/>
          <w:lang w:val="en-CA"/>
        </w:rPr>
        <w:t>RSP</w:t>
      </w:r>
      <w:r w:rsidRPr="005E07F3">
        <w:rPr>
          <w:rFonts w:cs="Arial"/>
          <w:szCs w:val="24"/>
          <w:lang w:val="en-CA"/>
        </w:rPr>
        <w:t xml:space="preserve">, TFSA, or RESP accounts in accordance with the law or through a </w:t>
      </w:r>
      <w:r w:rsidR="00C13A82" w:rsidRPr="005E07F3">
        <w:rPr>
          <w:rFonts w:cs="Arial"/>
          <w:szCs w:val="24"/>
          <w:lang w:val="en-CA"/>
        </w:rPr>
        <w:t>portfolio</w:t>
      </w:r>
      <w:r w:rsidRPr="005E07F3">
        <w:rPr>
          <w:rFonts w:cs="Arial"/>
          <w:szCs w:val="24"/>
          <w:lang w:val="en-CA"/>
        </w:rPr>
        <w:t xml:space="preserve"> manager in accordance with paragraph (d) </w:t>
      </w:r>
      <w:proofErr w:type="gramStart"/>
      <w:r w:rsidRPr="005E07F3">
        <w:rPr>
          <w:rFonts w:cs="Arial"/>
          <w:szCs w:val="24"/>
          <w:lang w:val="en-CA"/>
        </w:rPr>
        <w:t>below</w:t>
      </w:r>
      <w:r w:rsidR="005D25C5" w:rsidRPr="005E07F3">
        <w:rPr>
          <w:rFonts w:cs="Arial"/>
          <w:szCs w:val="24"/>
          <w:lang w:val="en-CA"/>
        </w:rPr>
        <w:t>;</w:t>
      </w:r>
      <w:proofErr w:type="gramEnd"/>
    </w:p>
    <w:p w14:paraId="6535C6A0" w14:textId="25F9E89F" w:rsidR="00AD7181" w:rsidRPr="0084150A" w:rsidRDefault="0079727B" w:rsidP="00626B36">
      <w:pPr>
        <w:pStyle w:val="Paragraphedeliste"/>
        <w:numPr>
          <w:ilvl w:val="0"/>
          <w:numId w:val="14"/>
        </w:numPr>
        <w:spacing w:before="120" w:after="120"/>
        <w:ind w:left="714" w:hanging="357"/>
        <w:contextualSpacing w:val="0"/>
        <w:jc w:val="both"/>
        <w:rPr>
          <w:rFonts w:cs="Arial"/>
          <w:szCs w:val="24"/>
          <w:lang w:val="en-CA"/>
        </w:rPr>
      </w:pPr>
      <w:r w:rsidRPr="0084150A">
        <w:rPr>
          <w:rFonts w:cs="Arial"/>
          <w:szCs w:val="24"/>
          <w:lang w:val="en-CA"/>
        </w:rPr>
        <w:t xml:space="preserve">transactions of any other type of security or derivative </w:t>
      </w:r>
      <w:r w:rsidR="00812A28" w:rsidRPr="0084150A">
        <w:rPr>
          <w:rFonts w:cs="Arial"/>
          <w:szCs w:val="24"/>
          <w:lang w:val="en-CA"/>
        </w:rPr>
        <w:t xml:space="preserve">(particularly shares, bonds, options, etc.) must be entrusted to a portfolio manager duly registered with the Autorité des marchés financiers with which Philippe Gautier has no direct or indirect relationship and in accordance with a </w:t>
      </w:r>
      <w:r w:rsidR="0028728F" w:rsidRPr="0084150A">
        <w:rPr>
          <w:rFonts w:cs="Arial"/>
          <w:szCs w:val="24"/>
          <w:lang w:val="en-CA"/>
        </w:rPr>
        <w:t xml:space="preserve">blind discretionary management agreement (“managed agreement”) within the meaning of section 1.1 of </w:t>
      </w:r>
      <w:r w:rsidR="0028728F" w:rsidRPr="0084150A">
        <w:rPr>
          <w:rFonts w:cs="Arial"/>
          <w:i/>
          <w:iCs/>
          <w:szCs w:val="24"/>
          <w:lang w:val="en-CA"/>
        </w:rPr>
        <w:t xml:space="preserve">Regulation 31-103 respecting </w:t>
      </w:r>
      <w:r w:rsidR="00930029" w:rsidRPr="0084150A">
        <w:rPr>
          <w:rFonts w:cs="Arial"/>
          <w:i/>
          <w:iCs/>
          <w:szCs w:val="24"/>
          <w:lang w:val="en-CA"/>
        </w:rPr>
        <w:t>Registration</w:t>
      </w:r>
      <w:r w:rsidR="0028728F" w:rsidRPr="0084150A">
        <w:rPr>
          <w:rFonts w:cs="Arial"/>
          <w:i/>
          <w:iCs/>
          <w:szCs w:val="24"/>
          <w:lang w:val="en-CA"/>
        </w:rPr>
        <w:t xml:space="preserve"> Requirements, Exemptions and Ongoing Registrant Obligations</w:t>
      </w:r>
      <w:bookmarkStart w:id="21" w:name="_Ref167352469"/>
      <w:r w:rsidR="005D25C5" w:rsidRPr="0084150A">
        <w:rPr>
          <w:rStyle w:val="Appelnotedebasdep"/>
          <w:rFonts w:cs="Arial"/>
          <w:szCs w:val="24"/>
          <w:lang w:val="en-CA"/>
        </w:rPr>
        <w:footnoteReference w:id="180"/>
      </w:r>
      <w:bookmarkEnd w:id="21"/>
      <w:r w:rsidR="005D25C5" w:rsidRPr="0084150A">
        <w:rPr>
          <w:rFonts w:cs="Arial"/>
          <w:szCs w:val="24"/>
          <w:lang w:val="en-CA"/>
        </w:rPr>
        <w:t xml:space="preserve"> </w:t>
      </w:r>
      <w:r w:rsidR="0028728F" w:rsidRPr="0084150A">
        <w:rPr>
          <w:rFonts w:cs="Arial"/>
          <w:szCs w:val="24"/>
          <w:lang w:val="en-CA"/>
        </w:rPr>
        <w:t>except to establish the risk profile</w:t>
      </w:r>
      <w:r w:rsidR="005D25C5" w:rsidRPr="0084150A">
        <w:rPr>
          <w:rFonts w:cs="Arial"/>
          <w:szCs w:val="24"/>
          <w:lang w:val="en-CA"/>
        </w:rPr>
        <w:t>;</w:t>
      </w:r>
      <w:r w:rsidR="007B2239" w:rsidRPr="0084150A">
        <w:rPr>
          <w:rFonts w:cs="Arial"/>
          <w:szCs w:val="24"/>
          <w:lang w:val="en-CA"/>
        </w:rPr>
        <w:t xml:space="preserve"> and</w:t>
      </w:r>
    </w:p>
    <w:p w14:paraId="5686CD28" w14:textId="5799F774" w:rsidR="00AD7181" w:rsidRPr="005E07F3" w:rsidRDefault="007B2239" w:rsidP="00626B36">
      <w:pPr>
        <w:pStyle w:val="Paragraphedeliste"/>
        <w:numPr>
          <w:ilvl w:val="0"/>
          <w:numId w:val="14"/>
        </w:numPr>
        <w:spacing w:before="120" w:after="120"/>
        <w:contextualSpacing w:val="0"/>
        <w:jc w:val="both"/>
        <w:rPr>
          <w:rFonts w:cs="Arial"/>
          <w:szCs w:val="24"/>
          <w:lang w:val="en-CA"/>
        </w:rPr>
      </w:pPr>
      <w:r w:rsidRPr="005E07F3">
        <w:rPr>
          <w:rFonts w:cs="Arial"/>
          <w:szCs w:val="24"/>
          <w:lang w:val="en-CA"/>
        </w:rPr>
        <w:t>a copy of these orders must be submitted to the portfolio manager</w:t>
      </w:r>
      <w:r w:rsidR="00907CD5">
        <w:rPr>
          <w:rFonts w:cs="Arial"/>
          <w:szCs w:val="24"/>
          <w:lang w:val="en-CA"/>
        </w:rPr>
        <w:t>,</w:t>
      </w:r>
      <w:r w:rsidRPr="005E07F3">
        <w:rPr>
          <w:rFonts w:cs="Arial"/>
          <w:szCs w:val="24"/>
          <w:lang w:val="en-CA"/>
        </w:rPr>
        <w:t xml:space="preserve"> if </w:t>
      </w:r>
      <w:proofErr w:type="gramStart"/>
      <w:r w:rsidRPr="005E07F3">
        <w:rPr>
          <w:rFonts w:cs="Arial"/>
          <w:szCs w:val="24"/>
          <w:lang w:val="en-CA"/>
        </w:rPr>
        <w:t>necessary</w:t>
      </w:r>
      <w:r w:rsidR="00626B36" w:rsidRPr="005E07F3">
        <w:rPr>
          <w:rFonts w:cs="Arial"/>
          <w:szCs w:val="24"/>
          <w:lang w:val="en-CA"/>
        </w:rPr>
        <w:t>;</w:t>
      </w:r>
      <w:proofErr w:type="gramEnd"/>
    </w:p>
    <w:p w14:paraId="257E37D3" w14:textId="31132B78" w:rsidR="00AD7181" w:rsidRPr="0084150A" w:rsidRDefault="005D25C5" w:rsidP="00626B36">
      <w:pPr>
        <w:spacing w:before="120" w:after="120"/>
        <w:jc w:val="both"/>
        <w:rPr>
          <w:rFonts w:cs="Arial"/>
          <w:szCs w:val="24"/>
          <w:lang w:val="en-CA"/>
        </w:rPr>
      </w:pPr>
      <w:r w:rsidRPr="005E07F3">
        <w:rPr>
          <w:rFonts w:cs="Arial"/>
          <w:b/>
          <w:bCs/>
          <w:szCs w:val="24"/>
          <w:lang w:val="en-CA"/>
        </w:rPr>
        <w:t xml:space="preserve">PROHIBITS </w:t>
      </w:r>
      <w:r w:rsidR="007B2239" w:rsidRPr="0084150A">
        <w:rPr>
          <w:rFonts w:cs="Arial"/>
          <w:szCs w:val="24"/>
          <w:lang w:val="en-CA"/>
        </w:rPr>
        <w:t xml:space="preserve">Philippe Gauthier from acting as a director or officer of a reporting issuer, advisor, or investment fund manager for a period of five (5) </w:t>
      </w:r>
      <w:proofErr w:type="gramStart"/>
      <w:r w:rsidR="007B2239" w:rsidRPr="0084150A">
        <w:rPr>
          <w:rFonts w:cs="Arial"/>
          <w:szCs w:val="24"/>
          <w:lang w:val="en-CA"/>
        </w:rPr>
        <w:t>years;</w:t>
      </w:r>
      <w:proofErr w:type="gramEnd"/>
    </w:p>
    <w:p w14:paraId="372B2FBA" w14:textId="561AA6FE" w:rsidR="00AD7181" w:rsidRPr="0084150A" w:rsidRDefault="005D25C5" w:rsidP="00626B36">
      <w:pPr>
        <w:spacing w:before="120" w:after="120"/>
        <w:jc w:val="both"/>
        <w:rPr>
          <w:rFonts w:cs="Arial"/>
          <w:szCs w:val="24"/>
          <w:lang w:val="en-CA"/>
        </w:rPr>
      </w:pPr>
      <w:r w:rsidRPr="0084150A">
        <w:rPr>
          <w:rFonts w:cs="Arial"/>
          <w:b/>
          <w:bCs/>
          <w:szCs w:val="24"/>
          <w:lang w:val="en-CA"/>
        </w:rPr>
        <w:t>IMPOSE</w:t>
      </w:r>
      <w:r w:rsidR="007B2239" w:rsidRPr="0084150A">
        <w:rPr>
          <w:rFonts w:cs="Arial"/>
          <w:b/>
          <w:bCs/>
          <w:szCs w:val="24"/>
          <w:lang w:val="en-CA"/>
        </w:rPr>
        <w:t>S</w:t>
      </w:r>
      <w:r w:rsidR="00626B36" w:rsidRPr="0084150A">
        <w:rPr>
          <w:rFonts w:cs="Arial"/>
          <w:szCs w:val="24"/>
          <w:lang w:val="en-CA"/>
        </w:rPr>
        <w:t xml:space="preserve"> </w:t>
      </w:r>
      <w:r w:rsidR="007B2239" w:rsidRPr="0084150A">
        <w:rPr>
          <w:rFonts w:cs="Arial"/>
          <w:szCs w:val="24"/>
          <w:lang w:val="en-CA"/>
        </w:rPr>
        <w:t xml:space="preserve">on </w:t>
      </w:r>
      <w:r w:rsidR="00626B36" w:rsidRPr="0084150A">
        <w:rPr>
          <w:rFonts w:cs="Arial"/>
          <w:szCs w:val="24"/>
          <w:lang w:val="en-CA"/>
        </w:rPr>
        <w:t xml:space="preserve">Philippe Gauthier </w:t>
      </w:r>
      <w:r w:rsidR="007B2239" w:rsidRPr="0084150A">
        <w:rPr>
          <w:rFonts w:cs="Arial"/>
          <w:szCs w:val="24"/>
          <w:lang w:val="en-CA"/>
        </w:rPr>
        <w:t xml:space="preserve">an administrative penalty of </w:t>
      </w:r>
      <w:proofErr w:type="gramStart"/>
      <w:r w:rsidR="007B2239" w:rsidRPr="0084150A">
        <w:rPr>
          <w:rFonts w:cs="Arial"/>
          <w:szCs w:val="24"/>
          <w:lang w:val="en-CA"/>
        </w:rPr>
        <w:t>$350,000</w:t>
      </w:r>
      <w:r w:rsidR="00626B36" w:rsidRPr="0084150A">
        <w:rPr>
          <w:rFonts w:cs="Arial"/>
          <w:szCs w:val="24"/>
          <w:lang w:val="en-CA"/>
        </w:rPr>
        <w:t>;</w:t>
      </w:r>
      <w:proofErr w:type="gramEnd"/>
    </w:p>
    <w:p w14:paraId="74B71EA6" w14:textId="0E7666E6" w:rsidR="00AD7181" w:rsidRPr="0084150A" w:rsidRDefault="007B2239" w:rsidP="00626B36">
      <w:pPr>
        <w:spacing w:before="120" w:after="120"/>
        <w:jc w:val="both"/>
        <w:rPr>
          <w:rFonts w:cs="Arial"/>
          <w:szCs w:val="24"/>
          <w:lang w:val="en-CA"/>
        </w:rPr>
      </w:pPr>
      <w:r w:rsidRPr="0084150A">
        <w:rPr>
          <w:rFonts w:cs="Arial"/>
          <w:b/>
          <w:bCs/>
          <w:szCs w:val="24"/>
          <w:lang w:val="en-CA"/>
        </w:rPr>
        <w:lastRenderedPageBreak/>
        <w:t>ORDERS</w:t>
      </w:r>
      <w:r w:rsidR="005D25C5" w:rsidRPr="0084150A">
        <w:rPr>
          <w:rFonts w:cs="Arial"/>
          <w:b/>
          <w:bCs/>
          <w:szCs w:val="24"/>
          <w:lang w:val="en-CA"/>
        </w:rPr>
        <w:t xml:space="preserve"> </w:t>
      </w:r>
      <w:r w:rsidRPr="0084150A">
        <w:rPr>
          <w:rFonts w:cs="Arial"/>
          <w:szCs w:val="24"/>
          <w:lang w:val="en-CA"/>
        </w:rPr>
        <w:t xml:space="preserve">Frédéric Racine to cease </w:t>
      </w:r>
      <w:r w:rsidR="00E65C7E" w:rsidRPr="0084150A">
        <w:rPr>
          <w:rFonts w:cs="Arial"/>
          <w:szCs w:val="24"/>
          <w:lang w:val="en-CA"/>
        </w:rPr>
        <w:t xml:space="preserve">any activity, directly or indirectly, of a transaction </w:t>
      </w:r>
      <w:r w:rsidR="00E77E20" w:rsidRPr="0084150A">
        <w:rPr>
          <w:rFonts w:cs="Arial"/>
          <w:szCs w:val="24"/>
          <w:lang w:val="en-CA"/>
        </w:rPr>
        <w:t xml:space="preserve">in a particular security in any form of investment within the meaning of the </w:t>
      </w:r>
      <w:r w:rsidR="00E77E20" w:rsidRPr="0084150A">
        <w:rPr>
          <w:rFonts w:cs="Arial"/>
          <w:i/>
          <w:iCs/>
          <w:szCs w:val="24"/>
          <w:lang w:val="en-CA"/>
        </w:rPr>
        <w:t>Securities Act</w:t>
      </w:r>
      <w:r w:rsidR="005D25C5" w:rsidRPr="0084150A">
        <w:rPr>
          <w:rStyle w:val="Appelnotedebasdep"/>
          <w:rFonts w:cs="Arial"/>
          <w:szCs w:val="24"/>
          <w:lang w:val="en-CA"/>
        </w:rPr>
        <w:footnoteReference w:id="181"/>
      </w:r>
      <w:r w:rsidR="005D25C5" w:rsidRPr="0084150A">
        <w:rPr>
          <w:rFonts w:cs="Arial"/>
          <w:szCs w:val="24"/>
          <w:lang w:val="en-CA"/>
        </w:rPr>
        <w:t xml:space="preserve"> </w:t>
      </w:r>
      <w:r w:rsidR="00E77E20" w:rsidRPr="0084150A">
        <w:rPr>
          <w:rFonts w:cs="Arial"/>
          <w:szCs w:val="24"/>
          <w:lang w:val="en-CA"/>
        </w:rPr>
        <w:t xml:space="preserve">and any derivative within the meaning of the </w:t>
      </w:r>
      <w:r w:rsidR="00E77E20" w:rsidRPr="0084150A">
        <w:rPr>
          <w:rFonts w:cs="Arial"/>
          <w:i/>
          <w:iCs/>
          <w:szCs w:val="24"/>
          <w:lang w:val="en-CA"/>
        </w:rPr>
        <w:t>Derivatives Act</w:t>
      </w:r>
      <w:r w:rsidR="00CD4966" w:rsidRPr="0084150A">
        <w:rPr>
          <w:rFonts w:cs="Arial"/>
          <w:szCs w:val="24"/>
          <w:lang w:val="en-CA"/>
        </w:rPr>
        <w:t>,</w:t>
      </w:r>
      <w:r w:rsidR="005D25C5" w:rsidRPr="0084150A">
        <w:rPr>
          <w:rStyle w:val="Appelnotedebasdep"/>
          <w:rFonts w:cs="Arial"/>
          <w:szCs w:val="24"/>
          <w:lang w:val="en-CA"/>
        </w:rPr>
        <w:footnoteReference w:id="182"/>
      </w:r>
      <w:r w:rsidR="005D25C5" w:rsidRPr="0084150A">
        <w:rPr>
          <w:rFonts w:cs="Arial"/>
          <w:szCs w:val="24"/>
          <w:lang w:val="en-CA"/>
        </w:rPr>
        <w:t xml:space="preserve"> </w:t>
      </w:r>
      <w:r w:rsidR="00CD4966" w:rsidRPr="0084150A">
        <w:rPr>
          <w:rFonts w:cs="Arial"/>
          <w:szCs w:val="24"/>
          <w:lang w:val="en-CA"/>
        </w:rPr>
        <w:t>except for transactions performed on his own behalf under the following conditions</w:t>
      </w:r>
      <w:r w:rsidR="005D25C5" w:rsidRPr="0084150A">
        <w:rPr>
          <w:rFonts w:cs="Arial"/>
          <w:szCs w:val="24"/>
          <w:lang w:val="en-CA"/>
        </w:rPr>
        <w:t xml:space="preserve">: </w:t>
      </w:r>
    </w:p>
    <w:p w14:paraId="174DB55F" w14:textId="209CBBCC" w:rsidR="000663EB" w:rsidRPr="005E07F3" w:rsidRDefault="000663EB" w:rsidP="000663EB">
      <w:pPr>
        <w:pStyle w:val="Paragraphedeliste"/>
        <w:numPr>
          <w:ilvl w:val="0"/>
          <w:numId w:val="15"/>
        </w:numPr>
        <w:spacing w:before="120" w:after="120"/>
        <w:contextualSpacing w:val="0"/>
        <w:jc w:val="both"/>
        <w:rPr>
          <w:rFonts w:cs="Arial"/>
          <w:szCs w:val="24"/>
          <w:lang w:val="en-CA"/>
        </w:rPr>
      </w:pPr>
      <w:r w:rsidRPr="005E07F3">
        <w:rPr>
          <w:rFonts w:cs="Arial"/>
          <w:szCs w:val="24"/>
          <w:lang w:val="en-CA"/>
        </w:rPr>
        <w:t xml:space="preserve">transactions of securities or derivatives must not be performed with the amounts obtained in a way that contravenes the </w:t>
      </w:r>
      <w:proofErr w:type="gramStart"/>
      <w:r w:rsidR="00EC7A41" w:rsidRPr="005E07F3">
        <w:rPr>
          <w:rFonts w:cs="Arial"/>
          <w:szCs w:val="24"/>
          <w:lang w:val="en-CA"/>
        </w:rPr>
        <w:t>law</w:t>
      </w:r>
      <w:r w:rsidRPr="005E07F3">
        <w:rPr>
          <w:rFonts w:cs="Arial"/>
          <w:szCs w:val="24"/>
          <w:lang w:val="en-CA"/>
        </w:rPr>
        <w:t>;</w:t>
      </w:r>
      <w:proofErr w:type="gramEnd"/>
    </w:p>
    <w:p w14:paraId="1B33C153" w14:textId="151CF09D" w:rsidR="000663EB" w:rsidRPr="005E07F3" w:rsidRDefault="000663EB" w:rsidP="000663EB">
      <w:pPr>
        <w:pStyle w:val="Paragraphedeliste"/>
        <w:numPr>
          <w:ilvl w:val="0"/>
          <w:numId w:val="15"/>
        </w:numPr>
        <w:spacing w:before="120" w:after="120"/>
        <w:contextualSpacing w:val="0"/>
        <w:jc w:val="both"/>
        <w:rPr>
          <w:rFonts w:cs="Arial"/>
          <w:szCs w:val="24"/>
          <w:lang w:val="en-CA"/>
        </w:rPr>
      </w:pPr>
      <w:r w:rsidRPr="005E07F3">
        <w:rPr>
          <w:rFonts w:cs="Arial"/>
          <w:szCs w:val="24"/>
          <w:lang w:val="en-CA"/>
        </w:rPr>
        <w:t xml:space="preserve">transactions of securities or derivatives must be performed through a dealer duly registered with the Autorité des marchés </w:t>
      </w:r>
      <w:proofErr w:type="gramStart"/>
      <w:r w:rsidRPr="005E07F3">
        <w:rPr>
          <w:rFonts w:cs="Arial"/>
          <w:szCs w:val="24"/>
          <w:lang w:val="en-CA"/>
        </w:rPr>
        <w:t>financiers;</w:t>
      </w:r>
      <w:proofErr w:type="gramEnd"/>
    </w:p>
    <w:p w14:paraId="2B8C4F64" w14:textId="225340FB" w:rsidR="000663EB" w:rsidRPr="005E07F3" w:rsidRDefault="000663EB" w:rsidP="000663EB">
      <w:pPr>
        <w:pStyle w:val="Paragraphedeliste"/>
        <w:numPr>
          <w:ilvl w:val="0"/>
          <w:numId w:val="15"/>
        </w:numPr>
        <w:spacing w:before="120" w:after="120"/>
        <w:contextualSpacing w:val="0"/>
        <w:jc w:val="both"/>
        <w:rPr>
          <w:rFonts w:cs="Arial"/>
          <w:szCs w:val="24"/>
          <w:lang w:val="en-CA"/>
        </w:rPr>
      </w:pPr>
      <w:r w:rsidRPr="005E07F3">
        <w:rPr>
          <w:rFonts w:cs="Arial"/>
          <w:szCs w:val="24"/>
          <w:lang w:val="en-CA"/>
        </w:rPr>
        <w:t xml:space="preserve">transactions of investment fund securities (mutual funds, exchange traded funds (“ETF”), etc.), government bonds, or guaranteed investment certificates (“GIF”) must be performed only in registered </w:t>
      </w:r>
      <w:r w:rsidR="001F3CC4" w:rsidRPr="005E07F3">
        <w:rPr>
          <w:rFonts w:cs="Arial"/>
          <w:szCs w:val="24"/>
          <w:lang w:val="en-CA"/>
        </w:rPr>
        <w:t>RRSP</w:t>
      </w:r>
      <w:r w:rsidRPr="005E07F3">
        <w:rPr>
          <w:rFonts w:cs="Arial"/>
          <w:szCs w:val="24"/>
          <w:lang w:val="en-CA"/>
        </w:rPr>
        <w:t xml:space="preserve">, TFSA, or RESP accounts in accordance with the law or through a portfolio manager in accordance with paragraph (d) </w:t>
      </w:r>
      <w:proofErr w:type="gramStart"/>
      <w:r w:rsidRPr="005E07F3">
        <w:rPr>
          <w:rFonts w:cs="Arial"/>
          <w:szCs w:val="24"/>
          <w:lang w:val="en-CA"/>
        </w:rPr>
        <w:t>below;</w:t>
      </w:r>
      <w:proofErr w:type="gramEnd"/>
    </w:p>
    <w:p w14:paraId="4288E15A" w14:textId="60615002" w:rsidR="000663EB" w:rsidRPr="0084150A" w:rsidRDefault="000663EB" w:rsidP="000663EB">
      <w:pPr>
        <w:pStyle w:val="Paragraphedeliste"/>
        <w:numPr>
          <w:ilvl w:val="0"/>
          <w:numId w:val="15"/>
        </w:numPr>
        <w:spacing w:before="120" w:after="120"/>
        <w:contextualSpacing w:val="0"/>
        <w:jc w:val="both"/>
        <w:rPr>
          <w:rFonts w:cs="Arial"/>
          <w:szCs w:val="24"/>
          <w:lang w:val="en-CA"/>
        </w:rPr>
      </w:pPr>
      <w:r w:rsidRPr="0084150A">
        <w:rPr>
          <w:rFonts w:cs="Arial"/>
          <w:szCs w:val="24"/>
          <w:lang w:val="en-CA"/>
        </w:rPr>
        <w:t xml:space="preserve">transactions of any other type of security or derivative (particularly shares, bonds, options, etc.) must be entrusted to a portfolio manager duly registered with the Autorité des marchés financiers with which </w:t>
      </w:r>
      <w:r w:rsidR="00907CD5">
        <w:rPr>
          <w:rFonts w:cs="Arial"/>
          <w:szCs w:val="24"/>
          <w:lang w:val="en-CA"/>
        </w:rPr>
        <w:t>Frédéric Racine</w:t>
      </w:r>
      <w:r w:rsidRPr="0084150A">
        <w:rPr>
          <w:rFonts w:cs="Arial"/>
          <w:szCs w:val="24"/>
          <w:lang w:val="en-CA"/>
        </w:rPr>
        <w:t xml:space="preserve"> has no direct or indirect relationship and in accordance with a blind discretionary management agreement (“managed agreement”) within the meaning of section 1.1 of </w:t>
      </w:r>
      <w:r w:rsidRPr="0084150A">
        <w:rPr>
          <w:rFonts w:cs="Arial"/>
          <w:i/>
          <w:iCs/>
          <w:szCs w:val="24"/>
          <w:lang w:val="en-CA"/>
        </w:rPr>
        <w:t xml:space="preserve">Regulation 31-103 respecting </w:t>
      </w:r>
      <w:r w:rsidR="00930029" w:rsidRPr="0084150A">
        <w:rPr>
          <w:rFonts w:cs="Arial"/>
          <w:i/>
          <w:iCs/>
          <w:szCs w:val="24"/>
          <w:lang w:val="en-CA"/>
        </w:rPr>
        <w:t>Registration</w:t>
      </w:r>
      <w:r w:rsidRPr="0084150A">
        <w:rPr>
          <w:rFonts w:cs="Arial"/>
          <w:i/>
          <w:iCs/>
          <w:szCs w:val="24"/>
          <w:lang w:val="en-CA"/>
        </w:rPr>
        <w:t xml:space="preserve"> Requirements, Exemptions and Ongoing Registrant Obligations</w:t>
      </w:r>
      <w:r w:rsidR="005D25C5" w:rsidRPr="0084150A">
        <w:rPr>
          <w:rStyle w:val="Appelnotedebasdep"/>
          <w:rFonts w:cs="Arial"/>
          <w:szCs w:val="24"/>
          <w:lang w:val="en-CA"/>
        </w:rPr>
        <w:footnoteReference w:id="183"/>
      </w:r>
      <w:r w:rsidR="005D25C5" w:rsidRPr="0084150A">
        <w:rPr>
          <w:rFonts w:cs="Arial"/>
          <w:szCs w:val="24"/>
          <w:lang w:val="en-CA"/>
        </w:rPr>
        <w:t xml:space="preserve"> </w:t>
      </w:r>
      <w:r w:rsidRPr="0084150A">
        <w:rPr>
          <w:rFonts w:cs="Arial"/>
          <w:szCs w:val="24"/>
          <w:lang w:val="en-CA"/>
        </w:rPr>
        <w:t>except to establish the risk profile; and</w:t>
      </w:r>
    </w:p>
    <w:p w14:paraId="012C5935" w14:textId="5CDE9654" w:rsidR="00AD7181" w:rsidRPr="005E07F3" w:rsidRDefault="000663EB" w:rsidP="000663EB">
      <w:pPr>
        <w:pStyle w:val="Paragraphedeliste"/>
        <w:numPr>
          <w:ilvl w:val="0"/>
          <w:numId w:val="15"/>
        </w:numPr>
        <w:spacing w:before="120" w:after="120"/>
        <w:contextualSpacing w:val="0"/>
        <w:jc w:val="both"/>
        <w:rPr>
          <w:rFonts w:cs="Arial"/>
          <w:szCs w:val="24"/>
          <w:lang w:val="en-CA"/>
        </w:rPr>
      </w:pPr>
      <w:r w:rsidRPr="005E07F3">
        <w:rPr>
          <w:rFonts w:cs="Arial"/>
          <w:szCs w:val="24"/>
          <w:lang w:val="en-CA"/>
        </w:rPr>
        <w:t>a copy of these orders must be submitted to the portfolio manager</w:t>
      </w:r>
      <w:r w:rsidR="00907CD5">
        <w:rPr>
          <w:rFonts w:cs="Arial"/>
          <w:szCs w:val="24"/>
          <w:lang w:val="en-CA"/>
        </w:rPr>
        <w:t>,</w:t>
      </w:r>
      <w:r w:rsidRPr="005E07F3">
        <w:rPr>
          <w:rFonts w:cs="Arial"/>
          <w:szCs w:val="24"/>
          <w:lang w:val="en-CA"/>
        </w:rPr>
        <w:t xml:space="preserve"> if </w:t>
      </w:r>
      <w:proofErr w:type="gramStart"/>
      <w:r w:rsidRPr="005E07F3">
        <w:rPr>
          <w:rFonts w:cs="Arial"/>
          <w:szCs w:val="24"/>
          <w:lang w:val="en-CA"/>
        </w:rPr>
        <w:t>necessary;</w:t>
      </w:r>
      <w:proofErr w:type="gramEnd"/>
    </w:p>
    <w:p w14:paraId="12EEC7F4" w14:textId="759D4D40" w:rsidR="00AD7181" w:rsidRPr="0084150A" w:rsidRDefault="005D25C5" w:rsidP="00626B36">
      <w:pPr>
        <w:spacing w:before="120" w:after="120"/>
        <w:jc w:val="both"/>
        <w:rPr>
          <w:rFonts w:cs="Arial"/>
          <w:szCs w:val="24"/>
          <w:lang w:val="en-CA"/>
        </w:rPr>
      </w:pPr>
      <w:r w:rsidRPr="005E07F3">
        <w:rPr>
          <w:rFonts w:cs="Arial"/>
          <w:b/>
          <w:bCs/>
          <w:szCs w:val="24"/>
          <w:lang w:val="en-CA"/>
        </w:rPr>
        <w:t xml:space="preserve">PROHIBITS </w:t>
      </w:r>
      <w:r w:rsidR="00311B28" w:rsidRPr="0084150A">
        <w:rPr>
          <w:rFonts w:cs="Arial"/>
          <w:szCs w:val="24"/>
          <w:lang w:val="en-CA"/>
        </w:rPr>
        <w:t xml:space="preserve">Frédéric Racine from acting as a director or officer of a reporting issuer, advisor, or investment fund manager for a period of five (5) </w:t>
      </w:r>
      <w:proofErr w:type="gramStart"/>
      <w:r w:rsidR="00311B28" w:rsidRPr="0084150A">
        <w:rPr>
          <w:rFonts w:cs="Arial"/>
          <w:szCs w:val="24"/>
          <w:lang w:val="en-CA"/>
        </w:rPr>
        <w:t>years</w:t>
      </w:r>
      <w:r w:rsidRPr="005E07F3">
        <w:rPr>
          <w:rFonts w:cs="Arial"/>
          <w:szCs w:val="24"/>
          <w:lang w:val="en-CA"/>
        </w:rPr>
        <w:t>;</w:t>
      </w:r>
      <w:proofErr w:type="gramEnd"/>
    </w:p>
    <w:p w14:paraId="6DDFB7B3" w14:textId="1B8F4C1D" w:rsidR="00AD7181" w:rsidRPr="0084150A" w:rsidRDefault="005D25C5" w:rsidP="00626B36">
      <w:pPr>
        <w:spacing w:before="120" w:after="120"/>
        <w:jc w:val="both"/>
        <w:rPr>
          <w:rFonts w:cs="Arial"/>
          <w:szCs w:val="24"/>
          <w:lang w:val="en-CA"/>
        </w:rPr>
      </w:pPr>
      <w:r w:rsidRPr="0084150A">
        <w:rPr>
          <w:rFonts w:cs="Arial"/>
          <w:b/>
          <w:bCs/>
          <w:szCs w:val="24"/>
          <w:lang w:val="en-CA"/>
        </w:rPr>
        <w:t>IMPOSE</w:t>
      </w:r>
      <w:r w:rsidR="00311B28" w:rsidRPr="0084150A">
        <w:rPr>
          <w:rFonts w:cs="Arial"/>
          <w:b/>
          <w:bCs/>
          <w:szCs w:val="24"/>
          <w:lang w:val="en-CA"/>
        </w:rPr>
        <w:t>S</w:t>
      </w:r>
      <w:r w:rsidR="00626B36" w:rsidRPr="0084150A">
        <w:rPr>
          <w:rFonts w:cs="Arial"/>
          <w:szCs w:val="24"/>
          <w:lang w:val="en-CA"/>
        </w:rPr>
        <w:t xml:space="preserve"> </w:t>
      </w:r>
      <w:r w:rsidR="00311B28" w:rsidRPr="0084150A">
        <w:rPr>
          <w:rFonts w:cs="Arial"/>
          <w:szCs w:val="24"/>
          <w:lang w:val="en-CA"/>
        </w:rPr>
        <w:t xml:space="preserve">on Frédéric Racine an administrative penalty of </w:t>
      </w:r>
      <w:proofErr w:type="gramStart"/>
      <w:r w:rsidR="00311B28" w:rsidRPr="0084150A">
        <w:rPr>
          <w:rFonts w:cs="Arial"/>
          <w:szCs w:val="24"/>
          <w:lang w:val="en-CA"/>
        </w:rPr>
        <w:t>$250,000</w:t>
      </w:r>
      <w:r w:rsidR="00626B36" w:rsidRPr="0084150A">
        <w:rPr>
          <w:rFonts w:cs="Arial"/>
          <w:szCs w:val="24"/>
          <w:lang w:val="en-CA"/>
        </w:rPr>
        <w:t>;</w:t>
      </w:r>
      <w:proofErr w:type="gramEnd"/>
    </w:p>
    <w:p w14:paraId="76D08BCA" w14:textId="7CFA1E7D" w:rsidR="008B257E" w:rsidRPr="0084150A" w:rsidRDefault="00BB770D" w:rsidP="00626B36">
      <w:pPr>
        <w:spacing w:before="120" w:after="120"/>
        <w:jc w:val="both"/>
        <w:rPr>
          <w:rFonts w:cs="Arial"/>
          <w:szCs w:val="24"/>
          <w:lang w:val="en-CA"/>
        </w:rPr>
      </w:pPr>
      <w:r w:rsidRPr="0084150A">
        <w:rPr>
          <w:rFonts w:cs="Arial"/>
          <w:b/>
          <w:bCs/>
          <w:szCs w:val="24"/>
          <w:lang w:val="en-CA"/>
        </w:rPr>
        <w:t>REQUIRES</w:t>
      </w:r>
      <w:r w:rsidR="00D2316A" w:rsidRPr="0084150A">
        <w:rPr>
          <w:rFonts w:cs="Arial"/>
          <w:szCs w:val="24"/>
          <w:lang w:val="en-CA"/>
        </w:rPr>
        <w:t xml:space="preserve"> </w:t>
      </w:r>
      <w:r w:rsidRPr="0084150A">
        <w:rPr>
          <w:rFonts w:cs="Arial"/>
          <w:szCs w:val="24"/>
          <w:lang w:val="en-CA"/>
        </w:rPr>
        <w:t xml:space="preserve">Frédéric Racine to disgorge to the Autorité des marchés financiers the amount of $88,398 obtained as a result of the </w:t>
      </w:r>
      <w:proofErr w:type="gramStart"/>
      <w:r w:rsidRPr="0084150A">
        <w:rPr>
          <w:rFonts w:cs="Arial"/>
          <w:szCs w:val="24"/>
          <w:lang w:val="en-CA"/>
        </w:rPr>
        <w:t>non-compliance</w:t>
      </w:r>
      <w:r w:rsidR="00626B36" w:rsidRPr="0084150A">
        <w:rPr>
          <w:rFonts w:cs="Arial"/>
          <w:szCs w:val="24"/>
          <w:lang w:val="en-CA"/>
        </w:rPr>
        <w:t>;</w:t>
      </w:r>
      <w:proofErr w:type="gramEnd"/>
    </w:p>
    <w:p w14:paraId="0624DF6D" w14:textId="60E5288A" w:rsidR="00AD7181" w:rsidRPr="0084150A" w:rsidRDefault="00BB770D" w:rsidP="00626B36">
      <w:pPr>
        <w:spacing w:before="120" w:after="120"/>
        <w:jc w:val="both"/>
        <w:rPr>
          <w:rFonts w:cs="Arial"/>
          <w:szCs w:val="24"/>
          <w:lang w:val="en-CA"/>
        </w:rPr>
      </w:pPr>
      <w:r w:rsidRPr="0084150A">
        <w:rPr>
          <w:rFonts w:cs="Arial"/>
          <w:b/>
          <w:szCs w:val="24"/>
          <w:lang w:val="en-CA"/>
        </w:rPr>
        <w:t>AUTHORIZES</w:t>
      </w:r>
      <w:r w:rsidR="005D25C5" w:rsidRPr="0084150A">
        <w:rPr>
          <w:rFonts w:cs="Arial"/>
          <w:szCs w:val="24"/>
          <w:lang w:val="en-CA"/>
        </w:rPr>
        <w:t xml:space="preserve"> </w:t>
      </w:r>
      <w:r w:rsidRPr="0084150A">
        <w:rPr>
          <w:rFonts w:cs="Arial"/>
          <w:szCs w:val="24"/>
          <w:lang w:val="en-CA"/>
        </w:rPr>
        <w:t>the Autorité des marchés financiers to collect the payment of administrative penalties imposed on Philippe Gauthier and Frédéric Racine</w:t>
      </w:r>
      <w:r w:rsidR="005D25C5" w:rsidRPr="0084150A">
        <w:rPr>
          <w:rFonts w:cs="Arial"/>
          <w:szCs w:val="24"/>
          <w:lang w:val="en-CA"/>
        </w:rPr>
        <w:t>.</w:t>
      </w:r>
    </w:p>
    <w:p w14:paraId="3B59A573" w14:textId="77777777" w:rsidR="00AD7181" w:rsidRPr="0084150A" w:rsidRDefault="00AD7181" w:rsidP="001E16C6">
      <w:pPr>
        <w:pStyle w:val="Paragraphe"/>
        <w:numPr>
          <w:ilvl w:val="0"/>
          <w:numId w:val="0"/>
        </w:numPr>
        <w:rPr>
          <w:rFonts w:cs="Arial"/>
          <w:szCs w:val="24"/>
          <w:lang w:val="en-CA"/>
        </w:rPr>
      </w:pPr>
    </w:p>
    <w:tbl>
      <w:tblPr>
        <w:tblW w:w="9435" w:type="dxa"/>
        <w:tblLayout w:type="fixed"/>
        <w:tblCellMar>
          <w:left w:w="70" w:type="dxa"/>
          <w:right w:w="70" w:type="dxa"/>
        </w:tblCellMar>
        <w:tblLook w:val="0000" w:firstRow="0" w:lastRow="0" w:firstColumn="0" w:lastColumn="0" w:noHBand="0" w:noVBand="0"/>
      </w:tblPr>
      <w:tblGrid>
        <w:gridCol w:w="6"/>
        <w:gridCol w:w="4831"/>
        <w:gridCol w:w="4589"/>
        <w:gridCol w:w="9"/>
      </w:tblGrid>
      <w:tr w:rsidR="00B013BB" w:rsidRPr="00881581" w14:paraId="7D04875E" w14:textId="77777777" w:rsidTr="001E2412">
        <w:trPr>
          <w:trHeight w:val="576"/>
        </w:trPr>
        <w:tc>
          <w:tcPr>
            <w:tcW w:w="9435" w:type="dxa"/>
            <w:gridSpan w:val="4"/>
          </w:tcPr>
          <w:p w14:paraId="0438DD16" w14:textId="77777777" w:rsidR="005C181B" w:rsidRPr="0084150A" w:rsidRDefault="005C181B" w:rsidP="001E16C6">
            <w:pPr>
              <w:keepNext/>
              <w:keepLines/>
              <w:jc w:val="both"/>
              <w:rPr>
                <w:rFonts w:cs="Arial"/>
                <w:szCs w:val="24"/>
                <w:lang w:val="en-CA"/>
              </w:rPr>
            </w:pPr>
          </w:p>
          <w:p w14:paraId="5A087096" w14:textId="77777777" w:rsidR="008B257E" w:rsidRPr="0084150A" w:rsidRDefault="008B257E" w:rsidP="001E16C6">
            <w:pPr>
              <w:keepNext/>
              <w:keepLines/>
              <w:jc w:val="both"/>
              <w:rPr>
                <w:rFonts w:cs="Arial"/>
                <w:szCs w:val="24"/>
                <w:lang w:val="en-CA"/>
              </w:rPr>
            </w:pPr>
          </w:p>
          <w:p w14:paraId="1AC14F4D" w14:textId="77777777" w:rsidR="008B257E" w:rsidRPr="0084150A" w:rsidRDefault="008B257E" w:rsidP="001E16C6">
            <w:pPr>
              <w:keepNext/>
              <w:keepLines/>
              <w:jc w:val="both"/>
              <w:rPr>
                <w:rFonts w:cs="Arial"/>
                <w:szCs w:val="24"/>
                <w:lang w:val="en-CA"/>
              </w:rPr>
            </w:pPr>
          </w:p>
          <w:p w14:paraId="14863DFB" w14:textId="77777777" w:rsidR="005C181B" w:rsidRPr="0084150A" w:rsidRDefault="005C181B" w:rsidP="001E16C6">
            <w:pPr>
              <w:keepNext/>
              <w:keepLines/>
              <w:jc w:val="both"/>
              <w:rPr>
                <w:rFonts w:cs="Arial"/>
                <w:szCs w:val="24"/>
                <w:lang w:val="en-CA"/>
              </w:rPr>
            </w:pPr>
          </w:p>
        </w:tc>
      </w:tr>
      <w:tr w:rsidR="00B013BB" w:rsidRPr="0084150A" w14:paraId="421CD68B" w14:textId="77777777" w:rsidTr="002B0CA8">
        <w:tblPrEx>
          <w:tblCellMar>
            <w:left w:w="0" w:type="dxa"/>
            <w:right w:w="0" w:type="dxa"/>
          </w:tblCellMar>
        </w:tblPrEx>
        <w:trPr>
          <w:gridBefore w:val="1"/>
          <w:gridAfter w:val="1"/>
          <w:wBefore w:w="6" w:type="dxa"/>
          <w:wAfter w:w="9" w:type="dxa"/>
          <w:cantSplit/>
        </w:trPr>
        <w:tc>
          <w:tcPr>
            <w:tcW w:w="4831" w:type="dxa"/>
          </w:tcPr>
          <w:p w14:paraId="31CA2267" w14:textId="77777777" w:rsidR="005C181B" w:rsidRPr="0084150A" w:rsidRDefault="005C181B" w:rsidP="001E16C6">
            <w:pPr>
              <w:jc w:val="both"/>
              <w:rPr>
                <w:rFonts w:cs="Arial"/>
                <w:szCs w:val="24"/>
                <w:lang w:val="en-CA"/>
              </w:rPr>
            </w:pPr>
          </w:p>
        </w:tc>
        <w:tc>
          <w:tcPr>
            <w:tcW w:w="4589" w:type="dxa"/>
          </w:tcPr>
          <w:p w14:paraId="329689A2" w14:textId="77777777" w:rsidR="005C181B" w:rsidRPr="0084150A" w:rsidRDefault="005D25C5" w:rsidP="001E16C6">
            <w:pPr>
              <w:pStyle w:val="zSoquijdatSignature3Juge"/>
              <w:jc w:val="both"/>
              <w:rPr>
                <w:rFonts w:cs="Arial"/>
                <w:szCs w:val="24"/>
                <w:lang w:val="en-CA"/>
              </w:rPr>
            </w:pPr>
            <w:r w:rsidRPr="0084150A">
              <w:rPr>
                <w:rFonts w:cs="Arial"/>
                <w:szCs w:val="24"/>
                <w:lang w:val="en-CA"/>
              </w:rPr>
              <w:t>__________________________________</w:t>
            </w:r>
          </w:p>
          <w:p w14:paraId="542AD8E0" w14:textId="6AB346E9" w:rsidR="005C181B" w:rsidRPr="005E07F3" w:rsidRDefault="005D25C5" w:rsidP="002B0CA8">
            <w:pPr>
              <w:pStyle w:val="zSoquijdatSignature3Juge"/>
              <w:jc w:val="center"/>
              <w:rPr>
                <w:rFonts w:cs="Arial"/>
                <w:b/>
                <w:szCs w:val="24"/>
                <w:lang w:val="en-CA"/>
              </w:rPr>
            </w:pPr>
            <w:r w:rsidRPr="005E07F3">
              <w:rPr>
                <w:rFonts w:cs="Arial"/>
                <w:b/>
                <w:szCs w:val="24"/>
                <w:lang w:val="en-CA"/>
              </w:rPr>
              <w:t>Mtre Antonietta Melchiorre</w:t>
            </w:r>
          </w:p>
          <w:p w14:paraId="0ACEFF17" w14:textId="77777777" w:rsidR="005C181B" w:rsidRPr="005E07F3" w:rsidRDefault="005D25C5" w:rsidP="002B0CA8">
            <w:pPr>
              <w:pStyle w:val="zSoquijdatSignature3Juge"/>
              <w:jc w:val="center"/>
              <w:rPr>
                <w:rFonts w:cs="Arial"/>
                <w:szCs w:val="24"/>
                <w:lang w:val="en-CA"/>
              </w:rPr>
            </w:pPr>
            <w:r w:rsidRPr="005E07F3">
              <w:rPr>
                <w:rFonts w:cs="Arial"/>
                <w:b/>
                <w:szCs w:val="24"/>
                <w:lang w:val="en-CA"/>
              </w:rPr>
              <w:t>Administrative Judge</w:t>
            </w:r>
          </w:p>
        </w:tc>
      </w:tr>
      <w:tr w:rsidR="00B013BB" w:rsidRPr="0084150A" w14:paraId="09D5B3E6" w14:textId="77777777" w:rsidTr="009B0DCD">
        <w:trPr>
          <w:trHeight w:val="576"/>
        </w:trPr>
        <w:tc>
          <w:tcPr>
            <w:tcW w:w="9435" w:type="dxa"/>
            <w:gridSpan w:val="4"/>
          </w:tcPr>
          <w:p w14:paraId="0A90E060" w14:textId="77777777" w:rsidR="00B4030F" w:rsidRPr="0084150A" w:rsidRDefault="00B4030F" w:rsidP="001E16C6">
            <w:pPr>
              <w:keepNext/>
              <w:keepLines/>
              <w:jc w:val="both"/>
              <w:rPr>
                <w:rFonts w:cs="Arial"/>
                <w:szCs w:val="24"/>
                <w:lang w:val="en-CA"/>
              </w:rPr>
            </w:pPr>
          </w:p>
          <w:p w14:paraId="72FC6AA9" w14:textId="77777777" w:rsidR="00190278" w:rsidRPr="0084150A" w:rsidRDefault="00190278" w:rsidP="001E16C6">
            <w:pPr>
              <w:keepNext/>
              <w:keepLines/>
              <w:jc w:val="both"/>
              <w:rPr>
                <w:rFonts w:cs="Arial"/>
                <w:szCs w:val="24"/>
                <w:lang w:val="en-CA"/>
              </w:rPr>
            </w:pPr>
          </w:p>
          <w:p w14:paraId="10D41C89" w14:textId="77777777" w:rsidR="008B257E" w:rsidRPr="0084150A" w:rsidRDefault="008B257E" w:rsidP="001E16C6">
            <w:pPr>
              <w:keepNext/>
              <w:keepLines/>
              <w:jc w:val="both"/>
              <w:rPr>
                <w:rFonts w:cs="Arial"/>
                <w:szCs w:val="24"/>
                <w:lang w:val="en-CA"/>
              </w:rPr>
            </w:pPr>
          </w:p>
          <w:p w14:paraId="345778C8" w14:textId="77777777" w:rsidR="008B257E" w:rsidRPr="0084150A" w:rsidRDefault="008B257E" w:rsidP="001E16C6">
            <w:pPr>
              <w:keepNext/>
              <w:keepLines/>
              <w:jc w:val="both"/>
              <w:rPr>
                <w:rFonts w:cs="Arial"/>
                <w:szCs w:val="24"/>
                <w:lang w:val="en-CA"/>
              </w:rPr>
            </w:pPr>
          </w:p>
          <w:p w14:paraId="1627A445" w14:textId="77777777" w:rsidR="00190278" w:rsidRPr="0084150A" w:rsidRDefault="00190278" w:rsidP="001E16C6">
            <w:pPr>
              <w:keepNext/>
              <w:keepLines/>
              <w:jc w:val="both"/>
              <w:rPr>
                <w:rFonts w:cs="Arial"/>
                <w:szCs w:val="24"/>
                <w:lang w:val="en-CA"/>
              </w:rPr>
            </w:pPr>
          </w:p>
        </w:tc>
      </w:tr>
      <w:tr w:rsidR="00B013BB" w:rsidRPr="0084150A" w14:paraId="1A746F58" w14:textId="77777777" w:rsidTr="009B0DCD">
        <w:tblPrEx>
          <w:tblCellMar>
            <w:left w:w="0" w:type="dxa"/>
            <w:right w:w="0" w:type="dxa"/>
          </w:tblCellMar>
        </w:tblPrEx>
        <w:trPr>
          <w:gridBefore w:val="1"/>
          <w:gridAfter w:val="1"/>
          <w:wBefore w:w="6" w:type="dxa"/>
          <w:wAfter w:w="9" w:type="dxa"/>
          <w:cantSplit/>
        </w:trPr>
        <w:tc>
          <w:tcPr>
            <w:tcW w:w="4831" w:type="dxa"/>
          </w:tcPr>
          <w:p w14:paraId="6663474F" w14:textId="77777777" w:rsidR="00B4030F" w:rsidRPr="0084150A" w:rsidRDefault="00B4030F" w:rsidP="001E16C6">
            <w:pPr>
              <w:jc w:val="both"/>
              <w:rPr>
                <w:rFonts w:cs="Arial"/>
                <w:szCs w:val="24"/>
                <w:lang w:val="en-CA"/>
              </w:rPr>
            </w:pPr>
          </w:p>
        </w:tc>
        <w:tc>
          <w:tcPr>
            <w:tcW w:w="4589" w:type="dxa"/>
          </w:tcPr>
          <w:p w14:paraId="09B389DA" w14:textId="77777777" w:rsidR="00B4030F" w:rsidRPr="0084150A" w:rsidRDefault="005D25C5" w:rsidP="001E16C6">
            <w:pPr>
              <w:pStyle w:val="zSoquijdatSignature3Juge"/>
              <w:jc w:val="both"/>
              <w:rPr>
                <w:rFonts w:cs="Arial"/>
                <w:szCs w:val="24"/>
                <w:lang w:val="en-CA"/>
              </w:rPr>
            </w:pPr>
            <w:r w:rsidRPr="0084150A">
              <w:rPr>
                <w:rFonts w:cs="Arial"/>
                <w:szCs w:val="24"/>
                <w:lang w:val="en-CA"/>
              </w:rPr>
              <w:t>__________________________________</w:t>
            </w:r>
          </w:p>
          <w:p w14:paraId="60CD84AB" w14:textId="39D6DD12" w:rsidR="00F83A15" w:rsidRPr="005E07F3" w:rsidRDefault="00AF506C" w:rsidP="002B0CA8">
            <w:pPr>
              <w:pStyle w:val="zSoquijdatSignature3Juge"/>
              <w:jc w:val="center"/>
              <w:rPr>
                <w:rFonts w:cs="Arial"/>
                <w:b/>
                <w:szCs w:val="24"/>
                <w:lang w:val="en-CA"/>
              </w:rPr>
            </w:pPr>
            <w:r w:rsidRPr="005E07F3">
              <w:rPr>
                <w:rFonts w:cs="Arial"/>
                <w:b/>
                <w:szCs w:val="24"/>
                <w:lang w:val="en-CA"/>
              </w:rPr>
              <w:t xml:space="preserve">Mtre </w:t>
            </w:r>
            <w:r w:rsidR="005D25C5" w:rsidRPr="005E07F3">
              <w:rPr>
                <w:rFonts w:cs="Arial"/>
                <w:b/>
                <w:szCs w:val="24"/>
                <w:lang w:val="en-CA"/>
              </w:rPr>
              <w:t>Christine Dubé</w:t>
            </w:r>
          </w:p>
          <w:p w14:paraId="47BC361A" w14:textId="4BA456EF" w:rsidR="00B4030F" w:rsidRPr="005E07F3" w:rsidRDefault="004179E9" w:rsidP="002B0CA8">
            <w:pPr>
              <w:pStyle w:val="zSoquijdatSignature3Juge"/>
              <w:jc w:val="center"/>
              <w:rPr>
                <w:rFonts w:cs="Arial"/>
                <w:szCs w:val="24"/>
                <w:lang w:val="en-CA"/>
              </w:rPr>
            </w:pPr>
            <w:r w:rsidRPr="005E07F3">
              <w:rPr>
                <w:rFonts w:cs="Arial"/>
                <w:b/>
                <w:szCs w:val="24"/>
                <w:lang w:val="en-CA"/>
              </w:rPr>
              <w:t>Administrative Judge</w:t>
            </w:r>
          </w:p>
        </w:tc>
      </w:tr>
      <w:tr w:rsidR="00B013BB" w:rsidRPr="0084150A" w14:paraId="2D56970B" w14:textId="77777777" w:rsidTr="009B0DCD">
        <w:tblPrEx>
          <w:tblCellMar>
            <w:left w:w="0" w:type="dxa"/>
            <w:right w:w="0" w:type="dxa"/>
          </w:tblCellMar>
        </w:tblPrEx>
        <w:trPr>
          <w:gridBefore w:val="1"/>
          <w:gridAfter w:val="1"/>
          <w:wBefore w:w="6" w:type="dxa"/>
          <w:wAfter w:w="9" w:type="dxa"/>
          <w:cantSplit/>
        </w:trPr>
        <w:tc>
          <w:tcPr>
            <w:tcW w:w="4831" w:type="dxa"/>
          </w:tcPr>
          <w:p w14:paraId="7FE04C05" w14:textId="77777777" w:rsidR="00B4030F" w:rsidRPr="0084150A" w:rsidRDefault="00B4030F" w:rsidP="001E16C6">
            <w:pPr>
              <w:jc w:val="both"/>
              <w:rPr>
                <w:rFonts w:cs="Arial"/>
                <w:szCs w:val="24"/>
                <w:lang w:val="en-CA"/>
              </w:rPr>
            </w:pPr>
          </w:p>
        </w:tc>
        <w:tc>
          <w:tcPr>
            <w:tcW w:w="4589" w:type="dxa"/>
          </w:tcPr>
          <w:p w14:paraId="5AD15FD7" w14:textId="77777777" w:rsidR="00B4030F" w:rsidRPr="0084150A" w:rsidRDefault="00B4030F" w:rsidP="001E16C6">
            <w:pPr>
              <w:pStyle w:val="zSoquijdatSignature3Juge"/>
              <w:jc w:val="both"/>
              <w:rPr>
                <w:rFonts w:cs="Arial"/>
                <w:szCs w:val="24"/>
                <w:lang w:val="en-CA"/>
              </w:rPr>
            </w:pPr>
          </w:p>
        </w:tc>
      </w:tr>
      <w:tr w:rsidR="00B013BB" w:rsidRPr="0084150A" w14:paraId="76254FA0" w14:textId="77777777" w:rsidTr="009B0DCD">
        <w:tc>
          <w:tcPr>
            <w:tcW w:w="9435" w:type="dxa"/>
            <w:gridSpan w:val="4"/>
          </w:tcPr>
          <w:p w14:paraId="415BB46B" w14:textId="77777777" w:rsidR="00B4030F" w:rsidRPr="0084150A" w:rsidRDefault="00B4030F" w:rsidP="001E16C6">
            <w:pPr>
              <w:jc w:val="both"/>
              <w:rPr>
                <w:rFonts w:cs="Arial"/>
                <w:szCs w:val="24"/>
                <w:lang w:val="en-CA"/>
              </w:rPr>
            </w:pPr>
          </w:p>
        </w:tc>
      </w:tr>
    </w:tbl>
    <w:p w14:paraId="106C9667" w14:textId="77777777" w:rsidR="00EB39E3" w:rsidRPr="0084150A" w:rsidRDefault="00EB39E3" w:rsidP="001E16C6">
      <w:pPr>
        <w:jc w:val="both"/>
        <w:rPr>
          <w:rFonts w:cs="Arial"/>
          <w:szCs w:val="24"/>
          <w:lang w:val="en-CA"/>
        </w:rPr>
      </w:pPr>
    </w:p>
    <w:tbl>
      <w:tblPr>
        <w:tblW w:w="9426" w:type="dxa"/>
        <w:tblLayout w:type="fixed"/>
        <w:tblCellMar>
          <w:left w:w="70" w:type="dxa"/>
          <w:right w:w="70" w:type="dxa"/>
        </w:tblCellMar>
        <w:tblLook w:val="0000" w:firstRow="0" w:lastRow="0" w:firstColumn="0" w:lastColumn="0" w:noHBand="0" w:noVBand="0"/>
      </w:tblPr>
      <w:tblGrid>
        <w:gridCol w:w="2268"/>
        <w:gridCol w:w="7158"/>
      </w:tblGrid>
      <w:tr w:rsidR="00B013BB" w:rsidRPr="0084150A" w14:paraId="1CA3F528" w14:textId="77777777" w:rsidTr="00B41F5B">
        <w:tc>
          <w:tcPr>
            <w:tcW w:w="9426" w:type="dxa"/>
            <w:gridSpan w:val="2"/>
          </w:tcPr>
          <w:p w14:paraId="30D2A8D6" w14:textId="77777777" w:rsidR="00070D64" w:rsidRPr="0084150A" w:rsidRDefault="00070D64" w:rsidP="001E16C6">
            <w:pPr>
              <w:jc w:val="both"/>
              <w:rPr>
                <w:rFonts w:cs="Arial"/>
                <w:szCs w:val="24"/>
                <w:lang w:val="en-CA"/>
              </w:rPr>
            </w:pPr>
          </w:p>
        </w:tc>
      </w:tr>
      <w:tr w:rsidR="00B013BB" w:rsidRPr="0084150A" w14:paraId="0E557D92" w14:textId="77777777" w:rsidTr="00B41F5B">
        <w:tc>
          <w:tcPr>
            <w:tcW w:w="9426" w:type="dxa"/>
            <w:gridSpan w:val="2"/>
          </w:tcPr>
          <w:p w14:paraId="5900CA15" w14:textId="3E02D542" w:rsidR="00070D64" w:rsidRPr="0084150A" w:rsidRDefault="00AF506C" w:rsidP="001E16C6">
            <w:pPr>
              <w:pStyle w:val="zSoquijdatNomProcureurDem"/>
              <w:jc w:val="both"/>
              <w:rPr>
                <w:rFonts w:cs="Arial"/>
                <w:szCs w:val="24"/>
                <w:lang w:val="en-CA"/>
              </w:rPr>
            </w:pPr>
            <w:r w:rsidRPr="0084150A">
              <w:rPr>
                <w:rFonts w:cs="Arial"/>
                <w:szCs w:val="24"/>
                <w:lang w:val="en-CA"/>
              </w:rPr>
              <w:t>Mtre</w:t>
            </w:r>
            <w:r w:rsidR="004179E9" w:rsidRPr="0084150A">
              <w:rPr>
                <w:rFonts w:cs="Arial"/>
                <w:szCs w:val="24"/>
                <w:lang w:val="en-CA"/>
              </w:rPr>
              <w:t xml:space="preserve"> Jean-Benoît Hébert</w:t>
            </w:r>
          </w:p>
        </w:tc>
      </w:tr>
      <w:tr w:rsidR="00B013BB" w:rsidRPr="0084150A" w14:paraId="3980C918" w14:textId="77777777" w:rsidTr="00B41F5B">
        <w:tc>
          <w:tcPr>
            <w:tcW w:w="9426" w:type="dxa"/>
            <w:gridSpan w:val="2"/>
          </w:tcPr>
          <w:p w14:paraId="00BEF9C6" w14:textId="6887C23E" w:rsidR="00070D64" w:rsidRPr="005E07F3" w:rsidRDefault="005D25C5" w:rsidP="001E16C6">
            <w:pPr>
              <w:pStyle w:val="zSoquijdatCabinetProcureurDem"/>
              <w:jc w:val="both"/>
              <w:rPr>
                <w:rFonts w:cs="Arial"/>
                <w:szCs w:val="24"/>
              </w:rPr>
            </w:pPr>
            <w:r w:rsidRPr="005E07F3">
              <w:rPr>
                <w:rFonts w:cs="Arial"/>
                <w:szCs w:val="24"/>
              </w:rPr>
              <w:t>(Litigation Services, Autorité des marchés financiers)</w:t>
            </w:r>
          </w:p>
        </w:tc>
      </w:tr>
      <w:tr w:rsidR="00B013BB" w:rsidRPr="0084150A" w14:paraId="0EDBB082" w14:textId="77777777" w:rsidTr="00B41F5B">
        <w:tc>
          <w:tcPr>
            <w:tcW w:w="9426" w:type="dxa"/>
            <w:gridSpan w:val="2"/>
          </w:tcPr>
          <w:p w14:paraId="1CAF5EFC" w14:textId="57AAAEC5" w:rsidR="00070D64" w:rsidRPr="005E07F3" w:rsidRDefault="00DC20AA" w:rsidP="001E16C6">
            <w:pPr>
              <w:pStyle w:val="zSoquijlblProcureurDem"/>
              <w:jc w:val="both"/>
              <w:rPr>
                <w:rFonts w:cs="Arial"/>
                <w:szCs w:val="24"/>
              </w:rPr>
            </w:pPr>
            <w:r w:rsidRPr="005E07F3">
              <w:rPr>
                <w:rFonts w:cs="Arial"/>
                <w:szCs w:val="24"/>
              </w:rPr>
              <w:t>For the Autorité des marchés financiers</w:t>
            </w:r>
          </w:p>
        </w:tc>
      </w:tr>
      <w:tr w:rsidR="00B013BB" w:rsidRPr="0084150A" w14:paraId="682DD028" w14:textId="77777777" w:rsidTr="00B41F5B">
        <w:tc>
          <w:tcPr>
            <w:tcW w:w="9426" w:type="dxa"/>
            <w:gridSpan w:val="2"/>
          </w:tcPr>
          <w:p w14:paraId="1D0F1F3B" w14:textId="77777777" w:rsidR="00070D64" w:rsidRPr="00E702E0" w:rsidRDefault="00070D64" w:rsidP="001E16C6">
            <w:pPr>
              <w:jc w:val="both"/>
              <w:rPr>
                <w:rFonts w:cs="Arial"/>
                <w:szCs w:val="24"/>
              </w:rPr>
            </w:pPr>
          </w:p>
        </w:tc>
      </w:tr>
      <w:tr w:rsidR="00B013BB" w:rsidRPr="0084150A" w14:paraId="0CE7A68A" w14:textId="77777777" w:rsidTr="00B41F5B">
        <w:tc>
          <w:tcPr>
            <w:tcW w:w="9426" w:type="dxa"/>
            <w:gridSpan w:val="2"/>
          </w:tcPr>
          <w:p w14:paraId="40977170" w14:textId="7172E051" w:rsidR="00070D64" w:rsidRPr="0084150A" w:rsidRDefault="00AF506C" w:rsidP="001E16C6">
            <w:pPr>
              <w:pStyle w:val="zSoquijdatNomProcureurDef"/>
              <w:jc w:val="both"/>
              <w:rPr>
                <w:rFonts w:cs="Arial"/>
                <w:szCs w:val="24"/>
                <w:lang w:val="en-CA"/>
              </w:rPr>
            </w:pPr>
            <w:r w:rsidRPr="0084150A">
              <w:rPr>
                <w:rFonts w:cs="Arial"/>
                <w:szCs w:val="24"/>
                <w:lang w:val="en-CA"/>
              </w:rPr>
              <w:t>Mtre</w:t>
            </w:r>
            <w:r w:rsidR="004179E9" w:rsidRPr="0084150A">
              <w:rPr>
                <w:rFonts w:cs="Arial"/>
                <w:szCs w:val="24"/>
                <w:lang w:val="en-CA"/>
              </w:rPr>
              <w:t xml:space="preserve"> Magali Maisonneuve</w:t>
            </w:r>
          </w:p>
        </w:tc>
      </w:tr>
      <w:tr w:rsidR="00B013BB" w:rsidRPr="0084150A" w14:paraId="6C0B65FD" w14:textId="77777777" w:rsidTr="00B41F5B">
        <w:tc>
          <w:tcPr>
            <w:tcW w:w="9426" w:type="dxa"/>
            <w:gridSpan w:val="2"/>
          </w:tcPr>
          <w:p w14:paraId="2DECAF3C" w14:textId="7D059C69" w:rsidR="00070D64" w:rsidRPr="00E702E0" w:rsidRDefault="005D25C5" w:rsidP="001E16C6">
            <w:pPr>
              <w:pStyle w:val="zSoquijdatCabinetProcureurDef"/>
              <w:jc w:val="both"/>
              <w:rPr>
                <w:rFonts w:cs="Arial"/>
                <w:szCs w:val="24"/>
              </w:rPr>
            </w:pPr>
            <w:r w:rsidRPr="00E702E0">
              <w:rPr>
                <w:rFonts w:cs="Arial"/>
                <w:szCs w:val="24"/>
              </w:rPr>
              <w:t>(Les services juridiques Start &amp; Co Inc.)</w:t>
            </w:r>
          </w:p>
        </w:tc>
      </w:tr>
      <w:tr w:rsidR="00B013BB" w:rsidRPr="00881581" w14:paraId="2214F8A3" w14:textId="77777777" w:rsidTr="00B41F5B">
        <w:tc>
          <w:tcPr>
            <w:tcW w:w="9426" w:type="dxa"/>
            <w:gridSpan w:val="2"/>
          </w:tcPr>
          <w:p w14:paraId="0C5488E9" w14:textId="3B1B60EC" w:rsidR="00070D64" w:rsidRPr="0084150A" w:rsidRDefault="00AF506C" w:rsidP="001E16C6">
            <w:pPr>
              <w:pStyle w:val="zSoquijlblProcureurDef"/>
              <w:jc w:val="both"/>
              <w:rPr>
                <w:rFonts w:cs="Arial"/>
                <w:szCs w:val="24"/>
                <w:lang w:val="en-CA"/>
              </w:rPr>
            </w:pPr>
            <w:r w:rsidRPr="0084150A">
              <w:rPr>
                <w:rFonts w:cs="Arial"/>
                <w:szCs w:val="24"/>
                <w:lang w:val="en-CA"/>
              </w:rPr>
              <w:t>For</w:t>
            </w:r>
            <w:r w:rsidR="004179E9" w:rsidRPr="0084150A">
              <w:rPr>
                <w:rFonts w:cs="Arial"/>
                <w:szCs w:val="24"/>
                <w:lang w:val="en-CA"/>
              </w:rPr>
              <w:t xml:space="preserve"> Philippe Gauthier </w:t>
            </w:r>
            <w:r w:rsidRPr="0084150A">
              <w:rPr>
                <w:rFonts w:cs="Arial"/>
                <w:szCs w:val="24"/>
                <w:lang w:val="en-CA"/>
              </w:rPr>
              <w:t>and</w:t>
            </w:r>
            <w:r w:rsidR="004179E9" w:rsidRPr="0084150A">
              <w:rPr>
                <w:rFonts w:cs="Arial"/>
                <w:szCs w:val="24"/>
                <w:lang w:val="en-CA"/>
              </w:rPr>
              <w:t xml:space="preserve"> Frédéric Racine</w:t>
            </w:r>
          </w:p>
        </w:tc>
      </w:tr>
      <w:tr w:rsidR="00B013BB" w:rsidRPr="00881581" w14:paraId="4079C9E5" w14:textId="77777777" w:rsidTr="00B41F5B">
        <w:tc>
          <w:tcPr>
            <w:tcW w:w="9426" w:type="dxa"/>
            <w:gridSpan w:val="2"/>
          </w:tcPr>
          <w:p w14:paraId="19933C37" w14:textId="77777777" w:rsidR="00070D64" w:rsidRPr="0084150A" w:rsidRDefault="00070D64" w:rsidP="001E16C6">
            <w:pPr>
              <w:pStyle w:val="zSoquijlblProcureurDef"/>
              <w:jc w:val="both"/>
              <w:rPr>
                <w:rFonts w:cs="Arial"/>
                <w:szCs w:val="24"/>
                <w:lang w:val="en-CA"/>
              </w:rPr>
            </w:pPr>
          </w:p>
        </w:tc>
      </w:tr>
      <w:tr w:rsidR="00B013BB" w:rsidRPr="00881581" w14:paraId="0819BB56" w14:textId="77777777" w:rsidTr="00B41F5B">
        <w:tc>
          <w:tcPr>
            <w:tcW w:w="9426" w:type="dxa"/>
            <w:gridSpan w:val="2"/>
          </w:tcPr>
          <w:p w14:paraId="49136515" w14:textId="77777777" w:rsidR="00973E04" w:rsidRPr="0084150A" w:rsidRDefault="00973E04" w:rsidP="001E16C6">
            <w:pPr>
              <w:pStyle w:val="zSoquijlblProcureurDef"/>
              <w:jc w:val="both"/>
              <w:rPr>
                <w:rFonts w:cs="Arial"/>
                <w:szCs w:val="24"/>
                <w:lang w:val="en-CA"/>
              </w:rPr>
            </w:pPr>
          </w:p>
        </w:tc>
      </w:tr>
      <w:tr w:rsidR="00B013BB" w:rsidRPr="0084150A" w14:paraId="4DEFDE68" w14:textId="77777777" w:rsidTr="00602912">
        <w:trPr>
          <w:trHeight w:val="315"/>
        </w:trPr>
        <w:tc>
          <w:tcPr>
            <w:tcW w:w="2268" w:type="dxa"/>
          </w:tcPr>
          <w:p w14:paraId="620D689B" w14:textId="78C88B95" w:rsidR="00070D64" w:rsidRPr="005E07F3" w:rsidRDefault="005D25C5" w:rsidP="001E16C6">
            <w:pPr>
              <w:pStyle w:val="zSoquijlblDateAudience"/>
              <w:jc w:val="both"/>
              <w:rPr>
                <w:rFonts w:cs="Arial"/>
                <w:szCs w:val="24"/>
                <w:lang w:val="en-CA"/>
              </w:rPr>
            </w:pPr>
            <w:r w:rsidRPr="005E07F3">
              <w:rPr>
                <w:rFonts w:cs="Arial"/>
                <w:szCs w:val="24"/>
                <w:lang w:val="en-CA"/>
              </w:rPr>
              <w:t>Dates of hearing:</w:t>
            </w:r>
          </w:p>
        </w:tc>
        <w:tc>
          <w:tcPr>
            <w:tcW w:w="7158" w:type="dxa"/>
          </w:tcPr>
          <w:p w14:paraId="3772E60A" w14:textId="2CA5404A" w:rsidR="00070D64" w:rsidRPr="0084150A" w:rsidRDefault="00AF506C" w:rsidP="00EE46D8">
            <w:pPr>
              <w:pStyle w:val="zSoquijdatDateAudience"/>
              <w:jc w:val="both"/>
              <w:rPr>
                <w:rFonts w:cs="Arial"/>
                <w:szCs w:val="24"/>
                <w:lang w:val="en-CA"/>
              </w:rPr>
            </w:pPr>
            <w:r w:rsidRPr="0084150A">
              <w:rPr>
                <w:rFonts w:cs="Arial"/>
                <w:szCs w:val="24"/>
                <w:lang w:val="en-CA"/>
              </w:rPr>
              <w:t>November 15, 16, 17, 21, 22, 23, 24 and 28, 2023</w:t>
            </w:r>
            <w:r w:rsidR="003E4E75" w:rsidRPr="0084150A">
              <w:rPr>
                <w:rFonts w:cs="Arial"/>
                <w:szCs w:val="24"/>
                <w:lang w:val="en-CA"/>
              </w:rPr>
              <w:t xml:space="preserve"> </w:t>
            </w:r>
          </w:p>
        </w:tc>
      </w:tr>
    </w:tbl>
    <w:p w14:paraId="06340E48" w14:textId="63C30C5E" w:rsidR="00070D64" w:rsidRPr="0084150A" w:rsidRDefault="00070D64" w:rsidP="001E16C6">
      <w:pPr>
        <w:jc w:val="both"/>
        <w:rPr>
          <w:rFonts w:cs="Arial"/>
          <w:szCs w:val="24"/>
          <w:lang w:val="en-CA"/>
        </w:rPr>
      </w:pPr>
    </w:p>
    <w:p w14:paraId="4CBE6730" w14:textId="1693BDA2" w:rsidR="007F3524" w:rsidRPr="0084150A" w:rsidRDefault="007F3524" w:rsidP="001E16C6">
      <w:pPr>
        <w:jc w:val="both"/>
        <w:rPr>
          <w:rFonts w:cs="Arial"/>
          <w:szCs w:val="24"/>
          <w:lang w:val="en-CA"/>
        </w:rPr>
      </w:pPr>
    </w:p>
    <w:sectPr w:rsidR="007F3524" w:rsidRPr="0084150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2" w:h="15842" w:code="1"/>
      <w:pgMar w:top="1440" w:right="1008" w:bottom="1440" w:left="1872" w:header="1440" w:footer="7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3504" w14:textId="77777777" w:rsidR="00206998" w:rsidRDefault="00206998">
      <w:r>
        <w:separator/>
      </w:r>
    </w:p>
  </w:endnote>
  <w:endnote w:type="continuationSeparator" w:id="0">
    <w:p w14:paraId="71679431" w14:textId="77777777" w:rsidR="00206998" w:rsidRDefault="0020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BA36" w14:textId="77777777" w:rsidR="002D40E9" w:rsidRDefault="005D25C5">
    <w:pPr>
      <w:framePr w:wrap="around" w:vAnchor="text" w:hAnchor="margin" w:xAlign="right" w:y="1"/>
    </w:pPr>
    <w:r>
      <w:fldChar w:fldCharType="begin"/>
    </w:r>
    <w:r>
      <w:instrText xml:space="preserve">PAGE  </w:instrText>
    </w:r>
    <w:r>
      <w:fldChar w:fldCharType="separate"/>
    </w:r>
    <w:r w:rsidR="0002329E">
      <w:rPr>
        <w:noProof/>
      </w:rPr>
      <w:t>57</w:t>
    </w:r>
    <w:r>
      <w:fldChar w:fldCharType="end"/>
    </w:r>
  </w:p>
  <w:p w14:paraId="013391C6" w14:textId="77777777" w:rsidR="002D40E9" w:rsidRDefault="002D40E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D47E" w14:textId="77777777" w:rsidR="00E702E0" w:rsidRDefault="00E702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B15B" w14:textId="77777777" w:rsidR="00E702E0" w:rsidRDefault="00E702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0DC0" w14:textId="77777777" w:rsidR="00206998" w:rsidRDefault="00206998">
      <w:r>
        <w:separator/>
      </w:r>
    </w:p>
  </w:footnote>
  <w:footnote w:type="continuationSeparator" w:id="0">
    <w:p w14:paraId="2D6B509B" w14:textId="77777777" w:rsidR="00206998" w:rsidRDefault="00206998">
      <w:r>
        <w:continuationSeparator/>
      </w:r>
    </w:p>
  </w:footnote>
  <w:footnote w:id="1">
    <w:p w14:paraId="65146073" w14:textId="45F180E6" w:rsidR="000101E2" w:rsidRPr="00D439D7" w:rsidRDefault="000101E2" w:rsidP="000101E2">
      <w:pPr>
        <w:pStyle w:val="Notedebasdepage"/>
        <w:rPr>
          <w:lang w:val="en-CA"/>
        </w:rPr>
      </w:pPr>
      <w:r>
        <w:rPr>
          <w:rStyle w:val="Appelnotedebasdep"/>
        </w:rPr>
        <w:footnoteRef/>
      </w:r>
      <w:r w:rsidRPr="00E702E0">
        <w:rPr>
          <w:lang w:val="en-CA"/>
        </w:rPr>
        <w:t xml:space="preserve"> </w:t>
      </w:r>
      <w:r w:rsidRPr="00E702E0">
        <w:rPr>
          <w:lang w:val="en-CA"/>
        </w:rPr>
        <w:tab/>
      </w:r>
      <w:r w:rsidRPr="005E07F3">
        <w:rPr>
          <w:lang w:val="en-CA"/>
        </w:rPr>
        <w:t>Exhibit D-8.</w:t>
      </w:r>
      <w:r w:rsidRPr="00E702E0">
        <w:rPr>
          <w:lang w:val="en-CA"/>
        </w:rPr>
        <w:t xml:space="preserve"> </w:t>
      </w:r>
      <w:r w:rsidRPr="00D439D7">
        <w:rPr>
          <w:lang w:val="en-CA"/>
        </w:rPr>
        <w:t xml:space="preserve">Napec </w:t>
      </w:r>
      <w:r w:rsidR="002F7865" w:rsidRPr="00D439D7">
        <w:rPr>
          <w:lang w:val="en-CA"/>
        </w:rPr>
        <w:t>was listed on the Toronto Stock Exchange</w:t>
      </w:r>
      <w:r w:rsidRPr="00D439D7">
        <w:rPr>
          <w:lang w:val="en-CA"/>
        </w:rPr>
        <w:t xml:space="preserve">. </w:t>
      </w:r>
    </w:p>
  </w:footnote>
  <w:footnote w:id="2">
    <w:p w14:paraId="77EBED3F" w14:textId="339A4895" w:rsidR="001F5CFD" w:rsidRDefault="001F5CFD" w:rsidP="001F5CFD">
      <w:pPr>
        <w:pStyle w:val="Notedebasdepage"/>
      </w:pPr>
      <w:r>
        <w:rPr>
          <w:rStyle w:val="Appelnotedebasdep"/>
        </w:rPr>
        <w:footnoteRef/>
      </w:r>
      <w:r>
        <w:t xml:space="preserve"> </w:t>
      </w:r>
      <w:r>
        <w:tab/>
      </w:r>
      <w:r w:rsidRPr="005E07F3">
        <w:rPr>
          <w:rFonts w:cs="Arial"/>
          <w:color w:val="000000"/>
        </w:rPr>
        <w:t>CQLR, c</w:t>
      </w:r>
      <w:r w:rsidR="00D439D7" w:rsidRPr="005E07F3">
        <w:rPr>
          <w:rFonts w:cs="Arial"/>
          <w:color w:val="000000"/>
        </w:rPr>
        <w:t>.</w:t>
      </w:r>
      <w:r w:rsidRPr="005E07F3">
        <w:rPr>
          <w:rFonts w:cs="Arial"/>
          <w:color w:val="000000"/>
        </w:rPr>
        <w:t xml:space="preserve"> V-1.1 (“</w:t>
      </w:r>
      <w:r w:rsidRPr="005E07F3">
        <w:rPr>
          <w:rFonts w:cs="Arial"/>
          <w:i/>
          <w:iCs/>
          <w:color w:val="000000"/>
        </w:rPr>
        <w:t>SA</w:t>
      </w:r>
      <w:r w:rsidRPr="005E07F3">
        <w:rPr>
          <w:rFonts w:cs="Arial"/>
          <w:color w:val="000000"/>
        </w:rPr>
        <w:t>”).</w:t>
      </w:r>
    </w:p>
  </w:footnote>
  <w:footnote w:id="3">
    <w:p w14:paraId="733719E0" w14:textId="3E97B8AA" w:rsidR="003547C5" w:rsidRPr="00E702E0" w:rsidRDefault="003547C5" w:rsidP="003547C5">
      <w:pPr>
        <w:pStyle w:val="Notedebasdepage"/>
        <w:rPr>
          <w:lang w:val="en-CA"/>
        </w:rPr>
      </w:pPr>
      <w:r>
        <w:rPr>
          <w:rStyle w:val="Appelnotedebasdep"/>
        </w:rPr>
        <w:footnoteRef/>
      </w:r>
      <w:r>
        <w:t xml:space="preserve"> </w:t>
      </w:r>
      <w:r>
        <w:tab/>
      </w:r>
      <w:bookmarkStart w:id="4" w:name="_Hlk160118906"/>
      <w:r w:rsidRPr="00F27E53">
        <w:rPr>
          <w:i/>
          <w:iCs/>
        </w:rPr>
        <w:t>Autorité des marchés financiers</w:t>
      </w:r>
      <w:r>
        <w:t xml:space="preserve"> c. </w:t>
      </w:r>
      <w:r w:rsidRPr="00F27E53">
        <w:rPr>
          <w:i/>
          <w:iCs/>
        </w:rPr>
        <w:t>Roy</w:t>
      </w:r>
      <w:r>
        <w:t>, 2014 QCBDR 142</w:t>
      </w:r>
      <w:r w:rsidR="00A20F9A">
        <w:t xml:space="preserve"> at</w:t>
      </w:r>
      <w:r>
        <w:t xml:space="preserve"> par</w:t>
      </w:r>
      <w:bookmarkEnd w:id="4"/>
      <w:r w:rsidR="00A20F9A">
        <w:t>a</w:t>
      </w:r>
      <w:r>
        <w:t xml:space="preserve">. </w:t>
      </w:r>
      <w:r w:rsidRPr="00E702E0">
        <w:rPr>
          <w:lang w:val="en-CA"/>
        </w:rPr>
        <w:t xml:space="preserve">133. </w:t>
      </w:r>
    </w:p>
  </w:footnote>
  <w:footnote w:id="4">
    <w:p w14:paraId="0B7C6227" w14:textId="67CDC79E" w:rsidR="00B16A65" w:rsidRPr="00A20F9A" w:rsidRDefault="00B16A65" w:rsidP="00B16A65">
      <w:pPr>
        <w:pStyle w:val="Notedebasdepage"/>
        <w:rPr>
          <w:lang w:val="en-CA"/>
        </w:rPr>
      </w:pPr>
      <w:r>
        <w:rPr>
          <w:rStyle w:val="Appelnotedebasdep"/>
        </w:rPr>
        <w:footnoteRef/>
      </w:r>
      <w:r w:rsidRPr="00A20F9A">
        <w:rPr>
          <w:lang w:val="en-CA"/>
        </w:rPr>
        <w:t xml:space="preserve"> </w:t>
      </w:r>
      <w:r w:rsidRPr="00A20F9A">
        <w:rPr>
          <w:lang w:val="en-CA"/>
        </w:rPr>
        <w:tab/>
      </w:r>
      <w:r w:rsidR="00A20F9A" w:rsidRPr="005E07F3">
        <w:rPr>
          <w:i/>
          <w:iCs/>
          <w:lang w:val="en-CA"/>
        </w:rPr>
        <w:t>Civil Code of Québec</w:t>
      </w:r>
      <w:r w:rsidRPr="005E07F3">
        <w:rPr>
          <w:i/>
          <w:iCs/>
          <w:lang w:val="en-CA"/>
        </w:rPr>
        <w:t xml:space="preserve">, </w:t>
      </w:r>
      <w:r w:rsidR="00A20F9A" w:rsidRPr="005E07F3">
        <w:rPr>
          <w:lang w:val="en-CA"/>
        </w:rPr>
        <w:t>CQLR</w:t>
      </w:r>
      <w:r w:rsidRPr="005E07F3">
        <w:rPr>
          <w:lang w:val="en-CA"/>
        </w:rPr>
        <w:t xml:space="preserve"> </w:t>
      </w:r>
      <w:r w:rsidR="00A20F9A" w:rsidRPr="005E07F3">
        <w:rPr>
          <w:lang w:val="en-CA"/>
        </w:rPr>
        <w:t>c.</w:t>
      </w:r>
      <w:r w:rsidRPr="005E07F3">
        <w:rPr>
          <w:lang w:val="en-CA"/>
        </w:rPr>
        <w:t xml:space="preserve"> CCQ-1991</w:t>
      </w:r>
      <w:r w:rsidRPr="005E07F3">
        <w:rPr>
          <w:i/>
          <w:iCs/>
          <w:lang w:val="en-CA"/>
        </w:rPr>
        <w:t xml:space="preserve">, </w:t>
      </w:r>
      <w:r w:rsidRPr="005E07F3">
        <w:rPr>
          <w:lang w:val="en-CA"/>
        </w:rPr>
        <w:t>art.</w:t>
      </w:r>
      <w:r w:rsidRPr="00A20F9A">
        <w:rPr>
          <w:lang w:val="en-CA"/>
        </w:rPr>
        <w:t xml:space="preserve"> 2804.</w:t>
      </w:r>
    </w:p>
  </w:footnote>
  <w:footnote w:id="5">
    <w:p w14:paraId="2B185DA3" w14:textId="5C6FD9A7" w:rsidR="00443224" w:rsidRPr="00A20F9A" w:rsidRDefault="00443224" w:rsidP="00443224">
      <w:pPr>
        <w:pStyle w:val="Notedebasdepage"/>
        <w:rPr>
          <w:lang w:val="en-CA"/>
        </w:rPr>
      </w:pPr>
      <w:r>
        <w:rPr>
          <w:rStyle w:val="Appelnotedebasdep"/>
        </w:rPr>
        <w:footnoteRef/>
      </w:r>
      <w:r w:rsidRPr="00A20F9A">
        <w:rPr>
          <w:lang w:val="en-CA"/>
        </w:rPr>
        <w:t xml:space="preserve"> </w:t>
      </w:r>
      <w:r w:rsidRPr="00A20F9A">
        <w:rPr>
          <w:lang w:val="en-CA"/>
        </w:rPr>
        <w:tab/>
      </w:r>
      <w:r w:rsidRPr="005E07F3">
        <w:rPr>
          <w:i/>
          <w:iCs/>
          <w:lang w:val="en-CA"/>
        </w:rPr>
        <w:t xml:space="preserve">Civil Code of Québec, </w:t>
      </w:r>
      <w:r w:rsidRPr="005E07F3">
        <w:rPr>
          <w:lang w:val="en-CA"/>
        </w:rPr>
        <w:t>art.</w:t>
      </w:r>
      <w:r w:rsidRPr="00A20F9A">
        <w:rPr>
          <w:lang w:val="en-CA"/>
        </w:rPr>
        <w:t xml:space="preserve"> 2811.</w:t>
      </w:r>
    </w:p>
  </w:footnote>
  <w:footnote w:id="6">
    <w:p w14:paraId="38A39C43" w14:textId="49FDD307" w:rsidR="002F553D" w:rsidRPr="00A20F9A" w:rsidRDefault="002F553D" w:rsidP="002F553D">
      <w:pPr>
        <w:pStyle w:val="Notedebasdepage"/>
        <w:rPr>
          <w:lang w:val="en-CA"/>
        </w:rPr>
      </w:pPr>
      <w:r>
        <w:rPr>
          <w:rStyle w:val="Appelnotedebasdep"/>
        </w:rPr>
        <w:footnoteRef/>
      </w:r>
      <w:r w:rsidRPr="00A20F9A">
        <w:rPr>
          <w:lang w:val="en-CA"/>
        </w:rPr>
        <w:t xml:space="preserve"> </w:t>
      </w:r>
      <w:r w:rsidRPr="00A20F9A">
        <w:rPr>
          <w:lang w:val="en-CA"/>
        </w:rPr>
        <w:tab/>
      </w:r>
      <w:r w:rsidRPr="005E07F3">
        <w:rPr>
          <w:i/>
          <w:iCs/>
          <w:lang w:val="en-CA"/>
        </w:rPr>
        <w:t xml:space="preserve">Civil Code of Québec, </w:t>
      </w:r>
      <w:r w:rsidRPr="005E07F3">
        <w:rPr>
          <w:lang w:val="en-CA"/>
        </w:rPr>
        <w:t>art</w:t>
      </w:r>
      <w:r w:rsidRPr="005E07F3">
        <w:rPr>
          <w:i/>
          <w:iCs/>
          <w:lang w:val="en-CA"/>
        </w:rPr>
        <w:t>.</w:t>
      </w:r>
      <w:r w:rsidRPr="00A20F9A">
        <w:rPr>
          <w:lang w:val="en-CA"/>
        </w:rPr>
        <w:t xml:space="preserve"> 2846.</w:t>
      </w:r>
    </w:p>
  </w:footnote>
  <w:footnote w:id="7">
    <w:p w14:paraId="06DEDA92" w14:textId="29959AF2" w:rsidR="00B609AC" w:rsidRPr="00A20F9A" w:rsidRDefault="00B609AC" w:rsidP="00B609AC">
      <w:pPr>
        <w:pStyle w:val="Notedebasdepage"/>
        <w:rPr>
          <w:lang w:val="en-CA"/>
        </w:rPr>
      </w:pPr>
      <w:r>
        <w:rPr>
          <w:rStyle w:val="Appelnotedebasdep"/>
        </w:rPr>
        <w:footnoteRef/>
      </w:r>
      <w:r w:rsidRPr="00A20F9A">
        <w:rPr>
          <w:lang w:val="en-CA"/>
        </w:rPr>
        <w:t xml:space="preserve"> </w:t>
      </w:r>
      <w:r w:rsidRPr="00A20F9A">
        <w:rPr>
          <w:lang w:val="en-CA"/>
        </w:rPr>
        <w:tab/>
      </w:r>
      <w:r w:rsidRPr="005E07F3">
        <w:rPr>
          <w:i/>
          <w:iCs/>
          <w:lang w:val="en-CA"/>
        </w:rPr>
        <w:t xml:space="preserve">Civil Code of Québec, </w:t>
      </w:r>
      <w:r w:rsidRPr="005E07F3">
        <w:rPr>
          <w:lang w:val="en-CA"/>
        </w:rPr>
        <w:t>art</w:t>
      </w:r>
      <w:r w:rsidRPr="005E07F3">
        <w:rPr>
          <w:i/>
          <w:iCs/>
          <w:lang w:val="en-CA"/>
        </w:rPr>
        <w:t>.</w:t>
      </w:r>
      <w:r w:rsidRPr="00A20F9A">
        <w:rPr>
          <w:lang w:val="en-CA"/>
        </w:rPr>
        <w:t xml:space="preserve"> 2849.</w:t>
      </w:r>
    </w:p>
  </w:footnote>
  <w:footnote w:id="8">
    <w:p w14:paraId="74F288C6" w14:textId="701F70FA" w:rsidR="00A87CF6" w:rsidRPr="009E505B" w:rsidRDefault="00A87CF6" w:rsidP="00A87CF6">
      <w:pPr>
        <w:pStyle w:val="Notedebasdepage"/>
        <w:rPr>
          <w:lang w:val="en-CA"/>
        </w:rPr>
      </w:pPr>
      <w:r>
        <w:rPr>
          <w:rStyle w:val="Appelnotedebasdep"/>
        </w:rPr>
        <w:footnoteRef/>
      </w:r>
      <w:r>
        <w:t xml:space="preserve"> </w:t>
      </w:r>
      <w:r>
        <w:tab/>
        <w:t xml:space="preserve">François </w:t>
      </w:r>
      <w:r w:rsidRPr="008C4ED0">
        <w:rPr>
          <w:caps/>
        </w:rPr>
        <w:t>G</w:t>
      </w:r>
      <w:r w:rsidR="009E505B" w:rsidRPr="008C4ED0">
        <w:t>rondin</w:t>
      </w:r>
      <w:r>
        <w:t xml:space="preserve"> </w:t>
      </w:r>
      <w:r w:rsidR="009E505B">
        <w:t>&amp;</w:t>
      </w:r>
      <w:r>
        <w:t xml:space="preserve"> Patrick </w:t>
      </w:r>
      <w:r w:rsidRPr="008C4ED0">
        <w:rPr>
          <w:caps/>
        </w:rPr>
        <w:t>P</w:t>
      </w:r>
      <w:r w:rsidR="009E505B" w:rsidRPr="008C4ED0">
        <w:t>lante</w:t>
      </w:r>
      <w:r>
        <w:t xml:space="preserve">, </w:t>
      </w:r>
      <w:r w:rsidRPr="008C4ED0">
        <w:rPr>
          <w:i/>
          <w:iCs/>
          <w:shd w:val="clear" w:color="auto" w:fill="FFFFFF"/>
        </w:rPr>
        <w:t>Jurisclasseur Droit civil - Preuve et prescription</w:t>
      </w:r>
      <w:r w:rsidRPr="008C4ED0">
        <w:rPr>
          <w:shd w:val="clear" w:color="auto" w:fill="FFFFFF"/>
        </w:rPr>
        <w:t xml:space="preserve">, fasc. </w:t>
      </w:r>
      <w:r w:rsidRPr="00E702E0">
        <w:rPr>
          <w:shd w:val="clear" w:color="auto" w:fill="FFFFFF"/>
          <w:lang w:val="en-CA"/>
        </w:rPr>
        <w:t xml:space="preserve">7 </w:t>
      </w:r>
      <w:r w:rsidR="009E505B" w:rsidRPr="00E702E0">
        <w:rPr>
          <w:shd w:val="clear" w:color="auto" w:fill="FFFFFF"/>
          <w:lang w:val="en-CA"/>
        </w:rPr>
        <w:t>“</w:t>
      </w:r>
      <w:r w:rsidRPr="00E702E0">
        <w:rPr>
          <w:shd w:val="clear" w:color="auto" w:fill="FFFFFF"/>
          <w:lang w:val="en-CA"/>
        </w:rPr>
        <w:t>Présomptions</w:t>
      </w:r>
      <w:r w:rsidR="009E505B" w:rsidRPr="00E702E0">
        <w:rPr>
          <w:shd w:val="clear" w:color="auto" w:fill="FFFFFF"/>
          <w:lang w:val="en-CA"/>
        </w:rPr>
        <w:t>”</w:t>
      </w:r>
      <w:r w:rsidRPr="00E702E0">
        <w:rPr>
          <w:shd w:val="clear" w:color="auto" w:fill="FFFFFF"/>
          <w:lang w:val="en-CA"/>
        </w:rPr>
        <w:t xml:space="preserve">, </w:t>
      </w:r>
      <w:r w:rsidR="009E505B" w:rsidRPr="00E702E0">
        <w:rPr>
          <w:shd w:val="clear" w:color="auto" w:fill="FFFFFF"/>
          <w:lang w:val="en-CA"/>
        </w:rPr>
        <w:t>at</w:t>
      </w:r>
      <w:r w:rsidRPr="00E702E0">
        <w:rPr>
          <w:shd w:val="clear" w:color="auto" w:fill="FFFFFF"/>
          <w:lang w:val="en-CA"/>
        </w:rPr>
        <w:t xml:space="preserve"> 3, par</w:t>
      </w:r>
      <w:r w:rsidR="009E505B" w:rsidRPr="00E702E0">
        <w:rPr>
          <w:shd w:val="clear" w:color="auto" w:fill="FFFFFF"/>
          <w:lang w:val="en-CA"/>
        </w:rPr>
        <w:t>a</w:t>
      </w:r>
      <w:r w:rsidRPr="00E702E0">
        <w:rPr>
          <w:shd w:val="clear" w:color="auto" w:fill="FFFFFF"/>
          <w:lang w:val="en-CA"/>
        </w:rPr>
        <w:t xml:space="preserve">. 55 </w:t>
      </w:r>
      <w:r w:rsidR="009E505B" w:rsidRPr="00E702E0">
        <w:rPr>
          <w:shd w:val="clear" w:color="auto" w:fill="FFFFFF"/>
          <w:lang w:val="en-CA"/>
        </w:rPr>
        <w:t>citing</w:t>
      </w:r>
      <w:r w:rsidRPr="00E702E0">
        <w:rPr>
          <w:shd w:val="clear" w:color="auto" w:fill="FFFFFF"/>
          <w:lang w:val="en-CA"/>
        </w:rPr>
        <w:t xml:space="preserve"> </w:t>
      </w:r>
      <w:r w:rsidRPr="00E702E0">
        <w:rPr>
          <w:i/>
          <w:iCs/>
          <w:shd w:val="clear" w:color="auto" w:fill="FFFFFF"/>
          <w:lang w:val="en-CA"/>
        </w:rPr>
        <w:t>Longpré</w:t>
      </w:r>
      <w:r w:rsidRPr="00E702E0">
        <w:rPr>
          <w:shd w:val="clear" w:color="auto" w:fill="FFFFFF"/>
          <w:lang w:val="en-CA"/>
        </w:rPr>
        <w:t xml:space="preserve"> c. </w:t>
      </w:r>
      <w:r w:rsidRPr="00E702E0">
        <w:rPr>
          <w:i/>
          <w:iCs/>
          <w:shd w:val="clear" w:color="auto" w:fill="FFFFFF"/>
          <w:lang w:val="en-CA"/>
        </w:rPr>
        <w:t>Thériault</w:t>
      </w:r>
      <w:r w:rsidRPr="00E702E0">
        <w:rPr>
          <w:shd w:val="clear" w:color="auto" w:fill="FFFFFF"/>
          <w:lang w:val="en-CA"/>
        </w:rPr>
        <w:t xml:space="preserve">, [1979] CA 258. </w:t>
      </w:r>
      <w:r w:rsidR="009E505B" w:rsidRPr="009E505B">
        <w:rPr>
          <w:shd w:val="clear" w:color="auto" w:fill="FFFFFF"/>
          <w:lang w:val="en-CA"/>
        </w:rPr>
        <w:t xml:space="preserve">In fact, the Supreme Court of Canada reproduced these teachings in </w:t>
      </w:r>
      <w:r w:rsidR="009E505B" w:rsidRPr="009E505B">
        <w:rPr>
          <w:i/>
          <w:iCs/>
          <w:shd w:val="clear" w:color="auto" w:fill="FFFFFF"/>
          <w:lang w:val="en-CA"/>
        </w:rPr>
        <w:t>Hinse v. Canada (Attorney General)</w:t>
      </w:r>
      <w:r w:rsidR="009E505B" w:rsidRPr="009E505B">
        <w:rPr>
          <w:shd w:val="clear" w:color="auto" w:fill="FFFFFF"/>
          <w:lang w:val="en-CA"/>
        </w:rPr>
        <w:t xml:space="preserve">, </w:t>
      </w:r>
      <w:r w:rsidRPr="009E505B">
        <w:rPr>
          <w:lang w:val="en-CA"/>
        </w:rPr>
        <w:t xml:space="preserve">2015 </w:t>
      </w:r>
      <w:r w:rsidR="009E505B">
        <w:rPr>
          <w:lang w:val="en-CA"/>
        </w:rPr>
        <w:t>SCC</w:t>
      </w:r>
      <w:r w:rsidRPr="009E505B">
        <w:rPr>
          <w:lang w:val="en-CA"/>
        </w:rPr>
        <w:t xml:space="preserve"> 35</w:t>
      </w:r>
      <w:r w:rsidR="009E505B">
        <w:rPr>
          <w:lang w:val="en-CA"/>
        </w:rPr>
        <w:t xml:space="preserve"> at</w:t>
      </w:r>
      <w:r w:rsidRPr="009E505B">
        <w:rPr>
          <w:lang w:val="en-CA"/>
        </w:rPr>
        <w:t xml:space="preserve"> par</w:t>
      </w:r>
      <w:r w:rsidR="009E505B">
        <w:rPr>
          <w:lang w:val="en-CA"/>
        </w:rPr>
        <w:t>a</w:t>
      </w:r>
      <w:r w:rsidRPr="009E505B">
        <w:rPr>
          <w:lang w:val="en-CA"/>
        </w:rPr>
        <w:t>. 71. </w:t>
      </w:r>
    </w:p>
  </w:footnote>
  <w:footnote w:id="9">
    <w:p w14:paraId="492888B6" w14:textId="4AF308A3" w:rsidR="00362D4F" w:rsidRPr="007F4BCD" w:rsidRDefault="00362D4F" w:rsidP="00362D4F">
      <w:pPr>
        <w:pStyle w:val="Notedebasdepage"/>
        <w:rPr>
          <w:lang w:val="en-CA"/>
        </w:rPr>
      </w:pPr>
      <w:r w:rsidRPr="00BE16E0">
        <w:rPr>
          <w:rStyle w:val="Appelnotedebasdep"/>
        </w:rPr>
        <w:footnoteRef/>
      </w:r>
      <w:r w:rsidRPr="007F4BCD">
        <w:rPr>
          <w:lang w:val="en-CA"/>
        </w:rPr>
        <w:t xml:space="preserve"> </w:t>
      </w:r>
      <w:r w:rsidRPr="007F4BCD">
        <w:rPr>
          <w:lang w:val="en-CA"/>
        </w:rPr>
        <w:tab/>
      </w:r>
      <w:r w:rsidR="00D1088A" w:rsidRPr="005E07F3">
        <w:rPr>
          <w:i/>
          <w:iCs/>
          <w:lang w:val="en-CA"/>
        </w:rPr>
        <w:t>Ibid</w:t>
      </w:r>
      <w:r w:rsidR="000A525C">
        <w:rPr>
          <w:lang w:val="en-CA"/>
        </w:rPr>
        <w:t>.</w:t>
      </w:r>
    </w:p>
  </w:footnote>
  <w:footnote w:id="10">
    <w:p w14:paraId="797C7386" w14:textId="3DD45E25" w:rsidR="000B044D" w:rsidRPr="007F4BCD" w:rsidRDefault="000B044D" w:rsidP="000B044D">
      <w:pPr>
        <w:pStyle w:val="Notedebasdepage"/>
        <w:rPr>
          <w:lang w:val="en-CA"/>
        </w:rPr>
      </w:pPr>
      <w:r>
        <w:rPr>
          <w:rStyle w:val="Appelnotedebasdep"/>
        </w:rPr>
        <w:footnoteRef/>
      </w:r>
      <w:r w:rsidRPr="007F4BCD">
        <w:rPr>
          <w:lang w:val="en-CA"/>
        </w:rPr>
        <w:t xml:space="preserve"> </w:t>
      </w:r>
      <w:r w:rsidRPr="007F4BCD">
        <w:rPr>
          <w:lang w:val="en-CA"/>
        </w:rPr>
        <w:tab/>
      </w:r>
      <w:r w:rsidR="00D1088A" w:rsidRPr="005E07F3">
        <w:rPr>
          <w:i/>
          <w:iCs/>
          <w:lang w:val="en-CA"/>
        </w:rPr>
        <w:t>Ibid</w:t>
      </w:r>
      <w:r w:rsidR="000A525C">
        <w:rPr>
          <w:lang w:val="en-CA"/>
        </w:rPr>
        <w:t>.</w:t>
      </w:r>
    </w:p>
  </w:footnote>
  <w:footnote w:id="11">
    <w:p w14:paraId="192D430F" w14:textId="4A773F8A" w:rsidR="009A4000" w:rsidRPr="007F4BCD" w:rsidRDefault="009A4000" w:rsidP="009A4000">
      <w:pPr>
        <w:pStyle w:val="Notedebasdepage"/>
        <w:rPr>
          <w:lang w:val="en-CA"/>
        </w:rPr>
      </w:pPr>
      <w:r>
        <w:rPr>
          <w:rStyle w:val="Appelnotedebasdep"/>
        </w:rPr>
        <w:footnoteRef/>
      </w:r>
      <w:r w:rsidRPr="007F4BCD">
        <w:rPr>
          <w:lang w:val="en-CA"/>
        </w:rPr>
        <w:t xml:space="preserve"> </w:t>
      </w:r>
      <w:r w:rsidRPr="007F4BCD">
        <w:rPr>
          <w:lang w:val="en-CA"/>
        </w:rPr>
        <w:tab/>
        <w:t xml:space="preserve">2022 ONCMT 12, </w:t>
      </w:r>
      <w:r w:rsidR="00A10846">
        <w:rPr>
          <w:lang w:val="en-CA"/>
        </w:rPr>
        <w:t>aff’d</w:t>
      </w:r>
      <w:r w:rsidRPr="007F4BCD">
        <w:rPr>
          <w:lang w:val="en-CA"/>
        </w:rPr>
        <w:t xml:space="preserve"> </w:t>
      </w:r>
      <w:r w:rsidRPr="007F4BCD">
        <w:rPr>
          <w:i/>
          <w:iCs/>
          <w:lang w:val="en-CA"/>
        </w:rPr>
        <w:t>Kitmitto</w:t>
      </w:r>
      <w:r w:rsidRPr="007F4BCD">
        <w:rPr>
          <w:lang w:val="en-CA"/>
        </w:rPr>
        <w:t xml:space="preserve"> v. </w:t>
      </w:r>
      <w:r w:rsidRPr="007F4BCD">
        <w:rPr>
          <w:i/>
          <w:iCs/>
          <w:lang w:val="en-CA"/>
        </w:rPr>
        <w:t>Ontario</w:t>
      </w:r>
      <w:r w:rsidRPr="007F4BCD">
        <w:rPr>
          <w:lang w:val="en-CA"/>
        </w:rPr>
        <w:t xml:space="preserve"> </w:t>
      </w:r>
      <w:r w:rsidRPr="007F4BCD">
        <w:rPr>
          <w:i/>
          <w:iCs/>
          <w:lang w:val="en-CA"/>
        </w:rPr>
        <w:t>(Securities Commission)</w:t>
      </w:r>
      <w:r>
        <w:rPr>
          <w:lang w:val="en-CA"/>
        </w:rPr>
        <w:t>, 2024 ONSC 1412.</w:t>
      </w:r>
    </w:p>
  </w:footnote>
  <w:footnote w:id="12">
    <w:p w14:paraId="5FE7B7EE" w14:textId="77777777" w:rsidR="00C51B78" w:rsidRPr="007F4BCD" w:rsidRDefault="00C51B78" w:rsidP="00C51B78">
      <w:pPr>
        <w:pStyle w:val="Notedebasdepage"/>
        <w:rPr>
          <w:lang w:val="en-CA"/>
        </w:rPr>
      </w:pPr>
      <w:r>
        <w:rPr>
          <w:rStyle w:val="Appelnotedebasdep"/>
        </w:rPr>
        <w:footnoteRef/>
      </w:r>
      <w:r w:rsidRPr="007F4BCD">
        <w:rPr>
          <w:rFonts w:cs="Arial"/>
          <w:szCs w:val="24"/>
          <w:lang w:val="en-CA"/>
        </w:rPr>
        <w:t xml:space="preserve"> </w:t>
      </w:r>
      <w:r w:rsidRPr="007F4BCD">
        <w:rPr>
          <w:rFonts w:cs="Arial"/>
          <w:szCs w:val="24"/>
          <w:lang w:val="en-CA"/>
        </w:rPr>
        <w:tab/>
        <w:t>2015 ONSEC 11, (2015) 38 OSCB 2983.</w:t>
      </w:r>
    </w:p>
  </w:footnote>
  <w:footnote w:id="13">
    <w:p w14:paraId="31D40995" w14:textId="77777777" w:rsidR="00C51B78" w:rsidRPr="007F4BCD" w:rsidRDefault="00C51B78" w:rsidP="00C51B78">
      <w:pPr>
        <w:pStyle w:val="Notedebasdepage"/>
        <w:rPr>
          <w:lang w:val="en-CA"/>
        </w:rPr>
      </w:pPr>
      <w:r>
        <w:rPr>
          <w:rStyle w:val="Appelnotedebasdep"/>
        </w:rPr>
        <w:footnoteRef/>
      </w:r>
      <w:r w:rsidRPr="007F4BCD">
        <w:rPr>
          <w:rFonts w:cs="Arial"/>
          <w:szCs w:val="24"/>
          <w:lang w:val="en-CA"/>
        </w:rPr>
        <w:t xml:space="preserve"> </w:t>
      </w:r>
      <w:r w:rsidRPr="007F4BCD">
        <w:rPr>
          <w:rFonts w:cs="Arial"/>
          <w:szCs w:val="24"/>
          <w:lang w:val="en-CA"/>
        </w:rPr>
        <w:tab/>
        <w:t>2016 ONSC 7508 (Div Ct) 2018 ONCA 61.</w:t>
      </w:r>
    </w:p>
  </w:footnote>
  <w:footnote w:id="14">
    <w:p w14:paraId="71ABF708" w14:textId="77777777" w:rsidR="00C51B78" w:rsidRPr="00E702E0" w:rsidRDefault="00C51B78" w:rsidP="00C51B78">
      <w:pPr>
        <w:pStyle w:val="Notedebasdepage"/>
        <w:rPr>
          <w:lang w:val="en-CA"/>
        </w:rPr>
      </w:pPr>
      <w:r>
        <w:rPr>
          <w:rStyle w:val="Appelnotedebasdep"/>
        </w:rPr>
        <w:footnoteRef/>
      </w:r>
      <w:r w:rsidRPr="00E702E0">
        <w:rPr>
          <w:rFonts w:cs="Arial"/>
          <w:szCs w:val="24"/>
          <w:lang w:val="en-CA"/>
        </w:rPr>
        <w:t xml:space="preserve"> </w:t>
      </w:r>
      <w:r w:rsidRPr="00E702E0">
        <w:rPr>
          <w:rFonts w:cs="Arial"/>
          <w:szCs w:val="24"/>
          <w:lang w:val="en-CA"/>
        </w:rPr>
        <w:tab/>
        <w:t>2019 ONSEC 36.</w:t>
      </w:r>
    </w:p>
  </w:footnote>
  <w:footnote w:id="15">
    <w:p w14:paraId="50677C27" w14:textId="0C61ACB9" w:rsidR="00D7061C" w:rsidRPr="00A10846" w:rsidRDefault="00D7061C" w:rsidP="00D7061C">
      <w:pPr>
        <w:pStyle w:val="Notedebasdepage"/>
        <w:rPr>
          <w:lang w:val="en-CA"/>
        </w:rPr>
      </w:pPr>
      <w:r>
        <w:rPr>
          <w:rStyle w:val="Appelnotedebasdep"/>
        </w:rPr>
        <w:footnoteRef/>
      </w:r>
      <w:r w:rsidRPr="00A10846">
        <w:rPr>
          <w:lang w:val="en-CA"/>
        </w:rPr>
        <w:t xml:space="preserve"> </w:t>
      </w:r>
      <w:r w:rsidRPr="00A10846">
        <w:rPr>
          <w:lang w:val="en-CA"/>
        </w:rPr>
        <w:tab/>
      </w:r>
      <w:r w:rsidR="00A10846" w:rsidRPr="00A10846">
        <w:rPr>
          <w:lang w:val="en-CA"/>
        </w:rPr>
        <w:t xml:space="preserve">For ease of reference, the Tribunal will analyze Frédéric Racine’s situation </w:t>
      </w:r>
      <w:r w:rsidR="00DB0884">
        <w:rPr>
          <w:lang w:val="en-CA"/>
        </w:rPr>
        <w:t xml:space="preserve">under the </w:t>
      </w:r>
      <w:proofErr w:type="gramStart"/>
      <w:r w:rsidR="00DB0884">
        <w:rPr>
          <w:lang w:val="en-CA"/>
        </w:rPr>
        <w:t xml:space="preserve">third </w:t>
      </w:r>
      <w:r w:rsidR="00A10846" w:rsidRPr="00A10846">
        <w:rPr>
          <w:lang w:val="en-CA"/>
        </w:rPr>
        <w:t xml:space="preserve"> issue</w:t>
      </w:r>
      <w:proofErr w:type="gramEnd"/>
      <w:r w:rsidRPr="00A10846">
        <w:rPr>
          <w:lang w:val="en-CA"/>
        </w:rPr>
        <w:t>.</w:t>
      </w:r>
    </w:p>
  </w:footnote>
  <w:footnote w:id="16">
    <w:p w14:paraId="1B1B27AB" w14:textId="77777777" w:rsidR="00F02141" w:rsidRPr="00F42A32" w:rsidRDefault="00F02141" w:rsidP="00F02141">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D-1.</w:t>
      </w:r>
    </w:p>
  </w:footnote>
  <w:footnote w:id="17">
    <w:p w14:paraId="571C3D98" w14:textId="7440506F" w:rsidR="005D01EE" w:rsidRPr="00F42A32" w:rsidRDefault="005D01EE" w:rsidP="005D01EE">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000A525C">
        <w:rPr>
          <w:i/>
          <w:iCs/>
          <w:lang w:val="en-CA"/>
        </w:rPr>
        <w:t>.</w:t>
      </w:r>
    </w:p>
  </w:footnote>
  <w:footnote w:id="18">
    <w:p w14:paraId="1EDCF1FB" w14:textId="33B0D394"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D-11.</w:t>
      </w:r>
      <w:r w:rsidRPr="00F42A32">
        <w:rPr>
          <w:lang w:val="en-CA"/>
        </w:rPr>
        <w:t xml:space="preserve"> </w:t>
      </w:r>
    </w:p>
  </w:footnote>
  <w:footnote w:id="19">
    <w:p w14:paraId="70D93FA8" w14:textId="77777777" w:rsidR="00DB36FB" w:rsidRPr="00F42A32" w:rsidRDefault="00DB36FB" w:rsidP="00DB36FB">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D-12.</w:t>
      </w:r>
    </w:p>
  </w:footnote>
  <w:footnote w:id="20">
    <w:p w14:paraId="46E9BB22" w14:textId="275B4A5B" w:rsidR="00920F12" w:rsidRPr="00F42A32" w:rsidRDefault="00920F12" w:rsidP="00920F12">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000A525C">
        <w:rPr>
          <w:i/>
          <w:iCs/>
          <w:lang w:val="en-CA"/>
        </w:rPr>
        <w:t>.</w:t>
      </w:r>
    </w:p>
  </w:footnote>
  <w:footnote w:id="21">
    <w:p w14:paraId="1AEF3767" w14:textId="77777777" w:rsidR="004B15D6" w:rsidRPr="00F42A32" w:rsidRDefault="004B15D6" w:rsidP="004B15D6">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D-13.</w:t>
      </w:r>
    </w:p>
  </w:footnote>
  <w:footnote w:id="22">
    <w:p w14:paraId="769D64D9" w14:textId="0293C8A5" w:rsidR="00466691" w:rsidRPr="00E702E0" w:rsidRDefault="00466691" w:rsidP="00466691">
      <w:pPr>
        <w:pStyle w:val="Notedebasdepage"/>
        <w:rPr>
          <w:lang w:val="en-CA"/>
        </w:rPr>
      </w:pPr>
      <w:r>
        <w:rPr>
          <w:rStyle w:val="Appelnotedebasdep"/>
        </w:rPr>
        <w:footnoteRef/>
      </w:r>
      <w:r w:rsidRPr="00A10846">
        <w:rPr>
          <w:lang w:val="en-CA"/>
        </w:rPr>
        <w:t xml:space="preserve"> </w:t>
      </w:r>
      <w:r w:rsidRPr="00A10846">
        <w:rPr>
          <w:lang w:val="en-CA"/>
        </w:rPr>
        <w:tab/>
      </w:r>
      <w:r w:rsidR="00A10846" w:rsidRPr="00A10846">
        <w:rPr>
          <w:lang w:val="en-CA"/>
        </w:rPr>
        <w:t xml:space="preserve">See also the respondents’ written submissions at para. </w:t>
      </w:r>
      <w:r w:rsidR="00A10846" w:rsidRPr="00E702E0">
        <w:rPr>
          <w:lang w:val="en-CA"/>
        </w:rPr>
        <w:t>18</w:t>
      </w:r>
      <w:r w:rsidRPr="00E702E0">
        <w:rPr>
          <w:lang w:val="en-CA"/>
        </w:rPr>
        <w:t>.</w:t>
      </w:r>
    </w:p>
  </w:footnote>
  <w:footnote w:id="23">
    <w:p w14:paraId="3BECB836" w14:textId="247493EA" w:rsidR="00370D5A" w:rsidRPr="00F42A32" w:rsidRDefault="00370D5A" w:rsidP="00370D5A">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00D1088A" w:rsidRPr="005E07F3">
        <w:rPr>
          <w:rFonts w:cs="Arial"/>
          <w:i/>
          <w:iCs/>
          <w:lang w:val="en-CA"/>
        </w:rPr>
        <w:t>Ibid</w:t>
      </w:r>
      <w:r w:rsidR="000A525C">
        <w:rPr>
          <w:rFonts w:cs="Arial"/>
          <w:i/>
          <w:iCs/>
          <w:lang w:val="en-CA"/>
        </w:rPr>
        <w:t>.</w:t>
      </w:r>
    </w:p>
  </w:footnote>
  <w:footnote w:id="24">
    <w:p w14:paraId="51891F83" w14:textId="07146D31" w:rsidR="00483AC6" w:rsidRPr="00F42A32" w:rsidRDefault="00483AC6" w:rsidP="00483AC6">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D-1</w:t>
      </w:r>
      <w:r w:rsidR="00A10846" w:rsidRPr="005E07F3">
        <w:rPr>
          <w:lang w:val="en-CA"/>
        </w:rPr>
        <w:t>7</w:t>
      </w:r>
      <w:r w:rsidRPr="005E07F3">
        <w:rPr>
          <w:lang w:val="en-CA"/>
        </w:rPr>
        <w:t>.</w:t>
      </w:r>
    </w:p>
  </w:footnote>
  <w:footnote w:id="25">
    <w:p w14:paraId="66A9BA2C" w14:textId="6E260902" w:rsidR="00582DB3" w:rsidRPr="00F42A32" w:rsidRDefault="00582DB3" w:rsidP="00582DB3">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D-1</w:t>
      </w:r>
      <w:r w:rsidR="00194D90" w:rsidRPr="005E07F3">
        <w:rPr>
          <w:lang w:val="en-CA"/>
        </w:rPr>
        <w:t>3-2</w:t>
      </w:r>
      <w:r w:rsidRPr="005E07F3">
        <w:rPr>
          <w:lang w:val="en-CA"/>
        </w:rPr>
        <w:t>.</w:t>
      </w:r>
    </w:p>
  </w:footnote>
  <w:footnote w:id="26">
    <w:p w14:paraId="5665E06A" w14:textId="31B6DCF4" w:rsidR="00CF3270" w:rsidRPr="00F42A32" w:rsidRDefault="00CF3270" w:rsidP="00CF3270">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 xml:space="preserve">Exhibit </w:t>
      </w:r>
      <w:r w:rsidR="00194D90" w:rsidRPr="005E07F3">
        <w:rPr>
          <w:rFonts w:cs="Arial"/>
          <w:lang w:val="en-CA"/>
        </w:rPr>
        <w:t>D-67</w:t>
      </w:r>
      <w:r w:rsidRPr="005E07F3">
        <w:rPr>
          <w:rFonts w:cs="Arial"/>
          <w:lang w:val="en-CA"/>
        </w:rPr>
        <w:t xml:space="preserve"> at 29.</w:t>
      </w:r>
    </w:p>
  </w:footnote>
  <w:footnote w:id="27">
    <w:p w14:paraId="7ACFF1D0" w14:textId="6BC00AA1"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 xml:space="preserve">Exhibit </w:t>
      </w:r>
      <w:r w:rsidR="00194D90" w:rsidRPr="005E07F3">
        <w:rPr>
          <w:lang w:val="en-CA"/>
        </w:rPr>
        <w:t>D</w:t>
      </w:r>
      <w:r w:rsidRPr="005E07F3">
        <w:rPr>
          <w:lang w:val="en-CA"/>
        </w:rPr>
        <w:t>-14.</w:t>
      </w:r>
    </w:p>
  </w:footnote>
  <w:footnote w:id="28">
    <w:p w14:paraId="71F569E7" w14:textId="7C13F395" w:rsidR="00343898" w:rsidRPr="007B5361" w:rsidRDefault="00343898" w:rsidP="00343898">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000A525C">
        <w:rPr>
          <w:rFonts w:cs="Arial"/>
          <w:i/>
          <w:iCs/>
          <w:lang w:val="en-US"/>
        </w:rPr>
        <w:t>.</w:t>
      </w:r>
    </w:p>
  </w:footnote>
  <w:footnote w:id="29">
    <w:p w14:paraId="708EF914" w14:textId="3586A644" w:rsidR="005443C5" w:rsidRPr="007B5361" w:rsidRDefault="005443C5" w:rsidP="005443C5">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Pr="005E07F3">
        <w:rPr>
          <w:rFonts w:cs="Arial"/>
          <w:i/>
          <w:iCs/>
          <w:lang w:val="en-US"/>
        </w:rPr>
        <w:t xml:space="preserve"> </w:t>
      </w:r>
      <w:r w:rsidRPr="005E07F3">
        <w:rPr>
          <w:rFonts w:cs="Arial"/>
          <w:lang w:val="en-US"/>
        </w:rPr>
        <w:t>at 1</w:t>
      </w:r>
      <w:r w:rsidR="00D30BD0" w:rsidRPr="005E07F3">
        <w:rPr>
          <w:rFonts w:cs="Arial"/>
          <w:lang w:val="en-US"/>
        </w:rPr>
        <w:t>3</w:t>
      </w:r>
      <w:r w:rsidRPr="005E07F3">
        <w:rPr>
          <w:rFonts w:cs="Arial"/>
          <w:lang w:val="en-US"/>
        </w:rPr>
        <w:t>.</w:t>
      </w:r>
    </w:p>
  </w:footnote>
  <w:footnote w:id="30">
    <w:p w14:paraId="63ED8974" w14:textId="24BBDB45" w:rsidR="002D40E9" w:rsidRPr="007B5361" w:rsidRDefault="005D25C5">
      <w:pPr>
        <w:pStyle w:val="Notedebasdepage"/>
        <w:rPr>
          <w:lang w:val="en-US"/>
        </w:rPr>
      </w:pPr>
      <w:r>
        <w:rPr>
          <w:rStyle w:val="Appelnotedebasdep"/>
        </w:rPr>
        <w:footnoteRef/>
      </w:r>
      <w:r w:rsidRPr="007B5361">
        <w:rPr>
          <w:lang w:val="en-US"/>
        </w:rPr>
        <w:t xml:space="preserve"> </w:t>
      </w:r>
      <w:r w:rsidRPr="007B5361">
        <w:rPr>
          <w:lang w:val="en-US"/>
        </w:rPr>
        <w:tab/>
      </w:r>
      <w:r w:rsidR="00D1088A" w:rsidRPr="005E07F3">
        <w:rPr>
          <w:i/>
          <w:iCs/>
          <w:lang w:val="en-US"/>
        </w:rPr>
        <w:t>Ibid</w:t>
      </w:r>
      <w:r w:rsidRPr="005E07F3">
        <w:rPr>
          <w:i/>
          <w:iCs/>
          <w:lang w:val="en-US"/>
        </w:rPr>
        <w:t xml:space="preserve"> </w:t>
      </w:r>
      <w:r w:rsidRPr="005E07F3">
        <w:rPr>
          <w:lang w:val="en-US"/>
        </w:rPr>
        <w:t>at 1</w:t>
      </w:r>
      <w:r w:rsidR="00D30BD0" w:rsidRPr="005E07F3">
        <w:rPr>
          <w:lang w:val="en-US"/>
        </w:rPr>
        <w:t>1</w:t>
      </w:r>
      <w:r w:rsidRPr="005E07F3">
        <w:rPr>
          <w:i/>
          <w:iCs/>
          <w:lang w:val="en-US"/>
        </w:rPr>
        <w:t>.</w:t>
      </w:r>
    </w:p>
  </w:footnote>
  <w:footnote w:id="31">
    <w:p w14:paraId="50FE861A" w14:textId="00410F27" w:rsidR="009C5D41" w:rsidRPr="00F42A32" w:rsidRDefault="009C5D41" w:rsidP="009C5D41">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 xml:space="preserve">Exhibit D-20 at </w:t>
      </w:r>
      <w:r w:rsidR="00D30BD0" w:rsidRPr="005E07F3">
        <w:rPr>
          <w:lang w:val="en-CA"/>
        </w:rPr>
        <w:t>7–15</w:t>
      </w:r>
      <w:r w:rsidRPr="005E07F3">
        <w:rPr>
          <w:lang w:val="en-CA"/>
        </w:rPr>
        <w:t>.</w:t>
      </w:r>
      <w:r w:rsidRPr="00F42A32">
        <w:rPr>
          <w:lang w:val="en-CA"/>
        </w:rPr>
        <w:t xml:space="preserve"> </w:t>
      </w:r>
    </w:p>
  </w:footnote>
  <w:footnote w:id="32">
    <w:p w14:paraId="5728EAFA" w14:textId="2B2E43AC" w:rsidR="00A362C7" w:rsidRPr="00F42A32" w:rsidRDefault="00A362C7" w:rsidP="00A362C7">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Exhibits D-2</w:t>
      </w:r>
      <w:r w:rsidR="00D30BD0" w:rsidRPr="005E07F3">
        <w:rPr>
          <w:lang w:val="en-CA"/>
        </w:rPr>
        <w:t>4</w:t>
      </w:r>
      <w:r w:rsidRPr="005E07F3">
        <w:rPr>
          <w:lang w:val="en-CA"/>
        </w:rPr>
        <w:t xml:space="preserve"> and D-2</w:t>
      </w:r>
      <w:r w:rsidR="00D30BD0" w:rsidRPr="005E07F3">
        <w:rPr>
          <w:lang w:val="en-CA"/>
        </w:rPr>
        <w:t>5</w:t>
      </w:r>
      <w:r w:rsidRPr="005E07F3">
        <w:rPr>
          <w:lang w:val="en-CA"/>
        </w:rPr>
        <w:t>.</w:t>
      </w:r>
    </w:p>
  </w:footnote>
  <w:footnote w:id="33">
    <w:p w14:paraId="1C4FB512" w14:textId="77777777" w:rsidR="00D85AC6" w:rsidRPr="00F42A32" w:rsidRDefault="00D85AC6" w:rsidP="00D85AC6">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D-27.</w:t>
      </w:r>
    </w:p>
  </w:footnote>
  <w:footnote w:id="34">
    <w:p w14:paraId="2369DA47" w14:textId="13D7ED84" w:rsidR="0066354F" w:rsidRPr="00F42A32" w:rsidRDefault="0066354F" w:rsidP="0066354F">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D-67.</w:t>
      </w:r>
    </w:p>
  </w:footnote>
  <w:footnote w:id="35">
    <w:p w14:paraId="09AFB27E" w14:textId="53D31B39" w:rsidR="007746AC" w:rsidRPr="00F42A32" w:rsidRDefault="007746AC" w:rsidP="007746AC">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w:t>
      </w:r>
      <w:r w:rsidR="00C50CEC" w:rsidRPr="005E07F3">
        <w:rPr>
          <w:lang w:val="en-CA"/>
        </w:rPr>
        <w:t>76</w:t>
      </w:r>
      <w:r w:rsidRPr="005E07F3">
        <w:rPr>
          <w:lang w:val="en-CA"/>
        </w:rPr>
        <w:t>.</w:t>
      </w:r>
    </w:p>
  </w:footnote>
  <w:footnote w:id="36">
    <w:p w14:paraId="482AF70B" w14:textId="77777777" w:rsidR="00720CDA" w:rsidRPr="00E702E0" w:rsidRDefault="00720CDA" w:rsidP="00720CDA">
      <w:pPr>
        <w:pStyle w:val="Notedebasdepage"/>
        <w:rPr>
          <w:lang w:val="en-CA"/>
        </w:rPr>
      </w:pPr>
      <w:r>
        <w:rPr>
          <w:rStyle w:val="Appelnotedebasdep"/>
        </w:rPr>
        <w:footnoteRef/>
      </w:r>
      <w:r w:rsidRPr="00E702E0">
        <w:rPr>
          <w:lang w:val="en-CA"/>
        </w:rPr>
        <w:t xml:space="preserve"> </w:t>
      </w:r>
      <w:r w:rsidRPr="00E702E0">
        <w:rPr>
          <w:lang w:val="en-CA"/>
        </w:rPr>
        <w:tab/>
      </w:r>
      <w:r w:rsidRPr="005E07F3">
        <w:rPr>
          <w:lang w:val="en-CA"/>
        </w:rPr>
        <w:t>Exhibit D-27.</w:t>
      </w:r>
    </w:p>
  </w:footnote>
  <w:footnote w:id="37">
    <w:p w14:paraId="481A56D3" w14:textId="0AE35F92" w:rsidR="0058759A" w:rsidRPr="00E702E0" w:rsidRDefault="0058759A" w:rsidP="0058759A">
      <w:pPr>
        <w:pStyle w:val="Notedebasdepage"/>
        <w:rPr>
          <w:rFonts w:cs="Arial"/>
          <w:lang w:val="en-CA"/>
        </w:rPr>
      </w:pPr>
      <w:r w:rsidRPr="00C33CAB">
        <w:rPr>
          <w:rStyle w:val="Appelnotedebasdep"/>
          <w:rFonts w:cs="Arial"/>
        </w:rPr>
        <w:footnoteRef/>
      </w:r>
      <w:r w:rsidRPr="00E702E0">
        <w:rPr>
          <w:rFonts w:cs="Arial"/>
          <w:lang w:val="en-CA"/>
        </w:rPr>
        <w:t xml:space="preserve"> </w:t>
      </w:r>
      <w:r w:rsidRPr="00E702E0">
        <w:rPr>
          <w:rFonts w:cs="Arial"/>
          <w:lang w:val="en-CA"/>
        </w:rPr>
        <w:tab/>
      </w:r>
      <w:r w:rsidR="00C9118E" w:rsidRPr="00E702E0">
        <w:rPr>
          <w:rFonts w:cs="Arial"/>
          <w:i/>
          <w:iCs/>
          <w:lang w:val="en-CA"/>
        </w:rPr>
        <w:t>SA</w:t>
      </w:r>
      <w:r w:rsidR="00C9118E" w:rsidRPr="00E702E0">
        <w:rPr>
          <w:rFonts w:cs="Arial"/>
          <w:lang w:val="en-CA"/>
        </w:rPr>
        <w:t>, s. 5.</w:t>
      </w:r>
    </w:p>
  </w:footnote>
  <w:footnote w:id="38">
    <w:p w14:paraId="72334C75" w14:textId="3D580767" w:rsidR="00AC5973" w:rsidRPr="00E702E0" w:rsidRDefault="00AC5973" w:rsidP="00AC5973">
      <w:pPr>
        <w:pStyle w:val="Notedebasdepage"/>
        <w:rPr>
          <w:lang w:val="en-CA"/>
        </w:rPr>
      </w:pPr>
      <w:r>
        <w:rPr>
          <w:rStyle w:val="Appelnotedebasdep"/>
        </w:rPr>
        <w:footnoteRef/>
      </w:r>
      <w:r w:rsidRPr="008376F6">
        <w:rPr>
          <w:lang w:val="en-CA"/>
        </w:rPr>
        <w:t xml:space="preserve"> </w:t>
      </w:r>
      <w:r w:rsidRPr="008376F6">
        <w:rPr>
          <w:lang w:val="en-CA"/>
        </w:rPr>
        <w:tab/>
      </w:r>
      <w:r w:rsidR="008376F6" w:rsidRPr="005E07F3">
        <w:rPr>
          <w:lang w:val="en-CA"/>
        </w:rPr>
        <w:t>Respondents’ written arguments at</w:t>
      </w:r>
      <w:r w:rsidRPr="005E07F3">
        <w:rPr>
          <w:lang w:val="en-CA"/>
        </w:rPr>
        <w:t xml:space="preserve"> par</w:t>
      </w:r>
      <w:r w:rsidR="008376F6" w:rsidRPr="005E07F3">
        <w:rPr>
          <w:lang w:val="en-CA"/>
        </w:rPr>
        <w:t>a</w:t>
      </w:r>
      <w:r w:rsidRPr="005E07F3">
        <w:rPr>
          <w:lang w:val="en-CA"/>
        </w:rPr>
        <w:t>.</w:t>
      </w:r>
      <w:r w:rsidRPr="008376F6">
        <w:rPr>
          <w:lang w:val="en-CA"/>
        </w:rPr>
        <w:t xml:space="preserve"> </w:t>
      </w:r>
      <w:r w:rsidRPr="00E702E0">
        <w:rPr>
          <w:lang w:val="en-CA"/>
        </w:rPr>
        <w:t xml:space="preserve">15. </w:t>
      </w:r>
    </w:p>
  </w:footnote>
  <w:footnote w:id="39">
    <w:p w14:paraId="544E09C5" w14:textId="6EEFC668" w:rsidR="00AC5973" w:rsidRPr="00F42A32" w:rsidRDefault="00AC5973" w:rsidP="00AC5973">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 xml:space="preserve">Exhibit </w:t>
      </w:r>
      <w:r w:rsidR="008376F6" w:rsidRPr="005E07F3">
        <w:rPr>
          <w:lang w:val="en-CA"/>
        </w:rPr>
        <w:t>D</w:t>
      </w:r>
      <w:r w:rsidRPr="005E07F3">
        <w:rPr>
          <w:lang w:val="en-CA"/>
        </w:rPr>
        <w:t>-14.</w:t>
      </w:r>
    </w:p>
  </w:footnote>
  <w:footnote w:id="40">
    <w:p w14:paraId="2BC394D0" w14:textId="44EA45E3" w:rsidR="002D40E9" w:rsidRPr="00F42A32" w:rsidRDefault="005D25C5" w:rsidP="00F64890">
      <w:pPr>
        <w:pStyle w:val="Notedebasdepage"/>
        <w:rPr>
          <w:rFonts w:cs="Arial"/>
          <w:lang w:val="en-CA"/>
        </w:rPr>
      </w:pPr>
      <w:r w:rsidRPr="00AB107A">
        <w:rPr>
          <w:rStyle w:val="Appelnotedebasdep"/>
        </w:rPr>
        <w:footnoteRef/>
      </w:r>
      <w:r w:rsidRPr="00F42A32">
        <w:rPr>
          <w:rStyle w:val="Appelnotedebasdep"/>
          <w:lang w:val="en-CA"/>
        </w:rPr>
        <w:t xml:space="preserve"> </w:t>
      </w:r>
      <w:r w:rsidRPr="00F42A32">
        <w:rPr>
          <w:rStyle w:val="Appelnotedebasdep"/>
          <w:lang w:val="en-CA"/>
        </w:rPr>
        <w:tab/>
      </w:r>
      <w:r w:rsidR="00D1088A" w:rsidRPr="005E07F3">
        <w:rPr>
          <w:rFonts w:cs="Arial"/>
          <w:i/>
          <w:iCs/>
          <w:lang w:val="en-CA"/>
        </w:rPr>
        <w:t>Ibid</w:t>
      </w:r>
      <w:r w:rsidR="000A525C">
        <w:rPr>
          <w:rFonts w:cs="Arial"/>
          <w:i/>
          <w:iCs/>
          <w:lang w:val="en-CA"/>
        </w:rPr>
        <w:t>.</w:t>
      </w:r>
    </w:p>
  </w:footnote>
  <w:footnote w:id="41">
    <w:p w14:paraId="503243FB" w14:textId="6A87F020" w:rsidR="00B65CC1" w:rsidRPr="00F42A32" w:rsidRDefault="00B65CC1" w:rsidP="00B65CC1">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000A525C">
        <w:rPr>
          <w:i/>
          <w:iCs/>
          <w:lang w:val="en-CA"/>
        </w:rPr>
        <w:t>.</w:t>
      </w:r>
    </w:p>
  </w:footnote>
  <w:footnote w:id="42">
    <w:p w14:paraId="72396121" w14:textId="54D124B4" w:rsidR="00CB3AD5" w:rsidRPr="00F42A32" w:rsidRDefault="00CB3AD5" w:rsidP="00CB3AD5">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Exhibit D-9.</w:t>
      </w:r>
    </w:p>
  </w:footnote>
  <w:footnote w:id="43">
    <w:p w14:paraId="2D3D4CC6" w14:textId="66C69E6C" w:rsidR="00A97710" w:rsidRPr="00E702E0" w:rsidRDefault="00A97710" w:rsidP="00A97710">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Re-amended originating application</w:t>
      </w:r>
      <w:r w:rsidR="008376F6">
        <w:rPr>
          <w:lang w:val="en-CA"/>
        </w:rPr>
        <w:t xml:space="preserve"> at para.</w:t>
      </w:r>
      <w:r w:rsidRPr="00F42A32">
        <w:rPr>
          <w:lang w:val="en-CA"/>
        </w:rPr>
        <w:t xml:space="preserve"> </w:t>
      </w:r>
      <w:r w:rsidRPr="00E702E0">
        <w:rPr>
          <w:lang w:val="en-CA"/>
        </w:rPr>
        <w:t>45.</w:t>
      </w:r>
    </w:p>
  </w:footnote>
  <w:footnote w:id="44">
    <w:p w14:paraId="55DBC385" w14:textId="79A988AB" w:rsidR="00C146C8" w:rsidRPr="008376F6" w:rsidRDefault="00C146C8" w:rsidP="00C146C8">
      <w:pPr>
        <w:pStyle w:val="Notedebasdepage"/>
        <w:rPr>
          <w:rFonts w:cs="Arial"/>
          <w:lang w:val="en-CA"/>
        </w:rPr>
      </w:pPr>
      <w:r w:rsidRPr="00CC61F3">
        <w:rPr>
          <w:rStyle w:val="Appelnotedebasdep"/>
          <w:rFonts w:cs="Arial"/>
        </w:rPr>
        <w:footnoteRef/>
      </w:r>
      <w:r w:rsidRPr="008376F6">
        <w:rPr>
          <w:rFonts w:cs="Arial"/>
          <w:lang w:val="en-CA"/>
        </w:rPr>
        <w:t xml:space="preserve"> </w:t>
      </w:r>
      <w:r w:rsidRPr="008376F6">
        <w:rPr>
          <w:rFonts w:cs="Arial"/>
          <w:lang w:val="en-CA"/>
        </w:rPr>
        <w:tab/>
      </w:r>
      <w:r w:rsidR="008376F6" w:rsidRPr="008376F6">
        <w:rPr>
          <w:rFonts w:cs="Arial"/>
          <w:lang w:val="en-CA"/>
        </w:rPr>
        <w:t>Exhibits</w:t>
      </w:r>
      <w:r w:rsidRPr="008376F6">
        <w:rPr>
          <w:rFonts w:cs="Arial"/>
          <w:lang w:val="en-CA"/>
        </w:rPr>
        <w:t xml:space="preserve"> D-9</w:t>
      </w:r>
      <w:r w:rsidR="008376F6" w:rsidRPr="008376F6">
        <w:rPr>
          <w:rFonts w:cs="Arial"/>
          <w:lang w:val="en-CA"/>
        </w:rPr>
        <w:t xml:space="preserve">, </w:t>
      </w:r>
      <w:r w:rsidRPr="008376F6">
        <w:rPr>
          <w:rFonts w:cs="Arial"/>
          <w:lang w:val="en-CA"/>
        </w:rPr>
        <w:t>D-70</w:t>
      </w:r>
      <w:r w:rsidR="008376F6" w:rsidRPr="008376F6">
        <w:rPr>
          <w:rFonts w:cs="Arial"/>
          <w:lang w:val="en-CA"/>
        </w:rPr>
        <w:t>,</w:t>
      </w:r>
      <w:r w:rsidRPr="008376F6">
        <w:rPr>
          <w:rFonts w:cs="Arial"/>
          <w:lang w:val="en-CA"/>
        </w:rPr>
        <w:t xml:space="preserve"> I-23</w:t>
      </w:r>
      <w:r w:rsidR="00F31729">
        <w:rPr>
          <w:rFonts w:cs="Arial"/>
          <w:lang w:val="en-CA"/>
        </w:rPr>
        <w:t>,</w:t>
      </w:r>
      <w:r w:rsidRPr="008376F6">
        <w:rPr>
          <w:rFonts w:cs="Arial"/>
          <w:lang w:val="en-CA"/>
        </w:rPr>
        <w:t xml:space="preserve"> </w:t>
      </w:r>
      <w:r w:rsidR="008376F6">
        <w:rPr>
          <w:rFonts w:cs="Arial"/>
          <w:lang w:val="en-CA"/>
        </w:rPr>
        <w:t>and</w:t>
      </w:r>
      <w:r w:rsidRPr="008376F6">
        <w:rPr>
          <w:rFonts w:cs="Arial"/>
          <w:lang w:val="en-CA"/>
        </w:rPr>
        <w:t xml:space="preserve"> I-24.</w:t>
      </w:r>
    </w:p>
  </w:footnote>
  <w:footnote w:id="45">
    <w:p w14:paraId="3B7ABF2C" w14:textId="36A5C8AE" w:rsidR="00BC27BD" w:rsidRPr="00E702E0" w:rsidRDefault="00BC27BD" w:rsidP="00BC27BD">
      <w:pPr>
        <w:pStyle w:val="Notedebasdepage"/>
        <w:rPr>
          <w:rFonts w:cs="Arial"/>
          <w:lang w:val="en-CA"/>
        </w:rPr>
      </w:pPr>
      <w:r w:rsidRPr="00CC61F3">
        <w:rPr>
          <w:rStyle w:val="Appelnotedebasdep"/>
          <w:rFonts w:cs="Arial"/>
        </w:rPr>
        <w:footnoteRef/>
      </w:r>
      <w:r w:rsidRPr="0084449D">
        <w:rPr>
          <w:rStyle w:val="Appelnotedebasdep"/>
          <w:rFonts w:cs="Arial"/>
          <w:lang w:val="en-CA"/>
        </w:rPr>
        <w:t xml:space="preserve"> </w:t>
      </w:r>
      <w:r w:rsidRPr="0084449D">
        <w:rPr>
          <w:rFonts w:cs="Arial"/>
          <w:lang w:val="en-CA"/>
        </w:rPr>
        <w:tab/>
      </w:r>
      <w:r w:rsidR="0084449D" w:rsidRPr="0084449D">
        <w:rPr>
          <w:rFonts w:cs="Arial"/>
          <w:lang w:val="en-CA"/>
        </w:rPr>
        <w:t>See</w:t>
      </w:r>
      <w:r w:rsidRPr="0084449D">
        <w:rPr>
          <w:rFonts w:cs="Arial"/>
          <w:lang w:val="en-CA"/>
        </w:rPr>
        <w:t xml:space="preserve"> </w:t>
      </w:r>
      <w:r w:rsidRPr="0084449D">
        <w:rPr>
          <w:rFonts w:cs="Arial"/>
          <w:i/>
          <w:lang w:val="en-CA"/>
        </w:rPr>
        <w:t>Cheng (Re</w:t>
      </w:r>
      <w:r w:rsidRPr="0084449D">
        <w:rPr>
          <w:rFonts w:cs="Arial"/>
          <w:lang w:val="en-CA"/>
        </w:rPr>
        <w:t>), 2019 ONSEC 8</w:t>
      </w:r>
      <w:r w:rsidR="0084449D" w:rsidRPr="0084449D">
        <w:rPr>
          <w:rFonts w:cs="Arial"/>
          <w:lang w:val="en-CA"/>
        </w:rPr>
        <w:t xml:space="preserve"> at</w:t>
      </w:r>
      <w:r w:rsidRPr="0084449D">
        <w:rPr>
          <w:rFonts w:cs="Arial"/>
          <w:lang w:val="en-CA"/>
        </w:rPr>
        <w:t xml:space="preserve"> par</w:t>
      </w:r>
      <w:r w:rsidR="0084449D" w:rsidRPr="0084449D">
        <w:rPr>
          <w:rFonts w:cs="Arial"/>
          <w:lang w:val="en-CA"/>
        </w:rPr>
        <w:t>as</w:t>
      </w:r>
      <w:r w:rsidRPr="0084449D">
        <w:rPr>
          <w:rFonts w:cs="Arial"/>
          <w:lang w:val="en-CA"/>
        </w:rPr>
        <w:t xml:space="preserve">. </w:t>
      </w:r>
      <w:r w:rsidRPr="005E07F3">
        <w:rPr>
          <w:rFonts w:cs="Arial"/>
          <w:lang w:val="en-CA"/>
        </w:rPr>
        <w:t>59 and 60.</w:t>
      </w:r>
    </w:p>
  </w:footnote>
  <w:footnote w:id="46">
    <w:p w14:paraId="229C59C5" w14:textId="7B5F0A18" w:rsidR="00BA618C" w:rsidRPr="00E702E0" w:rsidRDefault="00BA618C" w:rsidP="00BA618C">
      <w:pPr>
        <w:pStyle w:val="Notedebasdepage"/>
        <w:rPr>
          <w:rFonts w:cs="Arial"/>
          <w:lang w:val="en-CA"/>
        </w:rPr>
      </w:pPr>
      <w:r w:rsidRPr="00CC61F3">
        <w:rPr>
          <w:rStyle w:val="Appelnotedebasdep"/>
          <w:rFonts w:cs="Arial"/>
        </w:rPr>
        <w:footnoteRef/>
      </w:r>
      <w:r w:rsidRPr="00E702E0">
        <w:rPr>
          <w:rStyle w:val="Appelnotedebasdep"/>
          <w:rFonts w:cs="Arial"/>
          <w:lang w:val="en-CA"/>
        </w:rPr>
        <w:t xml:space="preserve"> </w:t>
      </w:r>
      <w:r w:rsidRPr="00E702E0">
        <w:rPr>
          <w:rFonts w:cs="Arial"/>
          <w:lang w:val="en-CA"/>
        </w:rPr>
        <w:tab/>
      </w:r>
      <w:r w:rsidRPr="005E07F3">
        <w:rPr>
          <w:rFonts w:cs="Arial"/>
          <w:i/>
          <w:iCs/>
          <w:lang w:val="en-CA"/>
        </w:rPr>
        <w:t xml:space="preserve">Regulation 51-102 respecting </w:t>
      </w:r>
      <w:r w:rsidR="0084449D" w:rsidRPr="005E07F3">
        <w:rPr>
          <w:rFonts w:cs="Arial"/>
          <w:i/>
          <w:iCs/>
          <w:lang w:val="en-CA"/>
        </w:rPr>
        <w:t>C</w:t>
      </w:r>
      <w:r w:rsidRPr="005E07F3">
        <w:rPr>
          <w:rFonts w:cs="Arial"/>
          <w:i/>
          <w:iCs/>
          <w:lang w:val="en-CA"/>
        </w:rPr>
        <w:t xml:space="preserve">ontinuous </w:t>
      </w:r>
      <w:r w:rsidR="0084449D" w:rsidRPr="005E07F3">
        <w:rPr>
          <w:rFonts w:cs="Arial"/>
          <w:i/>
          <w:iCs/>
          <w:lang w:val="en-CA"/>
        </w:rPr>
        <w:t>D</w:t>
      </w:r>
      <w:r w:rsidRPr="005E07F3">
        <w:rPr>
          <w:rFonts w:cs="Arial"/>
          <w:i/>
          <w:iCs/>
          <w:lang w:val="en-CA"/>
        </w:rPr>
        <w:t xml:space="preserve">isclosure </w:t>
      </w:r>
      <w:r w:rsidR="0084449D" w:rsidRPr="005E07F3">
        <w:rPr>
          <w:rFonts w:cs="Arial"/>
          <w:i/>
          <w:iCs/>
          <w:lang w:val="en-CA"/>
        </w:rPr>
        <w:t>O</w:t>
      </w:r>
      <w:r w:rsidRPr="005E07F3">
        <w:rPr>
          <w:rFonts w:cs="Arial"/>
          <w:i/>
          <w:iCs/>
          <w:lang w:val="en-CA"/>
        </w:rPr>
        <w:t>bligations</w:t>
      </w:r>
      <w:r w:rsidRPr="005E07F3">
        <w:rPr>
          <w:rFonts w:cs="Arial"/>
          <w:lang w:val="en-CA"/>
        </w:rPr>
        <w:t>, CQLR, c. V-1.1, r. 24.</w:t>
      </w:r>
      <w:r w:rsidR="0084449D" w:rsidRPr="00E702E0">
        <w:rPr>
          <w:rFonts w:cs="Arial"/>
          <w:lang w:val="en-CA"/>
        </w:rPr>
        <w:t>,</w:t>
      </w:r>
      <w:r w:rsidRPr="00E702E0">
        <w:rPr>
          <w:rFonts w:cs="Arial"/>
          <w:lang w:val="en-CA"/>
        </w:rPr>
        <w:t xml:space="preserve"> </w:t>
      </w:r>
      <w:r w:rsidR="00D74A06">
        <w:rPr>
          <w:rFonts w:cs="Arial"/>
          <w:lang w:val="en-CA"/>
        </w:rPr>
        <w:t xml:space="preserve">s. 7.1 </w:t>
      </w:r>
      <w:r w:rsidR="0084449D" w:rsidRPr="00E702E0">
        <w:rPr>
          <w:rFonts w:cs="Arial"/>
          <w:lang w:val="en-CA"/>
        </w:rPr>
        <w:t>requires that the reporting issuer “immediately issue and file a news release authorized by an executive officer disclosing the nature and substance of the change, and, as soon as practicable, and in any event within 10 days of the date on which the change occurs, file a Form 51-102F3 Material Change Report with respect to the material change”.</w:t>
      </w:r>
    </w:p>
  </w:footnote>
  <w:footnote w:id="47">
    <w:p w14:paraId="06EDB15A" w14:textId="1AA89AD7" w:rsidR="00297688" w:rsidRPr="0057082C" w:rsidRDefault="00297688" w:rsidP="00297688">
      <w:pPr>
        <w:pStyle w:val="Notedebasdepage"/>
        <w:rPr>
          <w:rFonts w:cs="Arial"/>
          <w:lang w:val="en-CA"/>
        </w:rPr>
      </w:pPr>
      <w:r w:rsidRPr="00CC61F3">
        <w:rPr>
          <w:rStyle w:val="Appelnotedebasdep"/>
          <w:rFonts w:cs="Arial"/>
        </w:rPr>
        <w:footnoteRef/>
      </w:r>
      <w:r w:rsidRPr="0084449D">
        <w:rPr>
          <w:rFonts w:cs="Arial"/>
          <w:lang w:val="en-CA"/>
        </w:rPr>
        <w:t xml:space="preserve"> </w:t>
      </w:r>
      <w:r w:rsidRPr="0084449D">
        <w:rPr>
          <w:rFonts w:cs="Arial"/>
          <w:lang w:val="en-CA"/>
        </w:rPr>
        <w:tab/>
      </w:r>
      <w:r w:rsidR="0057082C">
        <w:rPr>
          <w:rFonts w:cs="Arial"/>
          <w:i/>
          <w:iCs/>
          <w:lang w:val="en-CA"/>
        </w:rPr>
        <w:t>National Policy 51-201: Disclosure standards</w:t>
      </w:r>
      <w:r w:rsidR="0084449D" w:rsidRPr="0084449D">
        <w:rPr>
          <w:rFonts w:cs="Arial"/>
          <w:lang w:val="en-CA" w:eastAsia="fr-CA"/>
        </w:rPr>
        <w:t>, s.</w:t>
      </w:r>
      <w:r w:rsidRPr="0084449D">
        <w:rPr>
          <w:rFonts w:cs="Arial"/>
          <w:lang w:val="en-CA" w:eastAsia="fr-CA"/>
        </w:rPr>
        <w:t xml:space="preserve"> 3.5, </w:t>
      </w:r>
      <w:r w:rsidR="0084449D" w:rsidRPr="0084449D">
        <w:rPr>
          <w:rFonts w:cs="Arial"/>
          <w:lang w:val="en-CA" w:eastAsia="fr-CA"/>
        </w:rPr>
        <w:t>para</w:t>
      </w:r>
      <w:r w:rsidRPr="0084449D">
        <w:rPr>
          <w:rFonts w:cs="Arial"/>
          <w:lang w:val="en-CA" w:eastAsia="fr-CA"/>
        </w:rPr>
        <w:t xml:space="preserve">. </w:t>
      </w:r>
      <w:r w:rsidRPr="0057082C">
        <w:rPr>
          <w:rFonts w:cs="Arial"/>
          <w:lang w:val="en-CA" w:eastAsia="fr-CA"/>
        </w:rPr>
        <w:t xml:space="preserve">2, </w:t>
      </w:r>
      <w:r w:rsidR="0084449D" w:rsidRPr="0057082C">
        <w:rPr>
          <w:rFonts w:cs="Arial"/>
          <w:lang w:val="en-CA" w:eastAsia="fr-CA"/>
        </w:rPr>
        <w:t>online</w:t>
      </w:r>
      <w:r w:rsidRPr="0057082C">
        <w:rPr>
          <w:rFonts w:cs="Arial"/>
          <w:lang w:val="en-CA" w:eastAsia="fr-CA"/>
        </w:rPr>
        <w:t>: &lt;</w:t>
      </w:r>
      <w:r w:rsidR="00024D89" w:rsidRPr="0057082C">
        <w:rPr>
          <w:rFonts w:cs="Arial"/>
          <w:lang w:val="en-CA" w:eastAsia="fr-CA"/>
        </w:rPr>
        <w:t>https://lautorite.qc.ca/fileadmin/lautorite/reglementation/valeurs-mobilieres/51-102/2023-06-09/2023juin09-51-102-ig-vconsolidee-en.pdf</w:t>
      </w:r>
      <w:r w:rsidRPr="0057082C">
        <w:rPr>
          <w:rFonts w:cs="Arial"/>
          <w:lang w:val="en-CA" w:eastAsia="fr-CA"/>
        </w:rPr>
        <w:t>&gt; (</w:t>
      </w:r>
      <w:r w:rsidR="00024D89" w:rsidRPr="0057082C">
        <w:rPr>
          <w:rFonts w:cs="Arial"/>
          <w:lang w:val="en-CA" w:eastAsia="fr-CA"/>
        </w:rPr>
        <w:t>“</w:t>
      </w:r>
      <w:r w:rsidR="0057082C" w:rsidRPr="0057082C">
        <w:rPr>
          <w:rFonts w:cs="Arial"/>
          <w:lang w:val="en-CA" w:eastAsia="fr-CA"/>
        </w:rPr>
        <w:t>Na</w:t>
      </w:r>
      <w:r w:rsidR="0057082C" w:rsidRPr="00C808FD">
        <w:rPr>
          <w:rFonts w:cs="Arial"/>
          <w:lang w:val="en-CA" w:eastAsia="fr-CA"/>
        </w:rPr>
        <w:t>tional Policy</w:t>
      </w:r>
      <w:r w:rsidRPr="0057082C">
        <w:rPr>
          <w:rFonts w:cs="Arial"/>
          <w:lang w:val="en-CA" w:eastAsia="fr-CA"/>
        </w:rPr>
        <w:t xml:space="preserve"> 51-201</w:t>
      </w:r>
      <w:r w:rsidR="00024D89" w:rsidRPr="0057082C">
        <w:rPr>
          <w:rFonts w:cs="Arial"/>
          <w:lang w:val="en-CA" w:eastAsia="fr-CA"/>
        </w:rPr>
        <w:t>”</w:t>
      </w:r>
      <w:r w:rsidRPr="0057082C">
        <w:rPr>
          <w:rFonts w:cs="Arial"/>
          <w:lang w:val="en-CA" w:eastAsia="fr-CA"/>
        </w:rPr>
        <w:t>).</w:t>
      </w:r>
    </w:p>
  </w:footnote>
  <w:footnote w:id="48">
    <w:p w14:paraId="399229D5" w14:textId="240BF909" w:rsidR="00FF0F90" w:rsidRPr="00C808FD" w:rsidRDefault="00FF0F90" w:rsidP="00FF0F90">
      <w:pPr>
        <w:pStyle w:val="Notedebasdepage"/>
        <w:rPr>
          <w:rFonts w:cs="Arial"/>
          <w:lang w:val="en-CA"/>
        </w:rPr>
      </w:pPr>
      <w:r w:rsidRPr="00CC61F3">
        <w:rPr>
          <w:rStyle w:val="Appelnotedebasdep"/>
          <w:rFonts w:cs="Arial"/>
        </w:rPr>
        <w:footnoteRef/>
      </w:r>
      <w:r w:rsidRPr="00C808FD">
        <w:rPr>
          <w:rFonts w:cs="Arial"/>
          <w:lang w:val="en-CA"/>
        </w:rPr>
        <w:t xml:space="preserve"> </w:t>
      </w:r>
      <w:r w:rsidRPr="00C808FD">
        <w:rPr>
          <w:rFonts w:cs="Arial"/>
          <w:lang w:val="en-CA"/>
        </w:rPr>
        <w:tab/>
        <w:t>Exhibits D-10 and D-</w:t>
      </w:r>
      <w:r w:rsidR="00024D89" w:rsidRPr="00C808FD">
        <w:rPr>
          <w:rFonts w:cs="Arial"/>
          <w:lang w:val="en-CA"/>
        </w:rPr>
        <w:t>10-1</w:t>
      </w:r>
      <w:r w:rsidRPr="00C808FD">
        <w:rPr>
          <w:rFonts w:cs="Arial"/>
          <w:lang w:val="en-CA"/>
        </w:rPr>
        <w:t>.</w:t>
      </w:r>
    </w:p>
  </w:footnote>
  <w:footnote w:id="49">
    <w:p w14:paraId="5F4F7F57" w14:textId="749C5B6F" w:rsidR="00A83CC2" w:rsidRPr="00647F07" w:rsidRDefault="00A83CC2" w:rsidP="00A83CC2">
      <w:pPr>
        <w:pStyle w:val="Notedebasdepage"/>
        <w:rPr>
          <w:lang w:val="en-CA"/>
        </w:rPr>
      </w:pPr>
      <w:r>
        <w:rPr>
          <w:rStyle w:val="Appelnotedebasdep"/>
        </w:rPr>
        <w:footnoteRef/>
      </w:r>
      <w:r>
        <w:t xml:space="preserve"> </w:t>
      </w:r>
      <w:r>
        <w:tab/>
      </w:r>
      <w:r w:rsidRPr="005E07F3">
        <w:rPr>
          <w:rFonts w:eastAsiaTheme="minorHAnsi"/>
          <w:i/>
          <w:szCs w:val="16"/>
        </w:rPr>
        <w:t xml:space="preserve">Autorité des marchés financiers c. </w:t>
      </w:r>
      <w:r w:rsidR="00024D89" w:rsidRPr="005E07F3">
        <w:rPr>
          <w:rFonts w:eastAsiaTheme="minorHAnsi"/>
          <w:i/>
          <w:szCs w:val="16"/>
        </w:rPr>
        <w:t>Live</w:t>
      </w:r>
      <w:r w:rsidRPr="005E07F3">
        <w:rPr>
          <w:rFonts w:eastAsiaTheme="minorHAnsi"/>
          <w:i/>
          <w:szCs w:val="16"/>
        </w:rPr>
        <w:t xml:space="preserve">, </w:t>
      </w:r>
      <w:r w:rsidR="00024D89" w:rsidRPr="005E07F3">
        <w:rPr>
          <w:rFonts w:eastAsiaTheme="minorHAnsi"/>
          <w:iCs/>
          <w:szCs w:val="16"/>
        </w:rPr>
        <w:t>2016 QCCQ 12824</w:t>
      </w:r>
      <w:r w:rsidRPr="005E07F3">
        <w:rPr>
          <w:rFonts w:eastAsiaTheme="minorHAnsi"/>
          <w:i/>
          <w:szCs w:val="16"/>
        </w:rPr>
        <w:t>.</w:t>
      </w:r>
      <w:r w:rsidRPr="00802B24">
        <w:rPr>
          <w:rFonts w:eastAsiaTheme="minorHAnsi"/>
          <w:szCs w:val="16"/>
        </w:rPr>
        <w:t xml:space="preserve"> </w:t>
      </w:r>
      <w:r w:rsidR="00024D89" w:rsidRPr="00024D89">
        <w:rPr>
          <w:rFonts w:eastAsiaTheme="minorHAnsi"/>
          <w:szCs w:val="16"/>
          <w:lang w:val="en-CA"/>
        </w:rPr>
        <w:t>In th</w:t>
      </w:r>
      <w:r w:rsidR="00E129C4">
        <w:rPr>
          <w:rFonts w:eastAsiaTheme="minorHAnsi"/>
          <w:szCs w:val="16"/>
          <w:lang w:val="en-CA"/>
        </w:rPr>
        <w:t>at</w:t>
      </w:r>
      <w:r w:rsidR="00024D89" w:rsidRPr="00024D89">
        <w:rPr>
          <w:rFonts w:eastAsiaTheme="minorHAnsi"/>
          <w:szCs w:val="16"/>
          <w:lang w:val="en-CA"/>
        </w:rPr>
        <w:t xml:space="preserve"> decision, the Court of Québec repeat</w:t>
      </w:r>
      <w:r w:rsidR="00E129C4">
        <w:rPr>
          <w:rFonts w:eastAsiaTheme="minorHAnsi"/>
          <w:szCs w:val="16"/>
          <w:lang w:val="en-CA"/>
        </w:rPr>
        <w:t>ed</w:t>
      </w:r>
      <w:r w:rsidR="00024D89" w:rsidRPr="00024D89">
        <w:rPr>
          <w:rFonts w:eastAsiaTheme="minorHAnsi"/>
          <w:szCs w:val="16"/>
          <w:lang w:val="en-CA"/>
        </w:rPr>
        <w:t xml:space="preserve"> the concepts explained in</w:t>
      </w:r>
      <w:r w:rsidRPr="00024D89">
        <w:rPr>
          <w:rFonts w:eastAsiaTheme="minorHAnsi"/>
          <w:szCs w:val="16"/>
          <w:lang w:val="en-CA"/>
        </w:rPr>
        <w:t xml:space="preserve"> </w:t>
      </w:r>
      <w:r w:rsidRPr="00024D89">
        <w:rPr>
          <w:i/>
          <w:iCs/>
          <w:color w:val="000000"/>
          <w:szCs w:val="16"/>
          <w:lang w:val="en-CA"/>
        </w:rPr>
        <w:t>Autorité des marchés financiers</w:t>
      </w:r>
      <w:r w:rsidRPr="00024D89">
        <w:rPr>
          <w:color w:val="000000"/>
          <w:szCs w:val="16"/>
          <w:lang w:val="en-CA"/>
        </w:rPr>
        <w:t> c. </w:t>
      </w:r>
      <w:r w:rsidRPr="00024D89">
        <w:rPr>
          <w:i/>
          <w:iCs/>
          <w:color w:val="000000"/>
          <w:szCs w:val="16"/>
          <w:lang w:val="en-CA"/>
        </w:rPr>
        <w:t>Laliberté</w:t>
      </w:r>
      <w:r w:rsidRPr="00024D89">
        <w:rPr>
          <w:color w:val="000000"/>
          <w:szCs w:val="16"/>
          <w:lang w:val="en-CA"/>
        </w:rPr>
        <w:t>, </w:t>
      </w:r>
      <w:r w:rsidRPr="00024D89">
        <w:rPr>
          <w:rFonts w:eastAsiaTheme="minorHAnsi"/>
          <w:szCs w:val="16"/>
          <w:lang w:val="en-CA"/>
        </w:rPr>
        <w:t xml:space="preserve">2008 QCCQ 685, </w:t>
      </w:r>
      <w:r w:rsidR="00024D89" w:rsidRPr="00024D89">
        <w:rPr>
          <w:rFonts w:eastAsiaTheme="minorHAnsi"/>
          <w:szCs w:val="16"/>
          <w:lang w:val="en-CA"/>
        </w:rPr>
        <w:t xml:space="preserve">at </w:t>
      </w:r>
      <w:r w:rsidRPr="00024D89">
        <w:rPr>
          <w:rFonts w:eastAsiaTheme="minorHAnsi"/>
          <w:szCs w:val="16"/>
          <w:lang w:val="en-CA"/>
        </w:rPr>
        <w:t>par</w:t>
      </w:r>
      <w:r w:rsidR="00024D89" w:rsidRPr="00024D89">
        <w:rPr>
          <w:rFonts w:eastAsiaTheme="minorHAnsi"/>
          <w:szCs w:val="16"/>
          <w:lang w:val="en-CA"/>
        </w:rPr>
        <w:t>a</w:t>
      </w:r>
      <w:r w:rsidRPr="00024D89">
        <w:rPr>
          <w:rFonts w:eastAsiaTheme="minorHAnsi"/>
          <w:szCs w:val="16"/>
          <w:lang w:val="en-CA"/>
        </w:rPr>
        <w:t>. </w:t>
      </w:r>
      <w:r w:rsidRPr="00647F07">
        <w:rPr>
          <w:rFonts w:eastAsiaTheme="minorHAnsi"/>
          <w:szCs w:val="16"/>
          <w:lang w:val="en-CA"/>
        </w:rPr>
        <w:t xml:space="preserve">252; </w:t>
      </w:r>
      <w:r w:rsidR="00647F07" w:rsidRPr="00647F07">
        <w:rPr>
          <w:rFonts w:eastAsiaTheme="minorHAnsi"/>
          <w:szCs w:val="16"/>
          <w:lang w:val="en-CA"/>
        </w:rPr>
        <w:t xml:space="preserve">appeal to the Superior Court </w:t>
      </w:r>
      <w:r w:rsidR="00930029" w:rsidRPr="00647F07">
        <w:rPr>
          <w:rFonts w:eastAsiaTheme="minorHAnsi"/>
          <w:szCs w:val="16"/>
          <w:lang w:val="en-CA"/>
        </w:rPr>
        <w:t>dismissed</w:t>
      </w:r>
      <w:r w:rsidRPr="00647F07">
        <w:rPr>
          <w:rFonts w:eastAsiaTheme="minorHAnsi"/>
          <w:szCs w:val="16"/>
          <w:lang w:val="en-CA"/>
        </w:rPr>
        <w:t>, 2009 QCCS 1872</w:t>
      </w:r>
      <w:r w:rsidR="00647F07" w:rsidRPr="00647F07">
        <w:rPr>
          <w:rFonts w:eastAsiaTheme="minorHAnsi"/>
          <w:szCs w:val="16"/>
          <w:lang w:val="en-CA"/>
        </w:rPr>
        <w:t xml:space="preserve">, and appeal to the Court of </w:t>
      </w:r>
      <w:r w:rsidR="00647F07">
        <w:rPr>
          <w:rFonts w:eastAsiaTheme="minorHAnsi"/>
          <w:szCs w:val="16"/>
          <w:lang w:val="en-CA"/>
        </w:rPr>
        <w:t>Appeal dismissed,</w:t>
      </w:r>
      <w:r w:rsidRPr="00647F07">
        <w:rPr>
          <w:rFonts w:eastAsiaTheme="minorHAnsi"/>
          <w:szCs w:val="16"/>
          <w:lang w:val="en-CA"/>
        </w:rPr>
        <w:t xml:space="preserve"> 2010 QCCA 1764; </w:t>
      </w:r>
      <w:r w:rsidR="00E129C4">
        <w:rPr>
          <w:rFonts w:eastAsiaTheme="minorHAnsi"/>
          <w:szCs w:val="16"/>
          <w:lang w:val="en-CA"/>
        </w:rPr>
        <w:t xml:space="preserve">used </w:t>
      </w:r>
      <w:r w:rsidR="00647F07">
        <w:rPr>
          <w:rFonts w:eastAsiaTheme="minorHAnsi"/>
          <w:szCs w:val="16"/>
          <w:lang w:val="en-CA"/>
        </w:rPr>
        <w:t>in</w:t>
      </w:r>
      <w:r w:rsidRPr="00647F07">
        <w:rPr>
          <w:rFonts w:eastAsiaTheme="minorHAnsi"/>
          <w:szCs w:val="16"/>
          <w:lang w:val="en-CA"/>
        </w:rPr>
        <w:t> </w:t>
      </w:r>
      <w:r w:rsidRPr="00647F07">
        <w:rPr>
          <w:rFonts w:eastAsiaTheme="minorHAnsi"/>
          <w:i/>
          <w:szCs w:val="16"/>
          <w:lang w:val="en-CA"/>
        </w:rPr>
        <w:t xml:space="preserve">Autorité des marchés financiers </w:t>
      </w:r>
      <w:r w:rsidRPr="00647F07">
        <w:rPr>
          <w:rFonts w:eastAsiaTheme="minorHAnsi"/>
          <w:szCs w:val="16"/>
          <w:lang w:val="en-CA"/>
        </w:rPr>
        <w:t>c. </w:t>
      </w:r>
      <w:r w:rsidRPr="00647F07">
        <w:rPr>
          <w:rFonts w:eastAsiaTheme="minorHAnsi"/>
          <w:i/>
          <w:szCs w:val="16"/>
          <w:lang w:val="en-CA"/>
        </w:rPr>
        <w:t>Bertrand</w:t>
      </w:r>
      <w:r w:rsidRPr="00647F07">
        <w:rPr>
          <w:rFonts w:eastAsiaTheme="minorHAnsi"/>
          <w:szCs w:val="16"/>
          <w:lang w:val="en-CA"/>
        </w:rPr>
        <w:t>, 2012</w:t>
      </w:r>
      <w:r w:rsidR="00647F07">
        <w:rPr>
          <w:rFonts w:eastAsiaTheme="minorHAnsi"/>
          <w:szCs w:val="16"/>
          <w:lang w:val="en-CA"/>
        </w:rPr>
        <w:t> </w:t>
      </w:r>
      <w:r w:rsidRPr="00647F07">
        <w:rPr>
          <w:rFonts w:eastAsiaTheme="minorHAnsi"/>
          <w:szCs w:val="16"/>
          <w:lang w:val="en-CA"/>
        </w:rPr>
        <w:t>QCBDR</w:t>
      </w:r>
      <w:r w:rsidR="00647F07">
        <w:rPr>
          <w:rFonts w:eastAsiaTheme="minorHAnsi"/>
          <w:szCs w:val="16"/>
          <w:lang w:val="en-CA"/>
        </w:rPr>
        <w:t> </w:t>
      </w:r>
      <w:r w:rsidRPr="00647F07">
        <w:rPr>
          <w:rFonts w:eastAsiaTheme="minorHAnsi"/>
          <w:szCs w:val="16"/>
          <w:lang w:val="en-CA"/>
        </w:rPr>
        <w:t>97, </w:t>
      </w:r>
      <w:r w:rsidR="00647F07">
        <w:rPr>
          <w:rFonts w:eastAsiaTheme="minorHAnsi"/>
          <w:szCs w:val="16"/>
          <w:lang w:val="en-CA"/>
        </w:rPr>
        <w:t xml:space="preserve">at </w:t>
      </w:r>
      <w:r w:rsidRPr="00647F07">
        <w:rPr>
          <w:rFonts w:eastAsiaTheme="minorHAnsi"/>
          <w:szCs w:val="16"/>
          <w:lang w:val="en-CA"/>
        </w:rPr>
        <w:t>par</w:t>
      </w:r>
      <w:r w:rsidR="00647F07">
        <w:rPr>
          <w:rFonts w:eastAsiaTheme="minorHAnsi"/>
          <w:szCs w:val="16"/>
          <w:lang w:val="en-CA"/>
        </w:rPr>
        <w:t>as</w:t>
      </w:r>
      <w:r w:rsidRPr="00647F07">
        <w:rPr>
          <w:rFonts w:eastAsiaTheme="minorHAnsi"/>
          <w:szCs w:val="16"/>
          <w:lang w:val="en-CA"/>
        </w:rPr>
        <w:t>. 72, 99</w:t>
      </w:r>
      <w:r w:rsidR="00647F07">
        <w:rPr>
          <w:rFonts w:eastAsiaTheme="minorHAnsi"/>
          <w:szCs w:val="16"/>
          <w:lang w:val="en-CA"/>
        </w:rPr>
        <w:t>,</w:t>
      </w:r>
      <w:r w:rsidRPr="00647F07">
        <w:rPr>
          <w:rFonts w:eastAsiaTheme="minorHAnsi"/>
          <w:szCs w:val="16"/>
          <w:lang w:val="en-CA"/>
        </w:rPr>
        <w:t xml:space="preserve"> </w:t>
      </w:r>
      <w:r w:rsidR="00647F07">
        <w:rPr>
          <w:rFonts w:eastAsiaTheme="minorHAnsi"/>
          <w:szCs w:val="16"/>
          <w:lang w:val="en-CA"/>
        </w:rPr>
        <w:t>and</w:t>
      </w:r>
      <w:r w:rsidRPr="00647F07">
        <w:rPr>
          <w:rFonts w:eastAsiaTheme="minorHAnsi"/>
          <w:szCs w:val="16"/>
          <w:lang w:val="en-CA"/>
        </w:rPr>
        <w:t xml:space="preserve"> 100.</w:t>
      </w:r>
    </w:p>
  </w:footnote>
  <w:footnote w:id="50">
    <w:p w14:paraId="556C7335" w14:textId="2147DABB" w:rsidR="002D40E9" w:rsidRPr="00930029" w:rsidRDefault="005D25C5" w:rsidP="00330996">
      <w:pPr>
        <w:ind w:left="357" w:hanging="357"/>
        <w:jc w:val="both"/>
        <w:rPr>
          <w:rFonts w:eastAsiaTheme="minorHAnsi"/>
          <w:lang w:val="en-CA"/>
        </w:rPr>
      </w:pPr>
      <w:r w:rsidRPr="00CC61F3">
        <w:rPr>
          <w:rStyle w:val="Appelnotedebasdep"/>
          <w:rFonts w:eastAsiaTheme="minorHAnsi" w:cs="Arial"/>
          <w:sz w:val="20"/>
          <w14:ligatures w14:val="standardContextual"/>
        </w:rPr>
        <w:footnoteRef/>
      </w:r>
      <w:r w:rsidRPr="00930029">
        <w:rPr>
          <w:rStyle w:val="Appelnotedebasdep"/>
          <w:rFonts w:eastAsiaTheme="minorHAnsi" w:cs="Arial"/>
          <w:sz w:val="20"/>
          <w:lang w:val="en-CA"/>
          <w14:ligatures w14:val="standardContextual"/>
        </w:rPr>
        <w:t xml:space="preserve"> </w:t>
      </w:r>
      <w:r w:rsidRPr="00930029">
        <w:rPr>
          <w:rFonts w:eastAsiaTheme="minorHAnsi"/>
          <w:lang w:val="en-CA"/>
        </w:rPr>
        <w:tab/>
      </w:r>
      <w:r w:rsidR="00D1088A" w:rsidRPr="005E07F3">
        <w:rPr>
          <w:rFonts w:eastAsiaTheme="minorHAnsi"/>
          <w:i/>
          <w:iCs/>
          <w:sz w:val="20"/>
          <w:szCs w:val="16"/>
          <w:lang w:val="en-CA"/>
        </w:rPr>
        <w:t>Ibid</w:t>
      </w:r>
      <w:r w:rsidR="00930029" w:rsidRPr="00930029">
        <w:rPr>
          <w:rFonts w:eastAsiaTheme="minorHAnsi"/>
          <w:i/>
          <w:iCs/>
          <w:sz w:val="20"/>
          <w:szCs w:val="16"/>
          <w:lang w:val="en-CA"/>
        </w:rPr>
        <w:t>.</w:t>
      </w:r>
    </w:p>
  </w:footnote>
  <w:footnote w:id="51">
    <w:p w14:paraId="142E024F" w14:textId="3455B717" w:rsidR="001D4EEB" w:rsidRPr="00024D89" w:rsidRDefault="007462AA" w:rsidP="001D4EEB">
      <w:pPr>
        <w:pStyle w:val="Notedebasdepage"/>
        <w:rPr>
          <w:rFonts w:cs="Arial"/>
          <w:lang w:val="en-CA"/>
        </w:rPr>
      </w:pPr>
      <w:r>
        <w:rPr>
          <w:rStyle w:val="Appelnotedebasdep"/>
        </w:rPr>
        <w:footnoteRef/>
      </w:r>
      <w:r w:rsidRPr="001D4EEB">
        <w:rPr>
          <w:lang w:val="en-CA"/>
        </w:rPr>
        <w:t xml:space="preserve"> </w:t>
      </w:r>
      <w:r w:rsidRPr="001D4EEB">
        <w:rPr>
          <w:lang w:val="en-CA"/>
        </w:rPr>
        <w:tab/>
      </w:r>
      <w:r w:rsidR="00DB262D">
        <w:rPr>
          <w:rFonts w:cs="Arial"/>
          <w:i/>
          <w:iCs/>
          <w:lang w:val="en-CA"/>
        </w:rPr>
        <w:t>National Policy</w:t>
      </w:r>
      <w:r w:rsidR="001D4EEB" w:rsidRPr="0084449D">
        <w:rPr>
          <w:rFonts w:cs="Arial"/>
          <w:i/>
          <w:iCs/>
          <w:lang w:val="en-CA"/>
        </w:rPr>
        <w:t xml:space="preserve"> 51-201</w:t>
      </w:r>
      <w:r w:rsidR="00DB262D">
        <w:rPr>
          <w:rFonts w:cs="Arial"/>
          <w:i/>
          <w:iCs/>
          <w:lang w:val="en-CA"/>
        </w:rPr>
        <w:t>: Disclosure standards</w:t>
      </w:r>
      <w:r w:rsidR="001D4EEB" w:rsidRPr="0084449D">
        <w:rPr>
          <w:rFonts w:cs="Arial"/>
          <w:lang w:val="en-CA" w:eastAsia="fr-CA"/>
        </w:rPr>
        <w:t xml:space="preserve">, s. </w:t>
      </w:r>
      <w:r w:rsidR="001D4EEB">
        <w:rPr>
          <w:rFonts w:cs="Arial"/>
          <w:lang w:val="en-CA" w:eastAsia="fr-CA"/>
        </w:rPr>
        <w:t>4.1</w:t>
      </w:r>
      <w:r w:rsidR="001D4EEB" w:rsidRPr="00024D89">
        <w:rPr>
          <w:rFonts w:cs="Arial"/>
          <w:lang w:val="en-CA" w:eastAsia="fr-CA"/>
        </w:rPr>
        <w:t xml:space="preserve">, online: </w:t>
      </w:r>
      <w:r w:rsidR="001D4EEB" w:rsidRPr="005E07F3">
        <w:rPr>
          <w:rFonts w:cs="Arial"/>
          <w:lang w:val="en-CA" w:eastAsia="fr-CA"/>
        </w:rPr>
        <w:t>&lt;</w:t>
      </w:r>
      <w:r w:rsidR="001D4EEB" w:rsidRPr="00024D89">
        <w:rPr>
          <w:rFonts w:cs="Arial"/>
          <w:lang w:val="en-CA" w:eastAsia="fr-CA"/>
        </w:rPr>
        <w:t>https://lautorite.qc.ca/fileadmin/lautorite/reglementation/valeurs-mobilieres/51-102/2023-06-09/2023juin09-51-102-ig-vconsolidee-en.pdf</w:t>
      </w:r>
      <w:r w:rsidR="001D4EEB" w:rsidRPr="005E07F3">
        <w:rPr>
          <w:rFonts w:cs="Arial"/>
          <w:lang w:val="en-CA" w:eastAsia="fr-CA"/>
        </w:rPr>
        <w:t>&gt; (“</w:t>
      </w:r>
      <w:r w:rsidR="00DB262D">
        <w:rPr>
          <w:rFonts w:cs="Arial"/>
          <w:lang w:val="en-CA" w:eastAsia="fr-CA"/>
        </w:rPr>
        <w:t>National Policy</w:t>
      </w:r>
      <w:r w:rsidR="001D4EEB" w:rsidRPr="005E07F3">
        <w:rPr>
          <w:rFonts w:cs="Arial"/>
          <w:lang w:val="en-CA" w:eastAsia="fr-CA"/>
        </w:rPr>
        <w:t xml:space="preserve"> 51-201”).</w:t>
      </w:r>
    </w:p>
    <w:p w14:paraId="74D7450D" w14:textId="441B4D64" w:rsidR="007462AA" w:rsidRPr="001D4EEB" w:rsidRDefault="007462AA" w:rsidP="007462AA">
      <w:pPr>
        <w:pStyle w:val="Notedebasdepage"/>
        <w:rPr>
          <w:rFonts w:cs="Arial"/>
          <w:lang w:val="en-CA"/>
        </w:rPr>
      </w:pPr>
    </w:p>
  </w:footnote>
  <w:footnote w:id="52">
    <w:p w14:paraId="31050D7A" w14:textId="363F2152" w:rsidR="002D40E9" w:rsidRPr="00CC61F3" w:rsidRDefault="005D25C5" w:rsidP="007B27DA">
      <w:pPr>
        <w:pStyle w:val="Notedebasdepage"/>
        <w:rPr>
          <w:rFonts w:cs="Arial"/>
        </w:rPr>
      </w:pPr>
      <w:r w:rsidRPr="00CC61F3">
        <w:rPr>
          <w:rStyle w:val="Appelnotedebasdep"/>
          <w:rFonts w:cs="Arial"/>
        </w:rPr>
        <w:footnoteRef/>
      </w:r>
      <w:r>
        <w:rPr>
          <w:rFonts w:cs="Arial"/>
        </w:rPr>
        <w:t xml:space="preserve"> </w:t>
      </w:r>
      <w:r>
        <w:rPr>
          <w:rFonts w:cs="Arial"/>
        </w:rPr>
        <w:tab/>
      </w:r>
      <w:r w:rsidRPr="005E07F3">
        <w:rPr>
          <w:rFonts w:cs="Arial"/>
        </w:rPr>
        <w:t xml:space="preserve">Raymonde </w:t>
      </w:r>
      <w:r w:rsidRPr="005E07F3">
        <w:rPr>
          <w:rFonts w:cs="Arial"/>
          <w:caps/>
        </w:rPr>
        <w:t>C</w:t>
      </w:r>
      <w:r w:rsidR="001D4EEB" w:rsidRPr="005E07F3">
        <w:rPr>
          <w:rFonts w:cs="Arial"/>
        </w:rPr>
        <w:t>rête</w:t>
      </w:r>
      <w:r w:rsidRPr="005E07F3">
        <w:rPr>
          <w:rFonts w:cs="Arial"/>
        </w:rPr>
        <w:t xml:space="preserve"> </w:t>
      </w:r>
      <w:r w:rsidR="001D4EEB" w:rsidRPr="005E07F3">
        <w:rPr>
          <w:rFonts w:cs="Arial"/>
        </w:rPr>
        <w:t>&amp;</w:t>
      </w:r>
      <w:r w:rsidRPr="005E07F3">
        <w:rPr>
          <w:rFonts w:cs="Arial"/>
        </w:rPr>
        <w:t xml:space="preserve"> Jérôme </w:t>
      </w:r>
      <w:r w:rsidRPr="005E07F3">
        <w:rPr>
          <w:rFonts w:cs="Arial"/>
          <w:caps/>
        </w:rPr>
        <w:t>P</w:t>
      </w:r>
      <w:r w:rsidR="001D4EEB" w:rsidRPr="005E07F3">
        <w:rPr>
          <w:rFonts w:cs="Arial"/>
        </w:rPr>
        <w:t>aradis</w:t>
      </w:r>
      <w:r w:rsidRPr="005E07F3">
        <w:rPr>
          <w:rFonts w:cs="Arial"/>
        </w:rPr>
        <w:t xml:space="preserve">, </w:t>
      </w:r>
      <w:r w:rsidRPr="005E07F3">
        <w:rPr>
          <w:rFonts w:cs="Arial"/>
          <w:bCs/>
          <w:i/>
          <w:iCs/>
        </w:rPr>
        <w:t>Jurisclasseur Droit des affaires - Valeurs mobilières,</w:t>
      </w:r>
      <w:r w:rsidRPr="005E07F3">
        <w:rPr>
          <w:rFonts w:cs="Arial"/>
          <w:bCs/>
        </w:rPr>
        <w:t xml:space="preserve"> fasc.</w:t>
      </w:r>
      <w:r w:rsidRPr="008517AC">
        <w:rPr>
          <w:rFonts w:cs="Arial"/>
          <w:bCs/>
        </w:rPr>
        <w:t xml:space="preserve"> </w:t>
      </w:r>
      <w:r w:rsidRPr="005E07F3">
        <w:rPr>
          <w:rFonts w:cs="Arial"/>
          <w:bCs/>
        </w:rPr>
        <w:t xml:space="preserve">7 </w:t>
      </w:r>
      <w:r w:rsidR="001D4EEB" w:rsidRPr="005E07F3">
        <w:rPr>
          <w:rFonts w:cs="Arial"/>
          <w:bCs/>
        </w:rPr>
        <w:t>“</w:t>
      </w:r>
      <w:r w:rsidRPr="005E07F3">
        <w:rPr>
          <w:rFonts w:cs="Arial"/>
          <w:bCs/>
        </w:rPr>
        <w:t>Délits d’initié</w:t>
      </w:r>
      <w:r w:rsidR="001D4EEB" w:rsidRPr="005E07F3">
        <w:rPr>
          <w:rFonts w:cs="Arial"/>
          <w:bCs/>
        </w:rPr>
        <w:t>”</w:t>
      </w:r>
      <w:r w:rsidRPr="005E07F3">
        <w:rPr>
          <w:rFonts w:cs="Arial"/>
          <w:bCs/>
        </w:rPr>
        <w:t xml:space="preserve"> </w:t>
      </w:r>
      <w:r w:rsidR="001D4EEB" w:rsidRPr="005E07F3">
        <w:rPr>
          <w:rFonts w:cs="Arial"/>
          <w:bCs/>
        </w:rPr>
        <w:t>at 6, para.</w:t>
      </w:r>
      <w:r w:rsidRPr="008C4ED0">
        <w:rPr>
          <w:rFonts w:cs="Arial"/>
          <w:bCs/>
        </w:rPr>
        <w:t xml:space="preserve"> </w:t>
      </w:r>
      <w:r w:rsidR="001D4EEB" w:rsidRPr="005E07F3">
        <w:rPr>
          <w:rFonts w:cs="Arial"/>
          <w:bCs/>
        </w:rPr>
        <w:t>57</w:t>
      </w:r>
      <w:r w:rsidRPr="005E07F3">
        <w:rPr>
          <w:rFonts w:cs="Arial"/>
          <w:bCs/>
        </w:rPr>
        <w:t>.</w:t>
      </w:r>
    </w:p>
  </w:footnote>
  <w:footnote w:id="53">
    <w:p w14:paraId="0360F3DC" w14:textId="77777777" w:rsidR="007E059B" w:rsidRDefault="007E059B" w:rsidP="007E059B">
      <w:pPr>
        <w:pStyle w:val="Notedebasdepage"/>
      </w:pPr>
      <w:r>
        <w:rPr>
          <w:rStyle w:val="Appelnotedebasdep"/>
        </w:rPr>
        <w:footnoteRef/>
      </w:r>
      <w:r>
        <w:t xml:space="preserve"> </w:t>
      </w:r>
      <w:r>
        <w:tab/>
      </w:r>
      <w:bookmarkStart w:id="10" w:name="_Hlk167180156"/>
      <w:r w:rsidRPr="005E07F3">
        <w:t>2014 QCBDR 142</w:t>
      </w:r>
      <w:bookmarkEnd w:id="10"/>
      <w:r w:rsidRPr="005E07F3">
        <w:t>.</w:t>
      </w:r>
    </w:p>
  </w:footnote>
  <w:footnote w:id="54">
    <w:p w14:paraId="3485E667" w14:textId="06D1BF5F" w:rsidR="002D40E9" w:rsidRPr="00E702E0" w:rsidRDefault="005D25C5" w:rsidP="007B27DA">
      <w:pPr>
        <w:pStyle w:val="Notedebasdepage"/>
        <w:rPr>
          <w:rFonts w:cs="Arial"/>
        </w:rPr>
      </w:pPr>
      <w:r w:rsidRPr="00CC61F3">
        <w:rPr>
          <w:rStyle w:val="Appelnotedebasdep"/>
          <w:rFonts w:cs="Arial"/>
          <w14:ligatures w14:val="standardContextual"/>
        </w:rPr>
        <w:footnoteRef/>
      </w:r>
      <w:r w:rsidRPr="00E702E0">
        <w:rPr>
          <w:rStyle w:val="Appelnotedebasdep"/>
          <w:rFonts w:cs="Arial"/>
          <w14:ligatures w14:val="standardContextual"/>
        </w:rPr>
        <w:t xml:space="preserve"> </w:t>
      </w:r>
      <w:r w:rsidRPr="00E702E0">
        <w:rPr>
          <w:rFonts w:cs="Arial"/>
          <w14:ligatures w14:val="standardContextual"/>
        </w:rPr>
        <w:tab/>
      </w:r>
      <w:r w:rsidRPr="00E702E0">
        <w:rPr>
          <w:rFonts w:cs="Arial"/>
          <w:i/>
          <w:iCs/>
          <w:lang w:eastAsia="fr-CA"/>
        </w:rPr>
        <w:t>Hutchinson</w:t>
      </w:r>
      <w:r w:rsidRPr="00E702E0">
        <w:rPr>
          <w:rFonts w:cs="Arial"/>
          <w:i/>
          <w:iCs/>
        </w:rPr>
        <w:t xml:space="preserve"> (Re)</w:t>
      </w:r>
      <w:r w:rsidRPr="00E702E0">
        <w:rPr>
          <w:rFonts w:cs="Arial"/>
        </w:rPr>
        <w:t>, 2019 ONSEC 36</w:t>
      </w:r>
      <w:r w:rsidR="00E623AC" w:rsidRPr="00E702E0">
        <w:rPr>
          <w:rFonts w:cs="Arial"/>
        </w:rPr>
        <w:t xml:space="preserve"> at</w:t>
      </w:r>
      <w:r w:rsidRPr="00E702E0">
        <w:rPr>
          <w:rFonts w:cs="Arial"/>
        </w:rPr>
        <w:t xml:space="preserve"> par</w:t>
      </w:r>
      <w:r w:rsidR="00E623AC" w:rsidRPr="00E702E0">
        <w:rPr>
          <w:rFonts w:cs="Arial"/>
        </w:rPr>
        <w:t>as</w:t>
      </w:r>
      <w:r w:rsidRPr="00E702E0">
        <w:rPr>
          <w:rFonts w:cs="Arial"/>
        </w:rPr>
        <w:t xml:space="preserve">. 119 </w:t>
      </w:r>
      <w:r w:rsidR="00E623AC" w:rsidRPr="00E702E0">
        <w:rPr>
          <w:rFonts w:cs="Arial"/>
        </w:rPr>
        <w:t>and</w:t>
      </w:r>
      <w:r w:rsidRPr="00E702E0">
        <w:rPr>
          <w:rFonts w:cs="Arial"/>
        </w:rPr>
        <w:t xml:space="preserve"> 120.</w:t>
      </w:r>
    </w:p>
  </w:footnote>
  <w:footnote w:id="55">
    <w:p w14:paraId="7BE2D5E4" w14:textId="1005F94A" w:rsidR="00DF4E9B" w:rsidRPr="00E702E0" w:rsidRDefault="00DF4E9B" w:rsidP="00DF4E9B">
      <w:pPr>
        <w:pStyle w:val="Notedebasdepage"/>
        <w:rPr>
          <w:rFonts w:cs="Arial"/>
          <w:lang w:val="en-CA"/>
        </w:rPr>
      </w:pPr>
      <w:r w:rsidRPr="00CC61F3">
        <w:rPr>
          <w:rStyle w:val="Appelnotedebasdep"/>
          <w:rFonts w:cs="Arial"/>
        </w:rPr>
        <w:footnoteRef/>
      </w:r>
      <w:r w:rsidRPr="00CC61F3">
        <w:rPr>
          <w:rFonts w:cs="Arial"/>
        </w:rPr>
        <w:t xml:space="preserve"> </w:t>
      </w:r>
      <w:r w:rsidRPr="00CC61F3">
        <w:rPr>
          <w:rFonts w:cs="Arial"/>
        </w:rPr>
        <w:tab/>
      </w:r>
      <w:bookmarkStart w:id="11" w:name="_Hlk156741390"/>
      <w:r w:rsidRPr="005E07F3">
        <w:rPr>
          <w:rFonts w:cs="Arial"/>
        </w:rPr>
        <w:t xml:space="preserve">Raymonde </w:t>
      </w:r>
      <w:r w:rsidRPr="005E07F3">
        <w:rPr>
          <w:rFonts w:cs="Arial"/>
          <w:caps/>
        </w:rPr>
        <w:t>C</w:t>
      </w:r>
      <w:r w:rsidR="009C4EB2" w:rsidRPr="005E07F3">
        <w:rPr>
          <w:rFonts w:cs="Arial"/>
        </w:rPr>
        <w:t>rête</w:t>
      </w:r>
      <w:r w:rsidRPr="005E07F3">
        <w:rPr>
          <w:rFonts w:cs="Arial"/>
        </w:rPr>
        <w:t xml:space="preserve"> </w:t>
      </w:r>
      <w:r w:rsidR="009C4EB2" w:rsidRPr="005E07F3">
        <w:rPr>
          <w:rFonts w:cs="Arial"/>
        </w:rPr>
        <w:t>&amp;</w:t>
      </w:r>
      <w:r w:rsidRPr="005E07F3">
        <w:rPr>
          <w:rFonts w:cs="Arial"/>
        </w:rPr>
        <w:t xml:space="preserve"> Jérôme </w:t>
      </w:r>
      <w:r w:rsidRPr="005E07F3">
        <w:rPr>
          <w:rFonts w:cs="Arial"/>
          <w:caps/>
        </w:rPr>
        <w:t>P</w:t>
      </w:r>
      <w:r w:rsidR="009C4EB2" w:rsidRPr="005E07F3">
        <w:rPr>
          <w:rFonts w:cs="Arial"/>
        </w:rPr>
        <w:t>aradis</w:t>
      </w:r>
      <w:r w:rsidRPr="005E07F3">
        <w:rPr>
          <w:rFonts w:cs="Arial"/>
        </w:rPr>
        <w:t xml:space="preserve">, </w:t>
      </w:r>
      <w:r w:rsidRPr="005E07F3">
        <w:rPr>
          <w:rFonts w:cs="Arial"/>
          <w:bCs/>
          <w:i/>
          <w:iCs/>
        </w:rPr>
        <w:t>Jurisclasseur Droit des affaires - Valeurs mobilières,</w:t>
      </w:r>
      <w:r w:rsidRPr="005E07F3">
        <w:rPr>
          <w:rFonts w:cs="Arial"/>
          <w:bCs/>
        </w:rPr>
        <w:t xml:space="preserve"> fasc.</w:t>
      </w:r>
      <w:r w:rsidRPr="008517AC">
        <w:rPr>
          <w:rFonts w:cs="Arial"/>
          <w:bCs/>
        </w:rPr>
        <w:t xml:space="preserve"> </w:t>
      </w:r>
      <w:r w:rsidRPr="005E07F3">
        <w:rPr>
          <w:rFonts w:cs="Arial"/>
          <w:bCs/>
          <w:lang w:val="en-CA"/>
        </w:rPr>
        <w:t xml:space="preserve">7 </w:t>
      </w:r>
      <w:r w:rsidR="009C4EB2" w:rsidRPr="005E07F3">
        <w:rPr>
          <w:rFonts w:cs="Arial"/>
          <w:bCs/>
          <w:lang w:val="en-CA"/>
        </w:rPr>
        <w:t>“</w:t>
      </w:r>
      <w:r w:rsidRPr="005E07F3">
        <w:rPr>
          <w:rFonts w:cs="Arial"/>
          <w:bCs/>
          <w:lang w:val="en-CA"/>
        </w:rPr>
        <w:t>Délits d’initié</w:t>
      </w:r>
      <w:r w:rsidR="009C4EB2" w:rsidRPr="005E07F3">
        <w:rPr>
          <w:rFonts w:cs="Arial"/>
          <w:bCs/>
          <w:lang w:val="en-CA"/>
        </w:rPr>
        <w:t>”</w:t>
      </w:r>
      <w:r w:rsidRPr="005E07F3">
        <w:rPr>
          <w:rFonts w:cs="Arial"/>
          <w:bCs/>
          <w:lang w:val="en-CA"/>
        </w:rPr>
        <w:t xml:space="preserve">, </w:t>
      </w:r>
      <w:r w:rsidR="009C4EB2" w:rsidRPr="005E07F3">
        <w:rPr>
          <w:rFonts w:cs="Arial"/>
          <w:bCs/>
          <w:lang w:val="en-CA"/>
        </w:rPr>
        <w:t xml:space="preserve">at 6, </w:t>
      </w:r>
      <w:r w:rsidRPr="005E07F3">
        <w:rPr>
          <w:rFonts w:cs="Arial"/>
          <w:bCs/>
          <w:lang w:val="en-CA"/>
        </w:rPr>
        <w:t>par</w:t>
      </w:r>
      <w:r w:rsidR="009C4EB2" w:rsidRPr="005E07F3">
        <w:rPr>
          <w:rFonts w:cs="Arial"/>
          <w:bCs/>
          <w:lang w:val="en-CA"/>
        </w:rPr>
        <w:t>a</w:t>
      </w:r>
      <w:r w:rsidRPr="005E07F3">
        <w:rPr>
          <w:rFonts w:cs="Arial"/>
          <w:bCs/>
          <w:lang w:val="en-CA"/>
        </w:rPr>
        <w:t>.</w:t>
      </w:r>
      <w:r w:rsidRPr="00E702E0">
        <w:rPr>
          <w:rFonts w:cs="Arial"/>
          <w:bCs/>
          <w:lang w:val="en-CA"/>
        </w:rPr>
        <w:t xml:space="preserve"> </w:t>
      </w:r>
      <w:bookmarkEnd w:id="11"/>
      <w:r w:rsidR="009C4EB2" w:rsidRPr="005E07F3">
        <w:rPr>
          <w:rFonts w:cs="Arial"/>
          <w:bCs/>
          <w:lang w:val="en-CA"/>
        </w:rPr>
        <w:t>57</w:t>
      </w:r>
      <w:r w:rsidRPr="005E07F3">
        <w:rPr>
          <w:rFonts w:cs="Arial"/>
          <w:bCs/>
          <w:lang w:val="en-CA"/>
        </w:rPr>
        <w:t>.</w:t>
      </w:r>
    </w:p>
  </w:footnote>
  <w:footnote w:id="56">
    <w:p w14:paraId="08D0A419" w14:textId="6CCFE8F1" w:rsidR="002D40E9" w:rsidRPr="00102B48" w:rsidRDefault="005D25C5" w:rsidP="00427578">
      <w:pPr>
        <w:pStyle w:val="Notedebasdepage"/>
        <w:rPr>
          <w:lang w:val="en-CA"/>
        </w:rPr>
      </w:pPr>
      <w:r>
        <w:rPr>
          <w:rStyle w:val="Appelnotedebasdep"/>
        </w:rPr>
        <w:footnoteRef/>
      </w:r>
      <w:r w:rsidRPr="00102B48">
        <w:rPr>
          <w:lang w:val="en-CA"/>
        </w:rPr>
        <w:t xml:space="preserve"> </w:t>
      </w:r>
      <w:r w:rsidRPr="00102B48">
        <w:rPr>
          <w:lang w:val="en-CA"/>
        </w:rPr>
        <w:tab/>
      </w:r>
      <w:r w:rsidR="002F044A" w:rsidRPr="00102B48">
        <w:rPr>
          <w:lang w:val="en-CA"/>
        </w:rPr>
        <w:t>The Tribunal modified the format of the text cited to facilitate the reading of the authors cited</w:t>
      </w:r>
      <w:r w:rsidRPr="00102B48">
        <w:rPr>
          <w:lang w:val="en-CA"/>
        </w:rPr>
        <w:t>.</w:t>
      </w:r>
    </w:p>
  </w:footnote>
  <w:footnote w:id="57">
    <w:p w14:paraId="213DDBE2" w14:textId="12E5B317" w:rsidR="002B1D88" w:rsidRPr="00F42A32" w:rsidRDefault="002B1D88" w:rsidP="002B1D88">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P-</w:t>
      </w:r>
      <w:r w:rsidR="00102B48" w:rsidRPr="005E07F3">
        <w:rPr>
          <w:lang w:val="en-CA"/>
        </w:rPr>
        <w:t>14</w:t>
      </w:r>
      <w:r w:rsidRPr="005E07F3">
        <w:rPr>
          <w:lang w:val="en-CA"/>
        </w:rPr>
        <w:t xml:space="preserve"> at 11.</w:t>
      </w:r>
    </w:p>
  </w:footnote>
  <w:footnote w:id="58">
    <w:p w14:paraId="0E3758DD" w14:textId="77777777" w:rsidR="000D3ACA" w:rsidRPr="00F42A32" w:rsidRDefault="000D3ACA" w:rsidP="000D3ACA">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D-7.</w:t>
      </w:r>
    </w:p>
  </w:footnote>
  <w:footnote w:id="59">
    <w:p w14:paraId="565A36DD" w14:textId="35776195" w:rsidR="001943B4" w:rsidRPr="007B5361" w:rsidRDefault="001943B4" w:rsidP="001943B4">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Pr="005E07F3">
        <w:rPr>
          <w:rFonts w:cs="Arial"/>
          <w:i/>
          <w:iCs/>
          <w:lang w:val="en-US"/>
        </w:rPr>
        <w:t xml:space="preserve"> </w:t>
      </w:r>
      <w:r w:rsidR="00102B48" w:rsidRPr="005E07F3">
        <w:rPr>
          <w:rFonts w:cs="Arial"/>
          <w:lang w:val="en-US"/>
        </w:rPr>
        <w:t>at</w:t>
      </w:r>
      <w:r w:rsidRPr="005E07F3">
        <w:rPr>
          <w:rFonts w:cs="Arial"/>
          <w:lang w:val="en-US"/>
        </w:rPr>
        <w:t xml:space="preserve"> 41</w:t>
      </w:r>
      <w:r w:rsidRPr="005E07F3">
        <w:rPr>
          <w:rFonts w:cs="Arial"/>
          <w:i/>
          <w:iCs/>
          <w:lang w:val="en-US"/>
        </w:rPr>
        <w:t>.</w:t>
      </w:r>
    </w:p>
  </w:footnote>
  <w:footnote w:id="60">
    <w:p w14:paraId="1ED759BA" w14:textId="0D63B382" w:rsidR="00A94EAE" w:rsidRPr="007B5361" w:rsidRDefault="00A94EAE" w:rsidP="00A94EAE">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000A525C">
        <w:rPr>
          <w:rFonts w:cs="Arial"/>
          <w:i/>
          <w:iCs/>
          <w:lang w:val="en-US"/>
        </w:rPr>
        <w:t>.</w:t>
      </w:r>
    </w:p>
  </w:footnote>
  <w:footnote w:id="61">
    <w:p w14:paraId="2C17241F" w14:textId="36E04ED7" w:rsidR="005A1F30" w:rsidRPr="007B5361" w:rsidRDefault="005A1F30" w:rsidP="005A1F30">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Pr="005E07F3">
        <w:rPr>
          <w:rFonts w:cs="Arial"/>
          <w:lang w:val="en-US"/>
        </w:rPr>
        <w:t xml:space="preserve">Exhibit D-7 at </w:t>
      </w:r>
      <w:r w:rsidR="00102B48" w:rsidRPr="005E07F3">
        <w:rPr>
          <w:rFonts w:cs="Arial"/>
          <w:lang w:val="en-US"/>
        </w:rPr>
        <w:t>42</w:t>
      </w:r>
      <w:r w:rsidRPr="005E07F3">
        <w:rPr>
          <w:rFonts w:cs="Arial"/>
          <w:lang w:val="en-US"/>
        </w:rPr>
        <w:t>.</w:t>
      </w:r>
    </w:p>
  </w:footnote>
  <w:footnote w:id="62">
    <w:p w14:paraId="23B8AEBA" w14:textId="78B3D455" w:rsidR="006F067D" w:rsidRPr="007B5361" w:rsidRDefault="006F067D" w:rsidP="006F067D">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000A525C">
        <w:rPr>
          <w:rFonts w:cs="Arial"/>
          <w:i/>
          <w:iCs/>
          <w:lang w:val="en-US"/>
        </w:rPr>
        <w:t>.</w:t>
      </w:r>
      <w:r w:rsidRPr="007B5361">
        <w:rPr>
          <w:rFonts w:cs="Arial"/>
          <w:lang w:val="en-US"/>
        </w:rPr>
        <w:t xml:space="preserve"> </w:t>
      </w:r>
    </w:p>
  </w:footnote>
  <w:footnote w:id="63">
    <w:p w14:paraId="4542110A" w14:textId="2B18A632" w:rsidR="004B395E" w:rsidRPr="007B5361" w:rsidRDefault="004B395E" w:rsidP="004B395E">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Pr="005E07F3">
        <w:rPr>
          <w:rFonts w:cs="Arial"/>
          <w:i/>
          <w:iCs/>
          <w:lang w:val="en-US"/>
        </w:rPr>
        <w:t xml:space="preserve"> </w:t>
      </w:r>
      <w:r w:rsidRPr="005E07F3">
        <w:rPr>
          <w:rFonts w:cs="Arial"/>
          <w:lang w:val="en-US"/>
        </w:rPr>
        <w:t>at 43</w:t>
      </w:r>
      <w:r w:rsidRPr="005E07F3">
        <w:rPr>
          <w:rFonts w:cs="Arial"/>
          <w:i/>
          <w:iCs/>
          <w:lang w:val="en-US"/>
        </w:rPr>
        <w:t>.</w:t>
      </w:r>
    </w:p>
  </w:footnote>
  <w:footnote w:id="64">
    <w:p w14:paraId="277D6536" w14:textId="54E899E5" w:rsidR="000F0CFE" w:rsidRPr="007B5361" w:rsidRDefault="000F0CFE" w:rsidP="000F0CFE">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Pr="005E07F3">
        <w:rPr>
          <w:rFonts w:cs="Arial"/>
          <w:i/>
          <w:iCs/>
          <w:lang w:val="en-US"/>
        </w:rPr>
        <w:t xml:space="preserve"> </w:t>
      </w:r>
      <w:r w:rsidRPr="005E07F3">
        <w:rPr>
          <w:rFonts w:cs="Arial"/>
          <w:lang w:val="en-US"/>
        </w:rPr>
        <w:t xml:space="preserve">at </w:t>
      </w:r>
      <w:r w:rsidR="00102B48" w:rsidRPr="005E07F3">
        <w:rPr>
          <w:rFonts w:cs="Arial"/>
          <w:lang w:val="en-US"/>
        </w:rPr>
        <w:t>4</w:t>
      </w:r>
      <w:r w:rsidRPr="005E07F3">
        <w:rPr>
          <w:rFonts w:cs="Arial"/>
          <w:lang w:val="en-US"/>
        </w:rPr>
        <w:t>4</w:t>
      </w:r>
      <w:r w:rsidRPr="005E07F3">
        <w:rPr>
          <w:rFonts w:cs="Arial"/>
          <w:i/>
          <w:iCs/>
          <w:lang w:val="en-US"/>
        </w:rPr>
        <w:t>.</w:t>
      </w:r>
    </w:p>
  </w:footnote>
  <w:footnote w:id="65">
    <w:p w14:paraId="1F3B4E80" w14:textId="25E5B073" w:rsidR="009F5F0B" w:rsidRPr="007B5361" w:rsidRDefault="009F5F0B" w:rsidP="009F5F0B">
      <w:pPr>
        <w:pStyle w:val="Notedebasdepage"/>
        <w:rPr>
          <w:rFonts w:cs="Arial"/>
          <w:lang w:val="en-US"/>
        </w:rPr>
      </w:pPr>
      <w:r w:rsidRPr="00CC61F3">
        <w:rPr>
          <w:rStyle w:val="Appelnotedebasdep"/>
          <w:rFonts w:cs="Arial"/>
        </w:rPr>
        <w:footnoteRef/>
      </w:r>
      <w:r w:rsidRPr="007B5361">
        <w:rPr>
          <w:rFonts w:cs="Arial"/>
          <w:lang w:val="en-US"/>
        </w:rPr>
        <w:t xml:space="preserve"> </w:t>
      </w:r>
      <w:r w:rsidRPr="007B5361">
        <w:rPr>
          <w:rFonts w:cs="Arial"/>
          <w:lang w:val="en-US"/>
        </w:rPr>
        <w:tab/>
      </w:r>
      <w:r w:rsidR="00D1088A" w:rsidRPr="005E07F3">
        <w:rPr>
          <w:rFonts w:cs="Arial"/>
          <w:i/>
          <w:iCs/>
          <w:lang w:val="en-US"/>
        </w:rPr>
        <w:t>Ibid</w:t>
      </w:r>
      <w:r w:rsidR="000A525C">
        <w:rPr>
          <w:rFonts w:cs="Arial"/>
          <w:i/>
          <w:iCs/>
          <w:lang w:val="en-US"/>
        </w:rPr>
        <w:t>.</w:t>
      </w:r>
    </w:p>
  </w:footnote>
  <w:footnote w:id="66">
    <w:p w14:paraId="4BBC98A8" w14:textId="77AEF115" w:rsidR="00E97173" w:rsidRPr="00F42A32" w:rsidRDefault="00E97173" w:rsidP="00E97173">
      <w:pPr>
        <w:pStyle w:val="Notedebasdepage"/>
        <w:rPr>
          <w:rFonts w:cs="Arial"/>
          <w:i/>
          <w:lang w:val="en-CA"/>
        </w:rPr>
      </w:pPr>
      <w:r w:rsidRPr="00B264F4">
        <w:rPr>
          <w:rStyle w:val="Appelnotedebasdep"/>
          <w:rFonts w:cs="Arial"/>
        </w:rPr>
        <w:footnoteRef/>
      </w:r>
      <w:r w:rsidRPr="00F42A32">
        <w:rPr>
          <w:rFonts w:cs="Arial"/>
          <w:lang w:val="en-CA"/>
        </w:rPr>
        <w:t xml:space="preserve"> </w:t>
      </w:r>
      <w:r w:rsidRPr="00F42A32">
        <w:rPr>
          <w:rFonts w:cs="Arial"/>
          <w:lang w:val="en-CA"/>
        </w:rPr>
        <w:tab/>
      </w:r>
      <w:r w:rsidR="00D1088A" w:rsidRPr="005E07F3">
        <w:rPr>
          <w:rFonts w:cs="Arial"/>
          <w:i/>
          <w:iCs/>
          <w:lang w:val="en-CA"/>
        </w:rPr>
        <w:t>Ibid</w:t>
      </w:r>
      <w:r w:rsidR="000A525C">
        <w:rPr>
          <w:rFonts w:cs="Arial"/>
          <w:i/>
          <w:iCs/>
          <w:lang w:val="en-CA"/>
        </w:rPr>
        <w:t>.</w:t>
      </w:r>
    </w:p>
  </w:footnote>
  <w:footnote w:id="67">
    <w:p w14:paraId="1CB5666A" w14:textId="53958CC6" w:rsidR="00C00D85" w:rsidRPr="00F42A32" w:rsidRDefault="00C00D85" w:rsidP="00C00D85">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w:t>
      </w:r>
      <w:r w:rsidR="005F4037" w:rsidRPr="005E07F3">
        <w:rPr>
          <w:lang w:val="en-CA"/>
        </w:rPr>
        <w:t>76</w:t>
      </w:r>
      <w:r w:rsidRPr="005E07F3">
        <w:rPr>
          <w:lang w:val="en-CA"/>
        </w:rPr>
        <w:t>.</w:t>
      </w:r>
    </w:p>
  </w:footnote>
  <w:footnote w:id="68">
    <w:p w14:paraId="7C27D531" w14:textId="0F31AEF3" w:rsidR="00C47546" w:rsidRPr="00F42A32" w:rsidRDefault="00C47546" w:rsidP="00C47546">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 xml:space="preserve">Section </w:t>
      </w:r>
      <w:r w:rsidR="006B3BB5" w:rsidRPr="005E07F3">
        <w:rPr>
          <w:lang w:val="en-CA"/>
        </w:rPr>
        <w:t>89</w:t>
      </w:r>
      <w:r w:rsidRPr="005E07F3">
        <w:rPr>
          <w:lang w:val="en-CA"/>
        </w:rPr>
        <w:t xml:space="preserve"> of the </w:t>
      </w:r>
      <w:r w:rsidR="006B3BB5" w:rsidRPr="005E07F3">
        <w:rPr>
          <w:i/>
          <w:iCs/>
          <w:lang w:val="en-CA"/>
        </w:rPr>
        <w:t>SA</w:t>
      </w:r>
      <w:r w:rsidRPr="005E07F3">
        <w:rPr>
          <w:lang w:val="en-CA"/>
        </w:rPr>
        <w:t xml:space="preserve"> reads as follows:</w:t>
      </w:r>
    </w:p>
    <w:p w14:paraId="1F2AABE5" w14:textId="5ED02A4F" w:rsidR="00C47546" w:rsidRPr="00F42A32" w:rsidRDefault="00C47546" w:rsidP="00C47546">
      <w:pPr>
        <w:pStyle w:val="Notedebasdepage"/>
        <w:ind w:left="734" w:firstLine="0"/>
        <w:rPr>
          <w:lang w:val="en-CA"/>
        </w:rPr>
      </w:pPr>
      <w:r w:rsidRPr="005E07F3">
        <w:rPr>
          <w:lang w:val="en-CA"/>
        </w:rPr>
        <w:t>“Insider” means</w:t>
      </w:r>
      <w:r w:rsidRPr="00F42A32">
        <w:rPr>
          <w:lang w:val="en-CA"/>
        </w:rPr>
        <w:t xml:space="preserve"> </w:t>
      </w:r>
      <w:r w:rsidRPr="005E07F3">
        <w:rPr>
          <w:lang w:val="en-CA"/>
        </w:rPr>
        <w:t>(1) every director or officer of an issuer;</w:t>
      </w:r>
      <w:r w:rsidRPr="00F42A32">
        <w:rPr>
          <w:lang w:val="en-CA"/>
        </w:rPr>
        <w:t xml:space="preserve"> </w:t>
      </w:r>
      <w:r w:rsidRPr="005E07F3">
        <w:rPr>
          <w:lang w:val="en-CA"/>
        </w:rPr>
        <w:t>(2) every director or officer of a subsidiary of an issuer;</w:t>
      </w:r>
      <w:r w:rsidRPr="00F42A32">
        <w:rPr>
          <w:lang w:val="en-CA"/>
        </w:rPr>
        <w:t xml:space="preserve"> </w:t>
      </w:r>
      <w:r w:rsidRPr="005E07F3">
        <w:rPr>
          <w:lang w:val="en-CA"/>
        </w:rPr>
        <w:t>(3) a person that exercises control over more than 10% of the voting rights attached to all outstanding voting securities of an issuer other than securities underwritten in the course of a distribution;</w:t>
      </w:r>
      <w:r w:rsidRPr="00F42A32">
        <w:rPr>
          <w:lang w:val="en-CA"/>
        </w:rPr>
        <w:t xml:space="preserve"> </w:t>
      </w:r>
      <w:r w:rsidRPr="005E07F3">
        <w:rPr>
          <w:lang w:val="en-CA"/>
        </w:rPr>
        <w:t>(4) an issuer that holds any of its securities; or</w:t>
      </w:r>
      <w:r w:rsidRPr="00F42A32">
        <w:rPr>
          <w:lang w:val="en-CA"/>
        </w:rPr>
        <w:t xml:space="preserve"> </w:t>
      </w:r>
      <w:r w:rsidRPr="005E07F3">
        <w:rPr>
          <w:lang w:val="en-CA"/>
        </w:rPr>
        <w:t>(5) a person prescribed by regulation or designated as an insider under section 272.2.</w:t>
      </w:r>
      <w:r w:rsidRPr="00F42A32">
        <w:rPr>
          <w:lang w:val="en-CA"/>
        </w:rPr>
        <w:t xml:space="preserve"> </w:t>
      </w:r>
      <w:r w:rsidRPr="005E07F3">
        <w:rPr>
          <w:lang w:val="en-CA"/>
        </w:rPr>
        <w:t>“Insider” also means a director or officer of an insider of an issuer.</w:t>
      </w:r>
      <w:r w:rsidR="006B3BB5">
        <w:rPr>
          <w:lang w:val="en-CA"/>
        </w:rPr>
        <w:t>”</w:t>
      </w:r>
    </w:p>
  </w:footnote>
  <w:footnote w:id="69">
    <w:p w14:paraId="21D1D02D" w14:textId="3CBEF91E" w:rsidR="00F76BBD" w:rsidRPr="00E702E0" w:rsidRDefault="00F76BBD" w:rsidP="00F76BBD">
      <w:pPr>
        <w:pStyle w:val="Notedebasdepage"/>
        <w:rPr>
          <w:lang w:val="en-CA"/>
        </w:rPr>
      </w:pPr>
      <w:r>
        <w:rPr>
          <w:rStyle w:val="Appelnotedebasdep"/>
        </w:rPr>
        <w:footnoteRef/>
      </w:r>
      <w:r w:rsidRPr="006B3BB5">
        <w:rPr>
          <w:lang w:val="en-CA"/>
        </w:rPr>
        <w:t xml:space="preserve"> </w:t>
      </w:r>
      <w:r w:rsidRPr="006B3BB5">
        <w:rPr>
          <w:lang w:val="en-CA"/>
        </w:rPr>
        <w:tab/>
      </w:r>
      <w:r w:rsidR="006B3BB5" w:rsidRPr="006B3BB5">
        <w:rPr>
          <w:lang w:val="en-CA"/>
        </w:rPr>
        <w:t>Respondents’ written arguments at paras.</w:t>
      </w:r>
      <w:r w:rsidRPr="006B3BB5">
        <w:rPr>
          <w:lang w:val="en-CA"/>
        </w:rPr>
        <w:t xml:space="preserve"> </w:t>
      </w:r>
      <w:r w:rsidRPr="00E702E0">
        <w:rPr>
          <w:lang w:val="en-CA"/>
        </w:rPr>
        <w:t>62</w:t>
      </w:r>
      <w:r w:rsidR="006B3BB5" w:rsidRPr="00E702E0">
        <w:rPr>
          <w:lang w:val="en-CA"/>
        </w:rPr>
        <w:t>–</w:t>
      </w:r>
      <w:r w:rsidRPr="00E702E0">
        <w:rPr>
          <w:lang w:val="en-CA"/>
        </w:rPr>
        <w:t>64.</w:t>
      </w:r>
    </w:p>
  </w:footnote>
  <w:footnote w:id="70">
    <w:p w14:paraId="36F153EA" w14:textId="77777777" w:rsidR="004E733C" w:rsidRPr="00F42A32" w:rsidRDefault="004E733C" w:rsidP="004E733C">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Exhibit D-18.</w:t>
      </w:r>
    </w:p>
  </w:footnote>
  <w:footnote w:id="71">
    <w:p w14:paraId="3E9AD048" w14:textId="72347458" w:rsidR="00207A38" w:rsidRPr="00F42A32" w:rsidRDefault="00207A38" w:rsidP="00207A38">
      <w:pPr>
        <w:pStyle w:val="Notedebasdepage"/>
        <w:rPr>
          <w:rFonts w:cs="Arial"/>
          <w:lang w:val="en-CA"/>
        </w:rPr>
      </w:pPr>
      <w:r w:rsidRPr="00690761">
        <w:rPr>
          <w:rStyle w:val="Appelnotedebasdep"/>
        </w:rPr>
        <w:footnoteRef/>
      </w:r>
      <w:r w:rsidRPr="00F42A32">
        <w:rPr>
          <w:rStyle w:val="Appelnotedebasdep"/>
          <w:lang w:val="en-CA"/>
        </w:rPr>
        <w:t xml:space="preserve"> </w:t>
      </w:r>
      <w:r w:rsidRPr="00F42A32">
        <w:rPr>
          <w:rStyle w:val="Appelnotedebasdep"/>
          <w:lang w:val="en-CA"/>
        </w:rPr>
        <w:tab/>
      </w:r>
      <w:r w:rsidRPr="005E07F3">
        <w:rPr>
          <w:rFonts w:cs="Arial"/>
          <w:lang w:val="en-CA"/>
        </w:rPr>
        <w:t>Exhibits D-1</w:t>
      </w:r>
      <w:r w:rsidR="00C74D14" w:rsidRPr="005E07F3">
        <w:rPr>
          <w:rFonts w:cs="Arial"/>
          <w:lang w:val="en-CA"/>
        </w:rPr>
        <w:t>7</w:t>
      </w:r>
      <w:r w:rsidRPr="005E07F3">
        <w:rPr>
          <w:rFonts w:cs="Arial"/>
          <w:lang w:val="en-CA"/>
        </w:rPr>
        <w:t xml:space="preserve"> and D-</w:t>
      </w:r>
      <w:r w:rsidR="00C74D14" w:rsidRPr="005E07F3">
        <w:rPr>
          <w:rFonts w:cs="Arial"/>
          <w:lang w:val="en-CA"/>
        </w:rPr>
        <w:t>73</w:t>
      </w:r>
      <w:r w:rsidRPr="005E07F3">
        <w:rPr>
          <w:rFonts w:cs="Arial"/>
          <w:lang w:val="en-CA"/>
        </w:rPr>
        <w:t>.</w:t>
      </w:r>
    </w:p>
  </w:footnote>
  <w:footnote w:id="72">
    <w:p w14:paraId="1DBE0DE5" w14:textId="616055AB" w:rsidR="00287D89" w:rsidRPr="00E0386E" w:rsidRDefault="00287D89" w:rsidP="00287D89">
      <w:pPr>
        <w:pStyle w:val="Notedebasdepage"/>
        <w:rPr>
          <w:lang w:val="en-CA"/>
        </w:rPr>
      </w:pPr>
      <w:r>
        <w:rPr>
          <w:rStyle w:val="Appelnotedebasdep"/>
        </w:rPr>
        <w:footnoteRef/>
      </w:r>
      <w:r w:rsidRPr="00E0386E">
        <w:rPr>
          <w:lang w:val="en-CA"/>
        </w:rPr>
        <w:t xml:space="preserve"> </w:t>
      </w:r>
      <w:r w:rsidRPr="00E0386E">
        <w:rPr>
          <w:lang w:val="en-CA"/>
        </w:rPr>
        <w:tab/>
      </w:r>
      <w:r w:rsidRPr="005E07F3">
        <w:rPr>
          <w:lang w:val="en-CA"/>
        </w:rPr>
        <w:t>Exhibit I-26.</w:t>
      </w:r>
    </w:p>
  </w:footnote>
  <w:footnote w:id="73">
    <w:p w14:paraId="572C0149" w14:textId="74FF141F" w:rsidR="00B66CB5" w:rsidRPr="00E702E0" w:rsidRDefault="00B66CB5" w:rsidP="00B66CB5">
      <w:pPr>
        <w:pStyle w:val="Notedebasdepage"/>
        <w:rPr>
          <w:rFonts w:cs="Arial"/>
          <w:lang w:val="en-CA"/>
        </w:rPr>
      </w:pPr>
      <w:r w:rsidRPr="00CC61F3">
        <w:rPr>
          <w:rStyle w:val="Appelnotedebasdep"/>
          <w:rFonts w:cs="Arial"/>
        </w:rPr>
        <w:footnoteRef/>
      </w:r>
      <w:r w:rsidRPr="00E702E0">
        <w:rPr>
          <w:rFonts w:cs="Arial"/>
          <w:lang w:val="en-CA"/>
        </w:rPr>
        <w:t xml:space="preserve"> </w:t>
      </w:r>
      <w:r w:rsidRPr="00E702E0">
        <w:rPr>
          <w:rFonts w:cs="Arial"/>
          <w:lang w:val="en-CA"/>
        </w:rPr>
        <w:tab/>
      </w:r>
      <w:r w:rsidR="00D1088A" w:rsidRPr="005E07F3">
        <w:rPr>
          <w:rFonts w:cs="Arial"/>
          <w:i/>
          <w:iCs/>
          <w:lang w:val="en-CA"/>
        </w:rPr>
        <w:t>Ibid</w:t>
      </w:r>
      <w:r w:rsidR="000A525C" w:rsidRPr="00E702E0">
        <w:rPr>
          <w:rFonts w:cs="Arial"/>
          <w:i/>
          <w:iCs/>
          <w:lang w:val="en-CA"/>
        </w:rPr>
        <w:t>.</w:t>
      </w:r>
    </w:p>
  </w:footnote>
  <w:footnote w:id="74">
    <w:p w14:paraId="6ECB9D9D" w14:textId="62FF2C28" w:rsidR="002D40E9" w:rsidRPr="00E0386E" w:rsidRDefault="005D25C5" w:rsidP="00674FFD">
      <w:pPr>
        <w:pStyle w:val="Notedebasdepage"/>
        <w:rPr>
          <w:rFonts w:cs="Arial"/>
          <w:lang w:val="en-CA"/>
        </w:rPr>
      </w:pPr>
      <w:r w:rsidRPr="00CC61F3">
        <w:rPr>
          <w:rStyle w:val="Appelnotedebasdep"/>
          <w:rFonts w:cs="Arial"/>
        </w:rPr>
        <w:footnoteRef/>
      </w:r>
      <w:r w:rsidRPr="00E0386E">
        <w:rPr>
          <w:rFonts w:cs="Arial"/>
          <w:lang w:val="en-CA"/>
        </w:rPr>
        <w:t xml:space="preserve"> </w:t>
      </w:r>
      <w:r w:rsidRPr="00E0386E">
        <w:rPr>
          <w:rFonts w:cs="Arial"/>
          <w:lang w:val="en-CA"/>
        </w:rPr>
        <w:tab/>
      </w:r>
      <w:r w:rsidR="00E0386E" w:rsidRPr="00E0386E">
        <w:rPr>
          <w:rFonts w:cs="Arial"/>
          <w:lang w:val="en-CA"/>
        </w:rPr>
        <w:t>Exhibit</w:t>
      </w:r>
      <w:r w:rsidRPr="00E0386E">
        <w:rPr>
          <w:rFonts w:cs="Arial"/>
          <w:lang w:val="en-CA"/>
        </w:rPr>
        <w:t xml:space="preserve"> D-16, </w:t>
      </w:r>
      <w:r w:rsidR="00E0386E" w:rsidRPr="00E0386E">
        <w:rPr>
          <w:rFonts w:cs="Arial"/>
          <w:lang w:val="en-CA"/>
        </w:rPr>
        <w:t>at</w:t>
      </w:r>
      <w:r w:rsidRPr="00E0386E">
        <w:rPr>
          <w:rFonts w:cs="Arial"/>
          <w:lang w:val="en-CA"/>
        </w:rPr>
        <w:t xml:space="preserve"> 33, lines 24 et s</w:t>
      </w:r>
      <w:r w:rsidR="00E0386E" w:rsidRPr="00E0386E">
        <w:rPr>
          <w:rFonts w:cs="Arial"/>
          <w:lang w:val="en-CA"/>
        </w:rPr>
        <w:t>eq</w:t>
      </w:r>
      <w:r w:rsidRPr="00E0386E">
        <w:rPr>
          <w:rFonts w:cs="Arial"/>
          <w:lang w:val="en-CA"/>
        </w:rPr>
        <w:t>.</w:t>
      </w:r>
      <w:r w:rsidR="00E0386E" w:rsidRPr="00E0386E">
        <w:rPr>
          <w:rFonts w:cs="Arial"/>
          <w:lang w:val="en-CA"/>
        </w:rPr>
        <w:t>;</w:t>
      </w:r>
      <w:r w:rsidRPr="00E0386E">
        <w:rPr>
          <w:rFonts w:cs="Arial"/>
          <w:lang w:val="en-CA"/>
        </w:rPr>
        <w:t xml:space="preserve"> </w:t>
      </w:r>
      <w:r w:rsidR="00E0386E" w:rsidRPr="00E0386E">
        <w:rPr>
          <w:rFonts w:cs="Arial"/>
          <w:lang w:val="en-CA"/>
        </w:rPr>
        <w:t>see also 57</w:t>
      </w:r>
      <w:r w:rsidRPr="00E0386E">
        <w:rPr>
          <w:rFonts w:cs="Arial"/>
          <w:lang w:val="en-CA"/>
        </w:rPr>
        <w:t>, lines 15</w:t>
      </w:r>
      <w:r w:rsidR="00E0386E" w:rsidRPr="00E0386E">
        <w:rPr>
          <w:rFonts w:cs="Arial"/>
          <w:lang w:val="en-CA"/>
        </w:rPr>
        <w:t>–</w:t>
      </w:r>
      <w:r w:rsidRPr="00E0386E">
        <w:rPr>
          <w:rFonts w:cs="Arial"/>
          <w:lang w:val="en-CA"/>
        </w:rPr>
        <w:t xml:space="preserve">20 </w:t>
      </w:r>
      <w:r w:rsidR="00E0386E" w:rsidRPr="00E0386E">
        <w:rPr>
          <w:rFonts w:cs="Arial"/>
          <w:lang w:val="en-CA"/>
        </w:rPr>
        <w:t>and</w:t>
      </w:r>
      <w:r w:rsidRPr="00E0386E">
        <w:rPr>
          <w:rFonts w:cs="Arial"/>
          <w:lang w:val="en-CA"/>
        </w:rPr>
        <w:t xml:space="preserve"> 64, lines 21</w:t>
      </w:r>
      <w:r w:rsidR="00E0386E">
        <w:rPr>
          <w:rFonts w:cs="Arial"/>
          <w:lang w:val="en-CA"/>
        </w:rPr>
        <w:t>–</w:t>
      </w:r>
      <w:r w:rsidRPr="00E0386E">
        <w:rPr>
          <w:rFonts w:cs="Arial"/>
          <w:lang w:val="en-CA"/>
        </w:rPr>
        <w:t>25.</w:t>
      </w:r>
    </w:p>
  </w:footnote>
  <w:footnote w:id="75">
    <w:p w14:paraId="58A1822D" w14:textId="036CA6BB" w:rsidR="00913FF7" w:rsidRPr="00F42A32" w:rsidRDefault="00913FF7" w:rsidP="00913FF7">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Exhibits D-7</w:t>
      </w:r>
      <w:r w:rsidR="00787DAE" w:rsidRPr="005E07F3">
        <w:rPr>
          <w:lang w:val="en-CA"/>
        </w:rPr>
        <w:t>7 and</w:t>
      </w:r>
      <w:r w:rsidRPr="005E07F3">
        <w:rPr>
          <w:lang w:val="en-CA"/>
        </w:rPr>
        <w:t xml:space="preserve"> D-7</w:t>
      </w:r>
      <w:r w:rsidR="00787DAE" w:rsidRPr="005E07F3">
        <w:rPr>
          <w:lang w:val="en-CA"/>
        </w:rPr>
        <w:t>8</w:t>
      </w:r>
      <w:r w:rsidRPr="005E07F3">
        <w:rPr>
          <w:lang w:val="en-CA"/>
        </w:rPr>
        <w:t>.</w:t>
      </w:r>
    </w:p>
  </w:footnote>
  <w:footnote w:id="76">
    <w:p w14:paraId="299D03F5" w14:textId="1D8C0230" w:rsidR="00972D86" w:rsidRPr="00F42A32" w:rsidRDefault="00972D86" w:rsidP="00972D86">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w:t>
      </w:r>
      <w:r w:rsidR="00C41DFA" w:rsidRPr="005E07F3">
        <w:rPr>
          <w:lang w:val="en-CA"/>
        </w:rPr>
        <w:t>58</w:t>
      </w:r>
      <w:r w:rsidRPr="005E07F3">
        <w:rPr>
          <w:lang w:val="en-CA"/>
        </w:rPr>
        <w:t>.</w:t>
      </w:r>
    </w:p>
  </w:footnote>
  <w:footnote w:id="77">
    <w:p w14:paraId="360A6CD1" w14:textId="6D53AE32" w:rsidR="00AE7D95" w:rsidRPr="005E07F3" w:rsidRDefault="00AE7D95" w:rsidP="00AE7D95">
      <w:pPr>
        <w:pStyle w:val="Notedebasdepage"/>
        <w:rPr>
          <w:lang w:val="de-DE"/>
        </w:rPr>
      </w:pPr>
      <w:r>
        <w:rPr>
          <w:rStyle w:val="Appelnotedebasdep"/>
        </w:rPr>
        <w:footnoteRef/>
      </w:r>
      <w:r w:rsidRPr="005E07F3">
        <w:rPr>
          <w:lang w:val="de-DE"/>
        </w:rPr>
        <w:t xml:space="preserve"> </w:t>
      </w:r>
      <w:r w:rsidRPr="005E07F3">
        <w:rPr>
          <w:lang w:val="de-DE"/>
        </w:rPr>
        <w:tab/>
      </w:r>
      <w:r w:rsidRPr="005E07F3">
        <w:rPr>
          <w:lang w:val="de-DE"/>
        </w:rPr>
        <w:t>Online: &lt;https://dictionnaire.lerobert.com/definition/recommander&gt;.</w:t>
      </w:r>
    </w:p>
  </w:footnote>
  <w:footnote w:id="78">
    <w:p w14:paraId="6085115D" w14:textId="39267E49" w:rsidR="008E653A" w:rsidRPr="00E702E0" w:rsidRDefault="008E653A" w:rsidP="008E653A">
      <w:pPr>
        <w:pStyle w:val="Notedebasdepage"/>
        <w:rPr>
          <w:rFonts w:cs="Arial"/>
          <w:lang w:val="en-CA"/>
        </w:rPr>
      </w:pPr>
      <w:r w:rsidRPr="00CC61F3">
        <w:rPr>
          <w:rStyle w:val="Appelnotedebasdep"/>
          <w:rFonts w:cs="Arial"/>
        </w:rPr>
        <w:footnoteRef/>
      </w:r>
      <w:r w:rsidRPr="00E702E0">
        <w:rPr>
          <w:rFonts w:cs="Arial"/>
          <w:lang w:val="en-CA"/>
        </w:rPr>
        <w:t xml:space="preserve"> </w:t>
      </w:r>
      <w:r w:rsidRPr="00E702E0">
        <w:rPr>
          <w:rFonts w:cs="Arial"/>
          <w:lang w:val="en-CA"/>
        </w:rPr>
        <w:tab/>
      </w:r>
      <w:r w:rsidRPr="005E07F3">
        <w:rPr>
          <w:rFonts w:cs="Arial"/>
          <w:lang w:val="en-CA"/>
        </w:rPr>
        <w:t xml:space="preserve">Exhibit D-20 at </w:t>
      </w:r>
      <w:r w:rsidR="000C7EC7" w:rsidRPr="005E07F3">
        <w:rPr>
          <w:rFonts w:cs="Arial"/>
          <w:lang w:val="en-CA"/>
        </w:rPr>
        <w:t>7–15</w:t>
      </w:r>
      <w:r w:rsidRPr="005E07F3">
        <w:rPr>
          <w:rFonts w:cs="Arial"/>
          <w:lang w:val="en-CA"/>
        </w:rPr>
        <w:t>.</w:t>
      </w:r>
    </w:p>
  </w:footnote>
  <w:footnote w:id="79">
    <w:p w14:paraId="4A1C5B57" w14:textId="5F40287C" w:rsidR="009D1437" w:rsidRPr="004B506E" w:rsidRDefault="009D1437" w:rsidP="009D1437">
      <w:pPr>
        <w:pStyle w:val="Notedebasdepage"/>
        <w:rPr>
          <w:rFonts w:cs="Arial"/>
          <w:lang w:val="en-CA"/>
        </w:rPr>
      </w:pPr>
      <w:r w:rsidRPr="00CC61F3">
        <w:rPr>
          <w:rStyle w:val="Appelnotedebasdep"/>
          <w:rFonts w:cs="Arial"/>
        </w:rPr>
        <w:footnoteRef/>
      </w:r>
      <w:r w:rsidRPr="004B506E">
        <w:rPr>
          <w:rFonts w:cs="Arial"/>
          <w:lang w:val="en-CA"/>
        </w:rPr>
        <w:t xml:space="preserve"> </w:t>
      </w:r>
      <w:r w:rsidRPr="004B506E">
        <w:rPr>
          <w:rFonts w:cs="Arial"/>
          <w:lang w:val="en-CA"/>
        </w:rPr>
        <w:tab/>
      </w:r>
      <w:r w:rsidR="004B506E" w:rsidRPr="004B506E">
        <w:rPr>
          <w:rFonts w:cs="Arial"/>
          <w:lang w:val="en-CA"/>
        </w:rPr>
        <w:t xml:space="preserve">See text messages </w:t>
      </w:r>
      <w:r w:rsidR="001429F4">
        <w:rPr>
          <w:rFonts w:cs="Arial"/>
          <w:lang w:val="en-CA"/>
        </w:rPr>
        <w:t>under</w:t>
      </w:r>
      <w:r w:rsidR="004B506E" w:rsidRPr="004B506E">
        <w:rPr>
          <w:rFonts w:cs="Arial"/>
          <w:lang w:val="en-CA"/>
        </w:rPr>
        <w:t xml:space="preserve"> exhibit D-21 and excerpts from Frédéric Racine’s credit card statement </w:t>
      </w:r>
      <w:r w:rsidR="001429F4">
        <w:rPr>
          <w:rFonts w:cs="Arial"/>
          <w:lang w:val="en-CA"/>
        </w:rPr>
        <w:t>under</w:t>
      </w:r>
      <w:r w:rsidR="004B506E" w:rsidRPr="004B506E">
        <w:rPr>
          <w:rFonts w:cs="Arial"/>
          <w:lang w:val="en-CA"/>
        </w:rPr>
        <w:t xml:space="preserve"> exhibit</w:t>
      </w:r>
      <w:r w:rsidRPr="004B506E">
        <w:rPr>
          <w:rFonts w:cs="Arial"/>
          <w:lang w:val="en-CA"/>
        </w:rPr>
        <w:t xml:space="preserve"> D-22.</w:t>
      </w:r>
    </w:p>
  </w:footnote>
  <w:footnote w:id="80">
    <w:p w14:paraId="7C9AD41A" w14:textId="77777777" w:rsidR="00FF1923" w:rsidRPr="00F42A32" w:rsidRDefault="00FF1923" w:rsidP="00FF1923">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D-21.</w:t>
      </w:r>
    </w:p>
  </w:footnote>
  <w:footnote w:id="81">
    <w:p w14:paraId="0B037DB9" w14:textId="454F8F0A" w:rsidR="00425BC9" w:rsidRPr="00F42A32" w:rsidRDefault="00425BC9" w:rsidP="00425BC9">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Exhibits D-2</w:t>
      </w:r>
      <w:r w:rsidR="00D24B7F" w:rsidRPr="005E07F3">
        <w:rPr>
          <w:lang w:val="en-CA"/>
        </w:rPr>
        <w:t>4</w:t>
      </w:r>
      <w:r w:rsidRPr="005E07F3">
        <w:rPr>
          <w:lang w:val="en-CA"/>
        </w:rPr>
        <w:t xml:space="preserve"> and D-2</w:t>
      </w:r>
      <w:r w:rsidR="00D24B7F" w:rsidRPr="005E07F3">
        <w:rPr>
          <w:lang w:val="en-CA"/>
        </w:rPr>
        <w:t>5</w:t>
      </w:r>
      <w:r w:rsidRPr="005E07F3">
        <w:rPr>
          <w:lang w:val="en-CA"/>
        </w:rPr>
        <w:t>.</w:t>
      </w:r>
    </w:p>
  </w:footnote>
  <w:footnote w:id="82">
    <w:p w14:paraId="14E8EA30" w14:textId="77777777" w:rsidR="00425BC9" w:rsidRPr="00E702E0" w:rsidRDefault="00425BC9" w:rsidP="00425BC9">
      <w:pPr>
        <w:pStyle w:val="Notedebasdepage"/>
        <w:rPr>
          <w:lang w:val="en-CA"/>
        </w:rPr>
      </w:pPr>
      <w:r>
        <w:rPr>
          <w:rStyle w:val="Appelnotedebasdep"/>
        </w:rPr>
        <w:footnoteRef/>
      </w:r>
      <w:r w:rsidRPr="00E702E0">
        <w:rPr>
          <w:lang w:val="en-CA"/>
        </w:rPr>
        <w:t xml:space="preserve"> </w:t>
      </w:r>
      <w:r w:rsidRPr="00E702E0">
        <w:rPr>
          <w:lang w:val="en-CA"/>
        </w:rPr>
        <w:tab/>
      </w:r>
      <w:r w:rsidRPr="005E07F3">
        <w:rPr>
          <w:lang w:val="en-CA"/>
        </w:rPr>
        <w:t>Exhibit D-24.</w:t>
      </w:r>
    </w:p>
  </w:footnote>
  <w:footnote w:id="83">
    <w:p w14:paraId="79B3DA08" w14:textId="52E5BF98" w:rsidR="00F771B8" w:rsidRPr="00E702E0" w:rsidRDefault="00F771B8" w:rsidP="00F771B8">
      <w:pPr>
        <w:pStyle w:val="Notedebasdepage"/>
        <w:rPr>
          <w:lang w:val="en-CA"/>
        </w:rPr>
      </w:pPr>
      <w:r>
        <w:rPr>
          <w:rStyle w:val="Appelnotedebasdep"/>
        </w:rPr>
        <w:footnoteRef/>
      </w:r>
      <w:r w:rsidRPr="00E702E0">
        <w:rPr>
          <w:lang w:val="en-CA"/>
        </w:rPr>
        <w:t xml:space="preserve"> </w:t>
      </w:r>
      <w:r w:rsidRPr="00E702E0">
        <w:rPr>
          <w:lang w:val="en-CA"/>
        </w:rPr>
        <w:tab/>
      </w:r>
      <w:r w:rsidR="00D1088A" w:rsidRPr="005E07F3">
        <w:rPr>
          <w:i/>
          <w:iCs/>
          <w:lang w:val="en-CA"/>
        </w:rPr>
        <w:t>Ibid</w:t>
      </w:r>
      <w:r w:rsidR="000A525C" w:rsidRPr="00E702E0">
        <w:rPr>
          <w:i/>
          <w:iCs/>
          <w:lang w:val="en-CA"/>
        </w:rPr>
        <w:t>.</w:t>
      </w:r>
    </w:p>
  </w:footnote>
  <w:footnote w:id="84">
    <w:p w14:paraId="3BE6FACE" w14:textId="52F3FB5E" w:rsidR="0015237D" w:rsidRPr="00E702E0" w:rsidRDefault="0015237D" w:rsidP="0015237D">
      <w:pPr>
        <w:pStyle w:val="Notedebasdepage"/>
        <w:rPr>
          <w:lang w:val="en-CA"/>
        </w:rPr>
      </w:pPr>
      <w:r>
        <w:rPr>
          <w:rStyle w:val="Appelnotedebasdep"/>
        </w:rPr>
        <w:footnoteRef/>
      </w:r>
      <w:r w:rsidRPr="00E702E0">
        <w:rPr>
          <w:lang w:val="en-CA"/>
        </w:rPr>
        <w:t xml:space="preserve"> </w:t>
      </w:r>
      <w:r w:rsidRPr="00E702E0">
        <w:rPr>
          <w:lang w:val="en-CA"/>
        </w:rPr>
        <w:tab/>
      </w:r>
      <w:r w:rsidR="00D1088A" w:rsidRPr="005E07F3">
        <w:rPr>
          <w:i/>
          <w:iCs/>
          <w:lang w:val="en-CA"/>
        </w:rPr>
        <w:t>Ibid</w:t>
      </w:r>
      <w:r w:rsidR="000A525C" w:rsidRPr="00E702E0">
        <w:rPr>
          <w:i/>
          <w:iCs/>
          <w:lang w:val="en-CA"/>
        </w:rPr>
        <w:t>.</w:t>
      </w:r>
    </w:p>
  </w:footnote>
  <w:footnote w:id="85">
    <w:p w14:paraId="775F1B73" w14:textId="0145E487" w:rsidR="003F0ADE" w:rsidRPr="00D24B7F" w:rsidRDefault="003F0ADE" w:rsidP="003F0ADE">
      <w:pPr>
        <w:pStyle w:val="Notedebasdepage"/>
        <w:rPr>
          <w:lang w:val="en-CA"/>
        </w:rPr>
      </w:pPr>
      <w:r>
        <w:rPr>
          <w:rStyle w:val="Appelnotedebasdep"/>
        </w:rPr>
        <w:footnoteRef/>
      </w:r>
      <w:r w:rsidRPr="00D24B7F">
        <w:rPr>
          <w:lang w:val="en-CA"/>
        </w:rPr>
        <w:t xml:space="preserve"> </w:t>
      </w:r>
      <w:r w:rsidRPr="00D24B7F">
        <w:rPr>
          <w:lang w:val="en-CA"/>
        </w:rPr>
        <w:tab/>
      </w:r>
      <w:r w:rsidR="00D24B7F" w:rsidRPr="00D24B7F">
        <w:rPr>
          <w:lang w:val="en-CA"/>
        </w:rPr>
        <w:t>Exhibits</w:t>
      </w:r>
      <w:r w:rsidRPr="00D24B7F">
        <w:rPr>
          <w:lang w:val="en-CA"/>
        </w:rPr>
        <w:t xml:space="preserve"> D-18 (</w:t>
      </w:r>
      <w:r w:rsidR="00D24B7F" w:rsidRPr="00D24B7F">
        <w:rPr>
          <w:lang w:val="en-CA"/>
        </w:rPr>
        <w:t>Philippe Gauthier’s telephone log</w:t>
      </w:r>
      <w:r w:rsidRPr="00D24B7F">
        <w:rPr>
          <w:lang w:val="en-CA"/>
        </w:rPr>
        <w:t xml:space="preserve">) </w:t>
      </w:r>
      <w:r w:rsidR="00D24B7F" w:rsidRPr="00D24B7F">
        <w:rPr>
          <w:lang w:val="en-CA"/>
        </w:rPr>
        <w:t>and</w:t>
      </w:r>
      <w:r w:rsidRPr="00D24B7F">
        <w:rPr>
          <w:lang w:val="en-CA"/>
        </w:rPr>
        <w:t xml:space="preserve"> D-19 (</w:t>
      </w:r>
      <w:r w:rsidR="00D24B7F" w:rsidRPr="00D24B7F">
        <w:rPr>
          <w:lang w:val="en-CA"/>
        </w:rPr>
        <w:t>Frédéric Racine’s telephone log</w:t>
      </w:r>
      <w:r w:rsidRPr="00D24B7F">
        <w:rPr>
          <w:lang w:val="en-CA"/>
        </w:rPr>
        <w:t xml:space="preserve">). </w:t>
      </w:r>
    </w:p>
  </w:footnote>
  <w:footnote w:id="86">
    <w:p w14:paraId="67D41615" w14:textId="77777777" w:rsidR="00C10F0F" w:rsidRPr="00F42A32" w:rsidRDefault="00C10F0F" w:rsidP="00C10F0F">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I-12.</w:t>
      </w:r>
    </w:p>
  </w:footnote>
  <w:footnote w:id="87">
    <w:p w14:paraId="1044E1A2" w14:textId="77777777" w:rsidR="00354BC7" w:rsidRPr="00F42A32" w:rsidRDefault="00354BC7" w:rsidP="00354BC7">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I-1.</w:t>
      </w:r>
    </w:p>
  </w:footnote>
  <w:footnote w:id="88">
    <w:p w14:paraId="4AAF2883" w14:textId="43E31296" w:rsidR="007E5D4B" w:rsidRPr="00483FEB" w:rsidRDefault="007E5D4B" w:rsidP="007E5D4B">
      <w:pPr>
        <w:pStyle w:val="Notedebasdepage"/>
        <w:rPr>
          <w:lang w:val="en-CA"/>
        </w:rPr>
      </w:pPr>
      <w:r>
        <w:rPr>
          <w:rStyle w:val="Appelnotedebasdep"/>
        </w:rPr>
        <w:footnoteRef/>
      </w:r>
      <w:r w:rsidRPr="00483FEB">
        <w:rPr>
          <w:lang w:val="en-CA"/>
        </w:rPr>
        <w:t xml:space="preserve"> </w:t>
      </w:r>
      <w:r w:rsidRPr="00483FEB">
        <w:rPr>
          <w:lang w:val="en-CA"/>
        </w:rPr>
        <w:tab/>
      </w:r>
      <w:r w:rsidRPr="005E07F3">
        <w:rPr>
          <w:lang w:val="en-CA"/>
        </w:rPr>
        <w:t>Exhibit D-69.</w:t>
      </w:r>
    </w:p>
  </w:footnote>
  <w:footnote w:id="89">
    <w:p w14:paraId="63B0E7DB" w14:textId="77A5F888" w:rsidR="00342EEF" w:rsidRPr="00B10200" w:rsidRDefault="00342EEF" w:rsidP="00342EEF">
      <w:pPr>
        <w:pStyle w:val="Notedebasdepage"/>
        <w:rPr>
          <w:lang w:val="en-CA"/>
        </w:rPr>
      </w:pPr>
      <w:r>
        <w:rPr>
          <w:rStyle w:val="Appelnotedebasdep"/>
        </w:rPr>
        <w:footnoteRef/>
      </w:r>
      <w:r w:rsidRPr="00B10200">
        <w:rPr>
          <w:lang w:val="en-CA"/>
        </w:rPr>
        <w:t xml:space="preserve"> </w:t>
      </w:r>
      <w:r w:rsidRPr="00B10200">
        <w:rPr>
          <w:lang w:val="en-CA"/>
        </w:rPr>
        <w:tab/>
      </w:r>
      <w:r w:rsidR="00D13429">
        <w:rPr>
          <w:lang w:val="en-CA"/>
        </w:rPr>
        <w:t>Exhibit</w:t>
      </w:r>
      <w:r w:rsidRPr="00B10200">
        <w:rPr>
          <w:lang w:val="en-CA"/>
        </w:rPr>
        <w:t xml:space="preserve"> D-23, </w:t>
      </w:r>
      <w:r w:rsidR="009A5E5F" w:rsidRPr="00B10200">
        <w:rPr>
          <w:lang w:val="en-CA"/>
        </w:rPr>
        <w:t>transcript of a digital recording</w:t>
      </w:r>
      <w:r w:rsidRPr="00B10200">
        <w:rPr>
          <w:lang w:val="en-CA"/>
        </w:rPr>
        <w:t>.</w:t>
      </w:r>
    </w:p>
  </w:footnote>
  <w:footnote w:id="90">
    <w:p w14:paraId="31F72881" w14:textId="6FE099B2" w:rsidR="002908E2" w:rsidRPr="00F42A32" w:rsidRDefault="002908E2" w:rsidP="002908E2">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00B10200" w:rsidRPr="005E07F3">
        <w:rPr>
          <w:i/>
          <w:iCs/>
          <w:lang w:val="en-CA"/>
        </w:rPr>
        <w:t xml:space="preserve"> </w:t>
      </w:r>
      <w:r w:rsidR="00B10200" w:rsidRPr="005E07F3">
        <w:rPr>
          <w:lang w:val="en-CA"/>
        </w:rPr>
        <w:t>at 4</w:t>
      </w:r>
      <w:r w:rsidRPr="005E07F3">
        <w:rPr>
          <w:i/>
          <w:iCs/>
          <w:lang w:val="en-CA"/>
        </w:rPr>
        <w:t>.</w:t>
      </w:r>
    </w:p>
  </w:footnote>
  <w:footnote w:id="91">
    <w:p w14:paraId="653EB312" w14:textId="2BF6BB93" w:rsidR="00D72C37" w:rsidRPr="00F42A32" w:rsidRDefault="00D72C37" w:rsidP="00D72C37">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Pr="005E07F3">
        <w:rPr>
          <w:i/>
          <w:iCs/>
          <w:lang w:val="en-CA"/>
        </w:rPr>
        <w:t xml:space="preserve"> </w:t>
      </w:r>
      <w:r w:rsidRPr="005E07F3">
        <w:rPr>
          <w:lang w:val="en-CA"/>
        </w:rPr>
        <w:t>at 8 and 9</w:t>
      </w:r>
      <w:r w:rsidRPr="005E07F3">
        <w:rPr>
          <w:i/>
          <w:iCs/>
          <w:lang w:val="en-CA"/>
        </w:rPr>
        <w:t>.</w:t>
      </w:r>
    </w:p>
  </w:footnote>
  <w:footnote w:id="92">
    <w:p w14:paraId="2C9D329E" w14:textId="554BD391" w:rsidR="009E10F4" w:rsidRPr="00F42A32" w:rsidRDefault="009E10F4" w:rsidP="009E10F4">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Pr="005E07F3">
        <w:rPr>
          <w:i/>
          <w:iCs/>
          <w:lang w:val="en-CA"/>
        </w:rPr>
        <w:t xml:space="preserve"> </w:t>
      </w:r>
      <w:r w:rsidRPr="005E07F3">
        <w:rPr>
          <w:lang w:val="en-CA"/>
        </w:rPr>
        <w:t xml:space="preserve">at </w:t>
      </w:r>
      <w:r w:rsidR="00B10200" w:rsidRPr="005E07F3">
        <w:rPr>
          <w:lang w:val="en-CA"/>
        </w:rPr>
        <w:t>9</w:t>
      </w:r>
      <w:r w:rsidRPr="005E07F3">
        <w:rPr>
          <w:lang w:val="en-CA"/>
        </w:rPr>
        <w:t>.</w:t>
      </w:r>
    </w:p>
  </w:footnote>
  <w:footnote w:id="93">
    <w:p w14:paraId="7456A5F6" w14:textId="799BE140" w:rsidR="00522C2A" w:rsidRPr="00F42A32" w:rsidRDefault="00522C2A" w:rsidP="00522C2A">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Pr="005E07F3">
        <w:rPr>
          <w:i/>
          <w:iCs/>
          <w:lang w:val="en-CA"/>
        </w:rPr>
        <w:t xml:space="preserve"> </w:t>
      </w:r>
      <w:r w:rsidRPr="005E07F3">
        <w:rPr>
          <w:lang w:val="en-CA"/>
        </w:rPr>
        <w:t xml:space="preserve">at </w:t>
      </w:r>
      <w:r w:rsidR="00B10200" w:rsidRPr="005E07F3">
        <w:rPr>
          <w:lang w:val="en-CA"/>
        </w:rPr>
        <w:t>9 and 10</w:t>
      </w:r>
      <w:r w:rsidRPr="005E07F3">
        <w:rPr>
          <w:i/>
          <w:iCs/>
          <w:lang w:val="en-CA"/>
        </w:rPr>
        <w:t>.</w:t>
      </w:r>
    </w:p>
  </w:footnote>
  <w:footnote w:id="94">
    <w:p w14:paraId="550433BC" w14:textId="7CB944C4" w:rsidR="00AA0715" w:rsidRPr="00F42A32" w:rsidRDefault="00AA0715" w:rsidP="00AA0715">
      <w:pPr>
        <w:pStyle w:val="Notedebasdepage"/>
        <w:rPr>
          <w:lang w:val="en-CA"/>
        </w:rPr>
      </w:pPr>
      <w:r>
        <w:rPr>
          <w:rStyle w:val="Appelnotedebasdep"/>
        </w:rPr>
        <w:footnoteRef/>
      </w:r>
      <w:r w:rsidRPr="00F42A32">
        <w:rPr>
          <w:lang w:val="en-CA"/>
        </w:rPr>
        <w:t xml:space="preserve"> </w:t>
      </w:r>
      <w:r w:rsidRPr="00F42A32">
        <w:rPr>
          <w:lang w:val="en-CA"/>
        </w:rPr>
        <w:tab/>
      </w:r>
      <w:r w:rsidRPr="005E07F3">
        <w:rPr>
          <w:i/>
          <w:iCs/>
          <w:lang w:val="en-CA"/>
        </w:rPr>
        <w:t xml:space="preserve">Rules of Evidence and Procedure of the Financial Markets Administrative Tribunal, </w:t>
      </w:r>
      <w:r w:rsidRPr="005E07F3">
        <w:rPr>
          <w:lang w:val="en-CA"/>
        </w:rPr>
        <w:t>CQLR, c. E-6.1, r.</w:t>
      </w:r>
      <w:r w:rsidR="00E34CF1" w:rsidRPr="005E07F3">
        <w:rPr>
          <w:lang w:val="en-CA"/>
        </w:rPr>
        <w:t> </w:t>
      </w:r>
      <w:r w:rsidRPr="005E07F3">
        <w:rPr>
          <w:lang w:val="en-CA"/>
        </w:rPr>
        <w:t>0.3</w:t>
      </w:r>
      <w:r w:rsidR="00B10200" w:rsidRPr="00B10200">
        <w:rPr>
          <w:lang w:val="en-CA"/>
        </w:rPr>
        <w:t>,</w:t>
      </w:r>
      <w:r w:rsidR="00B10200">
        <w:rPr>
          <w:lang w:val="en-CA"/>
        </w:rPr>
        <w:t xml:space="preserve"> s.</w:t>
      </w:r>
      <w:r w:rsidRPr="00F42A32">
        <w:rPr>
          <w:lang w:val="en-CA"/>
        </w:rPr>
        <w:t xml:space="preserve"> 65.</w:t>
      </w:r>
    </w:p>
  </w:footnote>
  <w:footnote w:id="95">
    <w:p w14:paraId="2A86A9D3" w14:textId="046D3CBB" w:rsidR="00A93FB9" w:rsidRPr="00E702E0" w:rsidRDefault="00A93FB9">
      <w:pPr>
        <w:pStyle w:val="Notedebasdepage"/>
        <w:rPr>
          <w:lang w:val="en-CA"/>
        </w:rPr>
      </w:pPr>
      <w:r>
        <w:rPr>
          <w:rStyle w:val="Appelnotedebasdep"/>
        </w:rPr>
        <w:footnoteRef/>
      </w:r>
      <w:r w:rsidRPr="00E702E0">
        <w:rPr>
          <w:lang w:val="en-CA"/>
        </w:rPr>
        <w:t xml:space="preserve"> </w:t>
      </w:r>
      <w:r w:rsidR="008D3253" w:rsidRPr="00E702E0">
        <w:rPr>
          <w:lang w:val="en-CA"/>
        </w:rPr>
        <w:t>2010 QCCS 1763.</w:t>
      </w:r>
    </w:p>
  </w:footnote>
  <w:footnote w:id="96">
    <w:p w14:paraId="1DB8CE8B" w14:textId="3B7760E3" w:rsidR="008D3253" w:rsidRDefault="00A93FB9">
      <w:pPr>
        <w:pStyle w:val="Notedebasdepage"/>
        <w:rPr>
          <w:lang w:val="en-CA"/>
        </w:rPr>
      </w:pPr>
      <w:r>
        <w:rPr>
          <w:rStyle w:val="Appelnotedebasdep"/>
        </w:rPr>
        <w:footnoteRef/>
      </w:r>
      <w:r w:rsidRPr="008D3253">
        <w:rPr>
          <w:lang w:val="en-CA"/>
        </w:rPr>
        <w:t xml:space="preserve"> </w:t>
      </w:r>
      <w:r w:rsidR="00D1088A">
        <w:rPr>
          <w:i/>
          <w:iCs/>
          <w:lang w:val="en-CA"/>
        </w:rPr>
        <w:t>Ibid</w:t>
      </w:r>
      <w:r w:rsidR="008D3253" w:rsidRPr="008D3253">
        <w:rPr>
          <w:lang w:val="en-CA"/>
        </w:rPr>
        <w:t>: [</w:t>
      </w:r>
      <w:r w:rsidR="008D3253" w:rsidRPr="008D3253">
        <w:rPr>
          <w:smallCaps/>
          <w:lang w:val="en-CA"/>
        </w:rPr>
        <w:t xml:space="preserve">translation] </w:t>
      </w:r>
      <w:r w:rsidR="008D3253">
        <w:rPr>
          <w:lang w:val="en-CA"/>
        </w:rPr>
        <w:t>“The criteria to assess witness credibility and reliability can be summarized as follows:</w:t>
      </w:r>
    </w:p>
    <w:p w14:paraId="28DA19B6" w14:textId="51A31B83" w:rsidR="00A93FB9" w:rsidRDefault="008D3253" w:rsidP="008D3253">
      <w:pPr>
        <w:pStyle w:val="Notedebasdepage"/>
        <w:numPr>
          <w:ilvl w:val="0"/>
          <w:numId w:val="43"/>
        </w:numPr>
        <w:rPr>
          <w:lang w:val="en-CA"/>
        </w:rPr>
      </w:pPr>
      <w:r>
        <w:rPr>
          <w:lang w:val="en-CA"/>
        </w:rPr>
        <w:t xml:space="preserve">the general integrity and intelligence of the </w:t>
      </w:r>
      <w:proofErr w:type="gramStart"/>
      <w:r>
        <w:rPr>
          <w:lang w:val="en-CA"/>
        </w:rPr>
        <w:t>witness;</w:t>
      </w:r>
      <w:proofErr w:type="gramEnd"/>
    </w:p>
    <w:p w14:paraId="72B21E0B" w14:textId="7D55E411" w:rsidR="008D3253" w:rsidRDefault="008D3253" w:rsidP="008D3253">
      <w:pPr>
        <w:pStyle w:val="Notedebasdepage"/>
        <w:numPr>
          <w:ilvl w:val="0"/>
          <w:numId w:val="43"/>
        </w:numPr>
        <w:rPr>
          <w:lang w:val="en-CA"/>
        </w:rPr>
      </w:pPr>
      <w:r>
        <w:rPr>
          <w:lang w:val="en-CA"/>
        </w:rPr>
        <w:t xml:space="preserve">their ability to </w:t>
      </w:r>
      <w:proofErr w:type="gramStart"/>
      <w:r>
        <w:rPr>
          <w:lang w:val="en-CA"/>
        </w:rPr>
        <w:t>observe;</w:t>
      </w:r>
      <w:proofErr w:type="gramEnd"/>
    </w:p>
    <w:p w14:paraId="28E08282" w14:textId="3554E53F" w:rsidR="008D3253" w:rsidRDefault="008D3253" w:rsidP="008D3253">
      <w:pPr>
        <w:pStyle w:val="Notedebasdepage"/>
        <w:numPr>
          <w:ilvl w:val="0"/>
          <w:numId w:val="43"/>
        </w:numPr>
        <w:rPr>
          <w:lang w:val="en-CA"/>
        </w:rPr>
      </w:pPr>
      <w:r>
        <w:rPr>
          <w:lang w:val="en-CA"/>
        </w:rPr>
        <w:t xml:space="preserve">the capacity and reliability of their </w:t>
      </w:r>
      <w:proofErr w:type="gramStart"/>
      <w:r>
        <w:rPr>
          <w:lang w:val="en-CA"/>
        </w:rPr>
        <w:t>memory;</w:t>
      </w:r>
      <w:proofErr w:type="gramEnd"/>
    </w:p>
    <w:p w14:paraId="2516ACDD" w14:textId="5BD56AD4" w:rsidR="008D3253" w:rsidRDefault="008D3253" w:rsidP="008D3253">
      <w:pPr>
        <w:pStyle w:val="Notedebasdepage"/>
        <w:numPr>
          <w:ilvl w:val="0"/>
          <w:numId w:val="43"/>
        </w:numPr>
        <w:rPr>
          <w:lang w:val="en-CA"/>
        </w:rPr>
      </w:pPr>
      <w:r>
        <w:rPr>
          <w:lang w:val="en-CA"/>
        </w:rPr>
        <w:t xml:space="preserve">the accuracy of their </w:t>
      </w:r>
      <w:proofErr w:type="gramStart"/>
      <w:r>
        <w:rPr>
          <w:lang w:val="en-CA"/>
        </w:rPr>
        <w:t>testimony;</w:t>
      </w:r>
      <w:proofErr w:type="gramEnd"/>
    </w:p>
    <w:p w14:paraId="5C5E0410" w14:textId="075601BD" w:rsidR="008D3253" w:rsidRDefault="008D3253" w:rsidP="008D3253">
      <w:pPr>
        <w:pStyle w:val="Notedebasdepage"/>
        <w:numPr>
          <w:ilvl w:val="0"/>
          <w:numId w:val="43"/>
        </w:numPr>
        <w:rPr>
          <w:lang w:val="en-CA"/>
        </w:rPr>
      </w:pPr>
      <w:r>
        <w:rPr>
          <w:lang w:val="en-CA"/>
        </w:rPr>
        <w:t xml:space="preserve">their willingness to tell the truth in good </w:t>
      </w:r>
      <w:proofErr w:type="gramStart"/>
      <w:r>
        <w:rPr>
          <w:lang w:val="en-CA"/>
        </w:rPr>
        <w:t>faith;</w:t>
      </w:r>
      <w:proofErr w:type="gramEnd"/>
    </w:p>
    <w:p w14:paraId="0DBCC2F0" w14:textId="0445224A" w:rsidR="008D3253" w:rsidRDefault="008D3253" w:rsidP="008D3253">
      <w:pPr>
        <w:pStyle w:val="Notedebasdepage"/>
        <w:numPr>
          <w:ilvl w:val="0"/>
          <w:numId w:val="43"/>
        </w:numPr>
        <w:rPr>
          <w:lang w:val="en-CA"/>
        </w:rPr>
      </w:pPr>
      <w:r>
        <w:rPr>
          <w:lang w:val="en-CA"/>
        </w:rPr>
        <w:t xml:space="preserve">their sincerity, candour, and </w:t>
      </w:r>
      <w:proofErr w:type="gramStart"/>
      <w:r>
        <w:rPr>
          <w:lang w:val="en-CA"/>
        </w:rPr>
        <w:t>biases;</w:t>
      </w:r>
      <w:proofErr w:type="gramEnd"/>
    </w:p>
    <w:p w14:paraId="3EAF1CFD" w14:textId="44FE9584" w:rsidR="008D3253" w:rsidRDefault="008D3253" w:rsidP="008D3253">
      <w:pPr>
        <w:pStyle w:val="Notedebasdepage"/>
        <w:numPr>
          <w:ilvl w:val="0"/>
          <w:numId w:val="43"/>
        </w:numPr>
        <w:rPr>
          <w:lang w:val="en-CA"/>
        </w:rPr>
      </w:pPr>
      <w:r>
        <w:rPr>
          <w:lang w:val="en-CA"/>
        </w:rPr>
        <w:t xml:space="preserve">the evasiveness or reluctance of their </w:t>
      </w:r>
      <w:proofErr w:type="gramStart"/>
      <w:r>
        <w:rPr>
          <w:lang w:val="en-CA"/>
        </w:rPr>
        <w:t>testimony;</w:t>
      </w:r>
      <w:proofErr w:type="gramEnd"/>
    </w:p>
    <w:p w14:paraId="183A3E25" w14:textId="5E424C8C" w:rsidR="008D3253" w:rsidRDefault="008D3253" w:rsidP="008D3253">
      <w:pPr>
        <w:pStyle w:val="Notedebasdepage"/>
        <w:numPr>
          <w:ilvl w:val="0"/>
          <w:numId w:val="43"/>
        </w:numPr>
        <w:rPr>
          <w:lang w:val="en-CA"/>
        </w:rPr>
      </w:pPr>
      <w:r>
        <w:rPr>
          <w:lang w:val="en-CA"/>
        </w:rPr>
        <w:t xml:space="preserve">the conduct of the </w:t>
      </w:r>
      <w:proofErr w:type="gramStart"/>
      <w:r>
        <w:rPr>
          <w:lang w:val="en-CA"/>
        </w:rPr>
        <w:t>witness;</w:t>
      </w:r>
      <w:proofErr w:type="gramEnd"/>
    </w:p>
    <w:p w14:paraId="259A431D" w14:textId="63DD8DDD" w:rsidR="008D3253" w:rsidRDefault="008D3253" w:rsidP="008D3253">
      <w:pPr>
        <w:pStyle w:val="Notedebasdepage"/>
        <w:numPr>
          <w:ilvl w:val="0"/>
          <w:numId w:val="43"/>
        </w:numPr>
        <w:rPr>
          <w:lang w:val="en-CA"/>
        </w:rPr>
      </w:pPr>
      <w:r>
        <w:rPr>
          <w:lang w:val="en-CA"/>
        </w:rPr>
        <w:t>the reliability of the testimony; and</w:t>
      </w:r>
    </w:p>
    <w:p w14:paraId="7BC6B41B" w14:textId="36FA967A" w:rsidR="008D3253" w:rsidRPr="008D3253" w:rsidRDefault="008D3253" w:rsidP="008D3253">
      <w:pPr>
        <w:pStyle w:val="Notedebasdepage"/>
        <w:numPr>
          <w:ilvl w:val="0"/>
          <w:numId w:val="43"/>
        </w:numPr>
        <w:rPr>
          <w:lang w:val="en-CA"/>
        </w:rPr>
      </w:pPr>
      <w:r>
        <w:rPr>
          <w:lang w:val="en-CA"/>
        </w:rPr>
        <w:t xml:space="preserve">the consistency of the testimony with all the evidence, </w:t>
      </w:r>
      <w:r w:rsidR="00EF1B21">
        <w:rPr>
          <w:lang w:val="en-CA"/>
        </w:rPr>
        <w:t>and the existence of contradictions with the other testimony and the evidence.” [References omitted]</w:t>
      </w:r>
    </w:p>
  </w:footnote>
  <w:footnote w:id="97">
    <w:p w14:paraId="579503E2" w14:textId="77777777" w:rsidR="00C50DFE" w:rsidRPr="006F170F" w:rsidRDefault="00C50DFE" w:rsidP="00C50DFE">
      <w:pPr>
        <w:pStyle w:val="Notedebasdepage"/>
      </w:pPr>
      <w:r>
        <w:rPr>
          <w:rStyle w:val="Appelnotedebasdep"/>
        </w:rPr>
        <w:footnoteRef/>
      </w:r>
      <w:r w:rsidRPr="006F170F">
        <w:t xml:space="preserve"> </w:t>
      </w:r>
      <w:r w:rsidRPr="006F170F">
        <w:tab/>
        <w:t>[1952] 2 D.L.R. 354.</w:t>
      </w:r>
    </w:p>
  </w:footnote>
  <w:footnote w:id="98">
    <w:p w14:paraId="2646A41E" w14:textId="415A0532" w:rsidR="002D40E9" w:rsidRDefault="005D25C5">
      <w:pPr>
        <w:pStyle w:val="Notedebasdepage"/>
      </w:pPr>
      <w:r>
        <w:rPr>
          <w:rStyle w:val="Appelnotedebasdep"/>
        </w:rPr>
        <w:footnoteRef/>
      </w:r>
      <w:r>
        <w:t xml:space="preserve"> </w:t>
      </w:r>
      <w:r>
        <w:tab/>
      </w:r>
      <w:r w:rsidR="006F170F">
        <w:t xml:space="preserve">The translation is found in </w:t>
      </w:r>
      <w:r w:rsidRPr="00B834F5">
        <w:rPr>
          <w:i/>
          <w:iCs/>
        </w:rPr>
        <w:t xml:space="preserve">Gestion immobilière Gouin </w:t>
      </w:r>
      <w:r w:rsidRPr="00BA55C9">
        <w:t xml:space="preserve">c. </w:t>
      </w:r>
      <w:r w:rsidRPr="00B834F5">
        <w:rPr>
          <w:i/>
          <w:iCs/>
        </w:rPr>
        <w:t>Complexe funéraire Fortin</w:t>
      </w:r>
      <w:r>
        <w:rPr>
          <w:rFonts w:cs="Arial"/>
        </w:rPr>
        <w:t>, 2010 QCCS 1763</w:t>
      </w:r>
      <w:r w:rsidR="006F170F">
        <w:rPr>
          <w:rFonts w:cs="Arial"/>
        </w:rPr>
        <w:t xml:space="preserve"> at</w:t>
      </w:r>
      <w:r>
        <w:rPr>
          <w:rFonts w:cs="Arial"/>
        </w:rPr>
        <w:t xml:space="preserve"> par</w:t>
      </w:r>
      <w:r w:rsidR="006F170F">
        <w:rPr>
          <w:rFonts w:cs="Arial"/>
        </w:rPr>
        <w:t>a</w:t>
      </w:r>
      <w:r>
        <w:rPr>
          <w:rFonts w:cs="Arial"/>
        </w:rPr>
        <w:t>. 40.</w:t>
      </w:r>
    </w:p>
  </w:footnote>
  <w:footnote w:id="99">
    <w:p w14:paraId="17911F6C" w14:textId="6E3A596F" w:rsidR="00450C19" w:rsidRPr="007451B4" w:rsidRDefault="00450C19" w:rsidP="00450C19">
      <w:pPr>
        <w:pStyle w:val="Notedebasdepage"/>
        <w:rPr>
          <w:lang w:val="en-CA"/>
        </w:rPr>
      </w:pPr>
      <w:r>
        <w:rPr>
          <w:rStyle w:val="Appelnotedebasdep"/>
        </w:rPr>
        <w:footnoteRef/>
      </w:r>
      <w:r w:rsidRPr="007451B4">
        <w:rPr>
          <w:lang w:val="en-CA"/>
        </w:rPr>
        <w:t xml:space="preserve"> </w:t>
      </w:r>
      <w:r w:rsidRPr="007451B4">
        <w:rPr>
          <w:lang w:val="en-CA"/>
        </w:rPr>
        <w:tab/>
      </w:r>
      <w:r w:rsidR="007451B4" w:rsidRPr="007451B4">
        <w:rPr>
          <w:lang w:val="en-CA"/>
        </w:rPr>
        <w:t>Exhibit</w:t>
      </w:r>
      <w:r w:rsidRPr="007451B4">
        <w:rPr>
          <w:lang w:val="en-CA"/>
        </w:rPr>
        <w:t xml:space="preserve"> D-23</w:t>
      </w:r>
      <w:r w:rsidR="007451B4" w:rsidRPr="007451B4">
        <w:rPr>
          <w:lang w:val="en-CA"/>
        </w:rPr>
        <w:t xml:space="preserve"> at</w:t>
      </w:r>
      <w:r w:rsidRPr="007451B4">
        <w:rPr>
          <w:lang w:val="en-CA"/>
        </w:rPr>
        <w:t xml:space="preserve"> 136, line 16</w:t>
      </w:r>
      <w:r w:rsidR="007451B4" w:rsidRPr="007451B4">
        <w:rPr>
          <w:lang w:val="en-CA"/>
        </w:rPr>
        <w:t>, and at</w:t>
      </w:r>
      <w:r w:rsidRPr="007451B4">
        <w:rPr>
          <w:lang w:val="en-CA"/>
        </w:rPr>
        <w:t xml:space="preserve"> 183, line 11.</w:t>
      </w:r>
    </w:p>
  </w:footnote>
  <w:footnote w:id="100">
    <w:p w14:paraId="6180D98E" w14:textId="61549786" w:rsidR="002D40E9" w:rsidRPr="0018266A" w:rsidRDefault="005D25C5">
      <w:pPr>
        <w:pStyle w:val="Notedebasdepage"/>
        <w:rPr>
          <w:lang w:val="en-CA"/>
        </w:rPr>
      </w:pPr>
      <w:r>
        <w:rPr>
          <w:rStyle w:val="Appelnotedebasdep"/>
        </w:rPr>
        <w:footnoteRef/>
      </w:r>
      <w:r w:rsidRPr="00F42A32">
        <w:rPr>
          <w:lang w:val="en-CA"/>
        </w:rPr>
        <w:t xml:space="preserve"> </w:t>
      </w:r>
      <w:r w:rsidRPr="00F42A32">
        <w:rPr>
          <w:lang w:val="en-CA"/>
        </w:rPr>
        <w:tab/>
      </w:r>
      <w:r w:rsidR="00D1088A">
        <w:rPr>
          <w:i/>
          <w:iCs/>
          <w:lang w:val="en-CA"/>
        </w:rPr>
        <w:t>Ibid</w:t>
      </w:r>
      <w:r w:rsidR="0018266A">
        <w:rPr>
          <w:i/>
          <w:iCs/>
          <w:lang w:val="en-CA"/>
        </w:rPr>
        <w:t xml:space="preserve"> </w:t>
      </w:r>
      <w:r w:rsidR="0018266A">
        <w:rPr>
          <w:lang w:val="en-CA"/>
        </w:rPr>
        <w:t>at 136, lines 16 and 70.</w:t>
      </w:r>
    </w:p>
  </w:footnote>
  <w:footnote w:id="101">
    <w:p w14:paraId="0074C7A8" w14:textId="66640A88" w:rsidR="002D40E9" w:rsidRPr="0018266A" w:rsidRDefault="005D25C5" w:rsidP="00E90797">
      <w:pPr>
        <w:pStyle w:val="Notedebasdepage"/>
        <w:rPr>
          <w:lang w:val="en-CA"/>
        </w:rPr>
      </w:pPr>
      <w:r>
        <w:rPr>
          <w:rStyle w:val="Appelnotedebasdep"/>
        </w:rPr>
        <w:footnoteRef/>
      </w:r>
      <w:r w:rsidRPr="00F42A32">
        <w:rPr>
          <w:lang w:val="en-CA"/>
        </w:rPr>
        <w:t xml:space="preserve"> </w:t>
      </w:r>
      <w:r w:rsidRPr="00F42A32">
        <w:rPr>
          <w:lang w:val="en-CA"/>
        </w:rPr>
        <w:tab/>
      </w:r>
      <w:r w:rsidR="00D1088A">
        <w:rPr>
          <w:i/>
          <w:iCs/>
          <w:lang w:val="en-CA"/>
        </w:rPr>
        <w:t>Ibid</w:t>
      </w:r>
      <w:r w:rsidR="0018266A">
        <w:rPr>
          <w:i/>
          <w:iCs/>
          <w:lang w:val="en-CA"/>
        </w:rPr>
        <w:t xml:space="preserve"> </w:t>
      </w:r>
      <w:r w:rsidR="0018266A">
        <w:rPr>
          <w:lang w:val="en-CA"/>
        </w:rPr>
        <w:t>at 183, lines 11–13.</w:t>
      </w:r>
    </w:p>
  </w:footnote>
  <w:footnote w:id="102">
    <w:p w14:paraId="7CEF4722" w14:textId="1D56AEDA" w:rsidR="002D40E9" w:rsidRPr="0018266A" w:rsidRDefault="005D25C5" w:rsidP="00D70B2D">
      <w:pPr>
        <w:pStyle w:val="Notedebasdepage"/>
        <w:rPr>
          <w:lang w:val="en-CA"/>
        </w:rPr>
      </w:pPr>
      <w:r>
        <w:rPr>
          <w:rStyle w:val="Appelnotedebasdep"/>
        </w:rPr>
        <w:footnoteRef/>
      </w:r>
      <w:r w:rsidRPr="00F42A32">
        <w:rPr>
          <w:lang w:val="en-CA"/>
        </w:rPr>
        <w:t xml:space="preserve"> </w:t>
      </w:r>
      <w:r w:rsidRPr="00F42A32">
        <w:rPr>
          <w:lang w:val="en-CA"/>
        </w:rPr>
        <w:tab/>
      </w:r>
      <w:r w:rsidR="00D1088A">
        <w:rPr>
          <w:i/>
          <w:iCs/>
          <w:lang w:val="en-CA"/>
        </w:rPr>
        <w:t>Ibid</w:t>
      </w:r>
      <w:r w:rsidR="0018266A">
        <w:rPr>
          <w:i/>
          <w:iCs/>
          <w:lang w:val="en-CA"/>
        </w:rPr>
        <w:t xml:space="preserve"> </w:t>
      </w:r>
      <w:r w:rsidR="0018266A">
        <w:rPr>
          <w:lang w:val="en-CA"/>
        </w:rPr>
        <w:t>at 159, lines 7–15.</w:t>
      </w:r>
    </w:p>
  </w:footnote>
  <w:footnote w:id="103">
    <w:p w14:paraId="406A43C5" w14:textId="10E952D9" w:rsidR="000F0236" w:rsidRPr="006012D9" w:rsidRDefault="000F0236" w:rsidP="000F0236">
      <w:pPr>
        <w:pStyle w:val="Notedebasdepage"/>
        <w:rPr>
          <w:lang w:val="en-CA"/>
        </w:rPr>
      </w:pPr>
      <w:r>
        <w:rPr>
          <w:rStyle w:val="Appelnotedebasdep"/>
        </w:rPr>
        <w:footnoteRef/>
      </w:r>
      <w:r w:rsidRPr="00F42A32">
        <w:rPr>
          <w:lang w:val="en-CA"/>
        </w:rPr>
        <w:t xml:space="preserve"> </w:t>
      </w:r>
      <w:r w:rsidRPr="00F42A32">
        <w:rPr>
          <w:lang w:val="en-CA"/>
        </w:rPr>
        <w:tab/>
      </w:r>
      <w:r w:rsidR="00D1088A">
        <w:rPr>
          <w:i/>
          <w:iCs/>
          <w:lang w:val="en-CA"/>
        </w:rPr>
        <w:t>Ibid</w:t>
      </w:r>
      <w:r w:rsidR="006012D9">
        <w:rPr>
          <w:i/>
          <w:iCs/>
          <w:lang w:val="en-CA"/>
        </w:rPr>
        <w:t xml:space="preserve"> </w:t>
      </w:r>
      <w:r w:rsidR="006012D9">
        <w:rPr>
          <w:lang w:val="en-CA"/>
        </w:rPr>
        <w:t>at 48, 93, 97, 159, 184 and 205.</w:t>
      </w:r>
    </w:p>
  </w:footnote>
  <w:footnote w:id="104">
    <w:p w14:paraId="450D8760" w14:textId="6907118E" w:rsidR="00B4156D" w:rsidRPr="006012D9" w:rsidRDefault="00B4156D" w:rsidP="00B4156D">
      <w:pPr>
        <w:pStyle w:val="Notedebasdepage"/>
        <w:rPr>
          <w:lang w:val="en-CA"/>
        </w:rPr>
      </w:pPr>
      <w:r>
        <w:rPr>
          <w:rStyle w:val="Appelnotedebasdep"/>
        </w:rPr>
        <w:footnoteRef/>
      </w:r>
      <w:r w:rsidRPr="006012D9">
        <w:rPr>
          <w:lang w:val="en-CA"/>
        </w:rPr>
        <w:t xml:space="preserve"> </w:t>
      </w:r>
      <w:r w:rsidRPr="006012D9">
        <w:rPr>
          <w:lang w:val="en-CA"/>
        </w:rPr>
        <w:tab/>
      </w:r>
      <w:r w:rsidR="00D1088A">
        <w:rPr>
          <w:i/>
          <w:iCs/>
          <w:lang w:val="en-CA"/>
        </w:rPr>
        <w:t>Ibid</w:t>
      </w:r>
      <w:r w:rsidR="006012D9">
        <w:rPr>
          <w:i/>
          <w:iCs/>
          <w:lang w:val="en-CA"/>
        </w:rPr>
        <w:t xml:space="preserve"> </w:t>
      </w:r>
      <w:r w:rsidR="006012D9">
        <w:rPr>
          <w:lang w:val="en-CA"/>
        </w:rPr>
        <w:t xml:space="preserve">at </w:t>
      </w:r>
      <w:r w:rsidRPr="006012D9">
        <w:rPr>
          <w:lang w:val="en-CA"/>
        </w:rPr>
        <w:t xml:space="preserve">127, 131, 151, 159, 183, 185 </w:t>
      </w:r>
      <w:r w:rsidR="006012D9">
        <w:rPr>
          <w:lang w:val="en-CA"/>
        </w:rPr>
        <w:t>and</w:t>
      </w:r>
      <w:r w:rsidRPr="006012D9">
        <w:rPr>
          <w:lang w:val="en-CA"/>
        </w:rPr>
        <w:t xml:space="preserve"> 204. </w:t>
      </w:r>
    </w:p>
  </w:footnote>
  <w:footnote w:id="105">
    <w:p w14:paraId="5D335664" w14:textId="6A64B980" w:rsidR="00B4156D" w:rsidRPr="007E73E1" w:rsidRDefault="00B4156D" w:rsidP="00B4156D">
      <w:pPr>
        <w:pStyle w:val="Notedebasdepage"/>
        <w:rPr>
          <w:lang w:val="en-CA"/>
        </w:rPr>
      </w:pPr>
      <w:r>
        <w:rPr>
          <w:rStyle w:val="Appelnotedebasdep"/>
        </w:rPr>
        <w:footnoteRef/>
      </w:r>
      <w:r w:rsidRPr="007E73E1">
        <w:rPr>
          <w:lang w:val="en-CA"/>
        </w:rPr>
        <w:t xml:space="preserve"> </w:t>
      </w:r>
      <w:r w:rsidRPr="007E73E1">
        <w:rPr>
          <w:lang w:val="en-CA"/>
        </w:rPr>
        <w:tab/>
      </w:r>
      <w:r w:rsidR="00D1088A">
        <w:rPr>
          <w:i/>
          <w:iCs/>
          <w:lang w:val="en-CA"/>
        </w:rPr>
        <w:t>Ibid</w:t>
      </w:r>
      <w:r w:rsidR="007E73E1">
        <w:rPr>
          <w:i/>
          <w:iCs/>
          <w:lang w:val="en-CA"/>
        </w:rPr>
        <w:t xml:space="preserve"> </w:t>
      </w:r>
      <w:r w:rsidR="007E73E1">
        <w:rPr>
          <w:lang w:val="en-CA"/>
        </w:rPr>
        <w:t>at 136 and 321.</w:t>
      </w:r>
    </w:p>
  </w:footnote>
  <w:footnote w:id="106">
    <w:p w14:paraId="79BB3ADC" w14:textId="279C15FB" w:rsidR="00CD6416" w:rsidRPr="007E73E1" w:rsidRDefault="00CD6416" w:rsidP="00CD6416">
      <w:pPr>
        <w:pStyle w:val="Notedebasdepage"/>
        <w:rPr>
          <w:lang w:val="en-CA"/>
        </w:rPr>
      </w:pPr>
      <w:r>
        <w:rPr>
          <w:rStyle w:val="Appelnotedebasdep"/>
        </w:rPr>
        <w:footnoteRef/>
      </w:r>
      <w:r w:rsidRPr="00F42A32">
        <w:rPr>
          <w:lang w:val="en-CA"/>
        </w:rPr>
        <w:t xml:space="preserve"> </w:t>
      </w:r>
      <w:r w:rsidRPr="00F42A32">
        <w:rPr>
          <w:lang w:val="en-CA"/>
        </w:rPr>
        <w:tab/>
      </w:r>
      <w:r w:rsidR="00D1088A">
        <w:rPr>
          <w:i/>
          <w:iCs/>
          <w:lang w:val="en-CA"/>
        </w:rPr>
        <w:t>Ibid</w:t>
      </w:r>
      <w:r w:rsidR="007E73E1">
        <w:rPr>
          <w:i/>
          <w:iCs/>
          <w:lang w:val="en-CA"/>
        </w:rPr>
        <w:t xml:space="preserve"> </w:t>
      </w:r>
      <w:r w:rsidR="007E73E1">
        <w:rPr>
          <w:lang w:val="en-CA"/>
        </w:rPr>
        <w:t>at 136.</w:t>
      </w:r>
    </w:p>
  </w:footnote>
  <w:footnote w:id="107">
    <w:p w14:paraId="48C13D2A" w14:textId="77688EE3"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Pr="005E07F3">
        <w:rPr>
          <w:i/>
          <w:iCs/>
          <w:lang w:val="en-CA"/>
        </w:rPr>
        <w:t xml:space="preserve"> </w:t>
      </w:r>
      <w:r w:rsidRPr="005E07F3">
        <w:rPr>
          <w:lang w:val="en-CA"/>
        </w:rPr>
        <w:t>at</w:t>
      </w:r>
      <w:r w:rsidRPr="005E07F3">
        <w:rPr>
          <w:i/>
          <w:iCs/>
          <w:lang w:val="en-CA"/>
        </w:rPr>
        <w:t xml:space="preserve"> </w:t>
      </w:r>
      <w:r w:rsidR="007E73E1" w:rsidRPr="005E07F3">
        <w:rPr>
          <w:lang w:val="en-CA"/>
        </w:rPr>
        <w:t>200</w:t>
      </w:r>
      <w:r w:rsidRPr="005E07F3">
        <w:rPr>
          <w:i/>
          <w:iCs/>
          <w:lang w:val="en-CA"/>
        </w:rPr>
        <w:t>.</w:t>
      </w:r>
    </w:p>
  </w:footnote>
  <w:footnote w:id="108">
    <w:p w14:paraId="03910BF9" w14:textId="586D3321" w:rsidR="001613F9" w:rsidRPr="00F42A32" w:rsidRDefault="001613F9" w:rsidP="001613F9">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Pr="005E07F3">
        <w:rPr>
          <w:i/>
          <w:iCs/>
          <w:lang w:val="en-CA"/>
        </w:rPr>
        <w:t xml:space="preserve"> </w:t>
      </w:r>
      <w:r w:rsidRPr="005E07F3">
        <w:rPr>
          <w:lang w:val="en-CA"/>
        </w:rPr>
        <w:t>at 166.</w:t>
      </w:r>
    </w:p>
  </w:footnote>
  <w:footnote w:id="109">
    <w:p w14:paraId="23E8FCB7" w14:textId="5AC822BC" w:rsidR="00934A64" w:rsidRPr="00D30D6A" w:rsidRDefault="00934A64" w:rsidP="00934A64">
      <w:pPr>
        <w:pStyle w:val="Notedebasdepage"/>
        <w:rPr>
          <w:lang w:val="en-CA"/>
        </w:rPr>
      </w:pPr>
      <w:r>
        <w:rPr>
          <w:rStyle w:val="Appelnotedebasdep"/>
        </w:rPr>
        <w:footnoteRef/>
      </w:r>
      <w:r w:rsidRPr="00D30D6A">
        <w:rPr>
          <w:lang w:val="en-CA"/>
        </w:rPr>
        <w:t xml:space="preserve"> </w:t>
      </w:r>
      <w:r w:rsidRPr="00D30D6A">
        <w:rPr>
          <w:lang w:val="en-CA"/>
        </w:rPr>
        <w:tab/>
      </w:r>
      <w:r w:rsidR="00D1088A" w:rsidRPr="00D30D6A">
        <w:rPr>
          <w:i/>
          <w:iCs/>
          <w:lang w:val="en-CA"/>
        </w:rPr>
        <w:t>Ibid</w:t>
      </w:r>
      <w:r w:rsidRPr="00D30D6A">
        <w:rPr>
          <w:lang w:val="en-CA"/>
        </w:rPr>
        <w:t xml:space="preserve"> </w:t>
      </w:r>
      <w:r w:rsidR="00500B1B" w:rsidRPr="00D30D6A">
        <w:rPr>
          <w:lang w:val="en-CA"/>
        </w:rPr>
        <w:t xml:space="preserve">at </w:t>
      </w:r>
      <w:r w:rsidRPr="00D30D6A">
        <w:rPr>
          <w:lang w:val="en-CA"/>
        </w:rPr>
        <w:t xml:space="preserve">131, 135, 140,163, 166 </w:t>
      </w:r>
      <w:r w:rsidR="00500B1B" w:rsidRPr="00D30D6A">
        <w:rPr>
          <w:lang w:val="en-CA"/>
        </w:rPr>
        <w:t>and</w:t>
      </w:r>
      <w:r w:rsidRPr="00D30D6A">
        <w:rPr>
          <w:lang w:val="en-CA"/>
        </w:rPr>
        <w:t xml:space="preserve"> 179.</w:t>
      </w:r>
    </w:p>
  </w:footnote>
  <w:footnote w:id="110">
    <w:p w14:paraId="368F3164" w14:textId="11991578" w:rsidR="00FE69CC" w:rsidRPr="00D30D6A" w:rsidRDefault="00FE69CC" w:rsidP="00FE69CC">
      <w:pPr>
        <w:pStyle w:val="Notedebasdepage"/>
        <w:rPr>
          <w:lang w:val="en-CA"/>
        </w:rPr>
      </w:pPr>
      <w:r>
        <w:rPr>
          <w:rStyle w:val="Appelnotedebasdep"/>
        </w:rPr>
        <w:footnoteRef/>
      </w:r>
      <w:r w:rsidRPr="00D30D6A">
        <w:rPr>
          <w:lang w:val="en-CA"/>
        </w:rPr>
        <w:t xml:space="preserve"> </w:t>
      </w:r>
      <w:r w:rsidRPr="00D30D6A">
        <w:rPr>
          <w:lang w:val="en-CA"/>
        </w:rPr>
        <w:tab/>
      </w:r>
      <w:r w:rsidRPr="00D30D6A">
        <w:rPr>
          <w:i/>
          <w:iCs/>
          <w:lang w:val="en-CA"/>
        </w:rPr>
        <w:t>I</w:t>
      </w:r>
      <w:r w:rsidR="00500B1B" w:rsidRPr="00D30D6A">
        <w:rPr>
          <w:i/>
          <w:iCs/>
          <w:lang w:val="en-CA"/>
        </w:rPr>
        <w:t xml:space="preserve">bid </w:t>
      </w:r>
      <w:r w:rsidR="00500B1B" w:rsidRPr="00D30D6A">
        <w:rPr>
          <w:lang w:val="en-CA"/>
        </w:rPr>
        <w:t xml:space="preserve">at </w:t>
      </w:r>
      <w:r w:rsidRPr="00D30D6A">
        <w:rPr>
          <w:lang w:val="en-CA"/>
        </w:rPr>
        <w:t xml:space="preserve">226, 227, 236, 247, 250 </w:t>
      </w:r>
      <w:r w:rsidR="00500B1B" w:rsidRPr="00D30D6A">
        <w:rPr>
          <w:lang w:val="en-CA"/>
        </w:rPr>
        <w:t>and</w:t>
      </w:r>
      <w:r w:rsidRPr="00D30D6A">
        <w:rPr>
          <w:lang w:val="en-CA"/>
        </w:rPr>
        <w:t xml:space="preserve"> 267.</w:t>
      </w:r>
    </w:p>
  </w:footnote>
  <w:footnote w:id="111">
    <w:p w14:paraId="2FED3F0C" w14:textId="131496A4" w:rsidR="006A6128" w:rsidRPr="00D30D6A" w:rsidRDefault="006A6128" w:rsidP="006A6128">
      <w:pPr>
        <w:pStyle w:val="Notedebasdepage"/>
        <w:rPr>
          <w:lang w:val="en-CA"/>
        </w:rPr>
      </w:pPr>
      <w:r>
        <w:rPr>
          <w:rStyle w:val="Appelnotedebasdep"/>
        </w:rPr>
        <w:footnoteRef/>
      </w:r>
      <w:r w:rsidRPr="00F42A32">
        <w:rPr>
          <w:lang w:val="en-CA"/>
        </w:rPr>
        <w:t xml:space="preserve"> </w:t>
      </w:r>
      <w:r w:rsidRPr="00F42A32">
        <w:rPr>
          <w:lang w:val="en-CA"/>
        </w:rPr>
        <w:tab/>
      </w:r>
      <w:r w:rsidR="00D30D6A">
        <w:rPr>
          <w:i/>
          <w:iCs/>
          <w:lang w:val="en-CA"/>
        </w:rPr>
        <w:t xml:space="preserve">Ibid </w:t>
      </w:r>
      <w:r w:rsidR="00D30D6A">
        <w:rPr>
          <w:lang w:val="en-CA"/>
        </w:rPr>
        <w:t>at 162.</w:t>
      </w:r>
    </w:p>
  </w:footnote>
  <w:footnote w:id="112">
    <w:p w14:paraId="17E1CAE9" w14:textId="6EC7CA49" w:rsidR="006E291E" w:rsidRPr="00F42A32" w:rsidRDefault="006E291E" w:rsidP="006E291E">
      <w:pPr>
        <w:pStyle w:val="Notedebasdepage"/>
        <w:rPr>
          <w:lang w:val="en-CA"/>
        </w:rPr>
      </w:pPr>
      <w:r>
        <w:rPr>
          <w:rStyle w:val="Appelnotedebasdep"/>
        </w:rPr>
        <w:footnoteRef/>
      </w:r>
      <w:r w:rsidRPr="00F42A32">
        <w:rPr>
          <w:lang w:val="en-CA"/>
        </w:rPr>
        <w:t xml:space="preserve"> </w:t>
      </w:r>
      <w:r w:rsidRPr="00F42A32">
        <w:rPr>
          <w:lang w:val="en-CA"/>
        </w:rPr>
        <w:tab/>
      </w:r>
      <w:r w:rsidRPr="00F42A32">
        <w:rPr>
          <w:i/>
          <w:iCs/>
          <w:lang w:val="en-CA"/>
        </w:rPr>
        <w:t>I</w:t>
      </w:r>
      <w:r w:rsidR="00D30D6A">
        <w:rPr>
          <w:i/>
          <w:iCs/>
          <w:lang w:val="en-CA"/>
        </w:rPr>
        <w:t xml:space="preserve">bid </w:t>
      </w:r>
      <w:r w:rsidR="00D30D6A">
        <w:rPr>
          <w:lang w:val="en-CA"/>
        </w:rPr>
        <w:t>at</w:t>
      </w:r>
      <w:r w:rsidRPr="00F42A32">
        <w:rPr>
          <w:lang w:val="en-CA"/>
        </w:rPr>
        <w:t xml:space="preserve"> 41, 134, 177 </w:t>
      </w:r>
      <w:r w:rsidR="00D30D6A">
        <w:rPr>
          <w:lang w:val="en-CA"/>
        </w:rPr>
        <w:t>and</w:t>
      </w:r>
      <w:r w:rsidRPr="00F42A32">
        <w:rPr>
          <w:lang w:val="en-CA"/>
        </w:rPr>
        <w:t xml:space="preserve"> 216.</w:t>
      </w:r>
    </w:p>
  </w:footnote>
  <w:footnote w:id="113">
    <w:p w14:paraId="7DD79DE1" w14:textId="06CA913F" w:rsidR="00D47A67" w:rsidRPr="009801CC" w:rsidRDefault="00D47A67" w:rsidP="00D47A67">
      <w:pPr>
        <w:pStyle w:val="Notedebasdepage"/>
        <w:rPr>
          <w:lang w:val="en-CA"/>
        </w:rPr>
      </w:pPr>
      <w:r>
        <w:rPr>
          <w:rStyle w:val="Appelnotedebasdep"/>
        </w:rPr>
        <w:footnoteRef/>
      </w:r>
      <w:r w:rsidRPr="009801CC">
        <w:rPr>
          <w:lang w:val="en-CA"/>
        </w:rPr>
        <w:t xml:space="preserve"> </w:t>
      </w:r>
      <w:r w:rsidRPr="009801CC">
        <w:rPr>
          <w:lang w:val="en-CA"/>
        </w:rPr>
        <w:tab/>
      </w:r>
      <w:r w:rsidR="00D1088A" w:rsidRPr="005E07F3">
        <w:rPr>
          <w:i/>
          <w:iCs/>
          <w:lang w:val="en-CA"/>
        </w:rPr>
        <w:t>Ibid</w:t>
      </w:r>
      <w:r w:rsidRPr="005E07F3">
        <w:rPr>
          <w:i/>
          <w:iCs/>
          <w:lang w:val="en-CA"/>
        </w:rPr>
        <w:t xml:space="preserve"> </w:t>
      </w:r>
      <w:r w:rsidR="00D30D6A" w:rsidRPr="005E07F3">
        <w:rPr>
          <w:lang w:val="en-CA"/>
        </w:rPr>
        <w:t>at 276</w:t>
      </w:r>
      <w:r w:rsidRPr="005E07F3">
        <w:rPr>
          <w:i/>
          <w:iCs/>
          <w:lang w:val="en-CA"/>
        </w:rPr>
        <w:t>.</w:t>
      </w:r>
    </w:p>
  </w:footnote>
  <w:footnote w:id="114">
    <w:p w14:paraId="6F754B4E" w14:textId="2DA9E8F1" w:rsidR="002D40E9" w:rsidRPr="009801CC" w:rsidRDefault="005D25C5" w:rsidP="00B27479">
      <w:pPr>
        <w:pStyle w:val="Notedebasdepage"/>
        <w:rPr>
          <w:lang w:val="en-CA"/>
        </w:rPr>
      </w:pPr>
      <w:r>
        <w:rPr>
          <w:rStyle w:val="Appelnotedebasdep"/>
        </w:rPr>
        <w:footnoteRef/>
      </w:r>
      <w:r w:rsidRPr="009801CC">
        <w:rPr>
          <w:lang w:val="en-CA"/>
        </w:rPr>
        <w:t xml:space="preserve"> </w:t>
      </w:r>
      <w:r w:rsidRPr="009801CC">
        <w:rPr>
          <w:lang w:val="en-CA"/>
        </w:rPr>
        <w:tab/>
      </w:r>
      <w:r w:rsidR="00B977A6">
        <w:rPr>
          <w:lang w:val="en-CA"/>
        </w:rPr>
        <w:t>Exhibit D-81.</w:t>
      </w:r>
    </w:p>
  </w:footnote>
  <w:footnote w:id="115">
    <w:p w14:paraId="0D974630" w14:textId="1F4085C9"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00D8473E">
        <w:rPr>
          <w:lang w:val="en-CA"/>
        </w:rPr>
        <w:t>Exhibit D-23 at 10.</w:t>
      </w:r>
    </w:p>
  </w:footnote>
  <w:footnote w:id="116">
    <w:p w14:paraId="6AC848A8" w14:textId="33144B16" w:rsidR="00745CFC" w:rsidRPr="005D339D" w:rsidRDefault="005D25C5">
      <w:pPr>
        <w:pStyle w:val="Notedebasdepage"/>
        <w:rPr>
          <w:lang w:val="en-US"/>
        </w:rPr>
      </w:pPr>
      <w:r>
        <w:rPr>
          <w:rStyle w:val="Appelnotedebasdep"/>
        </w:rPr>
        <w:footnoteRef/>
      </w:r>
      <w:r>
        <w:rPr>
          <w:lang w:val="en-US"/>
        </w:rPr>
        <w:t xml:space="preserve"> </w:t>
      </w:r>
      <w:r>
        <w:rPr>
          <w:lang w:val="en-US"/>
        </w:rPr>
        <w:tab/>
      </w:r>
      <w:r w:rsidR="00BB149E">
        <w:rPr>
          <w:lang w:val="en-US"/>
        </w:rPr>
        <w:t>Exhibit I-18.</w:t>
      </w:r>
      <w:r>
        <w:rPr>
          <w:lang w:val="en-US"/>
        </w:rPr>
        <w:t xml:space="preserve"> </w:t>
      </w:r>
    </w:p>
  </w:footnote>
  <w:footnote w:id="117">
    <w:p w14:paraId="0F7561C2" w14:textId="77777777" w:rsidR="002D40E9" w:rsidRPr="00756226" w:rsidRDefault="005D25C5" w:rsidP="00A0673D">
      <w:pPr>
        <w:pStyle w:val="Notedebasdepage"/>
        <w:rPr>
          <w:rFonts w:cs="Arial"/>
          <w:lang w:val="en-CA"/>
        </w:rPr>
      </w:pPr>
      <w:r w:rsidRPr="00CC61F3">
        <w:rPr>
          <w:rStyle w:val="Appelnotedebasdep"/>
          <w:rFonts w:cs="Arial"/>
        </w:rPr>
        <w:footnoteRef/>
      </w:r>
      <w:r w:rsidRPr="00756226">
        <w:rPr>
          <w:rFonts w:cs="Arial"/>
          <w:lang w:val="en-CA"/>
        </w:rPr>
        <w:t xml:space="preserve"> </w:t>
      </w:r>
      <w:r w:rsidRPr="00756226">
        <w:rPr>
          <w:rFonts w:cs="Arial"/>
          <w:lang w:val="en-CA"/>
        </w:rPr>
        <w:tab/>
      </w:r>
      <w:r w:rsidRPr="005E07F3">
        <w:rPr>
          <w:rFonts w:cs="Arial"/>
          <w:i/>
          <w:iCs/>
          <w:lang w:val="en-CA"/>
        </w:rPr>
        <w:t xml:space="preserve">Azeff (Re), </w:t>
      </w:r>
      <w:r w:rsidRPr="005E07F3">
        <w:rPr>
          <w:rFonts w:cs="Arial"/>
          <w:lang w:val="en-CA"/>
        </w:rPr>
        <w:t>2015 ONSEC 11, (2015) 38 OSCB 2983.</w:t>
      </w:r>
    </w:p>
  </w:footnote>
  <w:footnote w:id="118">
    <w:p w14:paraId="14B44D80" w14:textId="3213CBF3" w:rsidR="002D40E9" w:rsidRPr="00AA1248" w:rsidRDefault="005D25C5">
      <w:pPr>
        <w:pStyle w:val="Notedebasdepage"/>
        <w:rPr>
          <w:lang w:val="en-CA"/>
        </w:rPr>
      </w:pPr>
      <w:r>
        <w:rPr>
          <w:rStyle w:val="Appelnotedebasdep"/>
        </w:rPr>
        <w:footnoteRef/>
      </w:r>
      <w:r w:rsidRPr="00AA1248">
        <w:rPr>
          <w:rFonts w:cs="Arial"/>
          <w:lang w:val="en-CA"/>
        </w:rPr>
        <w:t xml:space="preserve"> </w:t>
      </w:r>
      <w:r w:rsidRPr="00AA1248">
        <w:rPr>
          <w:rFonts w:cs="Arial"/>
          <w:lang w:val="en-CA"/>
        </w:rPr>
        <w:tab/>
      </w:r>
      <w:r w:rsidR="00C30431" w:rsidRPr="00AA1248">
        <w:rPr>
          <w:rFonts w:cs="Arial"/>
          <w:lang w:val="en-CA"/>
        </w:rPr>
        <w:t>The Tribunal reproduces them in the following paragraphs</w:t>
      </w:r>
      <w:r w:rsidRPr="00AA1248">
        <w:rPr>
          <w:rFonts w:cs="Arial"/>
          <w:lang w:val="en-CA"/>
        </w:rPr>
        <w:t>.</w:t>
      </w:r>
    </w:p>
  </w:footnote>
  <w:footnote w:id="119">
    <w:p w14:paraId="37589EE2" w14:textId="32FBCDA3" w:rsidR="002D40E9" w:rsidRDefault="005D25C5">
      <w:pPr>
        <w:pStyle w:val="Notedebasdepage"/>
      </w:pPr>
      <w:r>
        <w:rPr>
          <w:rStyle w:val="Appelnotedebasdep"/>
        </w:rPr>
        <w:footnoteRef/>
      </w:r>
      <w:r>
        <w:t xml:space="preserve"> </w:t>
      </w:r>
      <w:r>
        <w:tab/>
      </w:r>
      <w:r w:rsidRPr="005E07F3">
        <w:t>2014 QCBDR 142.</w:t>
      </w:r>
    </w:p>
  </w:footnote>
  <w:footnote w:id="120">
    <w:p w14:paraId="43DBEB4E" w14:textId="036DF6D5" w:rsidR="002D40E9" w:rsidRPr="00AA1248" w:rsidRDefault="005D25C5">
      <w:pPr>
        <w:pStyle w:val="Notedebasdepage"/>
        <w:rPr>
          <w:iCs/>
        </w:rPr>
      </w:pPr>
      <w:r>
        <w:rPr>
          <w:rStyle w:val="Appelnotedebasdep"/>
        </w:rPr>
        <w:footnoteRef/>
      </w:r>
      <w:r>
        <w:t xml:space="preserve"> </w:t>
      </w:r>
      <w:r>
        <w:tab/>
      </w:r>
      <w:r w:rsidR="00AA1248">
        <w:rPr>
          <w:i/>
          <w:color w:val="212529"/>
        </w:rPr>
        <w:t>Autorité des marchés financiers c. Caron</w:t>
      </w:r>
      <w:r w:rsidR="00AA1248">
        <w:rPr>
          <w:iCs/>
          <w:color w:val="212529"/>
        </w:rPr>
        <w:t>, 2021 QCTMF 42.</w:t>
      </w:r>
    </w:p>
  </w:footnote>
  <w:footnote w:id="121">
    <w:p w14:paraId="45A6C4F7" w14:textId="44871B11" w:rsidR="002D40E9" w:rsidRPr="000A525C" w:rsidRDefault="005D25C5" w:rsidP="00FE3CD1">
      <w:pPr>
        <w:pStyle w:val="Notedebasdepage"/>
        <w:rPr>
          <w:rFonts w:cs="Arial"/>
          <w:lang w:val="en-CA"/>
        </w:rPr>
      </w:pPr>
      <w:r w:rsidRPr="00CC61F3">
        <w:rPr>
          <w:rStyle w:val="Appelnotedebasdep"/>
          <w:rFonts w:cs="Arial"/>
        </w:rPr>
        <w:footnoteRef/>
      </w:r>
      <w:r w:rsidRPr="00A41D83">
        <w:rPr>
          <w:rFonts w:cs="Arial"/>
          <w:lang w:val="en-CA"/>
        </w:rPr>
        <w:t xml:space="preserve"> </w:t>
      </w:r>
      <w:r w:rsidRPr="00A41D83">
        <w:rPr>
          <w:rFonts w:cs="Arial"/>
          <w:lang w:val="en-CA"/>
        </w:rPr>
        <w:tab/>
      </w:r>
      <w:r w:rsidR="00A41D83" w:rsidRPr="00A41D83">
        <w:rPr>
          <w:rFonts w:cs="Arial"/>
          <w:lang w:val="en-CA"/>
        </w:rPr>
        <w:t xml:space="preserve">See also the respondents’ written arguments at para. </w:t>
      </w:r>
      <w:r w:rsidR="00A41D83" w:rsidRPr="000A525C">
        <w:rPr>
          <w:rFonts w:cs="Arial"/>
          <w:lang w:val="en-CA"/>
        </w:rPr>
        <w:t>81</w:t>
      </w:r>
      <w:r w:rsidRPr="000A525C">
        <w:rPr>
          <w:rFonts w:cs="Arial"/>
          <w:lang w:val="en-CA"/>
        </w:rPr>
        <w:t xml:space="preserve">. </w:t>
      </w:r>
    </w:p>
  </w:footnote>
  <w:footnote w:id="122">
    <w:p w14:paraId="5DFBC9CB" w14:textId="07A6F0E0"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00A41D83">
        <w:rPr>
          <w:lang w:val="en-CA"/>
        </w:rPr>
        <w:t>Exhibit I-20.</w:t>
      </w:r>
    </w:p>
  </w:footnote>
  <w:footnote w:id="123">
    <w:p w14:paraId="25CD0C13" w14:textId="7FB7F58A"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Exhibits D-2</w:t>
      </w:r>
      <w:r w:rsidR="005E5398" w:rsidRPr="005E07F3">
        <w:rPr>
          <w:rFonts w:cs="Arial"/>
          <w:lang w:val="en-CA"/>
        </w:rPr>
        <w:t>4</w:t>
      </w:r>
      <w:r w:rsidRPr="005E07F3">
        <w:rPr>
          <w:rFonts w:cs="Arial"/>
          <w:lang w:val="en-CA"/>
        </w:rPr>
        <w:t xml:space="preserve"> and D-2</w:t>
      </w:r>
      <w:r w:rsidR="005E5398" w:rsidRPr="005E07F3">
        <w:rPr>
          <w:rFonts w:cs="Arial"/>
          <w:lang w:val="en-CA"/>
        </w:rPr>
        <w:t>5</w:t>
      </w:r>
      <w:r w:rsidRPr="005E07F3">
        <w:rPr>
          <w:rFonts w:cs="Arial"/>
          <w:lang w:val="en-CA"/>
        </w:rPr>
        <w:t>.</w:t>
      </w:r>
    </w:p>
  </w:footnote>
  <w:footnote w:id="124">
    <w:p w14:paraId="4654F1BE" w14:textId="5DBD25FB"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Exhibit D-69.</w:t>
      </w:r>
      <w:r w:rsidRPr="00F42A32">
        <w:rPr>
          <w:rFonts w:cs="Arial"/>
          <w:lang w:val="en-CA"/>
        </w:rPr>
        <w:t xml:space="preserve"> </w:t>
      </w:r>
    </w:p>
  </w:footnote>
  <w:footnote w:id="125">
    <w:p w14:paraId="43CAF2BF" w14:textId="77777777"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Exhibit D-24.</w:t>
      </w:r>
    </w:p>
  </w:footnote>
  <w:footnote w:id="126">
    <w:p w14:paraId="5BCF525E" w14:textId="3C66E82C"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00D1088A" w:rsidRPr="005E07F3">
        <w:rPr>
          <w:rFonts w:cs="Arial"/>
          <w:i/>
          <w:iCs/>
          <w:lang w:val="en-CA"/>
        </w:rPr>
        <w:t>Ibid</w:t>
      </w:r>
      <w:r w:rsidR="000A525C">
        <w:rPr>
          <w:rFonts w:cs="Arial"/>
          <w:i/>
          <w:iCs/>
          <w:lang w:val="en-CA"/>
        </w:rPr>
        <w:t>.</w:t>
      </w:r>
    </w:p>
  </w:footnote>
  <w:footnote w:id="127">
    <w:p w14:paraId="3B97B6D7" w14:textId="16FBB30E"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Exhibit D-23 at 1</w:t>
      </w:r>
      <w:r w:rsidR="003F3124" w:rsidRPr="005E07F3">
        <w:rPr>
          <w:rFonts w:cs="Arial"/>
          <w:lang w:val="en-CA"/>
        </w:rPr>
        <w:t>69 and 170</w:t>
      </w:r>
      <w:r w:rsidRPr="005E07F3">
        <w:rPr>
          <w:rFonts w:cs="Arial"/>
          <w:lang w:val="en-CA"/>
        </w:rPr>
        <w:t>.</w:t>
      </w:r>
    </w:p>
  </w:footnote>
  <w:footnote w:id="128">
    <w:p w14:paraId="464E3603" w14:textId="77777777"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Exhibit D-24.</w:t>
      </w:r>
    </w:p>
  </w:footnote>
  <w:footnote w:id="129">
    <w:p w14:paraId="7D44F98E" w14:textId="77777777" w:rsidR="002D40E9" w:rsidRPr="00F42A32" w:rsidRDefault="005D25C5" w:rsidP="002F453C">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D-26.</w:t>
      </w:r>
    </w:p>
  </w:footnote>
  <w:footnote w:id="130">
    <w:p w14:paraId="6C16E658" w14:textId="59057CC7"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 D-24.</w:t>
      </w:r>
    </w:p>
  </w:footnote>
  <w:footnote w:id="131">
    <w:p w14:paraId="417AFE1C" w14:textId="77777777"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Pr="005E07F3">
        <w:rPr>
          <w:rFonts w:cs="Arial"/>
          <w:i/>
          <w:iCs/>
          <w:lang w:val="en-CA"/>
        </w:rPr>
        <w:t xml:space="preserve">Azeff (Re), </w:t>
      </w:r>
      <w:r w:rsidRPr="005E07F3">
        <w:rPr>
          <w:rFonts w:cs="Arial"/>
          <w:lang w:val="en-CA"/>
        </w:rPr>
        <w:t>2015 ONSEC 11, (2015) 38 OSCB 2983.</w:t>
      </w:r>
    </w:p>
  </w:footnote>
  <w:footnote w:id="132">
    <w:p w14:paraId="26735D07" w14:textId="5F53A1C9" w:rsidR="002D40E9" w:rsidRPr="00F42A32" w:rsidRDefault="005D25C5" w:rsidP="00A0673D">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00D1088A" w:rsidRPr="005E07F3">
        <w:rPr>
          <w:rFonts w:cs="Arial"/>
          <w:i/>
          <w:iCs/>
          <w:lang w:val="en-CA"/>
        </w:rPr>
        <w:t>Ibid</w:t>
      </w:r>
      <w:r w:rsidRPr="005E07F3">
        <w:rPr>
          <w:rFonts w:cs="Arial"/>
          <w:i/>
          <w:iCs/>
          <w:lang w:val="en-CA"/>
        </w:rPr>
        <w:t xml:space="preserve"> </w:t>
      </w:r>
      <w:r w:rsidRPr="005E07F3">
        <w:rPr>
          <w:rFonts w:cs="Arial"/>
          <w:lang w:val="en-CA"/>
        </w:rPr>
        <w:t>at para.</w:t>
      </w:r>
      <w:r w:rsidRPr="00F42A32">
        <w:rPr>
          <w:rFonts w:cs="Arial"/>
          <w:lang w:val="en-CA"/>
        </w:rPr>
        <w:t xml:space="preserve"> 65.</w:t>
      </w:r>
    </w:p>
  </w:footnote>
  <w:footnote w:id="133">
    <w:p w14:paraId="1F40E1D8" w14:textId="4FB9AE95"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 xml:space="preserve">Exhibits </w:t>
      </w:r>
      <w:r w:rsidR="00D5630B" w:rsidRPr="005E07F3">
        <w:rPr>
          <w:lang w:val="en-CA"/>
        </w:rPr>
        <w:t>I-23</w:t>
      </w:r>
      <w:r w:rsidRPr="005E07F3">
        <w:rPr>
          <w:lang w:val="en-CA"/>
        </w:rPr>
        <w:t xml:space="preserve"> and I-2</w:t>
      </w:r>
      <w:r w:rsidR="00D5630B">
        <w:rPr>
          <w:lang w:val="en-CA"/>
        </w:rPr>
        <w:t>4.</w:t>
      </w:r>
    </w:p>
  </w:footnote>
  <w:footnote w:id="134">
    <w:p w14:paraId="3F037347" w14:textId="2F23D761" w:rsidR="002D40E9" w:rsidRPr="00D5630B" w:rsidRDefault="005D25C5" w:rsidP="004D3700">
      <w:pPr>
        <w:pStyle w:val="Notedebasdepage"/>
        <w:rPr>
          <w:lang w:val="en-CA"/>
        </w:rPr>
      </w:pPr>
      <w:r w:rsidRPr="00423534">
        <w:rPr>
          <w:rStyle w:val="Appelnotedebasdep"/>
        </w:rPr>
        <w:footnoteRef/>
      </w:r>
      <w:r w:rsidRPr="00D5630B">
        <w:rPr>
          <w:lang w:val="en-CA"/>
        </w:rPr>
        <w:t xml:space="preserve"> </w:t>
      </w:r>
      <w:r w:rsidRPr="00D5630B">
        <w:rPr>
          <w:lang w:val="en-CA"/>
        </w:rPr>
        <w:tab/>
      </w:r>
      <w:r w:rsidR="00D5630B" w:rsidRPr="005E07F3">
        <w:rPr>
          <w:lang w:val="en-CA"/>
        </w:rPr>
        <w:t>Exhibit D-59</w:t>
      </w:r>
      <w:r w:rsidRPr="005E07F3">
        <w:rPr>
          <w:lang w:val="en-CA"/>
        </w:rPr>
        <w:t>.</w:t>
      </w:r>
    </w:p>
  </w:footnote>
  <w:footnote w:id="135">
    <w:p w14:paraId="49681192" w14:textId="5B1A5774" w:rsidR="002D40E9" w:rsidRPr="0098211A" w:rsidRDefault="005D25C5" w:rsidP="00833757">
      <w:pPr>
        <w:pStyle w:val="Notedebasdepage"/>
        <w:rPr>
          <w:rFonts w:cs="Arial"/>
          <w:lang w:val="en-CA"/>
        </w:rPr>
      </w:pPr>
      <w:r w:rsidRPr="008B51F6">
        <w:rPr>
          <w:rStyle w:val="Appelnotedebasdep"/>
          <w:rFonts w:cs="Arial"/>
        </w:rPr>
        <w:footnoteRef/>
      </w:r>
      <w:r w:rsidRPr="0098211A">
        <w:rPr>
          <w:rFonts w:cs="Arial"/>
          <w:lang w:val="en-CA"/>
        </w:rPr>
        <w:t xml:space="preserve"> </w:t>
      </w:r>
      <w:r w:rsidRPr="0098211A">
        <w:rPr>
          <w:rFonts w:cs="Arial"/>
          <w:lang w:val="en-CA"/>
        </w:rPr>
        <w:tab/>
      </w:r>
      <w:r w:rsidR="0098211A" w:rsidRPr="0098211A">
        <w:rPr>
          <w:rFonts w:cs="Arial"/>
          <w:lang w:val="en-CA"/>
        </w:rPr>
        <w:t>Exhibit</w:t>
      </w:r>
      <w:r w:rsidRPr="0098211A">
        <w:rPr>
          <w:rFonts w:cs="Arial"/>
          <w:lang w:val="en-CA"/>
        </w:rPr>
        <w:t xml:space="preserve"> D-59</w:t>
      </w:r>
      <w:r w:rsidR="0098211A" w:rsidRPr="0098211A">
        <w:rPr>
          <w:rFonts w:cs="Arial"/>
          <w:lang w:val="en-CA"/>
        </w:rPr>
        <w:t xml:space="preserve"> at </w:t>
      </w:r>
      <w:r w:rsidRPr="0098211A">
        <w:rPr>
          <w:rFonts w:cs="Arial"/>
          <w:lang w:val="en-CA"/>
        </w:rPr>
        <w:t>38, line 20</w:t>
      </w:r>
      <w:r w:rsidR="0098211A" w:rsidRPr="0098211A">
        <w:rPr>
          <w:rFonts w:cs="Arial"/>
          <w:lang w:val="en-CA"/>
        </w:rPr>
        <w:t>,</w:t>
      </w:r>
      <w:r w:rsidRPr="0098211A">
        <w:rPr>
          <w:rFonts w:cs="Arial"/>
          <w:lang w:val="en-CA"/>
        </w:rPr>
        <w:t xml:space="preserve"> </w:t>
      </w:r>
      <w:r w:rsidR="0098211A">
        <w:rPr>
          <w:rFonts w:cs="Arial"/>
          <w:lang w:val="en-CA"/>
        </w:rPr>
        <w:t>and at</w:t>
      </w:r>
      <w:r w:rsidRPr="0098211A">
        <w:rPr>
          <w:rFonts w:cs="Arial"/>
          <w:lang w:val="en-CA"/>
        </w:rPr>
        <w:t xml:space="preserve"> 40.</w:t>
      </w:r>
    </w:p>
  </w:footnote>
  <w:footnote w:id="136">
    <w:p w14:paraId="3876F5BE" w14:textId="5923CEF9" w:rsidR="002D40E9" w:rsidRPr="00F42A32" w:rsidRDefault="005D25C5" w:rsidP="00833757">
      <w:pPr>
        <w:pStyle w:val="Notedebasdepage"/>
        <w:rPr>
          <w:lang w:val="en-CA"/>
        </w:rPr>
      </w:pPr>
      <w:r w:rsidRPr="008B51F6">
        <w:rPr>
          <w:rStyle w:val="Appelnotedebasdep"/>
        </w:rPr>
        <w:footnoteRef/>
      </w:r>
      <w:r w:rsidRPr="00F42A32">
        <w:rPr>
          <w:lang w:val="en-CA"/>
        </w:rPr>
        <w:t xml:space="preserve"> </w:t>
      </w:r>
      <w:r w:rsidRPr="00F42A32">
        <w:rPr>
          <w:lang w:val="en-CA"/>
        </w:rPr>
        <w:tab/>
      </w:r>
      <w:r w:rsidR="00D1088A" w:rsidRPr="005E07F3">
        <w:rPr>
          <w:i/>
          <w:iCs/>
          <w:lang w:val="en-CA"/>
        </w:rPr>
        <w:t>Ibid</w:t>
      </w:r>
      <w:r w:rsidR="00195516" w:rsidRPr="005E07F3">
        <w:rPr>
          <w:i/>
          <w:iCs/>
          <w:lang w:val="en-CA"/>
        </w:rPr>
        <w:t xml:space="preserve"> </w:t>
      </w:r>
      <w:r w:rsidR="00195516" w:rsidRPr="005E07F3">
        <w:rPr>
          <w:lang w:val="en-CA"/>
        </w:rPr>
        <w:t>at 40.</w:t>
      </w:r>
    </w:p>
  </w:footnote>
  <w:footnote w:id="137">
    <w:p w14:paraId="46BE3C7C" w14:textId="599556CD" w:rsidR="002D40E9" w:rsidRPr="00F42A32" w:rsidRDefault="005D25C5" w:rsidP="00833757">
      <w:pPr>
        <w:pStyle w:val="Notedebasdepage"/>
        <w:rPr>
          <w:rFonts w:cs="Arial"/>
          <w:lang w:val="en-CA"/>
        </w:rPr>
      </w:pPr>
      <w:r w:rsidRPr="00CC61F3">
        <w:rPr>
          <w:rStyle w:val="Appelnotedebasdep"/>
          <w:rFonts w:cs="Arial"/>
        </w:rPr>
        <w:footnoteRef/>
      </w:r>
      <w:r w:rsidRPr="00F42A32">
        <w:rPr>
          <w:rFonts w:cs="Arial"/>
          <w:lang w:val="en-CA"/>
        </w:rPr>
        <w:t xml:space="preserve"> </w:t>
      </w:r>
      <w:r w:rsidRPr="00F42A32">
        <w:rPr>
          <w:rFonts w:cs="Arial"/>
          <w:lang w:val="en-CA"/>
        </w:rPr>
        <w:tab/>
      </w:r>
      <w:r w:rsidR="00B74AB0" w:rsidRPr="005E07F3">
        <w:rPr>
          <w:rFonts w:cs="Arial"/>
          <w:i/>
          <w:iCs/>
          <w:lang w:val="en-CA"/>
        </w:rPr>
        <w:t xml:space="preserve">Ibid </w:t>
      </w:r>
      <w:r w:rsidR="00B74AB0" w:rsidRPr="005E07F3">
        <w:rPr>
          <w:rFonts w:cs="Arial"/>
          <w:lang w:val="en-CA"/>
        </w:rPr>
        <w:t>at 127, line 4</w:t>
      </w:r>
      <w:r w:rsidRPr="005E07F3">
        <w:rPr>
          <w:rFonts w:cs="Arial"/>
          <w:i/>
          <w:iCs/>
          <w:lang w:val="en-CA"/>
        </w:rPr>
        <w:t>.</w:t>
      </w:r>
    </w:p>
  </w:footnote>
  <w:footnote w:id="138">
    <w:p w14:paraId="0B233F4F" w14:textId="486E5187" w:rsidR="002D40E9" w:rsidRPr="00B74AB0" w:rsidRDefault="005D25C5" w:rsidP="00833757">
      <w:pPr>
        <w:pStyle w:val="Notedebasdepage"/>
        <w:rPr>
          <w:lang w:val="en-CA"/>
        </w:rPr>
      </w:pPr>
      <w:r>
        <w:rPr>
          <w:rStyle w:val="Appelnotedebasdep"/>
        </w:rPr>
        <w:footnoteRef/>
      </w:r>
      <w:r w:rsidRPr="00F42A32">
        <w:rPr>
          <w:lang w:val="en-CA"/>
        </w:rPr>
        <w:t xml:space="preserve"> </w:t>
      </w:r>
      <w:r w:rsidRPr="00F42A32">
        <w:rPr>
          <w:lang w:val="en-CA"/>
        </w:rPr>
        <w:tab/>
      </w:r>
      <w:r w:rsidR="00D1088A" w:rsidRPr="005E07F3">
        <w:rPr>
          <w:i/>
          <w:iCs/>
          <w:lang w:val="en-CA"/>
        </w:rPr>
        <w:t>Ibid</w:t>
      </w:r>
      <w:r w:rsidRPr="005E07F3">
        <w:rPr>
          <w:i/>
          <w:iCs/>
          <w:lang w:val="en-CA"/>
        </w:rPr>
        <w:t xml:space="preserve"> </w:t>
      </w:r>
      <w:r w:rsidRPr="005E07F3">
        <w:rPr>
          <w:lang w:val="en-CA"/>
        </w:rPr>
        <w:t>at 1</w:t>
      </w:r>
      <w:r w:rsidR="00B74AB0" w:rsidRPr="005E07F3">
        <w:rPr>
          <w:lang w:val="en-CA"/>
        </w:rPr>
        <w:t>28</w:t>
      </w:r>
      <w:r w:rsidRPr="005E07F3">
        <w:rPr>
          <w:i/>
          <w:iCs/>
          <w:lang w:val="en-CA"/>
        </w:rPr>
        <w:t xml:space="preserve">, </w:t>
      </w:r>
      <w:r w:rsidRPr="005E07F3">
        <w:rPr>
          <w:lang w:val="en-CA"/>
        </w:rPr>
        <w:t xml:space="preserve">line </w:t>
      </w:r>
      <w:r w:rsidR="00B74AB0" w:rsidRPr="005E07F3">
        <w:rPr>
          <w:lang w:val="en-CA"/>
        </w:rPr>
        <w:t>2</w:t>
      </w:r>
      <w:r w:rsidRPr="005E07F3">
        <w:rPr>
          <w:i/>
          <w:iCs/>
          <w:lang w:val="en-CA"/>
        </w:rPr>
        <w:t xml:space="preserve"> </w:t>
      </w:r>
      <w:r w:rsidR="00B74AB0">
        <w:rPr>
          <w:lang w:val="en-CA"/>
        </w:rPr>
        <w:t>and at 129, line 3.</w:t>
      </w:r>
    </w:p>
  </w:footnote>
  <w:footnote w:id="139">
    <w:p w14:paraId="4FCB3B77" w14:textId="602B864C" w:rsidR="002D40E9" w:rsidRPr="00E702E0" w:rsidRDefault="005D25C5" w:rsidP="00A0673D">
      <w:pPr>
        <w:pStyle w:val="Notedebasdepage"/>
        <w:rPr>
          <w:rFonts w:cs="Arial"/>
          <w:lang w:val="en-CA"/>
        </w:rPr>
      </w:pPr>
      <w:r w:rsidRPr="00CC61F3">
        <w:rPr>
          <w:rStyle w:val="Appelnotedebasdep"/>
          <w:rFonts w:cs="Arial"/>
        </w:rPr>
        <w:footnoteRef/>
      </w:r>
      <w:r w:rsidRPr="00E702E0">
        <w:rPr>
          <w:rFonts w:cs="Arial"/>
          <w:lang w:val="en-CA"/>
        </w:rPr>
        <w:t xml:space="preserve"> </w:t>
      </w:r>
      <w:r w:rsidRPr="00E702E0">
        <w:rPr>
          <w:rFonts w:cs="Arial"/>
          <w:lang w:val="en-CA"/>
        </w:rPr>
        <w:tab/>
      </w:r>
      <w:r w:rsidR="00637FC2" w:rsidRPr="00E702E0">
        <w:rPr>
          <w:rFonts w:cs="Arial"/>
          <w:lang w:val="en-CA"/>
        </w:rPr>
        <w:t>Exhibit D-60.</w:t>
      </w:r>
    </w:p>
  </w:footnote>
  <w:footnote w:id="140">
    <w:p w14:paraId="42B52364" w14:textId="2CCC0D27" w:rsidR="002D40E9" w:rsidRPr="00E702E0" w:rsidRDefault="005D25C5" w:rsidP="00A0673D">
      <w:pPr>
        <w:pStyle w:val="Notedebasdepage"/>
        <w:rPr>
          <w:rFonts w:cs="Arial"/>
          <w:lang w:val="en-CA"/>
        </w:rPr>
      </w:pPr>
      <w:r w:rsidRPr="00CC61F3">
        <w:rPr>
          <w:rStyle w:val="Appelnotedebasdep"/>
          <w:rFonts w:cs="Arial"/>
        </w:rPr>
        <w:footnoteRef/>
      </w:r>
      <w:r w:rsidRPr="00E702E0">
        <w:rPr>
          <w:rFonts w:cs="Arial"/>
          <w:lang w:val="en-CA"/>
        </w:rPr>
        <w:t xml:space="preserve"> </w:t>
      </w:r>
      <w:r w:rsidRPr="00E702E0">
        <w:rPr>
          <w:rFonts w:cs="Arial"/>
          <w:lang w:val="en-CA"/>
        </w:rPr>
        <w:tab/>
      </w:r>
      <w:r w:rsidRPr="005E07F3">
        <w:rPr>
          <w:rFonts w:cs="Arial"/>
          <w:lang w:val="en-CA"/>
        </w:rPr>
        <w:t>Exhibit D-61.</w:t>
      </w:r>
    </w:p>
  </w:footnote>
  <w:footnote w:id="141">
    <w:p w14:paraId="0EEA362A" w14:textId="62E1E608" w:rsidR="002D40E9" w:rsidRPr="00E702E0" w:rsidRDefault="005D25C5">
      <w:pPr>
        <w:pStyle w:val="Notedebasdepage"/>
        <w:rPr>
          <w:lang w:val="en-CA"/>
        </w:rPr>
      </w:pPr>
      <w:r>
        <w:rPr>
          <w:rStyle w:val="Appelnotedebasdep"/>
        </w:rPr>
        <w:footnoteRef/>
      </w:r>
      <w:r w:rsidRPr="00E702E0">
        <w:rPr>
          <w:lang w:val="en-CA"/>
        </w:rPr>
        <w:t xml:space="preserve"> </w:t>
      </w:r>
      <w:r w:rsidRPr="00E702E0">
        <w:rPr>
          <w:lang w:val="en-CA"/>
        </w:rPr>
        <w:tab/>
      </w:r>
      <w:r w:rsidR="00901390" w:rsidRPr="00E702E0">
        <w:rPr>
          <w:lang w:val="en-CA"/>
        </w:rPr>
        <w:t>Exhibit D-62.</w:t>
      </w:r>
    </w:p>
  </w:footnote>
  <w:footnote w:id="142">
    <w:p w14:paraId="0487C989" w14:textId="759CA8EE" w:rsidR="002D40E9" w:rsidRPr="00901390" w:rsidRDefault="005D25C5" w:rsidP="004763A8">
      <w:pPr>
        <w:pStyle w:val="Notedebasdepage"/>
        <w:rPr>
          <w:rFonts w:cs="Arial"/>
          <w:lang w:val="en-CA"/>
        </w:rPr>
      </w:pPr>
      <w:r w:rsidRPr="00CC61F3">
        <w:rPr>
          <w:rStyle w:val="Appelnotedebasdep"/>
          <w:rFonts w:cs="Arial"/>
        </w:rPr>
        <w:footnoteRef/>
      </w:r>
      <w:r w:rsidRPr="00901390">
        <w:rPr>
          <w:rFonts w:cs="Arial"/>
          <w:lang w:val="en-CA"/>
        </w:rPr>
        <w:t xml:space="preserve"> </w:t>
      </w:r>
      <w:r w:rsidRPr="00901390">
        <w:rPr>
          <w:rFonts w:cs="Arial"/>
          <w:lang w:val="en-CA"/>
        </w:rPr>
        <w:tab/>
      </w:r>
      <w:r w:rsidR="003F114C" w:rsidRPr="00901390">
        <w:rPr>
          <w:rFonts w:cs="Arial"/>
          <w:i/>
          <w:iCs/>
          <w:lang w:val="en-CA"/>
        </w:rPr>
        <w:t>I</w:t>
      </w:r>
      <w:r w:rsidR="00901390" w:rsidRPr="00901390">
        <w:rPr>
          <w:rFonts w:cs="Arial"/>
          <w:i/>
          <w:iCs/>
          <w:lang w:val="en-CA"/>
        </w:rPr>
        <w:t xml:space="preserve">bid </w:t>
      </w:r>
      <w:r w:rsidR="00901390" w:rsidRPr="00901390">
        <w:rPr>
          <w:rFonts w:cs="Arial"/>
          <w:lang w:val="en-CA"/>
        </w:rPr>
        <w:t>at</w:t>
      </w:r>
      <w:r w:rsidRPr="00901390">
        <w:rPr>
          <w:rFonts w:cs="Arial"/>
          <w:lang w:val="en-CA"/>
        </w:rPr>
        <w:t xml:space="preserve"> 69, lines 7 </w:t>
      </w:r>
      <w:r w:rsidR="00901390" w:rsidRPr="00901390">
        <w:rPr>
          <w:rFonts w:cs="Arial"/>
          <w:lang w:val="en-CA"/>
        </w:rPr>
        <w:t>and</w:t>
      </w:r>
      <w:r w:rsidRPr="00901390">
        <w:rPr>
          <w:rFonts w:cs="Arial"/>
          <w:lang w:val="en-CA"/>
        </w:rPr>
        <w:t xml:space="preserve"> 22</w:t>
      </w:r>
      <w:r w:rsidR="00901390" w:rsidRPr="00901390">
        <w:rPr>
          <w:rFonts w:cs="Arial"/>
          <w:lang w:val="en-CA"/>
        </w:rPr>
        <w:t>, and at</w:t>
      </w:r>
      <w:r w:rsidRPr="00901390">
        <w:rPr>
          <w:rFonts w:cs="Arial"/>
          <w:lang w:val="en-CA"/>
        </w:rPr>
        <w:t xml:space="preserve"> 71, lines 18 et s</w:t>
      </w:r>
      <w:r w:rsidR="00901390">
        <w:rPr>
          <w:rFonts w:cs="Arial"/>
          <w:lang w:val="en-CA"/>
        </w:rPr>
        <w:t>eq</w:t>
      </w:r>
      <w:r w:rsidRPr="00901390">
        <w:rPr>
          <w:rFonts w:cs="Arial"/>
          <w:lang w:val="en-CA"/>
        </w:rPr>
        <w:t>.</w:t>
      </w:r>
    </w:p>
  </w:footnote>
  <w:footnote w:id="143">
    <w:p w14:paraId="421D3813" w14:textId="0B744864" w:rsidR="002D40E9" w:rsidRPr="00901390" w:rsidRDefault="005D25C5" w:rsidP="004763A8">
      <w:pPr>
        <w:pStyle w:val="Notedebasdepage"/>
        <w:rPr>
          <w:lang w:val="en-CA"/>
        </w:rPr>
      </w:pPr>
      <w:r>
        <w:rPr>
          <w:rStyle w:val="Appelnotedebasdep"/>
        </w:rPr>
        <w:footnoteRef/>
      </w:r>
      <w:r w:rsidRPr="00901390">
        <w:rPr>
          <w:rFonts w:cs="Arial"/>
          <w:lang w:val="en-CA"/>
        </w:rPr>
        <w:t xml:space="preserve"> </w:t>
      </w:r>
      <w:r w:rsidRPr="00901390">
        <w:rPr>
          <w:rFonts w:cs="Arial"/>
          <w:lang w:val="en-CA"/>
        </w:rPr>
        <w:tab/>
      </w:r>
      <w:r w:rsidRPr="005E07F3">
        <w:rPr>
          <w:rFonts w:cs="Arial"/>
          <w:lang w:val="en-CA"/>
        </w:rPr>
        <w:t>Exhibit D-47.</w:t>
      </w:r>
    </w:p>
  </w:footnote>
  <w:footnote w:id="144">
    <w:p w14:paraId="46A3D8E3" w14:textId="2AA7501E" w:rsidR="002D40E9" w:rsidRPr="00901390" w:rsidRDefault="005D25C5" w:rsidP="00C93973">
      <w:pPr>
        <w:pStyle w:val="Notedebasdepage"/>
        <w:rPr>
          <w:lang w:val="en-CA"/>
        </w:rPr>
      </w:pPr>
      <w:r>
        <w:rPr>
          <w:rStyle w:val="Appelnotedebasdep"/>
        </w:rPr>
        <w:footnoteRef/>
      </w:r>
      <w:r w:rsidRPr="00901390">
        <w:rPr>
          <w:rFonts w:cs="Arial"/>
          <w:lang w:val="en-CA"/>
        </w:rPr>
        <w:t xml:space="preserve"> </w:t>
      </w:r>
      <w:r w:rsidRPr="00901390">
        <w:rPr>
          <w:rFonts w:cs="Arial"/>
          <w:lang w:val="en-CA"/>
        </w:rPr>
        <w:tab/>
      </w:r>
      <w:r w:rsidR="00901390" w:rsidRPr="00901390">
        <w:rPr>
          <w:rFonts w:cs="Arial"/>
          <w:lang w:val="en-CA"/>
        </w:rPr>
        <w:t>Exhibit D-64.</w:t>
      </w:r>
    </w:p>
  </w:footnote>
  <w:footnote w:id="145">
    <w:p w14:paraId="3A1B8108" w14:textId="36F10C76" w:rsidR="002D40E9" w:rsidRPr="00E702E0" w:rsidRDefault="005D25C5" w:rsidP="00A0673D">
      <w:pPr>
        <w:pStyle w:val="Notedebasdepage"/>
        <w:rPr>
          <w:rFonts w:cs="Arial"/>
          <w:lang w:val="en-CA"/>
        </w:rPr>
      </w:pPr>
      <w:r w:rsidRPr="00CC61F3">
        <w:rPr>
          <w:rStyle w:val="Appelnotedebasdep"/>
          <w:rFonts w:cs="Arial"/>
        </w:rPr>
        <w:footnoteRef/>
      </w:r>
      <w:r w:rsidRPr="00E702E0">
        <w:rPr>
          <w:rFonts w:cs="Arial"/>
          <w:lang w:val="en-CA"/>
        </w:rPr>
        <w:t xml:space="preserve"> </w:t>
      </w:r>
      <w:r w:rsidRPr="00E702E0">
        <w:rPr>
          <w:rFonts w:cs="Arial"/>
          <w:lang w:val="en-CA"/>
        </w:rPr>
        <w:tab/>
      </w:r>
      <w:r w:rsidRPr="005E07F3">
        <w:rPr>
          <w:rFonts w:cs="Arial"/>
          <w:lang w:val="en-CA"/>
        </w:rPr>
        <w:t>Exhibit D-47.</w:t>
      </w:r>
    </w:p>
  </w:footnote>
  <w:footnote w:id="146">
    <w:p w14:paraId="356CC0EE" w14:textId="74F485AF" w:rsidR="002D40E9" w:rsidRDefault="005D25C5" w:rsidP="00C04E48">
      <w:pPr>
        <w:pStyle w:val="Notedebasdepage"/>
      </w:pPr>
      <w:r>
        <w:rPr>
          <w:rStyle w:val="Appelnotedebasdep"/>
        </w:rPr>
        <w:footnoteRef/>
      </w:r>
      <w:r>
        <w:t xml:space="preserve"> </w:t>
      </w:r>
      <w:r>
        <w:tab/>
        <w:t>Pièce D-23</w:t>
      </w:r>
      <w:r w:rsidR="00D237C6">
        <w:t xml:space="preserve"> at</w:t>
      </w:r>
      <w:r>
        <w:t xml:space="preserve"> 276, lines 6 et </w:t>
      </w:r>
      <w:r w:rsidR="00D237C6">
        <w:t>seq</w:t>
      </w:r>
      <w:r>
        <w:t>.</w:t>
      </w:r>
    </w:p>
  </w:footnote>
  <w:footnote w:id="147">
    <w:p w14:paraId="2BA80396" w14:textId="1BB07ABC" w:rsidR="002D40E9" w:rsidRPr="00F42A32" w:rsidRDefault="005D25C5" w:rsidP="00A537E9">
      <w:pPr>
        <w:pStyle w:val="Notedebasdepage"/>
        <w:rPr>
          <w:lang w:val="en-CA"/>
        </w:rPr>
      </w:pPr>
      <w:r>
        <w:rPr>
          <w:rStyle w:val="Appelnotedebasdep"/>
        </w:rPr>
        <w:footnoteRef/>
      </w:r>
      <w:r w:rsidR="003F114C" w:rsidRPr="00F42A32">
        <w:rPr>
          <w:lang w:val="en-CA"/>
        </w:rPr>
        <w:t xml:space="preserve"> </w:t>
      </w:r>
      <w:r w:rsidR="003F114C" w:rsidRPr="00F42A32">
        <w:rPr>
          <w:lang w:val="en-CA"/>
        </w:rPr>
        <w:tab/>
      </w:r>
      <w:r w:rsidR="003F114C" w:rsidRPr="005E07F3">
        <w:rPr>
          <w:lang w:val="en-CA"/>
        </w:rPr>
        <w:t xml:space="preserve">Exhibit </w:t>
      </w:r>
      <w:r w:rsidR="002F5DAE" w:rsidRPr="005E07F3">
        <w:rPr>
          <w:lang w:val="en-CA"/>
        </w:rPr>
        <w:t>D-47 at 181</w:t>
      </w:r>
      <w:r w:rsidR="003F114C" w:rsidRPr="005E07F3">
        <w:rPr>
          <w:lang w:val="en-CA"/>
        </w:rPr>
        <w:t>.</w:t>
      </w:r>
    </w:p>
  </w:footnote>
  <w:footnote w:id="148">
    <w:p w14:paraId="1FE56B65" w14:textId="55B712AE" w:rsidR="002D40E9" w:rsidRPr="00F42A32" w:rsidRDefault="005D25C5">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Exhibits I-</w:t>
      </w:r>
      <w:r w:rsidR="002F5DAE" w:rsidRPr="005E07F3">
        <w:rPr>
          <w:lang w:val="en-CA"/>
        </w:rPr>
        <w:t>3</w:t>
      </w:r>
      <w:r w:rsidRPr="005E07F3">
        <w:rPr>
          <w:lang w:val="en-CA"/>
        </w:rPr>
        <w:t xml:space="preserve"> </w:t>
      </w:r>
      <w:r w:rsidR="002F5DAE" w:rsidRPr="005E07F3">
        <w:rPr>
          <w:lang w:val="en-CA"/>
        </w:rPr>
        <w:t>and</w:t>
      </w:r>
      <w:r w:rsidRPr="005E07F3">
        <w:rPr>
          <w:lang w:val="en-CA"/>
        </w:rPr>
        <w:t xml:space="preserve"> </w:t>
      </w:r>
      <w:r w:rsidR="002F5DAE" w:rsidRPr="005E07F3">
        <w:rPr>
          <w:lang w:val="en-CA"/>
        </w:rPr>
        <w:t>D-75</w:t>
      </w:r>
      <w:r w:rsidRPr="005E07F3">
        <w:rPr>
          <w:lang w:val="en-CA"/>
        </w:rPr>
        <w:t>.</w:t>
      </w:r>
      <w:r w:rsidRPr="00F42A32">
        <w:rPr>
          <w:lang w:val="en-CA"/>
        </w:rPr>
        <w:t xml:space="preserve"> </w:t>
      </w:r>
    </w:p>
  </w:footnote>
  <w:footnote w:id="149">
    <w:p w14:paraId="58FFAAEA" w14:textId="630DC620" w:rsidR="005B0A50" w:rsidRPr="009E411F" w:rsidRDefault="005B0A50" w:rsidP="005B0A50">
      <w:pPr>
        <w:pStyle w:val="Notedebasdepage"/>
        <w:rPr>
          <w:rFonts w:cs="Arial"/>
        </w:rPr>
      </w:pPr>
      <w:r w:rsidRPr="005C697D">
        <w:rPr>
          <w:rStyle w:val="Appelnotedebasdep"/>
          <w:rFonts w:cs="Arial"/>
        </w:rPr>
        <w:footnoteRef/>
      </w:r>
      <w:r w:rsidRPr="00374C0F">
        <w:rPr>
          <w:rFonts w:cs="Arial"/>
          <w:lang w:val="en-CA"/>
        </w:rPr>
        <w:t xml:space="preserve"> </w:t>
      </w:r>
      <w:r w:rsidRPr="00374C0F">
        <w:rPr>
          <w:rFonts w:cs="Arial"/>
          <w:lang w:val="en-CA"/>
        </w:rPr>
        <w:tab/>
      </w:r>
      <w:r w:rsidRPr="005E07F3">
        <w:rPr>
          <w:rFonts w:cs="Arial"/>
          <w:i/>
          <w:lang w:val="en-CA"/>
        </w:rPr>
        <w:t>Cartaway Resources Corp.</w:t>
      </w:r>
      <w:r w:rsidRPr="00374C0F">
        <w:rPr>
          <w:rFonts w:cs="Arial"/>
          <w:i/>
          <w:lang w:val="en-CA"/>
        </w:rPr>
        <w:t xml:space="preserve"> </w:t>
      </w:r>
      <w:r w:rsidRPr="005E07F3">
        <w:rPr>
          <w:rFonts w:cs="Arial"/>
          <w:i/>
          <w:lang w:val="en-CA"/>
        </w:rPr>
        <w:t xml:space="preserve">(Re), </w:t>
      </w:r>
      <w:r w:rsidRPr="005E07F3">
        <w:rPr>
          <w:rFonts w:cs="Arial"/>
          <w:iCs/>
          <w:lang w:val="en-CA"/>
        </w:rPr>
        <w:t>2004 SCC 26</w:t>
      </w:r>
      <w:r w:rsidRPr="005E07F3">
        <w:rPr>
          <w:rFonts w:cs="Arial"/>
          <w:i/>
          <w:lang w:val="en-CA"/>
        </w:rPr>
        <w:t xml:space="preserve">, </w:t>
      </w:r>
      <w:r w:rsidR="00A109B6" w:rsidRPr="00E702E0">
        <w:rPr>
          <w:rFonts w:cs="Arial"/>
          <w:iCs/>
          <w:lang w:val="en-CA"/>
        </w:rPr>
        <w:t xml:space="preserve">at para. </w:t>
      </w:r>
      <w:r w:rsidRPr="009E411F">
        <w:rPr>
          <w:rFonts w:cs="Arial"/>
        </w:rPr>
        <w:t>58.</w:t>
      </w:r>
    </w:p>
  </w:footnote>
  <w:footnote w:id="150">
    <w:p w14:paraId="4142FA73" w14:textId="02D3CB4E" w:rsidR="002D40E9" w:rsidRPr="00F42A32" w:rsidRDefault="005D25C5" w:rsidP="006979D7">
      <w:pPr>
        <w:pStyle w:val="Notedebasdepage"/>
        <w:rPr>
          <w:rFonts w:cs="Arial"/>
          <w:lang w:val="en-CA"/>
        </w:rPr>
      </w:pPr>
      <w:r w:rsidRPr="002742BA">
        <w:rPr>
          <w:rStyle w:val="Appelnotedebasdep"/>
          <w:rFonts w:cs="Arial"/>
        </w:rPr>
        <w:footnoteRef/>
      </w:r>
      <w:r w:rsidRPr="009E411F">
        <w:rPr>
          <w:rFonts w:cs="Arial"/>
        </w:rPr>
        <w:t xml:space="preserve"> </w:t>
      </w:r>
      <w:r w:rsidRPr="009E411F">
        <w:rPr>
          <w:rFonts w:cs="Arial"/>
        </w:rPr>
        <w:tab/>
      </w:r>
      <w:r w:rsidRPr="009E411F">
        <w:rPr>
          <w:rFonts w:cs="Arial"/>
          <w:i/>
        </w:rPr>
        <w:t>Autorité des marchés financiers</w:t>
      </w:r>
      <w:r w:rsidRPr="009E411F">
        <w:rPr>
          <w:rFonts w:cs="Arial"/>
        </w:rPr>
        <w:t xml:space="preserve"> c. </w:t>
      </w:r>
      <w:r w:rsidRPr="009E411F">
        <w:rPr>
          <w:rFonts w:cs="Arial"/>
          <w:i/>
        </w:rPr>
        <w:t>Couture</w:t>
      </w:r>
      <w:r w:rsidRPr="009E411F">
        <w:rPr>
          <w:rFonts w:cs="Arial"/>
        </w:rPr>
        <w:t>, 2013 QCBDR 138</w:t>
      </w:r>
      <w:r w:rsidR="009E411F" w:rsidRPr="009E411F">
        <w:rPr>
          <w:rFonts w:cs="Arial"/>
        </w:rPr>
        <w:t xml:space="preserve"> at</w:t>
      </w:r>
      <w:r w:rsidRPr="009E411F">
        <w:rPr>
          <w:rFonts w:cs="Arial"/>
        </w:rPr>
        <w:t xml:space="preserve"> par</w:t>
      </w:r>
      <w:r w:rsidR="009E411F" w:rsidRPr="009E411F">
        <w:rPr>
          <w:rFonts w:cs="Arial"/>
        </w:rPr>
        <w:t>a</w:t>
      </w:r>
      <w:r w:rsidRPr="009E411F">
        <w:rPr>
          <w:rFonts w:cs="Arial"/>
        </w:rPr>
        <w:t xml:space="preserve">. </w:t>
      </w:r>
      <w:r w:rsidRPr="00F42A32">
        <w:rPr>
          <w:rFonts w:cs="Arial"/>
          <w:lang w:val="en-CA"/>
        </w:rPr>
        <w:t xml:space="preserve">80; </w:t>
      </w:r>
      <w:r w:rsidRPr="005E07F3">
        <w:rPr>
          <w:rFonts w:cs="Arial"/>
          <w:i/>
          <w:iCs/>
          <w:lang w:val="en-CA"/>
        </w:rPr>
        <w:t xml:space="preserve">Committee for the Equal Treatment of Asbestos Minority Shareholders v. Ontario (Securities Commission), </w:t>
      </w:r>
      <w:r w:rsidRPr="005E07F3">
        <w:rPr>
          <w:rFonts w:cs="Arial"/>
          <w:lang w:val="en-CA"/>
        </w:rPr>
        <w:t>2001 SCC 37</w:t>
      </w:r>
      <w:r w:rsidRPr="005E07F3">
        <w:rPr>
          <w:rFonts w:cs="Arial"/>
          <w:i/>
          <w:iCs/>
          <w:lang w:val="en-CA"/>
        </w:rPr>
        <w:t>.</w:t>
      </w:r>
    </w:p>
  </w:footnote>
  <w:footnote w:id="151">
    <w:p w14:paraId="418ED6D5" w14:textId="2A077130" w:rsidR="002D40E9" w:rsidRPr="00F42A32" w:rsidRDefault="005D25C5" w:rsidP="006979D7">
      <w:pPr>
        <w:pStyle w:val="Notedebasdepage"/>
        <w:rPr>
          <w:rFonts w:cs="Arial"/>
          <w:lang w:val="en-CA"/>
        </w:rPr>
      </w:pPr>
      <w:r>
        <w:rPr>
          <w:rStyle w:val="Appelnotedebasdep"/>
        </w:rPr>
        <w:footnoteRef/>
      </w:r>
      <w:r w:rsidRPr="00F42A32">
        <w:rPr>
          <w:lang w:val="en-CA"/>
        </w:rPr>
        <w:t xml:space="preserve"> </w:t>
      </w:r>
      <w:r w:rsidRPr="00F42A32">
        <w:rPr>
          <w:lang w:val="en-CA"/>
        </w:rPr>
        <w:tab/>
      </w:r>
      <w:r w:rsidRPr="005E07F3">
        <w:rPr>
          <w:rFonts w:cs="Arial"/>
          <w:i/>
          <w:iCs/>
          <w:lang w:val="en-CA"/>
        </w:rPr>
        <w:t xml:space="preserve">Committee for the Equal Treatment of Asbestos Minority Shareholders v. Ontario (Securities Commission), </w:t>
      </w:r>
      <w:r w:rsidRPr="005E07F3">
        <w:rPr>
          <w:rFonts w:cs="Arial"/>
          <w:lang w:val="en-CA"/>
        </w:rPr>
        <w:t>2001 SCC 37</w:t>
      </w:r>
      <w:r w:rsidRPr="005E07F3">
        <w:rPr>
          <w:rFonts w:cs="Arial"/>
          <w:i/>
          <w:iCs/>
          <w:lang w:val="en-CA"/>
        </w:rPr>
        <w:t>.</w:t>
      </w:r>
    </w:p>
  </w:footnote>
  <w:footnote w:id="152">
    <w:p w14:paraId="1FD4870B" w14:textId="03652A1E" w:rsidR="002D40E9" w:rsidRPr="005C697D" w:rsidRDefault="005D25C5" w:rsidP="006979D7">
      <w:pPr>
        <w:pStyle w:val="Notedebasdepage"/>
        <w:rPr>
          <w:rFonts w:cs="Arial"/>
        </w:rPr>
      </w:pPr>
      <w:r w:rsidRPr="005C697D">
        <w:rPr>
          <w:rStyle w:val="Appelnotedebasdep"/>
          <w:rFonts w:cs="Arial"/>
        </w:rPr>
        <w:footnoteRef/>
      </w:r>
      <w:r w:rsidRPr="005C697D">
        <w:rPr>
          <w:rFonts w:cs="Arial"/>
        </w:rPr>
        <w:t xml:space="preserve"> </w:t>
      </w:r>
      <w:r w:rsidRPr="005C697D">
        <w:rPr>
          <w:rFonts w:cs="Arial"/>
        </w:rPr>
        <w:tab/>
      </w:r>
      <w:r w:rsidRPr="005E07F3">
        <w:rPr>
          <w:rFonts w:cs="Arial"/>
          <w:i/>
        </w:rPr>
        <w:t>Cartaway Resources Corp.</w:t>
      </w:r>
      <w:r w:rsidRPr="002742BA">
        <w:rPr>
          <w:rFonts w:cs="Arial"/>
          <w:i/>
        </w:rPr>
        <w:t xml:space="preserve"> </w:t>
      </w:r>
      <w:r w:rsidRPr="005E07F3">
        <w:rPr>
          <w:rFonts w:cs="Arial"/>
          <w:i/>
        </w:rPr>
        <w:t xml:space="preserve">(Re), supra </w:t>
      </w:r>
      <w:r w:rsidRPr="005E07F3">
        <w:rPr>
          <w:rFonts w:cs="Arial"/>
          <w:iCs/>
        </w:rPr>
        <w:t xml:space="preserve">note </w:t>
      </w:r>
      <w:r w:rsidR="00C01B42">
        <w:rPr>
          <w:rFonts w:cs="Arial"/>
          <w:iCs/>
        </w:rPr>
        <w:t>149.</w:t>
      </w:r>
      <w:r w:rsidRPr="005C697D">
        <w:rPr>
          <w:rFonts w:cs="Arial"/>
        </w:rPr>
        <w:t xml:space="preserve"> </w:t>
      </w:r>
    </w:p>
  </w:footnote>
  <w:footnote w:id="153">
    <w:p w14:paraId="374D666C" w14:textId="1AE8B93C" w:rsidR="002D40E9" w:rsidRDefault="005D25C5" w:rsidP="006979D7">
      <w:pPr>
        <w:pStyle w:val="Notedebasdepage"/>
      </w:pPr>
      <w:r>
        <w:rPr>
          <w:rStyle w:val="Appelnotedebasdep"/>
        </w:rPr>
        <w:footnoteRef/>
      </w:r>
      <w:r>
        <w:t xml:space="preserve"> </w:t>
      </w:r>
      <w:r>
        <w:tab/>
      </w:r>
      <w:r w:rsidRPr="005E07F3">
        <w:rPr>
          <w:i/>
          <w:iCs/>
        </w:rPr>
        <w:t xml:space="preserve">Autorité des marchés financiers v. Demers, </w:t>
      </w:r>
      <w:r w:rsidRPr="005E07F3">
        <w:t>2006 QCBDRVM 17</w:t>
      </w:r>
      <w:r w:rsidRPr="005E07F3">
        <w:rPr>
          <w:i/>
          <w:iCs/>
        </w:rPr>
        <w:t>.</w:t>
      </w:r>
      <w:r>
        <w:t xml:space="preserve"> </w:t>
      </w:r>
    </w:p>
  </w:footnote>
  <w:footnote w:id="154">
    <w:p w14:paraId="2F5F0445" w14:textId="2146B330" w:rsidR="002D40E9" w:rsidRPr="00845FDB" w:rsidRDefault="005D25C5" w:rsidP="006979D7">
      <w:pPr>
        <w:pStyle w:val="Notedebasdepage"/>
      </w:pPr>
      <w:r>
        <w:rPr>
          <w:rStyle w:val="Appelnotedebasdep"/>
        </w:rPr>
        <w:footnoteRef/>
      </w:r>
      <w:r>
        <w:t xml:space="preserve"> </w:t>
      </w:r>
      <w:r>
        <w:tab/>
      </w:r>
      <w:r w:rsidR="00D1088A" w:rsidRPr="005E07F3">
        <w:rPr>
          <w:i/>
          <w:iCs/>
        </w:rPr>
        <w:t>Ibid</w:t>
      </w:r>
      <w:r w:rsidR="00F43BBE">
        <w:rPr>
          <w:i/>
          <w:iCs/>
        </w:rPr>
        <w:t>.</w:t>
      </w:r>
    </w:p>
  </w:footnote>
  <w:footnote w:id="155">
    <w:p w14:paraId="6B338608" w14:textId="026D2596" w:rsidR="002D40E9" w:rsidRDefault="005D25C5" w:rsidP="006979D7">
      <w:pPr>
        <w:pStyle w:val="Notedebasdepage"/>
      </w:pPr>
      <w:r>
        <w:rPr>
          <w:rStyle w:val="Appelnotedebasdep"/>
        </w:rPr>
        <w:footnoteRef/>
      </w:r>
      <w:r>
        <w:t xml:space="preserve"> </w:t>
      </w:r>
      <w:r>
        <w:tab/>
      </w:r>
      <w:r w:rsidRPr="005E07F3">
        <w:rPr>
          <w:i/>
          <w:iCs/>
        </w:rPr>
        <w:t xml:space="preserve">Autorité des marchés financiers </w:t>
      </w:r>
      <w:r w:rsidR="00F43BBE" w:rsidRPr="005E07F3">
        <w:rPr>
          <w:i/>
          <w:iCs/>
        </w:rPr>
        <w:t>c.</w:t>
      </w:r>
      <w:r w:rsidRPr="005E07F3">
        <w:rPr>
          <w:i/>
          <w:iCs/>
        </w:rPr>
        <w:t xml:space="preserve"> </w:t>
      </w:r>
      <w:r w:rsidR="00F43BBE" w:rsidRPr="005E07F3">
        <w:rPr>
          <w:i/>
          <w:iCs/>
        </w:rPr>
        <w:t>Poitras</w:t>
      </w:r>
      <w:r w:rsidRPr="005E07F3">
        <w:rPr>
          <w:i/>
          <w:iCs/>
        </w:rPr>
        <w:t xml:space="preserve">, </w:t>
      </w:r>
      <w:r w:rsidRPr="005E07F3">
        <w:t>20</w:t>
      </w:r>
      <w:r w:rsidR="00F43BBE" w:rsidRPr="005E07F3">
        <w:t>22</w:t>
      </w:r>
      <w:r w:rsidRPr="005E07F3">
        <w:t xml:space="preserve"> QCTMF </w:t>
      </w:r>
      <w:r w:rsidR="00F43BBE" w:rsidRPr="005E07F3">
        <w:t>45</w:t>
      </w:r>
      <w:r w:rsidRPr="005E07F3">
        <w:rPr>
          <w:i/>
          <w:iCs/>
        </w:rPr>
        <w:t>.</w:t>
      </w:r>
    </w:p>
  </w:footnote>
  <w:footnote w:id="156">
    <w:p w14:paraId="32A9DF3D" w14:textId="07AF8F77" w:rsidR="002D40E9" w:rsidRDefault="005D25C5" w:rsidP="006979D7">
      <w:pPr>
        <w:pStyle w:val="Notedebasdepage"/>
      </w:pPr>
      <w:r>
        <w:rPr>
          <w:rStyle w:val="Appelnotedebasdep"/>
        </w:rPr>
        <w:footnoteRef/>
      </w:r>
      <w:r>
        <w:t xml:space="preserve"> </w:t>
      </w:r>
      <w:r>
        <w:tab/>
      </w:r>
      <w:r w:rsidRPr="005E07F3">
        <w:rPr>
          <w:i/>
          <w:iCs/>
        </w:rPr>
        <w:t xml:space="preserve">Autorité des marchés financiers c. </w:t>
      </w:r>
      <w:r w:rsidR="000B6572" w:rsidRPr="005E07F3">
        <w:rPr>
          <w:i/>
          <w:iCs/>
        </w:rPr>
        <w:t>Roy</w:t>
      </w:r>
      <w:r w:rsidRPr="005E07F3">
        <w:rPr>
          <w:i/>
          <w:iCs/>
        </w:rPr>
        <w:t xml:space="preserve">, </w:t>
      </w:r>
      <w:r w:rsidRPr="005E07F3">
        <w:t>201</w:t>
      </w:r>
      <w:r w:rsidR="000B6572" w:rsidRPr="005E07F3">
        <w:t>5</w:t>
      </w:r>
      <w:r w:rsidRPr="005E07F3">
        <w:t xml:space="preserve"> QCBDR </w:t>
      </w:r>
      <w:r w:rsidR="000B6572" w:rsidRPr="005E07F3">
        <w:t>43</w:t>
      </w:r>
      <w:r w:rsidRPr="005E07F3">
        <w:rPr>
          <w:i/>
          <w:iCs/>
        </w:rPr>
        <w:t>.</w:t>
      </w:r>
    </w:p>
  </w:footnote>
  <w:footnote w:id="157">
    <w:p w14:paraId="39E5E43A" w14:textId="3A8F274D" w:rsidR="002D40E9" w:rsidRPr="009801CC" w:rsidRDefault="005D25C5" w:rsidP="006979D7">
      <w:pPr>
        <w:pStyle w:val="Notedebasdepage"/>
        <w:rPr>
          <w:lang w:val="en-CA"/>
        </w:rPr>
      </w:pPr>
      <w:r>
        <w:rPr>
          <w:rStyle w:val="Appelnotedebasdep"/>
        </w:rPr>
        <w:footnoteRef/>
      </w:r>
      <w:r w:rsidRPr="009801CC">
        <w:rPr>
          <w:lang w:val="en-CA"/>
        </w:rPr>
        <w:t xml:space="preserve"> </w:t>
      </w:r>
      <w:r w:rsidRPr="009801CC">
        <w:rPr>
          <w:lang w:val="en-CA"/>
        </w:rPr>
        <w:tab/>
        <w:t>2014 QCBDR 29</w:t>
      </w:r>
      <w:r w:rsidR="00A47022">
        <w:rPr>
          <w:lang w:val="en-CA"/>
        </w:rPr>
        <w:t xml:space="preserve"> at</w:t>
      </w:r>
      <w:r w:rsidRPr="009801CC">
        <w:rPr>
          <w:lang w:val="en-CA"/>
        </w:rPr>
        <w:t xml:space="preserve"> par</w:t>
      </w:r>
      <w:r w:rsidR="00A47022">
        <w:rPr>
          <w:lang w:val="en-CA"/>
        </w:rPr>
        <w:t>a</w:t>
      </w:r>
      <w:r w:rsidRPr="009801CC">
        <w:rPr>
          <w:lang w:val="en-CA"/>
        </w:rPr>
        <w:t>. 128.</w:t>
      </w:r>
    </w:p>
  </w:footnote>
  <w:footnote w:id="158">
    <w:p w14:paraId="43716055" w14:textId="20C76036" w:rsidR="002D40E9" w:rsidRPr="009801CC" w:rsidRDefault="005D25C5" w:rsidP="006979D7">
      <w:pPr>
        <w:pStyle w:val="Notedebasdepage"/>
        <w:rPr>
          <w:lang w:val="en-CA"/>
        </w:rPr>
      </w:pPr>
      <w:r>
        <w:rPr>
          <w:rStyle w:val="Appelnotedebasdep"/>
        </w:rPr>
        <w:footnoteRef/>
      </w:r>
      <w:r w:rsidRPr="009801CC">
        <w:rPr>
          <w:lang w:val="en-CA"/>
        </w:rPr>
        <w:t xml:space="preserve"> </w:t>
      </w:r>
      <w:r w:rsidRPr="009801CC">
        <w:rPr>
          <w:lang w:val="en-CA"/>
        </w:rPr>
        <w:tab/>
      </w:r>
      <w:r w:rsidR="009145BC">
        <w:rPr>
          <w:lang w:val="en-CA"/>
        </w:rPr>
        <w:t>Exhibit D-44.</w:t>
      </w:r>
    </w:p>
  </w:footnote>
  <w:footnote w:id="159">
    <w:p w14:paraId="08FAF2BE" w14:textId="4E5DD503" w:rsidR="002D40E9" w:rsidRPr="00F42A32" w:rsidRDefault="005D25C5" w:rsidP="006979D7">
      <w:pPr>
        <w:pStyle w:val="Notedebasdepage"/>
        <w:rPr>
          <w:rFonts w:cs="Arial"/>
          <w:lang w:val="en-CA"/>
        </w:rPr>
      </w:pPr>
      <w:r w:rsidRPr="00A97237">
        <w:rPr>
          <w:rStyle w:val="Appelnotedebasdep"/>
          <w:rFonts w:cs="Arial"/>
        </w:rPr>
        <w:footnoteRef/>
      </w:r>
      <w:r w:rsidRPr="00F42A32">
        <w:rPr>
          <w:rFonts w:cs="Arial"/>
          <w:lang w:val="en-CA"/>
        </w:rPr>
        <w:t xml:space="preserve"> </w:t>
      </w:r>
      <w:r w:rsidRPr="00F42A32">
        <w:rPr>
          <w:rFonts w:cs="Arial"/>
          <w:lang w:val="en-CA"/>
        </w:rPr>
        <w:tab/>
      </w:r>
      <w:r w:rsidRPr="005E07F3">
        <w:rPr>
          <w:rFonts w:cs="Arial"/>
          <w:lang w:val="en-CA"/>
        </w:rPr>
        <w:t>[2004] 1 SCR 672.</w:t>
      </w:r>
    </w:p>
  </w:footnote>
  <w:footnote w:id="160">
    <w:p w14:paraId="1E3F1202" w14:textId="496FFEC2" w:rsidR="002D40E9" w:rsidRPr="00F42A32" w:rsidRDefault="005D25C5" w:rsidP="006979D7">
      <w:pPr>
        <w:pStyle w:val="Notedebasdepage"/>
        <w:rPr>
          <w:rFonts w:cs="Arial"/>
          <w:lang w:val="en-CA"/>
        </w:rPr>
      </w:pPr>
      <w:r w:rsidRPr="002742BA">
        <w:rPr>
          <w:rStyle w:val="Appelnotedebasdep"/>
          <w:rFonts w:cs="Arial"/>
        </w:rPr>
        <w:footnoteRef/>
      </w:r>
      <w:r w:rsidRPr="00F42A32">
        <w:rPr>
          <w:rFonts w:cs="Arial"/>
          <w:lang w:val="en-CA"/>
        </w:rPr>
        <w:t xml:space="preserve"> </w:t>
      </w:r>
      <w:r w:rsidRPr="00F42A32">
        <w:rPr>
          <w:rFonts w:cs="Arial"/>
          <w:lang w:val="en-CA"/>
        </w:rPr>
        <w:tab/>
      </w:r>
      <w:r w:rsidR="00D1088A" w:rsidRPr="005E07F3">
        <w:rPr>
          <w:rFonts w:cs="Arial"/>
          <w:i/>
          <w:lang w:val="en-CA"/>
        </w:rPr>
        <w:t>Ibid</w:t>
      </w:r>
      <w:r w:rsidRPr="005E07F3">
        <w:rPr>
          <w:rFonts w:cs="Arial"/>
          <w:i/>
          <w:lang w:val="en-CA"/>
        </w:rPr>
        <w:t xml:space="preserve"> </w:t>
      </w:r>
      <w:r w:rsidRPr="005E07F3">
        <w:rPr>
          <w:rFonts w:cs="Arial"/>
          <w:iCs/>
          <w:lang w:val="en-CA"/>
        </w:rPr>
        <w:t>at para.</w:t>
      </w:r>
      <w:r w:rsidRPr="00F42A32">
        <w:rPr>
          <w:rFonts w:cs="Arial"/>
          <w:lang w:val="en-CA"/>
        </w:rPr>
        <w:t xml:space="preserve"> 60.</w:t>
      </w:r>
    </w:p>
  </w:footnote>
  <w:footnote w:id="161">
    <w:p w14:paraId="74A285EE" w14:textId="4A94366E" w:rsidR="002D40E9" w:rsidRPr="00881581" w:rsidRDefault="005D25C5" w:rsidP="006979D7">
      <w:pPr>
        <w:pStyle w:val="Notedebasdepage"/>
        <w:rPr>
          <w:rFonts w:cs="Arial"/>
        </w:rPr>
      </w:pPr>
      <w:r w:rsidRPr="00B24451">
        <w:rPr>
          <w:rStyle w:val="Appelnotedebasdep"/>
          <w:rFonts w:cs="Arial"/>
        </w:rPr>
        <w:footnoteRef/>
      </w:r>
      <w:r w:rsidRPr="00F42A32">
        <w:rPr>
          <w:rFonts w:cs="Arial"/>
          <w:lang w:val="en-CA"/>
        </w:rPr>
        <w:t xml:space="preserve"> </w:t>
      </w:r>
      <w:r w:rsidRPr="00F42A32">
        <w:rPr>
          <w:rFonts w:cs="Arial"/>
          <w:lang w:val="en-CA"/>
        </w:rPr>
        <w:tab/>
      </w:r>
      <w:r w:rsidR="00D1088A" w:rsidRPr="005E07F3">
        <w:rPr>
          <w:rFonts w:cs="Arial"/>
          <w:i/>
          <w:lang w:val="en-CA"/>
        </w:rPr>
        <w:t>Ibid</w:t>
      </w:r>
      <w:r w:rsidRPr="005E07F3">
        <w:rPr>
          <w:rFonts w:cs="Arial"/>
          <w:i/>
          <w:lang w:val="en-CA"/>
        </w:rPr>
        <w:t xml:space="preserve"> </w:t>
      </w:r>
      <w:r w:rsidRPr="005E07F3">
        <w:rPr>
          <w:rFonts w:cs="Arial"/>
          <w:iCs/>
          <w:lang w:val="en-CA"/>
        </w:rPr>
        <w:t>at para.</w:t>
      </w:r>
      <w:r w:rsidRPr="00F42A32">
        <w:rPr>
          <w:rFonts w:cs="Arial"/>
          <w:lang w:val="en-CA"/>
        </w:rPr>
        <w:t xml:space="preserve"> </w:t>
      </w:r>
      <w:r w:rsidRPr="00881581">
        <w:rPr>
          <w:rFonts w:cs="Arial"/>
        </w:rPr>
        <w:t>4.</w:t>
      </w:r>
    </w:p>
  </w:footnote>
  <w:footnote w:id="162">
    <w:p w14:paraId="19F8E5F0" w14:textId="32F8FD18" w:rsidR="002D40E9" w:rsidRPr="00881581" w:rsidRDefault="005D25C5" w:rsidP="006979D7">
      <w:pPr>
        <w:pStyle w:val="Notedebasdepage"/>
        <w:rPr>
          <w:rFonts w:cs="Arial"/>
        </w:rPr>
      </w:pPr>
      <w:r w:rsidRPr="00B24451">
        <w:rPr>
          <w:rStyle w:val="Appelnotedebasdep"/>
          <w:rFonts w:cs="Arial"/>
        </w:rPr>
        <w:footnoteRef/>
      </w:r>
      <w:r w:rsidRPr="00881581">
        <w:rPr>
          <w:rFonts w:cs="Arial"/>
        </w:rPr>
        <w:t xml:space="preserve"> </w:t>
      </w:r>
      <w:r w:rsidRPr="00881581">
        <w:rPr>
          <w:rFonts w:cs="Arial"/>
        </w:rPr>
        <w:tab/>
      </w:r>
      <w:r w:rsidR="00D1088A" w:rsidRPr="00881581">
        <w:rPr>
          <w:rFonts w:cs="Arial"/>
          <w:i/>
        </w:rPr>
        <w:t>Ibid</w:t>
      </w:r>
      <w:r w:rsidR="00CE6E82" w:rsidRPr="00881581">
        <w:rPr>
          <w:rFonts w:cs="Arial"/>
          <w:i/>
        </w:rPr>
        <w:t>.</w:t>
      </w:r>
    </w:p>
  </w:footnote>
  <w:footnote w:id="163">
    <w:p w14:paraId="7C99E001" w14:textId="64AF4425" w:rsidR="002D40E9" w:rsidRPr="00881581" w:rsidRDefault="005D25C5" w:rsidP="006979D7">
      <w:pPr>
        <w:pStyle w:val="Notedebasdepage"/>
      </w:pPr>
      <w:r w:rsidRPr="00B24451">
        <w:rPr>
          <w:rStyle w:val="Appelnotedebasdep"/>
        </w:rPr>
        <w:footnoteRef/>
      </w:r>
      <w:r w:rsidRPr="00881581">
        <w:t xml:space="preserve"> </w:t>
      </w:r>
      <w:r w:rsidRPr="00881581">
        <w:tab/>
      </w:r>
      <w:r w:rsidRPr="00881581">
        <w:rPr>
          <w:i/>
          <w:iCs/>
        </w:rPr>
        <w:t>Supra</w:t>
      </w:r>
      <w:r w:rsidRPr="00881581">
        <w:t xml:space="preserve"> note </w:t>
      </w:r>
      <w:r w:rsidRPr="00B24451">
        <w:fldChar w:fldCharType="begin"/>
      </w:r>
      <w:r w:rsidRPr="00881581">
        <w:instrText xml:space="preserve"> NOTEREF _Ref167201703 \h  \* MERGEFORMAT </w:instrText>
      </w:r>
      <w:r w:rsidRPr="00B24451">
        <w:fldChar w:fldCharType="separate"/>
      </w:r>
      <w:r w:rsidR="00F72DA2" w:rsidRPr="00881581">
        <w:t>12</w:t>
      </w:r>
      <w:r w:rsidRPr="00B24451">
        <w:fldChar w:fldCharType="end"/>
      </w:r>
      <w:r w:rsidRPr="00881581">
        <w:t>.</w:t>
      </w:r>
    </w:p>
  </w:footnote>
  <w:footnote w:id="164">
    <w:p w14:paraId="363392EE" w14:textId="242FC696" w:rsidR="002D40E9" w:rsidRDefault="005D25C5" w:rsidP="006979D7">
      <w:pPr>
        <w:pStyle w:val="Notedebasdepage"/>
      </w:pPr>
      <w:r w:rsidRPr="00030A31">
        <w:rPr>
          <w:rStyle w:val="Appelnotedebasdep"/>
        </w:rPr>
        <w:footnoteRef/>
      </w:r>
      <w:r w:rsidRPr="00881581">
        <w:t xml:space="preserve"> </w:t>
      </w:r>
      <w:r w:rsidRPr="00881581">
        <w:tab/>
      </w:r>
      <w:r w:rsidRPr="00881581">
        <w:rPr>
          <w:i/>
        </w:rPr>
        <w:t xml:space="preserve">Paul Azeff et al., </w:t>
      </w:r>
      <w:r w:rsidRPr="00881581">
        <w:t>2015 ONSEC 29</w:t>
      </w:r>
      <w:r w:rsidR="0038307D" w:rsidRPr="00881581">
        <w:t xml:space="preserve"> at</w:t>
      </w:r>
      <w:r w:rsidRPr="00881581">
        <w:t xml:space="preserve"> par</w:t>
      </w:r>
      <w:r w:rsidR="0038307D" w:rsidRPr="00881581">
        <w:t>a</w:t>
      </w:r>
      <w:r w:rsidRPr="00881581">
        <w:t>.</w:t>
      </w:r>
      <w:r w:rsidRPr="00881581">
        <w:rPr>
          <w:spacing w:val="-20"/>
        </w:rPr>
        <w:t xml:space="preserve"> </w:t>
      </w:r>
      <w:r w:rsidRPr="0038307D">
        <w:t xml:space="preserve">21; </w:t>
      </w:r>
      <w:r w:rsidRPr="0038307D">
        <w:rPr>
          <w:i/>
        </w:rPr>
        <w:t xml:space="preserve">Eda Marie Agueci et al., </w:t>
      </w:r>
      <w:r w:rsidRPr="0038307D">
        <w:t>2015 ONSEC 19</w:t>
      </w:r>
      <w:r w:rsidR="0038307D" w:rsidRPr="0038307D">
        <w:t xml:space="preserve"> at</w:t>
      </w:r>
      <w:r w:rsidRPr="0038307D">
        <w:t xml:space="preserve"> par</w:t>
      </w:r>
      <w:r w:rsidR="0038307D" w:rsidRPr="0038307D">
        <w:t>a</w:t>
      </w:r>
      <w:r w:rsidRPr="0038307D">
        <w:t xml:space="preserve">. 19; </w:t>
      </w:r>
      <w:r w:rsidRPr="0038307D">
        <w:rPr>
          <w:i/>
        </w:rPr>
        <w:t>Hutchinson (Re)</w:t>
      </w:r>
      <w:r w:rsidRPr="0038307D">
        <w:t>, 2020 ONSEC 1</w:t>
      </w:r>
      <w:r w:rsidR="0038307D" w:rsidRPr="0038307D">
        <w:t xml:space="preserve"> at</w:t>
      </w:r>
      <w:r w:rsidRPr="0038307D">
        <w:t xml:space="preserve"> par</w:t>
      </w:r>
      <w:r w:rsidR="0038307D" w:rsidRPr="0038307D">
        <w:t>a</w:t>
      </w:r>
      <w:r w:rsidR="00A100DE">
        <w:t>s</w:t>
      </w:r>
      <w:r w:rsidRPr="0038307D">
        <w:t xml:space="preserve">. 19 </w:t>
      </w:r>
      <w:r w:rsidR="0038307D" w:rsidRPr="0038307D">
        <w:t>an</w:t>
      </w:r>
      <w:r w:rsidR="0038307D">
        <w:t>d</w:t>
      </w:r>
      <w:r w:rsidRPr="0038307D">
        <w:t xml:space="preserve"> 27 </w:t>
      </w:r>
      <w:r w:rsidRPr="0038307D">
        <w:rPr>
          <w:spacing w:val="-3"/>
        </w:rPr>
        <w:t xml:space="preserve">et </w:t>
      </w:r>
      <w:r w:rsidRPr="0038307D">
        <w:t>s</w:t>
      </w:r>
      <w:r w:rsidR="0038307D">
        <w:t>eq</w:t>
      </w:r>
      <w:r w:rsidRPr="0038307D">
        <w:t xml:space="preserve">.; </w:t>
      </w:r>
      <w:r w:rsidRPr="0038307D">
        <w:rPr>
          <w:i/>
        </w:rPr>
        <w:t>Kitmitto (Re)</w:t>
      </w:r>
      <w:r w:rsidRPr="0038307D">
        <w:t>, 2023 ONCMT 4, (</w:t>
      </w:r>
      <w:r w:rsidR="0038307D">
        <w:t>aff’d</w:t>
      </w:r>
      <w:r w:rsidRPr="0038307D">
        <w:t xml:space="preserve"> 2024 ONSC 1412); </w:t>
      </w:r>
      <w:r w:rsidRPr="0038307D">
        <w:rPr>
          <w:i/>
        </w:rPr>
        <w:t>Kapusta, Re</w:t>
      </w:r>
      <w:r w:rsidRPr="0038307D">
        <w:t xml:space="preserve">, 2011 ABASC 521; </w:t>
      </w:r>
      <w:r w:rsidRPr="0038307D">
        <w:rPr>
          <w:i/>
        </w:rPr>
        <w:t>Re Holtby</w:t>
      </w:r>
      <w:r w:rsidRPr="0038307D">
        <w:t xml:space="preserve">, 2015 ABASC 891; </w:t>
      </w:r>
      <w:r w:rsidRPr="0038307D">
        <w:rPr>
          <w:i/>
          <w:iCs/>
        </w:rPr>
        <w:t>Hu (Re)</w:t>
      </w:r>
      <w:r w:rsidRPr="0038307D">
        <w:t xml:space="preserve">, 2011 BCSECCOM 514; </w:t>
      </w:r>
      <w:r w:rsidRPr="0038307D">
        <w:rPr>
          <w:i/>
        </w:rPr>
        <w:t>Torudag (Re)</w:t>
      </w:r>
      <w:r w:rsidRPr="0038307D">
        <w:t xml:space="preserve">, 2009 BCSECCOM 339; </w:t>
      </w:r>
      <w:r w:rsidRPr="005E07F3">
        <w:rPr>
          <w:i/>
        </w:rPr>
        <w:t xml:space="preserve">Autorité des marchés financiers c. Filiatreault, </w:t>
      </w:r>
      <w:r w:rsidRPr="005E07F3">
        <w:rPr>
          <w:iCs/>
        </w:rPr>
        <w:t>2016 QCTMF 8</w:t>
      </w:r>
      <w:r w:rsidR="0038307D">
        <w:rPr>
          <w:iCs/>
        </w:rPr>
        <w:t>;</w:t>
      </w:r>
      <w:r w:rsidRPr="0038307D">
        <w:t xml:space="preserve"> </w:t>
      </w:r>
      <w:r w:rsidRPr="005E07F3">
        <w:rPr>
          <w:i/>
        </w:rPr>
        <w:t xml:space="preserve">Autorité des marchés financiers v. </w:t>
      </w:r>
      <w:r w:rsidR="0038307D" w:rsidRPr="005E07F3">
        <w:rPr>
          <w:i/>
        </w:rPr>
        <w:t>Fiset</w:t>
      </w:r>
      <w:r w:rsidRPr="005E07F3">
        <w:rPr>
          <w:i/>
        </w:rPr>
        <w:t xml:space="preserve">, </w:t>
      </w:r>
      <w:r w:rsidRPr="005E07F3">
        <w:rPr>
          <w:iCs/>
        </w:rPr>
        <w:t xml:space="preserve">2018 QCTMF </w:t>
      </w:r>
      <w:r w:rsidR="0038307D" w:rsidRPr="005E07F3">
        <w:rPr>
          <w:iCs/>
        </w:rPr>
        <w:t>56</w:t>
      </w:r>
      <w:r w:rsidR="0038307D" w:rsidRPr="0038307D">
        <w:rPr>
          <w:iCs/>
        </w:rPr>
        <w:t>;</w:t>
      </w:r>
      <w:r w:rsidRPr="00030A31">
        <w:t xml:space="preserve"> </w:t>
      </w:r>
      <w:r w:rsidRPr="005E07F3">
        <w:rPr>
          <w:i/>
        </w:rPr>
        <w:t xml:space="preserve">Autorité des marchés financiers c. </w:t>
      </w:r>
      <w:r w:rsidRPr="00030A31">
        <w:rPr>
          <w:i/>
        </w:rPr>
        <w:t>Caron</w:t>
      </w:r>
      <w:r w:rsidRPr="00030A31">
        <w:t xml:space="preserve">, 2021 QCTMF 42; </w:t>
      </w:r>
      <w:r w:rsidRPr="005E07F3">
        <w:rPr>
          <w:i/>
        </w:rPr>
        <w:t xml:space="preserve">Autorité des marchés financiers v. </w:t>
      </w:r>
      <w:r w:rsidR="0038307D" w:rsidRPr="005E07F3">
        <w:rPr>
          <w:i/>
        </w:rPr>
        <w:t>Langlois</w:t>
      </w:r>
      <w:r w:rsidRPr="005E07F3">
        <w:rPr>
          <w:i/>
        </w:rPr>
        <w:t xml:space="preserve">, </w:t>
      </w:r>
      <w:r w:rsidRPr="005E07F3">
        <w:rPr>
          <w:iCs/>
        </w:rPr>
        <w:t xml:space="preserve">2017 QCTMF </w:t>
      </w:r>
      <w:r w:rsidR="0038307D" w:rsidRPr="005E07F3">
        <w:rPr>
          <w:iCs/>
        </w:rPr>
        <w:t>17</w:t>
      </w:r>
      <w:r w:rsidR="0038307D">
        <w:rPr>
          <w:i/>
        </w:rPr>
        <w:t>;</w:t>
      </w:r>
      <w:r w:rsidRPr="00030A31">
        <w:t xml:space="preserve"> </w:t>
      </w:r>
      <w:r w:rsidRPr="005E07F3">
        <w:rPr>
          <w:i/>
        </w:rPr>
        <w:t xml:space="preserve">Autorité des marchés financiers c. </w:t>
      </w:r>
      <w:r w:rsidR="0038307D" w:rsidRPr="005E07F3">
        <w:rPr>
          <w:i/>
        </w:rPr>
        <w:t>Langlais</w:t>
      </w:r>
      <w:r w:rsidRPr="005E07F3">
        <w:rPr>
          <w:i/>
        </w:rPr>
        <w:t xml:space="preserve">, </w:t>
      </w:r>
      <w:r w:rsidRPr="005E07F3">
        <w:rPr>
          <w:iCs/>
        </w:rPr>
        <w:t>20</w:t>
      </w:r>
      <w:r w:rsidR="0038307D" w:rsidRPr="005E07F3">
        <w:rPr>
          <w:iCs/>
        </w:rPr>
        <w:t>21</w:t>
      </w:r>
      <w:r w:rsidRPr="005E07F3">
        <w:rPr>
          <w:iCs/>
        </w:rPr>
        <w:t xml:space="preserve"> QCTMF </w:t>
      </w:r>
      <w:r w:rsidR="0038307D" w:rsidRPr="005E07F3">
        <w:rPr>
          <w:iCs/>
        </w:rPr>
        <w:t>13;</w:t>
      </w:r>
      <w:r w:rsidRPr="005E07F3">
        <w:rPr>
          <w:i/>
        </w:rPr>
        <w:t xml:space="preserve"> </w:t>
      </w:r>
      <w:r w:rsidRPr="00030A31">
        <w:rPr>
          <w:i/>
        </w:rPr>
        <w:t xml:space="preserve">Autorité des marchés financiers </w:t>
      </w:r>
      <w:r w:rsidRPr="0038307D">
        <w:rPr>
          <w:i/>
        </w:rPr>
        <w:t>c.</w:t>
      </w:r>
      <w:r w:rsidRPr="00030A31">
        <w:rPr>
          <w:i/>
        </w:rPr>
        <w:t xml:space="preserve"> Productions Action Motivation inc.</w:t>
      </w:r>
      <w:r w:rsidRPr="00030A31">
        <w:t xml:space="preserve">, 2010 QCBDRVM 1; </w:t>
      </w:r>
      <w:r w:rsidRPr="00030A31">
        <w:rPr>
          <w:i/>
        </w:rPr>
        <w:t>Limelight Entertainment Inc. et al.</w:t>
      </w:r>
      <w:r w:rsidRPr="00030A31">
        <w:t>, 2008 ONSEC 28</w:t>
      </w:r>
      <w:r w:rsidR="0038307D">
        <w:t>;</w:t>
      </w:r>
      <w:r w:rsidRPr="00030A31">
        <w:t xml:space="preserve"> </w:t>
      </w:r>
      <w:r w:rsidR="0038307D">
        <w:t>and</w:t>
      </w:r>
      <w:r w:rsidRPr="00030A31">
        <w:t xml:space="preserve"> </w:t>
      </w:r>
      <w:r w:rsidRPr="00030A31">
        <w:rPr>
          <w:i/>
        </w:rPr>
        <w:t>Re Fauth</w:t>
      </w:r>
      <w:r w:rsidRPr="00030A31">
        <w:t>, 2019 ABASC 102.</w:t>
      </w:r>
    </w:p>
  </w:footnote>
  <w:footnote w:id="165">
    <w:p w14:paraId="73988502" w14:textId="265B24E9" w:rsidR="002D40E9" w:rsidRPr="00F42A32" w:rsidRDefault="005D25C5" w:rsidP="006979D7">
      <w:pPr>
        <w:pStyle w:val="Notedebasdepage"/>
        <w:rPr>
          <w:lang w:val="en-CA"/>
        </w:rPr>
      </w:pPr>
      <w:r>
        <w:rPr>
          <w:rStyle w:val="Appelnotedebasdep"/>
        </w:rPr>
        <w:footnoteRef/>
      </w:r>
      <w:r w:rsidRPr="00F42A32">
        <w:rPr>
          <w:lang w:val="en-CA"/>
        </w:rPr>
        <w:t xml:space="preserve"> </w:t>
      </w:r>
      <w:r w:rsidRPr="00F42A32">
        <w:rPr>
          <w:lang w:val="en-CA"/>
        </w:rPr>
        <w:tab/>
      </w:r>
      <w:r w:rsidRPr="005E07F3">
        <w:rPr>
          <w:lang w:val="en-CA"/>
        </w:rPr>
        <w:t xml:space="preserve">Section </w:t>
      </w:r>
      <w:r w:rsidR="0018533F" w:rsidRPr="005E07F3">
        <w:rPr>
          <w:lang w:val="en-CA"/>
        </w:rPr>
        <w:t xml:space="preserve">273.3(2) of the </w:t>
      </w:r>
      <w:r w:rsidR="0018533F" w:rsidRPr="005E07F3">
        <w:rPr>
          <w:i/>
          <w:iCs/>
          <w:lang w:val="en-CA"/>
        </w:rPr>
        <w:t>SA</w:t>
      </w:r>
      <w:r w:rsidR="0018533F" w:rsidRPr="005E07F3">
        <w:rPr>
          <w:lang w:val="en-CA"/>
        </w:rPr>
        <w:t>: “</w:t>
      </w:r>
      <w:r w:rsidRPr="005E07F3">
        <w:rPr>
          <w:lang w:val="en-CA"/>
        </w:rPr>
        <w:t>may not exceed five years</w:t>
      </w:r>
      <w:r w:rsidR="0018533F" w:rsidRPr="005E07F3">
        <w:rPr>
          <w:lang w:val="en-CA"/>
        </w:rPr>
        <w:t>”</w:t>
      </w:r>
      <w:r w:rsidRPr="005E07F3">
        <w:rPr>
          <w:lang w:val="en-CA"/>
        </w:rPr>
        <w:t>.</w:t>
      </w:r>
    </w:p>
  </w:footnote>
  <w:footnote w:id="166">
    <w:p w14:paraId="3D3381AE" w14:textId="2598BCE4" w:rsidR="002D40E9" w:rsidRPr="004A5B68" w:rsidRDefault="005D25C5" w:rsidP="006979D7">
      <w:pPr>
        <w:pStyle w:val="Notedebasdepage"/>
        <w:rPr>
          <w:lang w:val="en-CA"/>
        </w:rPr>
      </w:pPr>
      <w:r>
        <w:rPr>
          <w:rStyle w:val="Appelnotedebasdep"/>
        </w:rPr>
        <w:footnoteRef/>
      </w:r>
      <w:r w:rsidRPr="004A5B68">
        <w:rPr>
          <w:lang w:val="en-CA"/>
        </w:rPr>
        <w:t xml:space="preserve"> </w:t>
      </w:r>
      <w:r w:rsidRPr="004A5B68">
        <w:rPr>
          <w:lang w:val="en-CA"/>
        </w:rPr>
        <w:tab/>
      </w:r>
      <w:r w:rsidR="004A5B68" w:rsidRPr="004A5B68">
        <w:rPr>
          <w:lang w:val="en-CA"/>
        </w:rPr>
        <w:t>These are mainly decisions rendered by the Tribunal’s Ontario counterpart</w:t>
      </w:r>
      <w:r w:rsidRPr="004A5B68">
        <w:rPr>
          <w:lang w:val="en-CA"/>
        </w:rPr>
        <w:t>.</w:t>
      </w:r>
    </w:p>
  </w:footnote>
  <w:footnote w:id="167">
    <w:p w14:paraId="7C02D609" w14:textId="48F74FBE" w:rsidR="002D40E9" w:rsidRDefault="005D25C5" w:rsidP="006979D7">
      <w:pPr>
        <w:pStyle w:val="Notedebasdepage"/>
      </w:pPr>
      <w:r>
        <w:rPr>
          <w:rStyle w:val="Appelnotedebasdep"/>
        </w:rPr>
        <w:footnoteRef/>
      </w:r>
      <w:r w:rsidRPr="00B24451">
        <w:t xml:space="preserve"> </w:t>
      </w:r>
      <w:r w:rsidRPr="00B24451">
        <w:tab/>
      </w:r>
      <w:r w:rsidRPr="005E07F3">
        <w:rPr>
          <w:i/>
          <w:iCs/>
        </w:rPr>
        <w:t>Supra</w:t>
      </w:r>
      <w:r w:rsidRPr="005E07F3">
        <w:t xml:space="preserve"> note </w:t>
      </w:r>
      <w:r w:rsidRPr="00B24451">
        <w:fldChar w:fldCharType="begin"/>
      </w:r>
      <w:r>
        <w:instrText xml:space="preserve"> NOTEREF _Ref167201615 \h  \* MERGEFORMAT </w:instrText>
      </w:r>
      <w:r w:rsidRPr="00B24451">
        <w:fldChar w:fldCharType="separate"/>
      </w:r>
      <w:r w:rsidR="00F72DA2">
        <w:t>164</w:t>
      </w:r>
      <w:r w:rsidRPr="00B24451">
        <w:fldChar w:fldCharType="end"/>
      </w:r>
      <w:r w:rsidRPr="00B24451">
        <w:t>.</w:t>
      </w:r>
    </w:p>
  </w:footnote>
  <w:footnote w:id="168">
    <w:p w14:paraId="13DA11B5" w14:textId="33449F17" w:rsidR="002D40E9" w:rsidRDefault="005D25C5" w:rsidP="006979D7">
      <w:pPr>
        <w:pStyle w:val="Notedebasdepage"/>
      </w:pPr>
      <w:r>
        <w:rPr>
          <w:rStyle w:val="Appelnotedebasdep"/>
        </w:rPr>
        <w:footnoteRef/>
      </w:r>
      <w:r>
        <w:t xml:space="preserve"> </w:t>
      </w:r>
      <w:r w:rsidR="005C5D35">
        <w:rPr>
          <w:i/>
          <w:iCs/>
        </w:rPr>
        <w:t>Autorité des marchés financiers c. Filiatrault</w:t>
      </w:r>
      <w:r w:rsidR="005C5D35">
        <w:t xml:space="preserve">, 2016 QCTMF 8; </w:t>
      </w:r>
      <w:r w:rsidR="005C5D35">
        <w:rPr>
          <w:i/>
          <w:iCs/>
        </w:rPr>
        <w:t>Autorité des marchés financiers c. Caron</w:t>
      </w:r>
      <w:r w:rsidR="005C5D35" w:rsidRPr="005C5D35">
        <w:t>,</w:t>
      </w:r>
      <w:r w:rsidR="005C5D35">
        <w:rPr>
          <w:i/>
          <w:iCs/>
        </w:rPr>
        <w:t xml:space="preserve"> </w:t>
      </w:r>
      <w:r w:rsidR="005C5D35">
        <w:t xml:space="preserve">2021 QCTMF 42; </w:t>
      </w:r>
      <w:r w:rsidRPr="0006335B">
        <w:rPr>
          <w:i/>
          <w:iCs/>
        </w:rPr>
        <w:t xml:space="preserve">Autorité des marchés financiers </w:t>
      </w:r>
      <w:r w:rsidRPr="005C5D35">
        <w:rPr>
          <w:i/>
          <w:iCs/>
        </w:rPr>
        <w:t>c.</w:t>
      </w:r>
      <w:r w:rsidRPr="0006335B">
        <w:rPr>
          <w:i/>
          <w:iCs/>
        </w:rPr>
        <w:t xml:space="preserve"> Poudrette</w:t>
      </w:r>
      <w:r>
        <w:t>, 2021 QCTMF 53</w:t>
      </w:r>
      <w:r w:rsidR="005C5D35">
        <w:t>; and</w:t>
      </w:r>
      <w:r>
        <w:t xml:space="preserve"> </w:t>
      </w:r>
      <w:r w:rsidRPr="0006335B">
        <w:rPr>
          <w:i/>
          <w:iCs/>
        </w:rPr>
        <w:t xml:space="preserve">Autorité des marchés financiers </w:t>
      </w:r>
      <w:r w:rsidRPr="005C5D35">
        <w:rPr>
          <w:i/>
          <w:iCs/>
        </w:rPr>
        <w:t>c.</w:t>
      </w:r>
      <w:r w:rsidRPr="0006335B">
        <w:rPr>
          <w:i/>
          <w:iCs/>
        </w:rPr>
        <w:t xml:space="preserve"> Poitras</w:t>
      </w:r>
      <w:r>
        <w:t>, 2022 QCTMF 45.</w:t>
      </w:r>
    </w:p>
  </w:footnote>
  <w:footnote w:id="169">
    <w:p w14:paraId="2FE5F8BD" w14:textId="6959A4F9" w:rsidR="002D40E9" w:rsidRDefault="005D25C5" w:rsidP="006979D7">
      <w:pPr>
        <w:pStyle w:val="Notedebasdepage"/>
      </w:pPr>
      <w:r>
        <w:rPr>
          <w:rStyle w:val="Appelnotedebasdep"/>
        </w:rPr>
        <w:footnoteRef/>
      </w:r>
      <w:r>
        <w:t xml:space="preserve"> </w:t>
      </w:r>
      <w:r>
        <w:tab/>
      </w:r>
      <w:r w:rsidRPr="005E07F3">
        <w:rPr>
          <w:i/>
          <w:iCs/>
        </w:rPr>
        <w:t xml:space="preserve">Autorité des marchés financiers </w:t>
      </w:r>
      <w:r w:rsidR="006A180B" w:rsidRPr="005E07F3">
        <w:rPr>
          <w:i/>
          <w:iCs/>
        </w:rPr>
        <w:t>c. Fiset</w:t>
      </w:r>
      <w:r w:rsidRPr="005E07F3">
        <w:rPr>
          <w:i/>
          <w:iCs/>
        </w:rPr>
        <w:t xml:space="preserve">, </w:t>
      </w:r>
      <w:r w:rsidRPr="005E07F3">
        <w:t xml:space="preserve">2018 QCTMF </w:t>
      </w:r>
      <w:r w:rsidR="006A180B" w:rsidRPr="005E07F3">
        <w:t>56</w:t>
      </w:r>
      <w:r w:rsidRPr="005E07F3">
        <w:rPr>
          <w:i/>
          <w:iCs/>
        </w:rPr>
        <w:t>.</w:t>
      </w:r>
    </w:p>
  </w:footnote>
  <w:footnote w:id="170">
    <w:p w14:paraId="2484360A" w14:textId="65FEAF4A" w:rsidR="002D40E9" w:rsidRPr="00881581" w:rsidRDefault="005D25C5" w:rsidP="006979D7">
      <w:pPr>
        <w:pStyle w:val="Notedebasdepage"/>
      </w:pPr>
      <w:r>
        <w:rPr>
          <w:rStyle w:val="Appelnotedebasdep"/>
        </w:rPr>
        <w:footnoteRef/>
      </w:r>
      <w:r>
        <w:t xml:space="preserve"> </w:t>
      </w:r>
      <w:r>
        <w:tab/>
      </w:r>
      <w:r w:rsidR="006A180B">
        <w:t>See in particular</w:t>
      </w:r>
      <w:r>
        <w:t xml:space="preserve"> </w:t>
      </w:r>
      <w:r w:rsidRPr="00721B21">
        <w:rPr>
          <w:i/>
          <w:iCs/>
        </w:rPr>
        <w:t>Autorité des marchés financiers</w:t>
      </w:r>
      <w:r w:rsidRPr="00C54F03">
        <w:t xml:space="preserve"> c. </w:t>
      </w:r>
      <w:r w:rsidRPr="00721B21">
        <w:rPr>
          <w:i/>
          <w:iCs/>
        </w:rPr>
        <w:t>Fiset</w:t>
      </w:r>
      <w:r>
        <w:t>, 2018 QCTMF 56</w:t>
      </w:r>
      <w:r w:rsidR="006A180B">
        <w:t xml:space="preserve"> at</w:t>
      </w:r>
      <w:r>
        <w:t xml:space="preserve"> par</w:t>
      </w:r>
      <w:r w:rsidR="006A180B">
        <w:t>a</w:t>
      </w:r>
      <w:r>
        <w:t xml:space="preserve">. </w:t>
      </w:r>
      <w:r w:rsidRPr="00881581">
        <w:t xml:space="preserve">68; </w:t>
      </w:r>
      <w:r w:rsidRPr="00881581">
        <w:rPr>
          <w:i/>
          <w:iCs/>
          <w:color w:val="1F2328"/>
        </w:rPr>
        <w:t>Autorité des marchés financiers v. P</w:t>
      </w:r>
      <w:r w:rsidR="006A180B" w:rsidRPr="00881581">
        <w:rPr>
          <w:i/>
          <w:iCs/>
          <w:color w:val="1F2328"/>
        </w:rPr>
        <w:t>oudrette</w:t>
      </w:r>
      <w:r w:rsidRPr="00881581">
        <w:rPr>
          <w:i/>
          <w:iCs/>
          <w:color w:val="1F2328"/>
        </w:rPr>
        <w:t xml:space="preserve">, </w:t>
      </w:r>
      <w:r w:rsidRPr="00881581">
        <w:rPr>
          <w:color w:val="1F2328"/>
        </w:rPr>
        <w:t>20</w:t>
      </w:r>
      <w:r w:rsidR="006A180B" w:rsidRPr="00881581">
        <w:rPr>
          <w:color w:val="1F2328"/>
        </w:rPr>
        <w:t>21</w:t>
      </w:r>
      <w:r w:rsidRPr="00881581">
        <w:rPr>
          <w:color w:val="1F2328"/>
        </w:rPr>
        <w:t xml:space="preserve"> QCTMF </w:t>
      </w:r>
      <w:r w:rsidR="006A180B" w:rsidRPr="00881581">
        <w:rPr>
          <w:color w:val="1F2328"/>
        </w:rPr>
        <w:t>5</w:t>
      </w:r>
      <w:r w:rsidRPr="00881581">
        <w:rPr>
          <w:color w:val="1F2328"/>
        </w:rPr>
        <w:t>3</w:t>
      </w:r>
      <w:r w:rsidRPr="00881581">
        <w:rPr>
          <w:i/>
          <w:iCs/>
          <w:color w:val="1F2328"/>
        </w:rPr>
        <w:t>.</w:t>
      </w:r>
      <w:r w:rsidRPr="00881581">
        <w:t xml:space="preserve"> </w:t>
      </w:r>
    </w:p>
  </w:footnote>
  <w:footnote w:id="171">
    <w:p w14:paraId="20AB007A" w14:textId="2AF49937" w:rsidR="002D40E9" w:rsidRPr="00E702E0" w:rsidRDefault="005D25C5" w:rsidP="00D12848">
      <w:pPr>
        <w:pStyle w:val="Notedebasdepage"/>
        <w:rPr>
          <w:lang w:val="en-CA"/>
        </w:rPr>
      </w:pPr>
      <w:r>
        <w:rPr>
          <w:rStyle w:val="Appelnotedebasdep"/>
        </w:rPr>
        <w:footnoteRef/>
      </w:r>
      <w:r w:rsidRPr="00E702E0">
        <w:rPr>
          <w:lang w:val="en-CA"/>
        </w:rPr>
        <w:t xml:space="preserve"> </w:t>
      </w:r>
      <w:r w:rsidRPr="00E702E0">
        <w:rPr>
          <w:lang w:val="en-CA"/>
        </w:rPr>
        <w:tab/>
      </w:r>
      <w:r w:rsidR="00917735" w:rsidRPr="00E702E0">
        <w:rPr>
          <w:lang w:val="en-CA"/>
        </w:rPr>
        <w:t xml:space="preserve">However, in Quebec, section 273.3(2) of the </w:t>
      </w:r>
      <w:r w:rsidR="00917735" w:rsidRPr="00E702E0">
        <w:rPr>
          <w:i/>
          <w:iCs/>
          <w:lang w:val="en-CA"/>
        </w:rPr>
        <w:t xml:space="preserve">SA </w:t>
      </w:r>
      <w:r w:rsidR="00917735" w:rsidRPr="00E702E0">
        <w:rPr>
          <w:lang w:val="en-CA"/>
        </w:rPr>
        <w:t>stipulates that the prohibition is “not to exceed five years”.</w:t>
      </w:r>
    </w:p>
  </w:footnote>
  <w:footnote w:id="172">
    <w:p w14:paraId="5B3E1AF7" w14:textId="3B113CD4" w:rsidR="002D40E9" w:rsidRDefault="005D25C5" w:rsidP="006979D7">
      <w:pPr>
        <w:pStyle w:val="Notedebasdepage"/>
      </w:pPr>
      <w:r>
        <w:rPr>
          <w:rStyle w:val="Appelnotedebasdep"/>
        </w:rPr>
        <w:footnoteRef/>
      </w:r>
      <w:r>
        <w:t xml:space="preserve"> </w:t>
      </w:r>
      <w:r>
        <w:tab/>
        <w:t>2010 QCBDRVM 1</w:t>
      </w:r>
      <w:r w:rsidR="00975BDD">
        <w:t xml:space="preserve"> at</w:t>
      </w:r>
      <w:r>
        <w:t xml:space="preserve"> par</w:t>
      </w:r>
      <w:r w:rsidR="00975BDD">
        <w:t>a</w:t>
      </w:r>
      <w:r>
        <w:t>. 47.</w:t>
      </w:r>
    </w:p>
  </w:footnote>
  <w:footnote w:id="173">
    <w:p w14:paraId="789D5CFB" w14:textId="71571D6B" w:rsidR="002D40E9" w:rsidRDefault="005D25C5" w:rsidP="006979D7">
      <w:pPr>
        <w:pStyle w:val="Notedebasdepage"/>
      </w:pPr>
      <w:r>
        <w:rPr>
          <w:rStyle w:val="Appelnotedebasdep"/>
        </w:rPr>
        <w:footnoteRef/>
      </w:r>
      <w:r>
        <w:t xml:space="preserve"> </w:t>
      </w:r>
      <w:r>
        <w:tab/>
      </w:r>
      <w:r>
        <w:rPr>
          <w:rStyle w:val="reflex"/>
          <w:rFonts w:cs="Arial"/>
          <w:i/>
          <w:iCs/>
          <w:color w:val="000000"/>
        </w:rPr>
        <w:t>Autorité des marchés financiers</w:t>
      </w:r>
      <w:r>
        <w:rPr>
          <w:rStyle w:val="reflex"/>
          <w:rFonts w:cs="Arial"/>
          <w:color w:val="000000"/>
        </w:rPr>
        <w:t> </w:t>
      </w:r>
      <w:r w:rsidRPr="00DD7CAB">
        <w:rPr>
          <w:rStyle w:val="reflex"/>
          <w:rFonts w:cs="Arial"/>
          <w:i/>
          <w:iCs/>
          <w:color w:val="000000"/>
        </w:rPr>
        <w:t>c</w:t>
      </w:r>
      <w:r>
        <w:rPr>
          <w:rStyle w:val="reflex"/>
          <w:rFonts w:cs="Arial"/>
          <w:color w:val="000000"/>
        </w:rPr>
        <w:t>. </w:t>
      </w:r>
      <w:r>
        <w:rPr>
          <w:rStyle w:val="reflex"/>
          <w:rFonts w:cs="Arial"/>
          <w:i/>
          <w:iCs/>
          <w:color w:val="000000"/>
        </w:rPr>
        <w:t>Côté</w:t>
      </w:r>
      <w:r>
        <w:rPr>
          <w:rFonts w:cs="Arial"/>
          <w:color w:val="000000"/>
        </w:rPr>
        <w:t>, </w:t>
      </w:r>
      <w:r>
        <w:rPr>
          <w:rStyle w:val="reflex3-block"/>
          <w:rFonts w:cs="Arial"/>
          <w:color w:val="000000"/>
        </w:rPr>
        <w:t>2010 QCBDRVM 8</w:t>
      </w:r>
      <w:r w:rsidR="00DD7CAB">
        <w:rPr>
          <w:rStyle w:val="reflex3-block"/>
          <w:rFonts w:cs="Arial"/>
          <w:color w:val="000000"/>
        </w:rPr>
        <w:t>;</w:t>
      </w:r>
      <w:r>
        <w:rPr>
          <w:rStyle w:val="reflex3-block"/>
          <w:rFonts w:cs="Arial"/>
          <w:color w:val="000000"/>
        </w:rPr>
        <w:t xml:space="preserve"> </w:t>
      </w:r>
      <w:r w:rsidRPr="005226FC">
        <w:rPr>
          <w:rStyle w:val="reflex3-block"/>
          <w:rFonts w:cs="Arial"/>
          <w:i/>
          <w:iCs/>
          <w:color w:val="000000"/>
        </w:rPr>
        <w:t>Autorité des marchés financiers</w:t>
      </w:r>
      <w:r w:rsidRPr="005226FC">
        <w:rPr>
          <w:rStyle w:val="reflex3-block"/>
          <w:rFonts w:cs="Arial"/>
          <w:color w:val="000000"/>
        </w:rPr>
        <w:t xml:space="preserve"> </w:t>
      </w:r>
      <w:r w:rsidRPr="00DD7CAB">
        <w:rPr>
          <w:rStyle w:val="reflex3-block"/>
          <w:rFonts w:cs="Arial"/>
          <w:i/>
          <w:iCs/>
          <w:color w:val="000000"/>
        </w:rPr>
        <w:t>c</w:t>
      </w:r>
      <w:r w:rsidRPr="005226FC">
        <w:rPr>
          <w:rStyle w:val="reflex3-block"/>
          <w:rFonts w:cs="Arial"/>
          <w:color w:val="000000"/>
        </w:rPr>
        <w:t xml:space="preserve">. </w:t>
      </w:r>
      <w:r w:rsidRPr="005226FC">
        <w:rPr>
          <w:rStyle w:val="reflex3-block"/>
          <w:rFonts w:cs="Arial"/>
          <w:i/>
          <w:iCs/>
          <w:color w:val="000000"/>
        </w:rPr>
        <w:t>Beauchamp</w:t>
      </w:r>
      <w:r>
        <w:rPr>
          <w:rStyle w:val="reflex3-block"/>
          <w:rFonts w:cs="Arial"/>
          <w:color w:val="000000"/>
        </w:rPr>
        <w:t>, 2018 QCTMF 68.</w:t>
      </w:r>
    </w:p>
  </w:footnote>
  <w:footnote w:id="174">
    <w:p w14:paraId="4804EE90" w14:textId="7DB7E477" w:rsidR="002D40E9" w:rsidRDefault="005D25C5" w:rsidP="006979D7">
      <w:pPr>
        <w:pStyle w:val="Notedebasdepage"/>
      </w:pPr>
      <w:r>
        <w:rPr>
          <w:rStyle w:val="Appelnotedebasdep"/>
        </w:rPr>
        <w:footnoteRef/>
      </w:r>
      <w:r>
        <w:t xml:space="preserve"> </w:t>
      </w:r>
      <w:r>
        <w:tab/>
      </w:r>
      <w:r w:rsidRPr="00E46CD5">
        <w:rPr>
          <w:i/>
          <w:iCs/>
        </w:rPr>
        <w:t>Autorité des marchés financiers</w:t>
      </w:r>
      <w:r w:rsidRPr="00E46CD5">
        <w:t xml:space="preserve"> </w:t>
      </w:r>
      <w:r w:rsidRPr="00CD51B6">
        <w:rPr>
          <w:i/>
          <w:iCs/>
        </w:rPr>
        <w:t>c</w:t>
      </w:r>
      <w:r w:rsidRPr="00E46CD5">
        <w:t xml:space="preserve">. </w:t>
      </w:r>
      <w:r w:rsidRPr="00D17BE2">
        <w:rPr>
          <w:i/>
          <w:iCs/>
        </w:rPr>
        <w:t>Lemire</w:t>
      </w:r>
      <w:r>
        <w:t xml:space="preserve">, 2015 QCBDR 63, </w:t>
      </w:r>
      <w:r w:rsidR="00CD51B6">
        <w:t>upheld on appeal</w:t>
      </w:r>
      <w:r w:rsidR="00761C26">
        <w:t>:</w:t>
      </w:r>
      <w:r>
        <w:rPr>
          <w:rFonts w:cs="Arial"/>
          <w:color w:val="000000"/>
        </w:rPr>
        <w:t> </w:t>
      </w:r>
      <w:r>
        <w:rPr>
          <w:rStyle w:val="reflex"/>
          <w:rFonts w:cs="Arial"/>
          <w:i/>
          <w:iCs/>
          <w:color w:val="000000"/>
        </w:rPr>
        <w:t>Lemire</w:t>
      </w:r>
      <w:r>
        <w:rPr>
          <w:rStyle w:val="reflex"/>
          <w:rFonts w:cs="Arial"/>
          <w:color w:val="000000"/>
        </w:rPr>
        <w:t> c. </w:t>
      </w:r>
      <w:r>
        <w:rPr>
          <w:rStyle w:val="reflex"/>
          <w:rFonts w:cs="Arial"/>
          <w:i/>
          <w:iCs/>
          <w:color w:val="000000"/>
        </w:rPr>
        <w:t>Autorité des marchés financiers</w:t>
      </w:r>
      <w:r>
        <w:rPr>
          <w:rFonts w:cs="Arial"/>
          <w:color w:val="000000"/>
        </w:rPr>
        <w:t>, </w:t>
      </w:r>
      <w:r w:rsidRPr="00E46CD5">
        <w:rPr>
          <w:rStyle w:val="reflex3-block"/>
          <w:rFonts w:cs="Arial"/>
          <w:color w:val="000000"/>
        </w:rPr>
        <w:t>2016 QCCQ 8932</w:t>
      </w:r>
      <w:r>
        <w:rPr>
          <w:rFonts w:cs="Arial"/>
          <w:color w:val="333333"/>
        </w:rPr>
        <w:t>.</w:t>
      </w:r>
    </w:p>
  </w:footnote>
  <w:footnote w:id="175">
    <w:p w14:paraId="346F3BE2" w14:textId="77777777" w:rsidR="00454032" w:rsidRPr="003F0A46" w:rsidRDefault="00454032" w:rsidP="00454032">
      <w:pPr>
        <w:pStyle w:val="Notedebasdepage"/>
        <w:rPr>
          <w:lang w:val="es-CL"/>
        </w:rPr>
      </w:pPr>
      <w:r>
        <w:rPr>
          <w:rStyle w:val="Appelnotedebasdep"/>
        </w:rPr>
        <w:footnoteRef/>
      </w:r>
      <w:r w:rsidRPr="003F0A46">
        <w:rPr>
          <w:lang w:val="es-CL"/>
        </w:rPr>
        <w:t xml:space="preserve"> </w:t>
      </w:r>
      <w:r w:rsidRPr="003F0A46">
        <w:rPr>
          <w:lang w:val="es-CL"/>
        </w:rPr>
        <w:tab/>
      </w:r>
      <w:r w:rsidRPr="003F0A46">
        <w:rPr>
          <w:rFonts w:cs="Arial"/>
          <w:color w:val="000000"/>
          <w:szCs w:val="24"/>
          <w:shd w:val="clear" w:color="auto" w:fill="FFFFFF"/>
          <w:lang w:val="es-CL"/>
        </w:rPr>
        <w:t>CQLR, c. E-6.1.</w:t>
      </w:r>
    </w:p>
  </w:footnote>
  <w:footnote w:id="176">
    <w:p w14:paraId="0D63E4A4" w14:textId="464678FF" w:rsidR="00454032" w:rsidRPr="003F0A46" w:rsidRDefault="00454032" w:rsidP="00454032">
      <w:pPr>
        <w:pStyle w:val="Notedebasdepage"/>
        <w:rPr>
          <w:lang w:val="es-CL"/>
        </w:rPr>
      </w:pPr>
      <w:r>
        <w:rPr>
          <w:rStyle w:val="Appelnotedebasdep"/>
        </w:rPr>
        <w:footnoteRef/>
      </w:r>
      <w:r w:rsidRPr="003F0A46">
        <w:rPr>
          <w:lang w:val="es-CL"/>
        </w:rPr>
        <w:t xml:space="preserve"> </w:t>
      </w:r>
      <w:r w:rsidRPr="003F0A46">
        <w:rPr>
          <w:lang w:val="es-CL"/>
        </w:rPr>
        <w:tab/>
      </w:r>
      <w:r w:rsidRPr="003F0A46">
        <w:rPr>
          <w:rFonts w:cs="Arial"/>
          <w:bCs/>
          <w:color w:val="000000"/>
          <w:lang w:val="es-CL"/>
        </w:rPr>
        <w:t xml:space="preserve">CQLR, c. </w:t>
      </w:r>
      <w:r w:rsidR="00CD51B6" w:rsidRPr="003F0A46">
        <w:rPr>
          <w:rFonts w:cs="Arial"/>
          <w:bCs/>
          <w:color w:val="000000"/>
          <w:lang w:val="es-CL"/>
        </w:rPr>
        <w:t>V-1.1</w:t>
      </w:r>
      <w:r w:rsidRPr="003F0A46">
        <w:rPr>
          <w:rFonts w:cs="Arial"/>
          <w:bCs/>
          <w:color w:val="000000"/>
          <w:lang w:val="es-CL"/>
        </w:rPr>
        <w:t>.</w:t>
      </w:r>
    </w:p>
  </w:footnote>
  <w:footnote w:id="177">
    <w:p w14:paraId="06CA25EF" w14:textId="532AB1B8" w:rsidR="00454032" w:rsidRPr="00881581" w:rsidRDefault="00454032" w:rsidP="00454032">
      <w:pPr>
        <w:pStyle w:val="Notedebasdepage"/>
        <w:rPr>
          <w:lang w:val="pt-PT"/>
        </w:rPr>
      </w:pPr>
      <w:r>
        <w:rPr>
          <w:rStyle w:val="Appelnotedebasdep"/>
        </w:rPr>
        <w:footnoteRef/>
      </w:r>
      <w:r w:rsidRPr="00881581">
        <w:rPr>
          <w:lang w:val="pt-PT"/>
        </w:rPr>
        <w:t xml:space="preserve"> </w:t>
      </w:r>
      <w:r w:rsidRPr="00881581">
        <w:rPr>
          <w:lang w:val="pt-PT"/>
        </w:rPr>
        <w:tab/>
      </w:r>
      <w:r w:rsidRPr="00881581">
        <w:rPr>
          <w:lang w:val="pt-PT"/>
        </w:rPr>
        <w:t xml:space="preserve">CQLR, c. </w:t>
      </w:r>
      <w:r w:rsidR="00CD51B6" w:rsidRPr="00881581">
        <w:rPr>
          <w:lang w:val="pt-PT"/>
        </w:rPr>
        <w:t>I-14.01</w:t>
      </w:r>
    </w:p>
  </w:footnote>
  <w:footnote w:id="178">
    <w:p w14:paraId="071D69E8" w14:textId="689ACF98" w:rsidR="002D40E9" w:rsidRPr="00881581" w:rsidRDefault="005D25C5">
      <w:pPr>
        <w:pStyle w:val="Notedebasdepage"/>
        <w:rPr>
          <w:lang w:val="pt-PT"/>
        </w:rPr>
      </w:pPr>
      <w:r>
        <w:rPr>
          <w:rStyle w:val="Appelnotedebasdep"/>
        </w:rPr>
        <w:footnoteRef/>
      </w:r>
      <w:r w:rsidRPr="00881581">
        <w:rPr>
          <w:lang w:val="pt-PT"/>
        </w:rPr>
        <w:t xml:space="preserve"> </w:t>
      </w:r>
      <w:r w:rsidRPr="00881581">
        <w:rPr>
          <w:lang w:val="pt-PT"/>
        </w:rPr>
        <w:tab/>
      </w:r>
      <w:r w:rsidRPr="00881581">
        <w:rPr>
          <w:lang w:val="pt-PT"/>
        </w:rPr>
        <w:t>CQLR, c. V-1.1.</w:t>
      </w:r>
    </w:p>
  </w:footnote>
  <w:footnote w:id="179">
    <w:p w14:paraId="76C85950" w14:textId="288E826C" w:rsidR="002D40E9" w:rsidRPr="00881581" w:rsidRDefault="005D25C5">
      <w:pPr>
        <w:pStyle w:val="Notedebasdepage"/>
        <w:rPr>
          <w:lang w:val="pt-PT"/>
        </w:rPr>
      </w:pPr>
      <w:r>
        <w:rPr>
          <w:rStyle w:val="Appelnotedebasdep"/>
        </w:rPr>
        <w:footnoteRef/>
      </w:r>
      <w:r w:rsidRPr="00881581">
        <w:rPr>
          <w:lang w:val="pt-PT"/>
        </w:rPr>
        <w:t xml:space="preserve"> </w:t>
      </w:r>
      <w:r w:rsidRPr="00881581">
        <w:rPr>
          <w:lang w:val="pt-PT"/>
        </w:rPr>
        <w:tab/>
      </w:r>
      <w:r w:rsidRPr="00881581">
        <w:rPr>
          <w:rFonts w:cs="Arial"/>
          <w:bCs/>
          <w:color w:val="000000"/>
          <w:lang w:val="pt-PT"/>
        </w:rPr>
        <w:t xml:space="preserve">CQLR, c. </w:t>
      </w:r>
      <w:r w:rsidR="00CD51B6" w:rsidRPr="00881581">
        <w:rPr>
          <w:rFonts w:cs="Arial"/>
          <w:bCs/>
          <w:color w:val="000000"/>
          <w:lang w:val="pt-PT"/>
        </w:rPr>
        <w:t>I-14.01</w:t>
      </w:r>
      <w:r w:rsidRPr="00881581">
        <w:rPr>
          <w:rFonts w:cs="Arial"/>
          <w:bCs/>
          <w:color w:val="000000"/>
          <w:lang w:val="pt-PT"/>
        </w:rPr>
        <w:t>.</w:t>
      </w:r>
    </w:p>
  </w:footnote>
  <w:footnote w:id="180">
    <w:p w14:paraId="72B87933" w14:textId="7565BCFE" w:rsidR="002D40E9" w:rsidRPr="00881581" w:rsidRDefault="005D25C5">
      <w:pPr>
        <w:pStyle w:val="Notedebasdepage"/>
        <w:rPr>
          <w:lang w:val="pt-PT"/>
        </w:rPr>
      </w:pPr>
      <w:r>
        <w:rPr>
          <w:rStyle w:val="Appelnotedebasdep"/>
        </w:rPr>
        <w:footnoteRef/>
      </w:r>
      <w:r w:rsidRPr="00881581">
        <w:rPr>
          <w:lang w:val="pt-PT"/>
        </w:rPr>
        <w:t xml:space="preserve"> </w:t>
      </w:r>
      <w:r w:rsidRPr="00881581">
        <w:rPr>
          <w:lang w:val="pt-PT"/>
        </w:rPr>
        <w:tab/>
      </w:r>
      <w:r w:rsidRPr="00881581">
        <w:rPr>
          <w:lang w:val="pt-PT"/>
        </w:rPr>
        <w:t>CQLR, c. V-1.1</w:t>
      </w:r>
      <w:r w:rsidR="00CD51B6" w:rsidRPr="00881581">
        <w:rPr>
          <w:lang w:val="pt-PT"/>
        </w:rPr>
        <w:t>, r. 10</w:t>
      </w:r>
      <w:r w:rsidRPr="00881581">
        <w:rPr>
          <w:lang w:val="pt-PT"/>
        </w:rPr>
        <w:t>.</w:t>
      </w:r>
    </w:p>
  </w:footnote>
  <w:footnote w:id="181">
    <w:p w14:paraId="5C9BF44A" w14:textId="47D2CED7" w:rsidR="002D40E9" w:rsidRPr="00881581" w:rsidRDefault="005D25C5">
      <w:pPr>
        <w:pStyle w:val="Notedebasdepage"/>
        <w:rPr>
          <w:lang w:val="pt-PT"/>
        </w:rPr>
      </w:pPr>
      <w:r>
        <w:rPr>
          <w:rStyle w:val="Appelnotedebasdep"/>
        </w:rPr>
        <w:footnoteRef/>
      </w:r>
      <w:r w:rsidRPr="00881581">
        <w:rPr>
          <w:lang w:val="pt-PT"/>
        </w:rPr>
        <w:tab/>
      </w:r>
      <w:r w:rsidRPr="00881581">
        <w:rPr>
          <w:lang w:val="pt-PT"/>
        </w:rPr>
        <w:t>CQLR, c. V-1.1.</w:t>
      </w:r>
    </w:p>
  </w:footnote>
  <w:footnote w:id="182">
    <w:p w14:paraId="5906579D" w14:textId="27B85DB9" w:rsidR="002D40E9" w:rsidRPr="00881581" w:rsidRDefault="005D25C5">
      <w:pPr>
        <w:pStyle w:val="Notedebasdepage"/>
        <w:rPr>
          <w:lang w:val="pt-PT"/>
        </w:rPr>
      </w:pPr>
      <w:r>
        <w:rPr>
          <w:rStyle w:val="Appelnotedebasdep"/>
        </w:rPr>
        <w:footnoteRef/>
      </w:r>
      <w:r w:rsidRPr="00881581">
        <w:rPr>
          <w:lang w:val="pt-PT"/>
        </w:rPr>
        <w:tab/>
      </w:r>
      <w:r w:rsidRPr="00881581">
        <w:rPr>
          <w:rFonts w:cs="Arial"/>
          <w:bCs/>
          <w:color w:val="000000"/>
          <w:lang w:val="pt-PT"/>
        </w:rPr>
        <w:t xml:space="preserve">CQLR, c. </w:t>
      </w:r>
      <w:r w:rsidR="00CD51B6" w:rsidRPr="00881581">
        <w:rPr>
          <w:rFonts w:cs="Arial"/>
          <w:bCs/>
          <w:color w:val="000000"/>
          <w:lang w:val="pt-PT"/>
        </w:rPr>
        <w:t>I-14.01.</w:t>
      </w:r>
    </w:p>
  </w:footnote>
  <w:footnote w:id="183">
    <w:p w14:paraId="266C154E" w14:textId="38E341A7" w:rsidR="002D40E9" w:rsidRPr="00881581" w:rsidRDefault="005D25C5" w:rsidP="00355373">
      <w:pPr>
        <w:pStyle w:val="Notedebasdepage"/>
        <w:rPr>
          <w:lang w:val="pt-PT"/>
        </w:rPr>
      </w:pPr>
      <w:r>
        <w:rPr>
          <w:rStyle w:val="Appelnotedebasdep"/>
        </w:rPr>
        <w:footnoteRef/>
      </w:r>
      <w:r w:rsidRPr="00881581">
        <w:rPr>
          <w:lang w:val="pt-PT"/>
        </w:rPr>
        <w:t xml:space="preserve"> </w:t>
      </w:r>
      <w:r w:rsidRPr="00881581">
        <w:rPr>
          <w:lang w:val="pt-PT"/>
        </w:rPr>
        <w:tab/>
      </w:r>
      <w:r w:rsidRPr="00881581">
        <w:rPr>
          <w:i/>
          <w:iCs/>
          <w:lang w:val="pt-PT"/>
        </w:rPr>
        <w:t>Supra</w:t>
      </w:r>
      <w:r w:rsidRPr="00881581">
        <w:rPr>
          <w:lang w:val="pt-PT"/>
        </w:rPr>
        <w:t xml:space="preserve"> note </w:t>
      </w:r>
      <w:r>
        <w:fldChar w:fldCharType="begin"/>
      </w:r>
      <w:r w:rsidRPr="00881581">
        <w:rPr>
          <w:lang w:val="pt-PT"/>
        </w:rPr>
        <w:instrText xml:space="preserve"> NOTEREF _Ref167352469 \h </w:instrText>
      </w:r>
      <w:r>
        <w:fldChar w:fldCharType="separate"/>
      </w:r>
      <w:r w:rsidR="00F72DA2" w:rsidRPr="00881581">
        <w:rPr>
          <w:lang w:val="pt-PT"/>
        </w:rPr>
        <w:t>180</w:t>
      </w:r>
      <w:r>
        <w:fldChar w:fldCharType="end"/>
      </w:r>
      <w:r w:rsidRPr="00881581">
        <w:rPr>
          <w:lang w:val="pt-PT"/>
        </w:rPr>
        <w:t>.</w:t>
      </w:r>
    </w:p>
    <w:p w14:paraId="0D61D2B5" w14:textId="1B7A1B25" w:rsidR="002D40E9" w:rsidRPr="00881581" w:rsidRDefault="002D40E9">
      <w:pPr>
        <w:pStyle w:val="Notedebasdepage"/>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CAD7" w14:textId="77777777" w:rsidR="00E702E0" w:rsidRDefault="00E702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34ED" w14:textId="713FE954" w:rsidR="002D40E9" w:rsidRDefault="005D25C5">
    <w:pPr>
      <w:tabs>
        <w:tab w:val="center" w:pos="4709"/>
        <w:tab w:val="right" w:pos="9360"/>
      </w:tabs>
      <w:ind w:right="524"/>
    </w:pPr>
    <w:r>
      <w:t>2021-014-002</w:t>
    </w:r>
    <w:r>
      <w:tab/>
    </w:r>
    <w:r>
      <w:tab/>
    </w:r>
    <w:r w:rsidRPr="005E07F3">
      <w:t>PAGE:</w:t>
    </w:r>
    <w:r>
      <w:t xml:space="preserve"> </w:t>
    </w:r>
    <w:r>
      <w:fldChar w:fldCharType="begin"/>
    </w:r>
    <w:r>
      <w:instrText xml:space="preserve"> PAGE </w:instrText>
    </w:r>
    <w:r>
      <w:fldChar w:fldCharType="separate"/>
    </w:r>
    <w:r w:rsidR="0002329E">
      <w:rPr>
        <w:noProof/>
      </w:rPr>
      <w:t>57</w:t>
    </w:r>
    <w:r>
      <w:fldChar w:fldCharType="end"/>
    </w:r>
  </w:p>
  <w:p w14:paraId="04BA672E" w14:textId="77777777" w:rsidR="002D40E9" w:rsidRDefault="002D40E9">
    <w:pPr>
      <w:tabs>
        <w:tab w:val="center" w:pos="4709"/>
        <w:tab w:val="right" w:pos="9090"/>
      </w:tabs>
      <w:ind w:right="524"/>
    </w:pPr>
  </w:p>
  <w:p w14:paraId="7E150595" w14:textId="77777777" w:rsidR="002D40E9" w:rsidRDefault="002D40E9">
    <w:pPr>
      <w:tabs>
        <w:tab w:val="center" w:pos="4709"/>
        <w:tab w:val="right" w:pos="9090"/>
      </w:tabs>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CA5C" w14:textId="77777777" w:rsidR="00E702E0" w:rsidRDefault="00E702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356E"/>
    <w:multiLevelType w:val="hybridMultilevel"/>
    <w:tmpl w:val="DC8C759E"/>
    <w:lvl w:ilvl="0" w:tplc="C64609DA">
      <w:start w:val="1"/>
      <w:numFmt w:val="bullet"/>
      <w:lvlText w:val=""/>
      <w:lvlJc w:val="left"/>
      <w:pPr>
        <w:ind w:left="1094" w:hanging="360"/>
      </w:pPr>
      <w:rPr>
        <w:rFonts w:ascii="Symbol" w:hAnsi="Symbol" w:hint="default"/>
      </w:rPr>
    </w:lvl>
    <w:lvl w:ilvl="1" w:tplc="57DC025A" w:tentative="1">
      <w:start w:val="1"/>
      <w:numFmt w:val="bullet"/>
      <w:lvlText w:val="o"/>
      <w:lvlJc w:val="left"/>
      <w:pPr>
        <w:ind w:left="1814" w:hanging="360"/>
      </w:pPr>
      <w:rPr>
        <w:rFonts w:ascii="Courier New" w:hAnsi="Courier New" w:cs="Courier New" w:hint="default"/>
      </w:rPr>
    </w:lvl>
    <w:lvl w:ilvl="2" w:tplc="A5181F28" w:tentative="1">
      <w:start w:val="1"/>
      <w:numFmt w:val="bullet"/>
      <w:lvlText w:val=""/>
      <w:lvlJc w:val="left"/>
      <w:pPr>
        <w:ind w:left="2534" w:hanging="360"/>
      </w:pPr>
      <w:rPr>
        <w:rFonts w:ascii="Wingdings" w:hAnsi="Wingdings" w:hint="default"/>
      </w:rPr>
    </w:lvl>
    <w:lvl w:ilvl="3" w:tplc="B69CFB5A" w:tentative="1">
      <w:start w:val="1"/>
      <w:numFmt w:val="bullet"/>
      <w:lvlText w:val=""/>
      <w:lvlJc w:val="left"/>
      <w:pPr>
        <w:ind w:left="3254" w:hanging="360"/>
      </w:pPr>
      <w:rPr>
        <w:rFonts w:ascii="Symbol" w:hAnsi="Symbol" w:hint="default"/>
      </w:rPr>
    </w:lvl>
    <w:lvl w:ilvl="4" w:tplc="43C09754" w:tentative="1">
      <w:start w:val="1"/>
      <w:numFmt w:val="bullet"/>
      <w:lvlText w:val="o"/>
      <w:lvlJc w:val="left"/>
      <w:pPr>
        <w:ind w:left="3974" w:hanging="360"/>
      </w:pPr>
      <w:rPr>
        <w:rFonts w:ascii="Courier New" w:hAnsi="Courier New" w:cs="Courier New" w:hint="default"/>
      </w:rPr>
    </w:lvl>
    <w:lvl w:ilvl="5" w:tplc="E47AD098" w:tentative="1">
      <w:start w:val="1"/>
      <w:numFmt w:val="bullet"/>
      <w:lvlText w:val=""/>
      <w:lvlJc w:val="left"/>
      <w:pPr>
        <w:ind w:left="4694" w:hanging="360"/>
      </w:pPr>
      <w:rPr>
        <w:rFonts w:ascii="Wingdings" w:hAnsi="Wingdings" w:hint="default"/>
      </w:rPr>
    </w:lvl>
    <w:lvl w:ilvl="6" w:tplc="0B981EB4" w:tentative="1">
      <w:start w:val="1"/>
      <w:numFmt w:val="bullet"/>
      <w:lvlText w:val=""/>
      <w:lvlJc w:val="left"/>
      <w:pPr>
        <w:ind w:left="5414" w:hanging="360"/>
      </w:pPr>
      <w:rPr>
        <w:rFonts w:ascii="Symbol" w:hAnsi="Symbol" w:hint="default"/>
      </w:rPr>
    </w:lvl>
    <w:lvl w:ilvl="7" w:tplc="41C23CC6" w:tentative="1">
      <w:start w:val="1"/>
      <w:numFmt w:val="bullet"/>
      <w:lvlText w:val="o"/>
      <w:lvlJc w:val="left"/>
      <w:pPr>
        <w:ind w:left="6134" w:hanging="360"/>
      </w:pPr>
      <w:rPr>
        <w:rFonts w:ascii="Courier New" w:hAnsi="Courier New" w:cs="Courier New" w:hint="default"/>
      </w:rPr>
    </w:lvl>
    <w:lvl w:ilvl="8" w:tplc="F3FA6D2E" w:tentative="1">
      <w:start w:val="1"/>
      <w:numFmt w:val="bullet"/>
      <w:lvlText w:val=""/>
      <w:lvlJc w:val="left"/>
      <w:pPr>
        <w:ind w:left="6854" w:hanging="360"/>
      </w:pPr>
      <w:rPr>
        <w:rFonts w:ascii="Wingdings" w:hAnsi="Wingdings" w:hint="default"/>
      </w:rPr>
    </w:lvl>
  </w:abstractNum>
  <w:abstractNum w:abstractNumId="1" w15:restartNumberingAfterBreak="0">
    <w:nsid w:val="17B667D0"/>
    <w:multiLevelType w:val="hybridMultilevel"/>
    <w:tmpl w:val="CCE87722"/>
    <w:lvl w:ilvl="0" w:tplc="127EDD3C">
      <w:start w:val="1"/>
      <w:numFmt w:val="decimal"/>
      <w:lvlText w:val="(%1)"/>
      <w:lvlJc w:val="left"/>
      <w:pPr>
        <w:ind w:left="1094" w:hanging="360"/>
      </w:pPr>
      <w:rPr>
        <w:rFonts w:hint="default"/>
      </w:rPr>
    </w:lvl>
    <w:lvl w:ilvl="1" w:tplc="077683CA" w:tentative="1">
      <w:start w:val="1"/>
      <w:numFmt w:val="lowerLetter"/>
      <w:lvlText w:val="%2."/>
      <w:lvlJc w:val="left"/>
      <w:pPr>
        <w:ind w:left="1814" w:hanging="360"/>
      </w:pPr>
    </w:lvl>
    <w:lvl w:ilvl="2" w:tplc="58A05CC4" w:tentative="1">
      <w:start w:val="1"/>
      <w:numFmt w:val="lowerRoman"/>
      <w:lvlText w:val="%3."/>
      <w:lvlJc w:val="right"/>
      <w:pPr>
        <w:ind w:left="2534" w:hanging="180"/>
      </w:pPr>
    </w:lvl>
    <w:lvl w:ilvl="3" w:tplc="2D08ED04" w:tentative="1">
      <w:start w:val="1"/>
      <w:numFmt w:val="decimal"/>
      <w:lvlText w:val="%4."/>
      <w:lvlJc w:val="left"/>
      <w:pPr>
        <w:ind w:left="3254" w:hanging="360"/>
      </w:pPr>
    </w:lvl>
    <w:lvl w:ilvl="4" w:tplc="3ED28652" w:tentative="1">
      <w:start w:val="1"/>
      <w:numFmt w:val="lowerLetter"/>
      <w:lvlText w:val="%5."/>
      <w:lvlJc w:val="left"/>
      <w:pPr>
        <w:ind w:left="3974" w:hanging="360"/>
      </w:pPr>
    </w:lvl>
    <w:lvl w:ilvl="5" w:tplc="7728B8A4" w:tentative="1">
      <w:start w:val="1"/>
      <w:numFmt w:val="lowerRoman"/>
      <w:lvlText w:val="%6."/>
      <w:lvlJc w:val="right"/>
      <w:pPr>
        <w:ind w:left="4694" w:hanging="180"/>
      </w:pPr>
    </w:lvl>
    <w:lvl w:ilvl="6" w:tplc="24F89942" w:tentative="1">
      <w:start w:val="1"/>
      <w:numFmt w:val="decimal"/>
      <w:lvlText w:val="%7."/>
      <w:lvlJc w:val="left"/>
      <w:pPr>
        <w:ind w:left="5414" w:hanging="360"/>
      </w:pPr>
    </w:lvl>
    <w:lvl w:ilvl="7" w:tplc="130615E8" w:tentative="1">
      <w:start w:val="1"/>
      <w:numFmt w:val="lowerLetter"/>
      <w:lvlText w:val="%8."/>
      <w:lvlJc w:val="left"/>
      <w:pPr>
        <w:ind w:left="6134" w:hanging="360"/>
      </w:pPr>
    </w:lvl>
    <w:lvl w:ilvl="8" w:tplc="A7B68BEA" w:tentative="1">
      <w:start w:val="1"/>
      <w:numFmt w:val="lowerRoman"/>
      <w:lvlText w:val="%9."/>
      <w:lvlJc w:val="right"/>
      <w:pPr>
        <w:ind w:left="6854" w:hanging="180"/>
      </w:pPr>
    </w:lvl>
  </w:abstractNum>
  <w:abstractNum w:abstractNumId="2" w15:restartNumberingAfterBreak="0">
    <w:nsid w:val="18314828"/>
    <w:multiLevelType w:val="hybridMultilevel"/>
    <w:tmpl w:val="19A0776A"/>
    <w:lvl w:ilvl="0" w:tplc="C4407F7C">
      <w:start w:val="1"/>
      <w:numFmt w:val="decimal"/>
      <w:lvlText w:val="%1)"/>
      <w:lvlJc w:val="left"/>
      <w:pPr>
        <w:ind w:left="1094" w:hanging="360"/>
      </w:pPr>
      <w:rPr>
        <w:rFonts w:hint="default"/>
      </w:rPr>
    </w:lvl>
    <w:lvl w:ilvl="1" w:tplc="2CF4197A" w:tentative="1">
      <w:start w:val="1"/>
      <w:numFmt w:val="lowerLetter"/>
      <w:lvlText w:val="%2."/>
      <w:lvlJc w:val="left"/>
      <w:pPr>
        <w:ind w:left="1814" w:hanging="360"/>
      </w:pPr>
    </w:lvl>
    <w:lvl w:ilvl="2" w:tplc="C428D360" w:tentative="1">
      <w:start w:val="1"/>
      <w:numFmt w:val="lowerRoman"/>
      <w:lvlText w:val="%3."/>
      <w:lvlJc w:val="right"/>
      <w:pPr>
        <w:ind w:left="2534" w:hanging="180"/>
      </w:pPr>
    </w:lvl>
    <w:lvl w:ilvl="3" w:tplc="AF6C6818" w:tentative="1">
      <w:start w:val="1"/>
      <w:numFmt w:val="decimal"/>
      <w:lvlText w:val="%4."/>
      <w:lvlJc w:val="left"/>
      <w:pPr>
        <w:ind w:left="3254" w:hanging="360"/>
      </w:pPr>
    </w:lvl>
    <w:lvl w:ilvl="4" w:tplc="BF22353E" w:tentative="1">
      <w:start w:val="1"/>
      <w:numFmt w:val="lowerLetter"/>
      <w:lvlText w:val="%5."/>
      <w:lvlJc w:val="left"/>
      <w:pPr>
        <w:ind w:left="3974" w:hanging="360"/>
      </w:pPr>
    </w:lvl>
    <w:lvl w:ilvl="5" w:tplc="0F4ACD76" w:tentative="1">
      <w:start w:val="1"/>
      <w:numFmt w:val="lowerRoman"/>
      <w:lvlText w:val="%6."/>
      <w:lvlJc w:val="right"/>
      <w:pPr>
        <w:ind w:left="4694" w:hanging="180"/>
      </w:pPr>
    </w:lvl>
    <w:lvl w:ilvl="6" w:tplc="CC72E6E8" w:tentative="1">
      <w:start w:val="1"/>
      <w:numFmt w:val="decimal"/>
      <w:lvlText w:val="%7."/>
      <w:lvlJc w:val="left"/>
      <w:pPr>
        <w:ind w:left="5414" w:hanging="360"/>
      </w:pPr>
    </w:lvl>
    <w:lvl w:ilvl="7" w:tplc="F7680648" w:tentative="1">
      <w:start w:val="1"/>
      <w:numFmt w:val="lowerLetter"/>
      <w:lvlText w:val="%8."/>
      <w:lvlJc w:val="left"/>
      <w:pPr>
        <w:ind w:left="6134" w:hanging="360"/>
      </w:pPr>
    </w:lvl>
    <w:lvl w:ilvl="8" w:tplc="4B3EDEBA" w:tentative="1">
      <w:start w:val="1"/>
      <w:numFmt w:val="lowerRoman"/>
      <w:lvlText w:val="%9."/>
      <w:lvlJc w:val="right"/>
      <w:pPr>
        <w:ind w:left="6854" w:hanging="180"/>
      </w:pPr>
    </w:lvl>
  </w:abstractNum>
  <w:abstractNum w:abstractNumId="3" w15:restartNumberingAfterBreak="0">
    <w:nsid w:val="19191796"/>
    <w:multiLevelType w:val="hybridMultilevel"/>
    <w:tmpl w:val="2466A1D0"/>
    <w:lvl w:ilvl="0" w:tplc="2CDAF670">
      <w:start w:val="1"/>
      <w:numFmt w:val="bullet"/>
      <w:lvlText w:val=""/>
      <w:lvlJc w:val="left"/>
      <w:pPr>
        <w:ind w:left="720" w:hanging="360"/>
      </w:pPr>
      <w:rPr>
        <w:rFonts w:ascii="Symbol" w:hAnsi="Symbol" w:hint="default"/>
      </w:rPr>
    </w:lvl>
    <w:lvl w:ilvl="1" w:tplc="EF9E2DF0" w:tentative="1">
      <w:start w:val="1"/>
      <w:numFmt w:val="bullet"/>
      <w:lvlText w:val="o"/>
      <w:lvlJc w:val="left"/>
      <w:pPr>
        <w:ind w:left="1440" w:hanging="360"/>
      </w:pPr>
      <w:rPr>
        <w:rFonts w:ascii="Courier New" w:hAnsi="Courier New" w:cs="Courier New" w:hint="default"/>
      </w:rPr>
    </w:lvl>
    <w:lvl w:ilvl="2" w:tplc="BBA67086" w:tentative="1">
      <w:start w:val="1"/>
      <w:numFmt w:val="bullet"/>
      <w:lvlText w:val=""/>
      <w:lvlJc w:val="left"/>
      <w:pPr>
        <w:ind w:left="2160" w:hanging="360"/>
      </w:pPr>
      <w:rPr>
        <w:rFonts w:ascii="Wingdings" w:hAnsi="Wingdings" w:hint="default"/>
      </w:rPr>
    </w:lvl>
    <w:lvl w:ilvl="3" w:tplc="5366D5E8" w:tentative="1">
      <w:start w:val="1"/>
      <w:numFmt w:val="bullet"/>
      <w:lvlText w:val=""/>
      <w:lvlJc w:val="left"/>
      <w:pPr>
        <w:ind w:left="2880" w:hanging="360"/>
      </w:pPr>
      <w:rPr>
        <w:rFonts w:ascii="Symbol" w:hAnsi="Symbol" w:hint="default"/>
      </w:rPr>
    </w:lvl>
    <w:lvl w:ilvl="4" w:tplc="E74A8916" w:tentative="1">
      <w:start w:val="1"/>
      <w:numFmt w:val="bullet"/>
      <w:lvlText w:val="o"/>
      <w:lvlJc w:val="left"/>
      <w:pPr>
        <w:ind w:left="3600" w:hanging="360"/>
      </w:pPr>
      <w:rPr>
        <w:rFonts w:ascii="Courier New" w:hAnsi="Courier New" w:cs="Courier New" w:hint="default"/>
      </w:rPr>
    </w:lvl>
    <w:lvl w:ilvl="5" w:tplc="7A12A6BA" w:tentative="1">
      <w:start w:val="1"/>
      <w:numFmt w:val="bullet"/>
      <w:lvlText w:val=""/>
      <w:lvlJc w:val="left"/>
      <w:pPr>
        <w:ind w:left="4320" w:hanging="360"/>
      </w:pPr>
      <w:rPr>
        <w:rFonts w:ascii="Wingdings" w:hAnsi="Wingdings" w:hint="default"/>
      </w:rPr>
    </w:lvl>
    <w:lvl w:ilvl="6" w:tplc="B522701E" w:tentative="1">
      <w:start w:val="1"/>
      <w:numFmt w:val="bullet"/>
      <w:lvlText w:val=""/>
      <w:lvlJc w:val="left"/>
      <w:pPr>
        <w:ind w:left="5040" w:hanging="360"/>
      </w:pPr>
      <w:rPr>
        <w:rFonts w:ascii="Symbol" w:hAnsi="Symbol" w:hint="default"/>
      </w:rPr>
    </w:lvl>
    <w:lvl w:ilvl="7" w:tplc="C3C0287E" w:tentative="1">
      <w:start w:val="1"/>
      <w:numFmt w:val="bullet"/>
      <w:lvlText w:val="o"/>
      <w:lvlJc w:val="left"/>
      <w:pPr>
        <w:ind w:left="5760" w:hanging="360"/>
      </w:pPr>
      <w:rPr>
        <w:rFonts w:ascii="Courier New" w:hAnsi="Courier New" w:cs="Courier New" w:hint="default"/>
      </w:rPr>
    </w:lvl>
    <w:lvl w:ilvl="8" w:tplc="B80C1A66" w:tentative="1">
      <w:start w:val="1"/>
      <w:numFmt w:val="bullet"/>
      <w:lvlText w:val=""/>
      <w:lvlJc w:val="left"/>
      <w:pPr>
        <w:ind w:left="6480" w:hanging="360"/>
      </w:pPr>
      <w:rPr>
        <w:rFonts w:ascii="Wingdings" w:hAnsi="Wingdings" w:hint="default"/>
      </w:rPr>
    </w:lvl>
  </w:abstractNum>
  <w:abstractNum w:abstractNumId="4" w15:restartNumberingAfterBreak="0">
    <w:nsid w:val="1B5B234C"/>
    <w:multiLevelType w:val="hybridMultilevel"/>
    <w:tmpl w:val="D58E4D14"/>
    <w:lvl w:ilvl="0" w:tplc="B5E82FF6">
      <w:start w:val="1"/>
      <w:numFmt w:val="decimal"/>
      <w:lvlText w:val="(%1)"/>
      <w:lvlJc w:val="left"/>
      <w:pPr>
        <w:ind w:left="786" w:hanging="360"/>
      </w:pPr>
      <w:rPr>
        <w:rFonts w:ascii="Arial" w:eastAsia="Times New Roman" w:hAnsi="Arial" w:cs="Arial"/>
      </w:rPr>
    </w:lvl>
    <w:lvl w:ilvl="1" w:tplc="5762A404" w:tentative="1">
      <w:start w:val="1"/>
      <w:numFmt w:val="lowerLetter"/>
      <w:lvlText w:val="%2."/>
      <w:lvlJc w:val="left"/>
      <w:pPr>
        <w:ind w:left="1506" w:hanging="360"/>
      </w:pPr>
    </w:lvl>
    <w:lvl w:ilvl="2" w:tplc="C26E7738" w:tentative="1">
      <w:start w:val="1"/>
      <w:numFmt w:val="lowerRoman"/>
      <w:lvlText w:val="%3."/>
      <w:lvlJc w:val="right"/>
      <w:pPr>
        <w:ind w:left="2226" w:hanging="180"/>
      </w:pPr>
    </w:lvl>
    <w:lvl w:ilvl="3" w:tplc="26C4867A" w:tentative="1">
      <w:start w:val="1"/>
      <w:numFmt w:val="decimal"/>
      <w:lvlText w:val="%4."/>
      <w:lvlJc w:val="left"/>
      <w:pPr>
        <w:ind w:left="2946" w:hanging="360"/>
      </w:pPr>
    </w:lvl>
    <w:lvl w:ilvl="4" w:tplc="9104E968" w:tentative="1">
      <w:start w:val="1"/>
      <w:numFmt w:val="lowerLetter"/>
      <w:lvlText w:val="%5."/>
      <w:lvlJc w:val="left"/>
      <w:pPr>
        <w:ind w:left="3666" w:hanging="360"/>
      </w:pPr>
    </w:lvl>
    <w:lvl w:ilvl="5" w:tplc="DA3E0EAE" w:tentative="1">
      <w:start w:val="1"/>
      <w:numFmt w:val="lowerRoman"/>
      <w:lvlText w:val="%6."/>
      <w:lvlJc w:val="right"/>
      <w:pPr>
        <w:ind w:left="4386" w:hanging="180"/>
      </w:pPr>
    </w:lvl>
    <w:lvl w:ilvl="6" w:tplc="90BAB9F4" w:tentative="1">
      <w:start w:val="1"/>
      <w:numFmt w:val="decimal"/>
      <w:lvlText w:val="%7."/>
      <w:lvlJc w:val="left"/>
      <w:pPr>
        <w:ind w:left="5106" w:hanging="360"/>
      </w:pPr>
    </w:lvl>
    <w:lvl w:ilvl="7" w:tplc="5F34A780" w:tentative="1">
      <w:start w:val="1"/>
      <w:numFmt w:val="lowerLetter"/>
      <w:lvlText w:val="%8."/>
      <w:lvlJc w:val="left"/>
      <w:pPr>
        <w:ind w:left="5826" w:hanging="360"/>
      </w:pPr>
    </w:lvl>
    <w:lvl w:ilvl="8" w:tplc="7C5A29A4" w:tentative="1">
      <w:start w:val="1"/>
      <w:numFmt w:val="lowerRoman"/>
      <w:lvlText w:val="%9."/>
      <w:lvlJc w:val="right"/>
      <w:pPr>
        <w:ind w:left="6546" w:hanging="180"/>
      </w:pPr>
    </w:lvl>
  </w:abstractNum>
  <w:abstractNum w:abstractNumId="5" w15:restartNumberingAfterBreak="0">
    <w:nsid w:val="1ED227A5"/>
    <w:multiLevelType w:val="hybridMultilevel"/>
    <w:tmpl w:val="4D30A7B2"/>
    <w:lvl w:ilvl="0" w:tplc="1352A7C6">
      <w:start w:val="1"/>
      <w:numFmt w:val="lowerLetter"/>
      <w:lvlText w:val="%1)"/>
      <w:lvlJc w:val="left"/>
      <w:pPr>
        <w:ind w:left="720" w:hanging="360"/>
      </w:pPr>
    </w:lvl>
    <w:lvl w:ilvl="1" w:tplc="DB3E8E30" w:tentative="1">
      <w:start w:val="1"/>
      <w:numFmt w:val="lowerLetter"/>
      <w:lvlText w:val="%2."/>
      <w:lvlJc w:val="left"/>
      <w:pPr>
        <w:ind w:left="1440" w:hanging="360"/>
      </w:pPr>
    </w:lvl>
    <w:lvl w:ilvl="2" w:tplc="41C2252E" w:tentative="1">
      <w:start w:val="1"/>
      <w:numFmt w:val="lowerRoman"/>
      <w:lvlText w:val="%3."/>
      <w:lvlJc w:val="right"/>
      <w:pPr>
        <w:ind w:left="2160" w:hanging="180"/>
      </w:pPr>
    </w:lvl>
    <w:lvl w:ilvl="3" w:tplc="C87CE9AC" w:tentative="1">
      <w:start w:val="1"/>
      <w:numFmt w:val="decimal"/>
      <w:lvlText w:val="%4."/>
      <w:lvlJc w:val="left"/>
      <w:pPr>
        <w:ind w:left="2880" w:hanging="360"/>
      </w:pPr>
    </w:lvl>
    <w:lvl w:ilvl="4" w:tplc="1DA20F58" w:tentative="1">
      <w:start w:val="1"/>
      <w:numFmt w:val="lowerLetter"/>
      <w:lvlText w:val="%5."/>
      <w:lvlJc w:val="left"/>
      <w:pPr>
        <w:ind w:left="3600" w:hanging="360"/>
      </w:pPr>
    </w:lvl>
    <w:lvl w:ilvl="5" w:tplc="03226702" w:tentative="1">
      <w:start w:val="1"/>
      <w:numFmt w:val="lowerRoman"/>
      <w:lvlText w:val="%6."/>
      <w:lvlJc w:val="right"/>
      <w:pPr>
        <w:ind w:left="4320" w:hanging="180"/>
      </w:pPr>
    </w:lvl>
    <w:lvl w:ilvl="6" w:tplc="0FE62A1E" w:tentative="1">
      <w:start w:val="1"/>
      <w:numFmt w:val="decimal"/>
      <w:lvlText w:val="%7."/>
      <w:lvlJc w:val="left"/>
      <w:pPr>
        <w:ind w:left="5040" w:hanging="360"/>
      </w:pPr>
    </w:lvl>
    <w:lvl w:ilvl="7" w:tplc="30DE331C" w:tentative="1">
      <w:start w:val="1"/>
      <w:numFmt w:val="lowerLetter"/>
      <w:lvlText w:val="%8."/>
      <w:lvlJc w:val="left"/>
      <w:pPr>
        <w:ind w:left="5760" w:hanging="360"/>
      </w:pPr>
    </w:lvl>
    <w:lvl w:ilvl="8" w:tplc="26EA28AC" w:tentative="1">
      <w:start w:val="1"/>
      <w:numFmt w:val="lowerRoman"/>
      <w:lvlText w:val="%9."/>
      <w:lvlJc w:val="right"/>
      <w:pPr>
        <w:ind w:left="6480" w:hanging="180"/>
      </w:pPr>
    </w:lvl>
  </w:abstractNum>
  <w:abstractNum w:abstractNumId="6" w15:restartNumberingAfterBreak="0">
    <w:nsid w:val="2EE7032E"/>
    <w:multiLevelType w:val="hybridMultilevel"/>
    <w:tmpl w:val="A9F0D46C"/>
    <w:lvl w:ilvl="0" w:tplc="C6E24966">
      <w:start w:val="1"/>
      <w:numFmt w:val="lowerLetter"/>
      <w:lvlText w:val="(%1)"/>
      <w:lvlJc w:val="left"/>
      <w:pPr>
        <w:ind w:left="720" w:hanging="360"/>
      </w:pPr>
      <w:rPr>
        <w:rFonts w:hint="default"/>
      </w:rPr>
    </w:lvl>
    <w:lvl w:ilvl="1" w:tplc="AE207E2C">
      <w:start w:val="1"/>
      <w:numFmt w:val="lowerRoman"/>
      <w:lvlText w:val="%2."/>
      <w:lvlJc w:val="right"/>
      <w:pPr>
        <w:ind w:left="1440" w:hanging="360"/>
      </w:pPr>
    </w:lvl>
    <w:lvl w:ilvl="2" w:tplc="CF3CCF08" w:tentative="1">
      <w:start w:val="1"/>
      <w:numFmt w:val="lowerRoman"/>
      <w:lvlText w:val="%3."/>
      <w:lvlJc w:val="right"/>
      <w:pPr>
        <w:ind w:left="2160" w:hanging="180"/>
      </w:pPr>
    </w:lvl>
    <w:lvl w:ilvl="3" w:tplc="FCA4DDA6" w:tentative="1">
      <w:start w:val="1"/>
      <w:numFmt w:val="decimal"/>
      <w:lvlText w:val="%4."/>
      <w:lvlJc w:val="left"/>
      <w:pPr>
        <w:ind w:left="2880" w:hanging="360"/>
      </w:pPr>
    </w:lvl>
    <w:lvl w:ilvl="4" w:tplc="A9AA8F34" w:tentative="1">
      <w:start w:val="1"/>
      <w:numFmt w:val="lowerLetter"/>
      <w:lvlText w:val="%5."/>
      <w:lvlJc w:val="left"/>
      <w:pPr>
        <w:ind w:left="3600" w:hanging="360"/>
      </w:pPr>
    </w:lvl>
    <w:lvl w:ilvl="5" w:tplc="55D66824" w:tentative="1">
      <w:start w:val="1"/>
      <w:numFmt w:val="lowerRoman"/>
      <w:lvlText w:val="%6."/>
      <w:lvlJc w:val="right"/>
      <w:pPr>
        <w:ind w:left="4320" w:hanging="180"/>
      </w:pPr>
    </w:lvl>
    <w:lvl w:ilvl="6" w:tplc="ABF2F5FA" w:tentative="1">
      <w:start w:val="1"/>
      <w:numFmt w:val="decimal"/>
      <w:lvlText w:val="%7."/>
      <w:lvlJc w:val="left"/>
      <w:pPr>
        <w:ind w:left="5040" w:hanging="360"/>
      </w:pPr>
    </w:lvl>
    <w:lvl w:ilvl="7" w:tplc="1F2C3360" w:tentative="1">
      <w:start w:val="1"/>
      <w:numFmt w:val="lowerLetter"/>
      <w:lvlText w:val="%8."/>
      <w:lvlJc w:val="left"/>
      <w:pPr>
        <w:ind w:left="5760" w:hanging="360"/>
      </w:pPr>
    </w:lvl>
    <w:lvl w:ilvl="8" w:tplc="41A6FD32" w:tentative="1">
      <w:start w:val="1"/>
      <w:numFmt w:val="lowerRoman"/>
      <w:lvlText w:val="%9."/>
      <w:lvlJc w:val="right"/>
      <w:pPr>
        <w:ind w:left="6480" w:hanging="180"/>
      </w:pPr>
    </w:lvl>
  </w:abstractNum>
  <w:abstractNum w:abstractNumId="7" w15:restartNumberingAfterBreak="0">
    <w:nsid w:val="2F616B02"/>
    <w:multiLevelType w:val="multilevel"/>
    <w:tmpl w:val="DFA8D8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E0286C"/>
    <w:multiLevelType w:val="hybridMultilevel"/>
    <w:tmpl w:val="D646FB3C"/>
    <w:lvl w:ilvl="0" w:tplc="90EC3040">
      <w:start w:val="1"/>
      <w:numFmt w:val="bullet"/>
      <w:lvlText w:val=""/>
      <w:lvlJc w:val="left"/>
      <w:pPr>
        <w:ind w:left="1526" w:hanging="360"/>
      </w:pPr>
      <w:rPr>
        <w:rFonts w:ascii="Symbol" w:hAnsi="Symbol" w:hint="default"/>
      </w:rPr>
    </w:lvl>
    <w:lvl w:ilvl="1" w:tplc="72EC29C2" w:tentative="1">
      <w:start w:val="1"/>
      <w:numFmt w:val="bullet"/>
      <w:lvlText w:val="o"/>
      <w:lvlJc w:val="left"/>
      <w:pPr>
        <w:ind w:left="2246" w:hanging="360"/>
      </w:pPr>
      <w:rPr>
        <w:rFonts w:ascii="Courier New" w:hAnsi="Courier New" w:cs="Courier New" w:hint="default"/>
      </w:rPr>
    </w:lvl>
    <w:lvl w:ilvl="2" w:tplc="65304D90" w:tentative="1">
      <w:start w:val="1"/>
      <w:numFmt w:val="bullet"/>
      <w:lvlText w:val=""/>
      <w:lvlJc w:val="left"/>
      <w:pPr>
        <w:ind w:left="2966" w:hanging="360"/>
      </w:pPr>
      <w:rPr>
        <w:rFonts w:ascii="Wingdings" w:hAnsi="Wingdings" w:hint="default"/>
      </w:rPr>
    </w:lvl>
    <w:lvl w:ilvl="3" w:tplc="FFA87D3A" w:tentative="1">
      <w:start w:val="1"/>
      <w:numFmt w:val="bullet"/>
      <w:lvlText w:val=""/>
      <w:lvlJc w:val="left"/>
      <w:pPr>
        <w:ind w:left="3686" w:hanging="360"/>
      </w:pPr>
      <w:rPr>
        <w:rFonts w:ascii="Symbol" w:hAnsi="Symbol" w:hint="default"/>
      </w:rPr>
    </w:lvl>
    <w:lvl w:ilvl="4" w:tplc="792042FA" w:tentative="1">
      <w:start w:val="1"/>
      <w:numFmt w:val="bullet"/>
      <w:lvlText w:val="o"/>
      <w:lvlJc w:val="left"/>
      <w:pPr>
        <w:ind w:left="4406" w:hanging="360"/>
      </w:pPr>
      <w:rPr>
        <w:rFonts w:ascii="Courier New" w:hAnsi="Courier New" w:cs="Courier New" w:hint="default"/>
      </w:rPr>
    </w:lvl>
    <w:lvl w:ilvl="5" w:tplc="DEECC124" w:tentative="1">
      <w:start w:val="1"/>
      <w:numFmt w:val="bullet"/>
      <w:lvlText w:val=""/>
      <w:lvlJc w:val="left"/>
      <w:pPr>
        <w:ind w:left="5126" w:hanging="360"/>
      </w:pPr>
      <w:rPr>
        <w:rFonts w:ascii="Wingdings" w:hAnsi="Wingdings" w:hint="default"/>
      </w:rPr>
    </w:lvl>
    <w:lvl w:ilvl="6" w:tplc="FC0AB0D8" w:tentative="1">
      <w:start w:val="1"/>
      <w:numFmt w:val="bullet"/>
      <w:lvlText w:val=""/>
      <w:lvlJc w:val="left"/>
      <w:pPr>
        <w:ind w:left="5846" w:hanging="360"/>
      </w:pPr>
      <w:rPr>
        <w:rFonts w:ascii="Symbol" w:hAnsi="Symbol" w:hint="default"/>
      </w:rPr>
    </w:lvl>
    <w:lvl w:ilvl="7" w:tplc="DA56A7AE" w:tentative="1">
      <w:start w:val="1"/>
      <w:numFmt w:val="bullet"/>
      <w:lvlText w:val="o"/>
      <w:lvlJc w:val="left"/>
      <w:pPr>
        <w:ind w:left="6566" w:hanging="360"/>
      </w:pPr>
      <w:rPr>
        <w:rFonts w:ascii="Courier New" w:hAnsi="Courier New" w:cs="Courier New" w:hint="default"/>
      </w:rPr>
    </w:lvl>
    <w:lvl w:ilvl="8" w:tplc="4590F7F2" w:tentative="1">
      <w:start w:val="1"/>
      <w:numFmt w:val="bullet"/>
      <w:lvlText w:val=""/>
      <w:lvlJc w:val="left"/>
      <w:pPr>
        <w:ind w:left="7286" w:hanging="360"/>
      </w:pPr>
      <w:rPr>
        <w:rFonts w:ascii="Wingdings" w:hAnsi="Wingdings" w:hint="default"/>
      </w:rPr>
    </w:lvl>
  </w:abstractNum>
  <w:abstractNum w:abstractNumId="9" w15:restartNumberingAfterBreak="0">
    <w:nsid w:val="32925070"/>
    <w:multiLevelType w:val="hybridMultilevel"/>
    <w:tmpl w:val="759ECAAA"/>
    <w:lvl w:ilvl="0" w:tplc="042C897C">
      <w:start w:val="1"/>
      <w:numFmt w:val="decimal"/>
      <w:lvlText w:val="(%1)"/>
      <w:lvlJc w:val="left"/>
      <w:pPr>
        <w:ind w:left="1094" w:hanging="360"/>
      </w:pPr>
      <w:rPr>
        <w:rFonts w:hint="default"/>
      </w:rPr>
    </w:lvl>
    <w:lvl w:ilvl="1" w:tplc="D9C05DB0" w:tentative="1">
      <w:start w:val="1"/>
      <w:numFmt w:val="lowerLetter"/>
      <w:lvlText w:val="%2."/>
      <w:lvlJc w:val="left"/>
      <w:pPr>
        <w:ind w:left="1814" w:hanging="360"/>
      </w:pPr>
    </w:lvl>
    <w:lvl w:ilvl="2" w:tplc="C35AD3C4" w:tentative="1">
      <w:start w:val="1"/>
      <w:numFmt w:val="lowerRoman"/>
      <w:lvlText w:val="%3."/>
      <w:lvlJc w:val="right"/>
      <w:pPr>
        <w:ind w:left="2534" w:hanging="180"/>
      </w:pPr>
    </w:lvl>
    <w:lvl w:ilvl="3" w:tplc="95FA40C2" w:tentative="1">
      <w:start w:val="1"/>
      <w:numFmt w:val="decimal"/>
      <w:lvlText w:val="%4."/>
      <w:lvlJc w:val="left"/>
      <w:pPr>
        <w:ind w:left="3254" w:hanging="360"/>
      </w:pPr>
    </w:lvl>
    <w:lvl w:ilvl="4" w:tplc="C65AFC50" w:tentative="1">
      <w:start w:val="1"/>
      <w:numFmt w:val="lowerLetter"/>
      <w:lvlText w:val="%5."/>
      <w:lvlJc w:val="left"/>
      <w:pPr>
        <w:ind w:left="3974" w:hanging="360"/>
      </w:pPr>
    </w:lvl>
    <w:lvl w:ilvl="5" w:tplc="3A9CDAC4" w:tentative="1">
      <w:start w:val="1"/>
      <w:numFmt w:val="lowerRoman"/>
      <w:lvlText w:val="%6."/>
      <w:lvlJc w:val="right"/>
      <w:pPr>
        <w:ind w:left="4694" w:hanging="180"/>
      </w:pPr>
    </w:lvl>
    <w:lvl w:ilvl="6" w:tplc="2A009E5A" w:tentative="1">
      <w:start w:val="1"/>
      <w:numFmt w:val="decimal"/>
      <w:lvlText w:val="%7."/>
      <w:lvlJc w:val="left"/>
      <w:pPr>
        <w:ind w:left="5414" w:hanging="360"/>
      </w:pPr>
    </w:lvl>
    <w:lvl w:ilvl="7" w:tplc="49047F22" w:tentative="1">
      <w:start w:val="1"/>
      <w:numFmt w:val="lowerLetter"/>
      <w:lvlText w:val="%8."/>
      <w:lvlJc w:val="left"/>
      <w:pPr>
        <w:ind w:left="6134" w:hanging="360"/>
      </w:pPr>
    </w:lvl>
    <w:lvl w:ilvl="8" w:tplc="B9522D76" w:tentative="1">
      <w:start w:val="1"/>
      <w:numFmt w:val="lowerRoman"/>
      <w:lvlText w:val="%9."/>
      <w:lvlJc w:val="right"/>
      <w:pPr>
        <w:ind w:left="6854" w:hanging="180"/>
      </w:pPr>
    </w:lvl>
  </w:abstractNum>
  <w:abstractNum w:abstractNumId="10" w15:restartNumberingAfterBreak="0">
    <w:nsid w:val="337D006D"/>
    <w:multiLevelType w:val="hybridMultilevel"/>
    <w:tmpl w:val="C61A566A"/>
    <w:lvl w:ilvl="0" w:tplc="C6E24966">
      <w:start w:val="1"/>
      <w:numFmt w:val="lowerLetter"/>
      <w:lvlText w:val="(%1)"/>
      <w:lvlJc w:val="left"/>
      <w:pPr>
        <w:ind w:left="720" w:hanging="360"/>
      </w:pPr>
      <w:rPr>
        <w:rFonts w:hint="default"/>
        <w:lang w:val="en-CA"/>
      </w:rPr>
    </w:lvl>
    <w:lvl w:ilvl="1" w:tplc="A920A6BE">
      <w:start w:val="1"/>
      <w:numFmt w:val="lowerRoman"/>
      <w:lvlText w:val="%2."/>
      <w:lvlJc w:val="right"/>
      <w:pPr>
        <w:ind w:left="1440" w:hanging="360"/>
      </w:pPr>
    </w:lvl>
    <w:lvl w:ilvl="2" w:tplc="3B00CBDA" w:tentative="1">
      <w:start w:val="1"/>
      <w:numFmt w:val="lowerRoman"/>
      <w:lvlText w:val="%3."/>
      <w:lvlJc w:val="right"/>
      <w:pPr>
        <w:ind w:left="2160" w:hanging="180"/>
      </w:pPr>
    </w:lvl>
    <w:lvl w:ilvl="3" w:tplc="F54E6526" w:tentative="1">
      <w:start w:val="1"/>
      <w:numFmt w:val="decimal"/>
      <w:lvlText w:val="%4."/>
      <w:lvlJc w:val="left"/>
      <w:pPr>
        <w:ind w:left="2880" w:hanging="360"/>
      </w:pPr>
    </w:lvl>
    <w:lvl w:ilvl="4" w:tplc="F740DEB0" w:tentative="1">
      <w:start w:val="1"/>
      <w:numFmt w:val="lowerLetter"/>
      <w:lvlText w:val="%5."/>
      <w:lvlJc w:val="left"/>
      <w:pPr>
        <w:ind w:left="3600" w:hanging="360"/>
      </w:pPr>
    </w:lvl>
    <w:lvl w:ilvl="5" w:tplc="8CAE6E32" w:tentative="1">
      <w:start w:val="1"/>
      <w:numFmt w:val="lowerRoman"/>
      <w:lvlText w:val="%6."/>
      <w:lvlJc w:val="right"/>
      <w:pPr>
        <w:ind w:left="4320" w:hanging="180"/>
      </w:pPr>
    </w:lvl>
    <w:lvl w:ilvl="6" w:tplc="0A28E1C8" w:tentative="1">
      <w:start w:val="1"/>
      <w:numFmt w:val="decimal"/>
      <w:lvlText w:val="%7."/>
      <w:lvlJc w:val="left"/>
      <w:pPr>
        <w:ind w:left="5040" w:hanging="360"/>
      </w:pPr>
    </w:lvl>
    <w:lvl w:ilvl="7" w:tplc="681202CE" w:tentative="1">
      <w:start w:val="1"/>
      <w:numFmt w:val="lowerLetter"/>
      <w:lvlText w:val="%8."/>
      <w:lvlJc w:val="left"/>
      <w:pPr>
        <w:ind w:left="5760" w:hanging="360"/>
      </w:pPr>
    </w:lvl>
    <w:lvl w:ilvl="8" w:tplc="FD1E004A" w:tentative="1">
      <w:start w:val="1"/>
      <w:numFmt w:val="lowerRoman"/>
      <w:lvlText w:val="%9."/>
      <w:lvlJc w:val="right"/>
      <w:pPr>
        <w:ind w:left="6480" w:hanging="180"/>
      </w:pPr>
    </w:lvl>
  </w:abstractNum>
  <w:abstractNum w:abstractNumId="11" w15:restartNumberingAfterBreak="0">
    <w:nsid w:val="40D3249A"/>
    <w:multiLevelType w:val="hybridMultilevel"/>
    <w:tmpl w:val="C360B14A"/>
    <w:lvl w:ilvl="0" w:tplc="563EDD7C">
      <w:start w:val="1"/>
      <w:numFmt w:val="decimal"/>
      <w:lvlText w:val="(%1)"/>
      <w:lvlJc w:val="left"/>
      <w:pPr>
        <w:ind w:left="1140" w:hanging="360"/>
      </w:pPr>
      <w:rPr>
        <w:rFonts w:ascii="Arial" w:eastAsia="Times New Roman" w:hAnsi="Arial" w:cs="Arial"/>
      </w:rPr>
    </w:lvl>
    <w:lvl w:ilvl="1" w:tplc="0C0C0019" w:tentative="1">
      <w:start w:val="1"/>
      <w:numFmt w:val="lowerLetter"/>
      <w:lvlText w:val="%2."/>
      <w:lvlJc w:val="left"/>
      <w:pPr>
        <w:ind w:left="1860" w:hanging="360"/>
      </w:pPr>
    </w:lvl>
    <w:lvl w:ilvl="2" w:tplc="0C0C001B" w:tentative="1">
      <w:start w:val="1"/>
      <w:numFmt w:val="lowerRoman"/>
      <w:lvlText w:val="%3."/>
      <w:lvlJc w:val="right"/>
      <w:pPr>
        <w:ind w:left="2580" w:hanging="180"/>
      </w:pPr>
    </w:lvl>
    <w:lvl w:ilvl="3" w:tplc="0C0C000F" w:tentative="1">
      <w:start w:val="1"/>
      <w:numFmt w:val="decimal"/>
      <w:lvlText w:val="%4."/>
      <w:lvlJc w:val="left"/>
      <w:pPr>
        <w:ind w:left="3300" w:hanging="360"/>
      </w:pPr>
    </w:lvl>
    <w:lvl w:ilvl="4" w:tplc="0C0C0019" w:tentative="1">
      <w:start w:val="1"/>
      <w:numFmt w:val="lowerLetter"/>
      <w:lvlText w:val="%5."/>
      <w:lvlJc w:val="left"/>
      <w:pPr>
        <w:ind w:left="4020" w:hanging="360"/>
      </w:pPr>
    </w:lvl>
    <w:lvl w:ilvl="5" w:tplc="0C0C001B" w:tentative="1">
      <w:start w:val="1"/>
      <w:numFmt w:val="lowerRoman"/>
      <w:lvlText w:val="%6."/>
      <w:lvlJc w:val="right"/>
      <w:pPr>
        <w:ind w:left="4740" w:hanging="180"/>
      </w:pPr>
    </w:lvl>
    <w:lvl w:ilvl="6" w:tplc="0C0C000F" w:tentative="1">
      <w:start w:val="1"/>
      <w:numFmt w:val="decimal"/>
      <w:lvlText w:val="%7."/>
      <w:lvlJc w:val="left"/>
      <w:pPr>
        <w:ind w:left="5460" w:hanging="360"/>
      </w:pPr>
    </w:lvl>
    <w:lvl w:ilvl="7" w:tplc="0C0C0019" w:tentative="1">
      <w:start w:val="1"/>
      <w:numFmt w:val="lowerLetter"/>
      <w:lvlText w:val="%8."/>
      <w:lvlJc w:val="left"/>
      <w:pPr>
        <w:ind w:left="6180" w:hanging="360"/>
      </w:pPr>
    </w:lvl>
    <w:lvl w:ilvl="8" w:tplc="0C0C001B" w:tentative="1">
      <w:start w:val="1"/>
      <w:numFmt w:val="lowerRoman"/>
      <w:lvlText w:val="%9."/>
      <w:lvlJc w:val="right"/>
      <w:pPr>
        <w:ind w:left="6900" w:hanging="180"/>
      </w:pPr>
    </w:lvl>
  </w:abstractNum>
  <w:abstractNum w:abstractNumId="12" w15:restartNumberingAfterBreak="0">
    <w:nsid w:val="449669F1"/>
    <w:multiLevelType w:val="hybridMultilevel"/>
    <w:tmpl w:val="B38212D2"/>
    <w:lvl w:ilvl="0" w:tplc="460CB870">
      <w:start w:val="1"/>
      <w:numFmt w:val="bullet"/>
      <w:lvlText w:val=""/>
      <w:lvlJc w:val="left"/>
      <w:pPr>
        <w:ind w:left="1440" w:hanging="360"/>
      </w:pPr>
      <w:rPr>
        <w:rFonts w:ascii="Symbol" w:hAnsi="Symbol" w:hint="default"/>
      </w:rPr>
    </w:lvl>
    <w:lvl w:ilvl="1" w:tplc="3AA4207A" w:tentative="1">
      <w:start w:val="1"/>
      <w:numFmt w:val="bullet"/>
      <w:lvlText w:val="o"/>
      <w:lvlJc w:val="left"/>
      <w:pPr>
        <w:ind w:left="2160" w:hanging="360"/>
      </w:pPr>
      <w:rPr>
        <w:rFonts w:ascii="Courier New" w:hAnsi="Courier New" w:cs="Courier New" w:hint="default"/>
      </w:rPr>
    </w:lvl>
    <w:lvl w:ilvl="2" w:tplc="3ABCACDE" w:tentative="1">
      <w:start w:val="1"/>
      <w:numFmt w:val="bullet"/>
      <w:lvlText w:val=""/>
      <w:lvlJc w:val="left"/>
      <w:pPr>
        <w:ind w:left="2880" w:hanging="360"/>
      </w:pPr>
      <w:rPr>
        <w:rFonts w:ascii="Wingdings" w:hAnsi="Wingdings" w:hint="default"/>
      </w:rPr>
    </w:lvl>
    <w:lvl w:ilvl="3" w:tplc="5D34EBA8" w:tentative="1">
      <w:start w:val="1"/>
      <w:numFmt w:val="bullet"/>
      <w:lvlText w:val=""/>
      <w:lvlJc w:val="left"/>
      <w:pPr>
        <w:ind w:left="3600" w:hanging="360"/>
      </w:pPr>
      <w:rPr>
        <w:rFonts w:ascii="Symbol" w:hAnsi="Symbol" w:hint="default"/>
      </w:rPr>
    </w:lvl>
    <w:lvl w:ilvl="4" w:tplc="541E56EC" w:tentative="1">
      <w:start w:val="1"/>
      <w:numFmt w:val="bullet"/>
      <w:lvlText w:val="o"/>
      <w:lvlJc w:val="left"/>
      <w:pPr>
        <w:ind w:left="4320" w:hanging="360"/>
      </w:pPr>
      <w:rPr>
        <w:rFonts w:ascii="Courier New" w:hAnsi="Courier New" w:cs="Courier New" w:hint="default"/>
      </w:rPr>
    </w:lvl>
    <w:lvl w:ilvl="5" w:tplc="F78AFB7C" w:tentative="1">
      <w:start w:val="1"/>
      <w:numFmt w:val="bullet"/>
      <w:lvlText w:val=""/>
      <w:lvlJc w:val="left"/>
      <w:pPr>
        <w:ind w:left="5040" w:hanging="360"/>
      </w:pPr>
      <w:rPr>
        <w:rFonts w:ascii="Wingdings" w:hAnsi="Wingdings" w:hint="default"/>
      </w:rPr>
    </w:lvl>
    <w:lvl w:ilvl="6" w:tplc="6DEC895A" w:tentative="1">
      <w:start w:val="1"/>
      <w:numFmt w:val="bullet"/>
      <w:lvlText w:val=""/>
      <w:lvlJc w:val="left"/>
      <w:pPr>
        <w:ind w:left="5760" w:hanging="360"/>
      </w:pPr>
      <w:rPr>
        <w:rFonts w:ascii="Symbol" w:hAnsi="Symbol" w:hint="default"/>
      </w:rPr>
    </w:lvl>
    <w:lvl w:ilvl="7" w:tplc="D8408EBA" w:tentative="1">
      <w:start w:val="1"/>
      <w:numFmt w:val="bullet"/>
      <w:lvlText w:val="o"/>
      <w:lvlJc w:val="left"/>
      <w:pPr>
        <w:ind w:left="6480" w:hanging="360"/>
      </w:pPr>
      <w:rPr>
        <w:rFonts w:ascii="Courier New" w:hAnsi="Courier New" w:cs="Courier New" w:hint="default"/>
      </w:rPr>
    </w:lvl>
    <w:lvl w:ilvl="8" w:tplc="07A8142C" w:tentative="1">
      <w:start w:val="1"/>
      <w:numFmt w:val="bullet"/>
      <w:lvlText w:val=""/>
      <w:lvlJc w:val="left"/>
      <w:pPr>
        <w:ind w:left="7200" w:hanging="360"/>
      </w:pPr>
      <w:rPr>
        <w:rFonts w:ascii="Wingdings" w:hAnsi="Wingdings" w:hint="default"/>
      </w:rPr>
    </w:lvl>
  </w:abstractNum>
  <w:abstractNum w:abstractNumId="13" w15:restartNumberingAfterBreak="0">
    <w:nsid w:val="4D8A722D"/>
    <w:multiLevelType w:val="multilevel"/>
    <w:tmpl w:val="15C8F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E26E0E"/>
    <w:multiLevelType w:val="hybridMultilevel"/>
    <w:tmpl w:val="4D30A7B2"/>
    <w:lvl w:ilvl="0" w:tplc="24902C28">
      <w:start w:val="1"/>
      <w:numFmt w:val="lowerLetter"/>
      <w:lvlText w:val="%1)"/>
      <w:lvlJc w:val="left"/>
      <w:pPr>
        <w:ind w:left="720" w:hanging="360"/>
      </w:pPr>
    </w:lvl>
    <w:lvl w:ilvl="1" w:tplc="5D3E6E70" w:tentative="1">
      <w:start w:val="1"/>
      <w:numFmt w:val="lowerLetter"/>
      <w:lvlText w:val="%2."/>
      <w:lvlJc w:val="left"/>
      <w:pPr>
        <w:ind w:left="1440" w:hanging="360"/>
      </w:pPr>
    </w:lvl>
    <w:lvl w:ilvl="2" w:tplc="52E0BFFE" w:tentative="1">
      <w:start w:val="1"/>
      <w:numFmt w:val="lowerRoman"/>
      <w:lvlText w:val="%3."/>
      <w:lvlJc w:val="right"/>
      <w:pPr>
        <w:ind w:left="2160" w:hanging="180"/>
      </w:pPr>
    </w:lvl>
    <w:lvl w:ilvl="3" w:tplc="F860FE6A" w:tentative="1">
      <w:start w:val="1"/>
      <w:numFmt w:val="decimal"/>
      <w:lvlText w:val="%4."/>
      <w:lvlJc w:val="left"/>
      <w:pPr>
        <w:ind w:left="2880" w:hanging="360"/>
      </w:pPr>
    </w:lvl>
    <w:lvl w:ilvl="4" w:tplc="F6968B8A" w:tentative="1">
      <w:start w:val="1"/>
      <w:numFmt w:val="lowerLetter"/>
      <w:lvlText w:val="%5."/>
      <w:lvlJc w:val="left"/>
      <w:pPr>
        <w:ind w:left="3600" w:hanging="360"/>
      </w:pPr>
    </w:lvl>
    <w:lvl w:ilvl="5" w:tplc="B1220FE2" w:tentative="1">
      <w:start w:val="1"/>
      <w:numFmt w:val="lowerRoman"/>
      <w:lvlText w:val="%6."/>
      <w:lvlJc w:val="right"/>
      <w:pPr>
        <w:ind w:left="4320" w:hanging="180"/>
      </w:pPr>
    </w:lvl>
    <w:lvl w:ilvl="6" w:tplc="8E720CFE" w:tentative="1">
      <w:start w:val="1"/>
      <w:numFmt w:val="decimal"/>
      <w:lvlText w:val="%7."/>
      <w:lvlJc w:val="left"/>
      <w:pPr>
        <w:ind w:left="5040" w:hanging="360"/>
      </w:pPr>
    </w:lvl>
    <w:lvl w:ilvl="7" w:tplc="C0120150" w:tentative="1">
      <w:start w:val="1"/>
      <w:numFmt w:val="lowerLetter"/>
      <w:lvlText w:val="%8."/>
      <w:lvlJc w:val="left"/>
      <w:pPr>
        <w:ind w:left="5760" w:hanging="360"/>
      </w:pPr>
    </w:lvl>
    <w:lvl w:ilvl="8" w:tplc="BEF2FDB6" w:tentative="1">
      <w:start w:val="1"/>
      <w:numFmt w:val="lowerRoman"/>
      <w:lvlText w:val="%9."/>
      <w:lvlJc w:val="right"/>
      <w:pPr>
        <w:ind w:left="6480" w:hanging="180"/>
      </w:pPr>
    </w:lvl>
  </w:abstractNum>
  <w:abstractNum w:abstractNumId="15" w15:restartNumberingAfterBreak="0">
    <w:nsid w:val="576A34D2"/>
    <w:multiLevelType w:val="hybridMultilevel"/>
    <w:tmpl w:val="B34E2660"/>
    <w:lvl w:ilvl="0" w:tplc="CDB88C06">
      <w:start w:val="1"/>
      <w:numFmt w:val="lowerLetter"/>
      <w:lvlText w:val="(%1)"/>
      <w:lvlJc w:val="left"/>
      <w:pPr>
        <w:ind w:left="720" w:hanging="360"/>
      </w:pPr>
      <w:rPr>
        <w:rFonts w:hint="default"/>
        <w:i w:val="0"/>
        <w:iCs w:val="0"/>
      </w:rPr>
    </w:lvl>
    <w:lvl w:ilvl="1" w:tplc="3A30CF46" w:tentative="1">
      <w:start w:val="1"/>
      <w:numFmt w:val="lowerLetter"/>
      <w:lvlText w:val="%2."/>
      <w:lvlJc w:val="left"/>
      <w:pPr>
        <w:ind w:left="1440" w:hanging="360"/>
      </w:pPr>
    </w:lvl>
    <w:lvl w:ilvl="2" w:tplc="41A4BC44" w:tentative="1">
      <w:start w:val="1"/>
      <w:numFmt w:val="lowerRoman"/>
      <w:lvlText w:val="%3."/>
      <w:lvlJc w:val="right"/>
      <w:pPr>
        <w:ind w:left="2160" w:hanging="180"/>
      </w:pPr>
    </w:lvl>
    <w:lvl w:ilvl="3" w:tplc="F6523934" w:tentative="1">
      <w:start w:val="1"/>
      <w:numFmt w:val="decimal"/>
      <w:lvlText w:val="%4."/>
      <w:lvlJc w:val="left"/>
      <w:pPr>
        <w:ind w:left="2880" w:hanging="360"/>
      </w:pPr>
    </w:lvl>
    <w:lvl w:ilvl="4" w:tplc="03425C94" w:tentative="1">
      <w:start w:val="1"/>
      <w:numFmt w:val="lowerLetter"/>
      <w:lvlText w:val="%5."/>
      <w:lvlJc w:val="left"/>
      <w:pPr>
        <w:ind w:left="3600" w:hanging="360"/>
      </w:pPr>
    </w:lvl>
    <w:lvl w:ilvl="5" w:tplc="F954D838" w:tentative="1">
      <w:start w:val="1"/>
      <w:numFmt w:val="lowerRoman"/>
      <w:lvlText w:val="%6."/>
      <w:lvlJc w:val="right"/>
      <w:pPr>
        <w:ind w:left="4320" w:hanging="180"/>
      </w:pPr>
    </w:lvl>
    <w:lvl w:ilvl="6" w:tplc="6BA40B0C" w:tentative="1">
      <w:start w:val="1"/>
      <w:numFmt w:val="decimal"/>
      <w:lvlText w:val="%7."/>
      <w:lvlJc w:val="left"/>
      <w:pPr>
        <w:ind w:left="5040" w:hanging="360"/>
      </w:pPr>
    </w:lvl>
    <w:lvl w:ilvl="7" w:tplc="3810373C" w:tentative="1">
      <w:start w:val="1"/>
      <w:numFmt w:val="lowerLetter"/>
      <w:lvlText w:val="%8."/>
      <w:lvlJc w:val="left"/>
      <w:pPr>
        <w:ind w:left="5760" w:hanging="360"/>
      </w:pPr>
    </w:lvl>
    <w:lvl w:ilvl="8" w:tplc="417A4518" w:tentative="1">
      <w:start w:val="1"/>
      <w:numFmt w:val="lowerRoman"/>
      <w:lvlText w:val="%9."/>
      <w:lvlJc w:val="right"/>
      <w:pPr>
        <w:ind w:left="6480" w:hanging="180"/>
      </w:pPr>
    </w:lvl>
  </w:abstractNum>
  <w:abstractNum w:abstractNumId="16" w15:restartNumberingAfterBreak="0">
    <w:nsid w:val="5B581473"/>
    <w:multiLevelType w:val="hybridMultilevel"/>
    <w:tmpl w:val="4A26ED7C"/>
    <w:lvl w:ilvl="0" w:tplc="894E05C2">
      <w:start w:val="1"/>
      <w:numFmt w:val="bullet"/>
      <w:lvlText w:val=""/>
      <w:lvlJc w:val="left"/>
      <w:pPr>
        <w:ind w:left="720" w:hanging="360"/>
      </w:pPr>
      <w:rPr>
        <w:rFonts w:ascii="Symbol" w:hAnsi="Symbol" w:hint="default"/>
      </w:rPr>
    </w:lvl>
    <w:lvl w:ilvl="1" w:tplc="244498C4" w:tentative="1">
      <w:start w:val="1"/>
      <w:numFmt w:val="bullet"/>
      <w:lvlText w:val="o"/>
      <w:lvlJc w:val="left"/>
      <w:pPr>
        <w:ind w:left="1440" w:hanging="360"/>
      </w:pPr>
      <w:rPr>
        <w:rFonts w:ascii="Courier New" w:hAnsi="Courier New" w:cs="Courier New" w:hint="default"/>
      </w:rPr>
    </w:lvl>
    <w:lvl w:ilvl="2" w:tplc="FF56269C" w:tentative="1">
      <w:start w:val="1"/>
      <w:numFmt w:val="bullet"/>
      <w:lvlText w:val=""/>
      <w:lvlJc w:val="left"/>
      <w:pPr>
        <w:ind w:left="2160" w:hanging="360"/>
      </w:pPr>
      <w:rPr>
        <w:rFonts w:ascii="Wingdings" w:hAnsi="Wingdings" w:hint="default"/>
      </w:rPr>
    </w:lvl>
    <w:lvl w:ilvl="3" w:tplc="73FC1970" w:tentative="1">
      <w:start w:val="1"/>
      <w:numFmt w:val="bullet"/>
      <w:lvlText w:val=""/>
      <w:lvlJc w:val="left"/>
      <w:pPr>
        <w:ind w:left="2880" w:hanging="360"/>
      </w:pPr>
      <w:rPr>
        <w:rFonts w:ascii="Symbol" w:hAnsi="Symbol" w:hint="default"/>
      </w:rPr>
    </w:lvl>
    <w:lvl w:ilvl="4" w:tplc="1BAA885C" w:tentative="1">
      <w:start w:val="1"/>
      <w:numFmt w:val="bullet"/>
      <w:lvlText w:val="o"/>
      <w:lvlJc w:val="left"/>
      <w:pPr>
        <w:ind w:left="3600" w:hanging="360"/>
      </w:pPr>
      <w:rPr>
        <w:rFonts w:ascii="Courier New" w:hAnsi="Courier New" w:cs="Courier New" w:hint="default"/>
      </w:rPr>
    </w:lvl>
    <w:lvl w:ilvl="5" w:tplc="CEC4ACE4" w:tentative="1">
      <w:start w:val="1"/>
      <w:numFmt w:val="bullet"/>
      <w:lvlText w:val=""/>
      <w:lvlJc w:val="left"/>
      <w:pPr>
        <w:ind w:left="4320" w:hanging="360"/>
      </w:pPr>
      <w:rPr>
        <w:rFonts w:ascii="Wingdings" w:hAnsi="Wingdings" w:hint="default"/>
      </w:rPr>
    </w:lvl>
    <w:lvl w:ilvl="6" w:tplc="58623C10" w:tentative="1">
      <w:start w:val="1"/>
      <w:numFmt w:val="bullet"/>
      <w:lvlText w:val=""/>
      <w:lvlJc w:val="left"/>
      <w:pPr>
        <w:ind w:left="5040" w:hanging="360"/>
      </w:pPr>
      <w:rPr>
        <w:rFonts w:ascii="Symbol" w:hAnsi="Symbol" w:hint="default"/>
      </w:rPr>
    </w:lvl>
    <w:lvl w:ilvl="7" w:tplc="930A6554" w:tentative="1">
      <w:start w:val="1"/>
      <w:numFmt w:val="bullet"/>
      <w:lvlText w:val="o"/>
      <w:lvlJc w:val="left"/>
      <w:pPr>
        <w:ind w:left="5760" w:hanging="360"/>
      </w:pPr>
      <w:rPr>
        <w:rFonts w:ascii="Courier New" w:hAnsi="Courier New" w:cs="Courier New" w:hint="default"/>
      </w:rPr>
    </w:lvl>
    <w:lvl w:ilvl="8" w:tplc="A2DEC416" w:tentative="1">
      <w:start w:val="1"/>
      <w:numFmt w:val="bullet"/>
      <w:lvlText w:val=""/>
      <w:lvlJc w:val="left"/>
      <w:pPr>
        <w:ind w:left="6480" w:hanging="360"/>
      </w:pPr>
      <w:rPr>
        <w:rFonts w:ascii="Wingdings" w:hAnsi="Wingdings" w:hint="default"/>
      </w:rPr>
    </w:lvl>
  </w:abstractNum>
  <w:abstractNum w:abstractNumId="17" w15:restartNumberingAfterBreak="0">
    <w:nsid w:val="609C0DCC"/>
    <w:multiLevelType w:val="multilevel"/>
    <w:tmpl w:val="CBCCEEA4"/>
    <w:lvl w:ilvl="0">
      <w:start w:val="1"/>
      <w:numFmt w:val="decimal"/>
      <w:pStyle w:val="Paragraphe"/>
      <w:lvlText w:val="[%1]"/>
      <w:lvlJc w:val="left"/>
      <w:pPr>
        <w:tabs>
          <w:tab w:val="num" w:pos="360"/>
        </w:tabs>
        <w:ind w:left="0" w:firstLine="0"/>
      </w:pPr>
    </w:lvl>
    <w:lvl w:ilvl="1">
      <w:start w:val="1"/>
      <w:numFmt w:val="decimal"/>
      <w:pStyle w:val="Sous-paragraphe"/>
      <w:lvlText w:val="%1.%2."/>
      <w:lvlJc w:val="left"/>
      <w:pPr>
        <w:tabs>
          <w:tab w:val="num" w:pos="651"/>
        </w:tabs>
        <w:ind w:left="651" w:hanging="432"/>
      </w:pPr>
    </w:lvl>
    <w:lvl w:ilvl="2">
      <w:start w:val="1"/>
      <w:numFmt w:val="decimal"/>
      <w:lvlText w:val="%1.%2.%3."/>
      <w:lvlJc w:val="left"/>
      <w:pPr>
        <w:tabs>
          <w:tab w:val="num" w:pos="1299"/>
        </w:tabs>
        <w:ind w:left="1083" w:hanging="504"/>
      </w:pPr>
    </w:lvl>
    <w:lvl w:ilvl="3">
      <w:start w:val="1"/>
      <w:numFmt w:val="decimal"/>
      <w:lvlText w:val="%1.%2.%3.%4."/>
      <w:lvlJc w:val="left"/>
      <w:pPr>
        <w:tabs>
          <w:tab w:val="num" w:pos="1587"/>
        </w:tabs>
        <w:ind w:left="1587" w:hanging="648"/>
      </w:pPr>
    </w:lvl>
    <w:lvl w:ilvl="4">
      <w:start w:val="1"/>
      <w:numFmt w:val="decimal"/>
      <w:lvlText w:val="%1.%2.%3.%4.%5."/>
      <w:lvlJc w:val="left"/>
      <w:pPr>
        <w:tabs>
          <w:tab w:val="num" w:pos="2379"/>
        </w:tabs>
        <w:ind w:left="2091" w:hanging="792"/>
      </w:pPr>
    </w:lvl>
    <w:lvl w:ilvl="5">
      <w:start w:val="1"/>
      <w:numFmt w:val="decimal"/>
      <w:lvlText w:val="%1.%2.%3.%4.%5.%6."/>
      <w:lvlJc w:val="left"/>
      <w:pPr>
        <w:tabs>
          <w:tab w:val="num" w:pos="3099"/>
        </w:tabs>
        <w:ind w:left="2595" w:hanging="936"/>
      </w:pPr>
    </w:lvl>
    <w:lvl w:ilvl="6">
      <w:start w:val="1"/>
      <w:numFmt w:val="decimal"/>
      <w:lvlText w:val="%1.%2.%3.%4.%5.%6.%7."/>
      <w:lvlJc w:val="left"/>
      <w:pPr>
        <w:tabs>
          <w:tab w:val="num" w:pos="3459"/>
        </w:tabs>
        <w:ind w:left="3099" w:hanging="1080"/>
      </w:pPr>
    </w:lvl>
    <w:lvl w:ilvl="7">
      <w:start w:val="1"/>
      <w:numFmt w:val="decimal"/>
      <w:lvlText w:val="%1.%2.%3.%4.%5.%6.%7.%8."/>
      <w:lvlJc w:val="left"/>
      <w:pPr>
        <w:tabs>
          <w:tab w:val="num" w:pos="4179"/>
        </w:tabs>
        <w:ind w:left="3603" w:hanging="1224"/>
      </w:pPr>
    </w:lvl>
    <w:lvl w:ilvl="8">
      <w:start w:val="1"/>
      <w:numFmt w:val="decimal"/>
      <w:lvlText w:val="%1.%2.%3.%4.%5.%6.%7.%8.%9."/>
      <w:lvlJc w:val="left"/>
      <w:pPr>
        <w:tabs>
          <w:tab w:val="num" w:pos="4899"/>
        </w:tabs>
        <w:ind w:left="4179" w:hanging="1440"/>
      </w:pPr>
    </w:lvl>
  </w:abstractNum>
  <w:abstractNum w:abstractNumId="18" w15:restartNumberingAfterBreak="0">
    <w:nsid w:val="64A55D66"/>
    <w:multiLevelType w:val="hybridMultilevel"/>
    <w:tmpl w:val="CBFAD384"/>
    <w:lvl w:ilvl="0" w:tplc="A9F82BE0">
      <w:start w:val="5"/>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D6567BA"/>
    <w:multiLevelType w:val="hybridMultilevel"/>
    <w:tmpl w:val="2530E678"/>
    <w:lvl w:ilvl="0" w:tplc="B65802AC">
      <w:start w:val="1"/>
      <w:numFmt w:val="bullet"/>
      <w:lvlText w:val=""/>
      <w:lvlJc w:val="left"/>
      <w:pPr>
        <w:ind w:left="720" w:hanging="360"/>
      </w:pPr>
      <w:rPr>
        <w:rFonts w:ascii="Symbol" w:hAnsi="Symbol"/>
      </w:rPr>
    </w:lvl>
    <w:lvl w:ilvl="1" w:tplc="FA540E9C">
      <w:start w:val="1"/>
      <w:numFmt w:val="bullet"/>
      <w:lvlText w:val=""/>
      <w:lvlJc w:val="left"/>
      <w:pPr>
        <w:ind w:left="720" w:hanging="360"/>
      </w:pPr>
      <w:rPr>
        <w:rFonts w:ascii="Symbol" w:hAnsi="Symbol"/>
      </w:rPr>
    </w:lvl>
    <w:lvl w:ilvl="2" w:tplc="BF0A63D8">
      <w:start w:val="1"/>
      <w:numFmt w:val="bullet"/>
      <w:lvlText w:val=""/>
      <w:lvlJc w:val="left"/>
      <w:pPr>
        <w:ind w:left="720" w:hanging="360"/>
      </w:pPr>
      <w:rPr>
        <w:rFonts w:ascii="Symbol" w:hAnsi="Symbol"/>
      </w:rPr>
    </w:lvl>
    <w:lvl w:ilvl="3" w:tplc="EF005848">
      <w:start w:val="1"/>
      <w:numFmt w:val="bullet"/>
      <w:lvlText w:val=""/>
      <w:lvlJc w:val="left"/>
      <w:pPr>
        <w:ind w:left="720" w:hanging="360"/>
      </w:pPr>
      <w:rPr>
        <w:rFonts w:ascii="Symbol" w:hAnsi="Symbol"/>
      </w:rPr>
    </w:lvl>
    <w:lvl w:ilvl="4" w:tplc="25769032">
      <w:start w:val="1"/>
      <w:numFmt w:val="bullet"/>
      <w:lvlText w:val=""/>
      <w:lvlJc w:val="left"/>
      <w:pPr>
        <w:ind w:left="720" w:hanging="360"/>
      </w:pPr>
      <w:rPr>
        <w:rFonts w:ascii="Symbol" w:hAnsi="Symbol"/>
      </w:rPr>
    </w:lvl>
    <w:lvl w:ilvl="5" w:tplc="3982C226">
      <w:start w:val="1"/>
      <w:numFmt w:val="bullet"/>
      <w:lvlText w:val=""/>
      <w:lvlJc w:val="left"/>
      <w:pPr>
        <w:ind w:left="720" w:hanging="360"/>
      </w:pPr>
      <w:rPr>
        <w:rFonts w:ascii="Symbol" w:hAnsi="Symbol"/>
      </w:rPr>
    </w:lvl>
    <w:lvl w:ilvl="6" w:tplc="DFA68F42">
      <w:start w:val="1"/>
      <w:numFmt w:val="bullet"/>
      <w:lvlText w:val=""/>
      <w:lvlJc w:val="left"/>
      <w:pPr>
        <w:ind w:left="720" w:hanging="360"/>
      </w:pPr>
      <w:rPr>
        <w:rFonts w:ascii="Symbol" w:hAnsi="Symbol"/>
      </w:rPr>
    </w:lvl>
    <w:lvl w:ilvl="7" w:tplc="389411D4">
      <w:start w:val="1"/>
      <w:numFmt w:val="bullet"/>
      <w:lvlText w:val=""/>
      <w:lvlJc w:val="left"/>
      <w:pPr>
        <w:ind w:left="720" w:hanging="360"/>
      </w:pPr>
      <w:rPr>
        <w:rFonts w:ascii="Symbol" w:hAnsi="Symbol"/>
      </w:rPr>
    </w:lvl>
    <w:lvl w:ilvl="8" w:tplc="41FCBF42">
      <w:start w:val="1"/>
      <w:numFmt w:val="bullet"/>
      <w:lvlText w:val=""/>
      <w:lvlJc w:val="left"/>
      <w:pPr>
        <w:ind w:left="720" w:hanging="360"/>
      </w:pPr>
      <w:rPr>
        <w:rFonts w:ascii="Symbol" w:hAnsi="Symbol"/>
      </w:rPr>
    </w:lvl>
  </w:abstractNum>
  <w:abstractNum w:abstractNumId="20" w15:restartNumberingAfterBreak="0">
    <w:nsid w:val="7FB50D5D"/>
    <w:multiLevelType w:val="multilevel"/>
    <w:tmpl w:val="11FC55A6"/>
    <w:lvl w:ilvl="0">
      <w:start w:val="1"/>
      <w:numFmt w:val="decimal"/>
      <w:lvlText w:val="%1"/>
      <w:lvlJc w:val="left"/>
      <w:pPr>
        <w:ind w:left="360" w:hanging="360"/>
      </w:pPr>
      <w:rPr>
        <w:rFonts w:hint="default"/>
      </w:rPr>
    </w:lvl>
    <w:lvl w:ilvl="1">
      <w:start w:val="1"/>
      <w:numFmt w:val="decimal"/>
      <w:pStyle w:val="Titre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16705458">
    <w:abstractNumId w:val="17"/>
  </w:num>
  <w:num w:numId="2" w16cid:durableId="2073768274">
    <w:abstractNumId w:val="16"/>
  </w:num>
  <w:num w:numId="3" w16cid:durableId="1334454737">
    <w:abstractNumId w:val="13"/>
  </w:num>
  <w:num w:numId="4" w16cid:durableId="947078016">
    <w:abstractNumId w:val="7"/>
  </w:num>
  <w:num w:numId="5" w16cid:durableId="974867893">
    <w:abstractNumId w:val="2"/>
  </w:num>
  <w:num w:numId="6" w16cid:durableId="936209734">
    <w:abstractNumId w:val="4"/>
  </w:num>
  <w:num w:numId="7" w16cid:durableId="1585531271">
    <w:abstractNumId w:val="15"/>
  </w:num>
  <w:num w:numId="8" w16cid:durableId="1467115166">
    <w:abstractNumId w:val="5"/>
  </w:num>
  <w:num w:numId="9" w16cid:durableId="1155798838">
    <w:abstractNumId w:val="14"/>
  </w:num>
  <w:num w:numId="10" w16cid:durableId="1430273790">
    <w:abstractNumId w:val="0"/>
  </w:num>
  <w:num w:numId="11" w16cid:durableId="299576836">
    <w:abstractNumId w:val="8"/>
  </w:num>
  <w:num w:numId="12" w16cid:durableId="617033030">
    <w:abstractNumId w:val="12"/>
  </w:num>
  <w:num w:numId="13" w16cid:durableId="1954752146">
    <w:abstractNumId w:val="3"/>
  </w:num>
  <w:num w:numId="14" w16cid:durableId="223415934">
    <w:abstractNumId w:val="10"/>
  </w:num>
  <w:num w:numId="15" w16cid:durableId="128060516">
    <w:abstractNumId w:val="6"/>
  </w:num>
  <w:num w:numId="16" w16cid:durableId="987589387">
    <w:abstractNumId w:val="9"/>
  </w:num>
  <w:num w:numId="17" w16cid:durableId="2075859081">
    <w:abstractNumId w:val="19"/>
  </w:num>
  <w:num w:numId="18" w16cid:durableId="1922329604">
    <w:abstractNumId w:val="13"/>
    <w:lvlOverride w:ilvl="0">
      <w:startOverride w:val="11"/>
    </w:lvlOverride>
  </w:num>
  <w:num w:numId="19" w16cid:durableId="1218400010">
    <w:abstractNumId w:val="1"/>
  </w:num>
  <w:num w:numId="20" w16cid:durableId="1272514700">
    <w:abstractNumId w:val="17"/>
  </w:num>
  <w:num w:numId="21" w16cid:durableId="737632911">
    <w:abstractNumId w:val="20"/>
  </w:num>
  <w:num w:numId="22" w16cid:durableId="1509976134">
    <w:abstractNumId w:val="17"/>
  </w:num>
  <w:num w:numId="23" w16cid:durableId="980887806">
    <w:abstractNumId w:val="17"/>
  </w:num>
  <w:num w:numId="24" w16cid:durableId="2099250786">
    <w:abstractNumId w:val="17"/>
  </w:num>
  <w:num w:numId="25" w16cid:durableId="655231388">
    <w:abstractNumId w:val="17"/>
  </w:num>
  <w:num w:numId="26" w16cid:durableId="1661929580">
    <w:abstractNumId w:val="17"/>
  </w:num>
  <w:num w:numId="27" w16cid:durableId="1375033674">
    <w:abstractNumId w:val="17"/>
  </w:num>
  <w:num w:numId="28" w16cid:durableId="393964772">
    <w:abstractNumId w:val="17"/>
  </w:num>
  <w:num w:numId="29" w16cid:durableId="482896432">
    <w:abstractNumId w:val="17"/>
  </w:num>
  <w:num w:numId="30" w16cid:durableId="432628949">
    <w:abstractNumId w:val="17"/>
  </w:num>
  <w:num w:numId="31" w16cid:durableId="2707255">
    <w:abstractNumId w:val="17"/>
  </w:num>
  <w:num w:numId="32" w16cid:durableId="1831481837">
    <w:abstractNumId w:val="17"/>
  </w:num>
  <w:num w:numId="33" w16cid:durableId="1097866541">
    <w:abstractNumId w:val="17"/>
  </w:num>
  <w:num w:numId="34" w16cid:durableId="106657977">
    <w:abstractNumId w:val="17"/>
  </w:num>
  <w:num w:numId="35" w16cid:durableId="866791364">
    <w:abstractNumId w:val="17"/>
  </w:num>
  <w:num w:numId="36" w16cid:durableId="1895383745">
    <w:abstractNumId w:val="17"/>
  </w:num>
  <w:num w:numId="37" w16cid:durableId="1433939625">
    <w:abstractNumId w:val="17"/>
  </w:num>
  <w:num w:numId="38" w16cid:durableId="52700180">
    <w:abstractNumId w:val="17"/>
  </w:num>
  <w:num w:numId="39" w16cid:durableId="1232277836">
    <w:abstractNumId w:val="17"/>
  </w:num>
  <w:num w:numId="40" w16cid:durableId="179010487">
    <w:abstractNumId w:val="17"/>
  </w:num>
  <w:num w:numId="41" w16cid:durableId="580791903">
    <w:abstractNumId w:val="17"/>
  </w:num>
  <w:num w:numId="42" w16cid:durableId="998657548">
    <w:abstractNumId w:val="18"/>
  </w:num>
  <w:num w:numId="43" w16cid:durableId="14361986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45"/>
    <w:rsid w:val="0000075E"/>
    <w:rsid w:val="00000B77"/>
    <w:rsid w:val="00000D7E"/>
    <w:rsid w:val="00001539"/>
    <w:rsid w:val="00001989"/>
    <w:rsid w:val="00003A51"/>
    <w:rsid w:val="00003A7F"/>
    <w:rsid w:val="00004823"/>
    <w:rsid w:val="00004F56"/>
    <w:rsid w:val="00005009"/>
    <w:rsid w:val="00005297"/>
    <w:rsid w:val="00005F51"/>
    <w:rsid w:val="0000677B"/>
    <w:rsid w:val="000101E2"/>
    <w:rsid w:val="00010387"/>
    <w:rsid w:val="00010E4B"/>
    <w:rsid w:val="00011936"/>
    <w:rsid w:val="00011CC3"/>
    <w:rsid w:val="00011F78"/>
    <w:rsid w:val="000122A0"/>
    <w:rsid w:val="00012666"/>
    <w:rsid w:val="00013BE6"/>
    <w:rsid w:val="00015B91"/>
    <w:rsid w:val="00015D70"/>
    <w:rsid w:val="00016057"/>
    <w:rsid w:val="00017E63"/>
    <w:rsid w:val="00017F5F"/>
    <w:rsid w:val="000208E0"/>
    <w:rsid w:val="0002096F"/>
    <w:rsid w:val="00021755"/>
    <w:rsid w:val="0002178C"/>
    <w:rsid w:val="00021D6D"/>
    <w:rsid w:val="0002200B"/>
    <w:rsid w:val="0002329E"/>
    <w:rsid w:val="00023762"/>
    <w:rsid w:val="00023975"/>
    <w:rsid w:val="00024811"/>
    <w:rsid w:val="00024D89"/>
    <w:rsid w:val="000268B1"/>
    <w:rsid w:val="00030A31"/>
    <w:rsid w:val="00030FE2"/>
    <w:rsid w:val="00031C2F"/>
    <w:rsid w:val="00032036"/>
    <w:rsid w:val="000328C6"/>
    <w:rsid w:val="00032BC9"/>
    <w:rsid w:val="0003331C"/>
    <w:rsid w:val="00034085"/>
    <w:rsid w:val="0003452B"/>
    <w:rsid w:val="00034AFE"/>
    <w:rsid w:val="00035887"/>
    <w:rsid w:val="00035CA9"/>
    <w:rsid w:val="00035FE7"/>
    <w:rsid w:val="00036A39"/>
    <w:rsid w:val="00036A52"/>
    <w:rsid w:val="00036B5A"/>
    <w:rsid w:val="000372F3"/>
    <w:rsid w:val="000400B3"/>
    <w:rsid w:val="0004012C"/>
    <w:rsid w:val="0004039E"/>
    <w:rsid w:val="00040C96"/>
    <w:rsid w:val="00040EE6"/>
    <w:rsid w:val="00041697"/>
    <w:rsid w:val="00042048"/>
    <w:rsid w:val="00042EB3"/>
    <w:rsid w:val="00043004"/>
    <w:rsid w:val="00043735"/>
    <w:rsid w:val="000445F6"/>
    <w:rsid w:val="00046815"/>
    <w:rsid w:val="00046FBA"/>
    <w:rsid w:val="0004739D"/>
    <w:rsid w:val="00050601"/>
    <w:rsid w:val="00050899"/>
    <w:rsid w:val="0005105F"/>
    <w:rsid w:val="000510FE"/>
    <w:rsid w:val="00051D68"/>
    <w:rsid w:val="00052684"/>
    <w:rsid w:val="000527A4"/>
    <w:rsid w:val="00053171"/>
    <w:rsid w:val="000531B8"/>
    <w:rsid w:val="00053636"/>
    <w:rsid w:val="0005370E"/>
    <w:rsid w:val="00053E3D"/>
    <w:rsid w:val="00053E74"/>
    <w:rsid w:val="00054843"/>
    <w:rsid w:val="00054C3D"/>
    <w:rsid w:val="000551F4"/>
    <w:rsid w:val="00055914"/>
    <w:rsid w:val="00055FB9"/>
    <w:rsid w:val="00056079"/>
    <w:rsid w:val="00056593"/>
    <w:rsid w:val="000569BF"/>
    <w:rsid w:val="00056F79"/>
    <w:rsid w:val="00057226"/>
    <w:rsid w:val="0005724F"/>
    <w:rsid w:val="00057259"/>
    <w:rsid w:val="00057E6A"/>
    <w:rsid w:val="00062199"/>
    <w:rsid w:val="00062467"/>
    <w:rsid w:val="000627AC"/>
    <w:rsid w:val="0006335B"/>
    <w:rsid w:val="00063371"/>
    <w:rsid w:val="000639D7"/>
    <w:rsid w:val="000642DC"/>
    <w:rsid w:val="00065D3E"/>
    <w:rsid w:val="00066228"/>
    <w:rsid w:val="000663EB"/>
    <w:rsid w:val="00066ED2"/>
    <w:rsid w:val="000679D7"/>
    <w:rsid w:val="00070D64"/>
    <w:rsid w:val="00071A37"/>
    <w:rsid w:val="00072E3C"/>
    <w:rsid w:val="00072EEE"/>
    <w:rsid w:val="000745A7"/>
    <w:rsid w:val="00075044"/>
    <w:rsid w:val="00075535"/>
    <w:rsid w:val="00075C69"/>
    <w:rsid w:val="00076833"/>
    <w:rsid w:val="00076A5E"/>
    <w:rsid w:val="00076B74"/>
    <w:rsid w:val="00076BB2"/>
    <w:rsid w:val="00077B9E"/>
    <w:rsid w:val="000808EF"/>
    <w:rsid w:val="00080C8E"/>
    <w:rsid w:val="00082DA1"/>
    <w:rsid w:val="00082F1B"/>
    <w:rsid w:val="0008300C"/>
    <w:rsid w:val="000831C6"/>
    <w:rsid w:val="00083E51"/>
    <w:rsid w:val="00083F42"/>
    <w:rsid w:val="00084327"/>
    <w:rsid w:val="000853E1"/>
    <w:rsid w:val="00085ACC"/>
    <w:rsid w:val="00086926"/>
    <w:rsid w:val="00086DEB"/>
    <w:rsid w:val="000871EE"/>
    <w:rsid w:val="00087239"/>
    <w:rsid w:val="0008797C"/>
    <w:rsid w:val="00087A04"/>
    <w:rsid w:val="000905D8"/>
    <w:rsid w:val="00090B8B"/>
    <w:rsid w:val="00090D2D"/>
    <w:rsid w:val="00090F32"/>
    <w:rsid w:val="00091A5D"/>
    <w:rsid w:val="00092130"/>
    <w:rsid w:val="000928EB"/>
    <w:rsid w:val="000929E0"/>
    <w:rsid w:val="00092E01"/>
    <w:rsid w:val="00093386"/>
    <w:rsid w:val="00093945"/>
    <w:rsid w:val="00094963"/>
    <w:rsid w:val="0009592E"/>
    <w:rsid w:val="000969C4"/>
    <w:rsid w:val="00097061"/>
    <w:rsid w:val="000974B4"/>
    <w:rsid w:val="000976C0"/>
    <w:rsid w:val="000976EC"/>
    <w:rsid w:val="00097B0F"/>
    <w:rsid w:val="000A0658"/>
    <w:rsid w:val="000A0DFA"/>
    <w:rsid w:val="000A1398"/>
    <w:rsid w:val="000A17E4"/>
    <w:rsid w:val="000A1D7F"/>
    <w:rsid w:val="000A1DC8"/>
    <w:rsid w:val="000A242F"/>
    <w:rsid w:val="000A28B5"/>
    <w:rsid w:val="000A2918"/>
    <w:rsid w:val="000A345C"/>
    <w:rsid w:val="000A41AB"/>
    <w:rsid w:val="000A456F"/>
    <w:rsid w:val="000A4A2A"/>
    <w:rsid w:val="000A4F1A"/>
    <w:rsid w:val="000A525C"/>
    <w:rsid w:val="000A5A29"/>
    <w:rsid w:val="000A673B"/>
    <w:rsid w:val="000A6A56"/>
    <w:rsid w:val="000A6D01"/>
    <w:rsid w:val="000A73E4"/>
    <w:rsid w:val="000A7A78"/>
    <w:rsid w:val="000B044D"/>
    <w:rsid w:val="000B05F3"/>
    <w:rsid w:val="000B0EC3"/>
    <w:rsid w:val="000B1407"/>
    <w:rsid w:val="000B25BF"/>
    <w:rsid w:val="000B284E"/>
    <w:rsid w:val="000B2C90"/>
    <w:rsid w:val="000B3794"/>
    <w:rsid w:val="000B3F33"/>
    <w:rsid w:val="000B4C36"/>
    <w:rsid w:val="000B5A94"/>
    <w:rsid w:val="000B5DC9"/>
    <w:rsid w:val="000B60AD"/>
    <w:rsid w:val="000B63DF"/>
    <w:rsid w:val="000B6572"/>
    <w:rsid w:val="000B7354"/>
    <w:rsid w:val="000B7475"/>
    <w:rsid w:val="000B75B9"/>
    <w:rsid w:val="000B7A1C"/>
    <w:rsid w:val="000C0169"/>
    <w:rsid w:val="000C0E9A"/>
    <w:rsid w:val="000C11F3"/>
    <w:rsid w:val="000C1346"/>
    <w:rsid w:val="000C235E"/>
    <w:rsid w:val="000C3F94"/>
    <w:rsid w:val="000C42C7"/>
    <w:rsid w:val="000C5029"/>
    <w:rsid w:val="000C511F"/>
    <w:rsid w:val="000C5EBE"/>
    <w:rsid w:val="000C5F9D"/>
    <w:rsid w:val="000C6905"/>
    <w:rsid w:val="000C6BB7"/>
    <w:rsid w:val="000C6DE5"/>
    <w:rsid w:val="000C7C73"/>
    <w:rsid w:val="000C7EC7"/>
    <w:rsid w:val="000D05B9"/>
    <w:rsid w:val="000D06CB"/>
    <w:rsid w:val="000D0885"/>
    <w:rsid w:val="000D09BF"/>
    <w:rsid w:val="000D09F0"/>
    <w:rsid w:val="000D0D1F"/>
    <w:rsid w:val="000D10FB"/>
    <w:rsid w:val="000D1CD9"/>
    <w:rsid w:val="000D3ACA"/>
    <w:rsid w:val="000D402B"/>
    <w:rsid w:val="000D4272"/>
    <w:rsid w:val="000D4418"/>
    <w:rsid w:val="000D4972"/>
    <w:rsid w:val="000D56C1"/>
    <w:rsid w:val="000D67A4"/>
    <w:rsid w:val="000D6A94"/>
    <w:rsid w:val="000D6C07"/>
    <w:rsid w:val="000D6FBB"/>
    <w:rsid w:val="000D7805"/>
    <w:rsid w:val="000D7878"/>
    <w:rsid w:val="000E0148"/>
    <w:rsid w:val="000E0FC8"/>
    <w:rsid w:val="000E1071"/>
    <w:rsid w:val="000E1118"/>
    <w:rsid w:val="000E12C0"/>
    <w:rsid w:val="000E14FA"/>
    <w:rsid w:val="000E16C6"/>
    <w:rsid w:val="000E1C57"/>
    <w:rsid w:val="000E2A9A"/>
    <w:rsid w:val="000E3151"/>
    <w:rsid w:val="000E372A"/>
    <w:rsid w:val="000E3B81"/>
    <w:rsid w:val="000E3C0D"/>
    <w:rsid w:val="000E4665"/>
    <w:rsid w:val="000E472C"/>
    <w:rsid w:val="000E4F9B"/>
    <w:rsid w:val="000E5B05"/>
    <w:rsid w:val="000E5D85"/>
    <w:rsid w:val="000E6065"/>
    <w:rsid w:val="000E665B"/>
    <w:rsid w:val="000E6D38"/>
    <w:rsid w:val="000E7168"/>
    <w:rsid w:val="000F0236"/>
    <w:rsid w:val="000F0CFE"/>
    <w:rsid w:val="000F0E6C"/>
    <w:rsid w:val="000F166A"/>
    <w:rsid w:val="000F1F00"/>
    <w:rsid w:val="000F2771"/>
    <w:rsid w:val="000F4D7F"/>
    <w:rsid w:val="000F561F"/>
    <w:rsid w:val="000F580D"/>
    <w:rsid w:val="000F59ED"/>
    <w:rsid w:val="000F68DF"/>
    <w:rsid w:val="000F6BD6"/>
    <w:rsid w:val="000F6E37"/>
    <w:rsid w:val="001000D5"/>
    <w:rsid w:val="0010063C"/>
    <w:rsid w:val="001014AE"/>
    <w:rsid w:val="00101C8D"/>
    <w:rsid w:val="00101EB0"/>
    <w:rsid w:val="001023B5"/>
    <w:rsid w:val="00102B48"/>
    <w:rsid w:val="00102CA9"/>
    <w:rsid w:val="0010326D"/>
    <w:rsid w:val="00103889"/>
    <w:rsid w:val="001039E9"/>
    <w:rsid w:val="00103D21"/>
    <w:rsid w:val="00104260"/>
    <w:rsid w:val="00104AA6"/>
    <w:rsid w:val="001053B8"/>
    <w:rsid w:val="00105762"/>
    <w:rsid w:val="001062D5"/>
    <w:rsid w:val="001070BD"/>
    <w:rsid w:val="001107F3"/>
    <w:rsid w:val="0011106F"/>
    <w:rsid w:val="001110FF"/>
    <w:rsid w:val="00111991"/>
    <w:rsid w:val="00112002"/>
    <w:rsid w:val="0011331B"/>
    <w:rsid w:val="00113325"/>
    <w:rsid w:val="0011397D"/>
    <w:rsid w:val="00113F5F"/>
    <w:rsid w:val="001140FD"/>
    <w:rsid w:val="0011482B"/>
    <w:rsid w:val="00115EB1"/>
    <w:rsid w:val="00115F71"/>
    <w:rsid w:val="001163F8"/>
    <w:rsid w:val="00116465"/>
    <w:rsid w:val="001177B0"/>
    <w:rsid w:val="00120669"/>
    <w:rsid w:val="00120A52"/>
    <w:rsid w:val="00120E4C"/>
    <w:rsid w:val="00121F03"/>
    <w:rsid w:val="00122010"/>
    <w:rsid w:val="001226CE"/>
    <w:rsid w:val="001226FB"/>
    <w:rsid w:val="00122A81"/>
    <w:rsid w:val="00122B1B"/>
    <w:rsid w:val="00122D6C"/>
    <w:rsid w:val="001230ED"/>
    <w:rsid w:val="00123EC7"/>
    <w:rsid w:val="00124E39"/>
    <w:rsid w:val="001253DD"/>
    <w:rsid w:val="00125412"/>
    <w:rsid w:val="00126A8F"/>
    <w:rsid w:val="001273EC"/>
    <w:rsid w:val="001304CF"/>
    <w:rsid w:val="00130B97"/>
    <w:rsid w:val="00131E5A"/>
    <w:rsid w:val="001326F4"/>
    <w:rsid w:val="00133111"/>
    <w:rsid w:val="001345A7"/>
    <w:rsid w:val="001347E6"/>
    <w:rsid w:val="00134906"/>
    <w:rsid w:val="00135807"/>
    <w:rsid w:val="001359D5"/>
    <w:rsid w:val="00135B37"/>
    <w:rsid w:val="00135E81"/>
    <w:rsid w:val="00136107"/>
    <w:rsid w:val="001362D1"/>
    <w:rsid w:val="001369E9"/>
    <w:rsid w:val="00136C41"/>
    <w:rsid w:val="00137595"/>
    <w:rsid w:val="001379CE"/>
    <w:rsid w:val="00140079"/>
    <w:rsid w:val="0014022D"/>
    <w:rsid w:val="0014191E"/>
    <w:rsid w:val="00141B7B"/>
    <w:rsid w:val="001420F8"/>
    <w:rsid w:val="001422AA"/>
    <w:rsid w:val="00142465"/>
    <w:rsid w:val="001429F4"/>
    <w:rsid w:val="00142AAF"/>
    <w:rsid w:val="00142D26"/>
    <w:rsid w:val="001433CA"/>
    <w:rsid w:val="00144CCE"/>
    <w:rsid w:val="001454F4"/>
    <w:rsid w:val="00145D17"/>
    <w:rsid w:val="001461F0"/>
    <w:rsid w:val="00146BC8"/>
    <w:rsid w:val="001470C4"/>
    <w:rsid w:val="00150914"/>
    <w:rsid w:val="00151861"/>
    <w:rsid w:val="00151FF6"/>
    <w:rsid w:val="0015237D"/>
    <w:rsid w:val="00152E19"/>
    <w:rsid w:val="00153388"/>
    <w:rsid w:val="00153B64"/>
    <w:rsid w:val="00154402"/>
    <w:rsid w:val="00154881"/>
    <w:rsid w:val="00156128"/>
    <w:rsid w:val="00156478"/>
    <w:rsid w:val="0015710C"/>
    <w:rsid w:val="00160662"/>
    <w:rsid w:val="00160B4F"/>
    <w:rsid w:val="00160C46"/>
    <w:rsid w:val="001613F9"/>
    <w:rsid w:val="00162200"/>
    <w:rsid w:val="0016325A"/>
    <w:rsid w:val="0016386D"/>
    <w:rsid w:val="00163C7F"/>
    <w:rsid w:val="00164B92"/>
    <w:rsid w:val="00164BBC"/>
    <w:rsid w:val="0016519C"/>
    <w:rsid w:val="001656E6"/>
    <w:rsid w:val="0016570A"/>
    <w:rsid w:val="001657F4"/>
    <w:rsid w:val="001666DC"/>
    <w:rsid w:val="00166E5C"/>
    <w:rsid w:val="00167568"/>
    <w:rsid w:val="0017029D"/>
    <w:rsid w:val="001705C9"/>
    <w:rsid w:val="001707FE"/>
    <w:rsid w:val="00170836"/>
    <w:rsid w:val="001715BE"/>
    <w:rsid w:val="00171628"/>
    <w:rsid w:val="001726C3"/>
    <w:rsid w:val="00172ACF"/>
    <w:rsid w:val="0017322B"/>
    <w:rsid w:val="00174D2E"/>
    <w:rsid w:val="001755C6"/>
    <w:rsid w:val="001758D7"/>
    <w:rsid w:val="00175F0D"/>
    <w:rsid w:val="00176075"/>
    <w:rsid w:val="00176232"/>
    <w:rsid w:val="00176E65"/>
    <w:rsid w:val="00176F78"/>
    <w:rsid w:val="00177AE2"/>
    <w:rsid w:val="001804BD"/>
    <w:rsid w:val="0018099A"/>
    <w:rsid w:val="001815DA"/>
    <w:rsid w:val="0018266A"/>
    <w:rsid w:val="00182785"/>
    <w:rsid w:val="00182B72"/>
    <w:rsid w:val="00182E7F"/>
    <w:rsid w:val="00183181"/>
    <w:rsid w:val="0018323E"/>
    <w:rsid w:val="0018365E"/>
    <w:rsid w:val="0018533F"/>
    <w:rsid w:val="0018539F"/>
    <w:rsid w:val="001853C0"/>
    <w:rsid w:val="001857D0"/>
    <w:rsid w:val="00187116"/>
    <w:rsid w:val="00190278"/>
    <w:rsid w:val="00190D7B"/>
    <w:rsid w:val="0019155C"/>
    <w:rsid w:val="00191945"/>
    <w:rsid w:val="00192430"/>
    <w:rsid w:val="001929CB"/>
    <w:rsid w:val="00192AEA"/>
    <w:rsid w:val="001942D5"/>
    <w:rsid w:val="001943B4"/>
    <w:rsid w:val="00194D90"/>
    <w:rsid w:val="0019541E"/>
    <w:rsid w:val="00195516"/>
    <w:rsid w:val="00195D22"/>
    <w:rsid w:val="00197082"/>
    <w:rsid w:val="001976F5"/>
    <w:rsid w:val="001A0AF1"/>
    <w:rsid w:val="001A129A"/>
    <w:rsid w:val="001A2112"/>
    <w:rsid w:val="001A24D1"/>
    <w:rsid w:val="001A2AF6"/>
    <w:rsid w:val="001A37F6"/>
    <w:rsid w:val="001A44A7"/>
    <w:rsid w:val="001A4A6C"/>
    <w:rsid w:val="001A4AAF"/>
    <w:rsid w:val="001A5963"/>
    <w:rsid w:val="001A6567"/>
    <w:rsid w:val="001A70F9"/>
    <w:rsid w:val="001A78D6"/>
    <w:rsid w:val="001B034B"/>
    <w:rsid w:val="001B0613"/>
    <w:rsid w:val="001B0792"/>
    <w:rsid w:val="001B0F10"/>
    <w:rsid w:val="001B0FD0"/>
    <w:rsid w:val="001B1D55"/>
    <w:rsid w:val="001B2001"/>
    <w:rsid w:val="001B21D1"/>
    <w:rsid w:val="001B2E44"/>
    <w:rsid w:val="001B323B"/>
    <w:rsid w:val="001B4382"/>
    <w:rsid w:val="001B5FD8"/>
    <w:rsid w:val="001B6067"/>
    <w:rsid w:val="001B6D4C"/>
    <w:rsid w:val="001B6F59"/>
    <w:rsid w:val="001B7002"/>
    <w:rsid w:val="001B72E6"/>
    <w:rsid w:val="001C0BD6"/>
    <w:rsid w:val="001C0F49"/>
    <w:rsid w:val="001C14D4"/>
    <w:rsid w:val="001C17AB"/>
    <w:rsid w:val="001C188C"/>
    <w:rsid w:val="001C1B4A"/>
    <w:rsid w:val="001C385C"/>
    <w:rsid w:val="001C451A"/>
    <w:rsid w:val="001C4AB1"/>
    <w:rsid w:val="001C5836"/>
    <w:rsid w:val="001C5A0F"/>
    <w:rsid w:val="001C5F31"/>
    <w:rsid w:val="001C6A44"/>
    <w:rsid w:val="001C777E"/>
    <w:rsid w:val="001D2323"/>
    <w:rsid w:val="001D2356"/>
    <w:rsid w:val="001D27BB"/>
    <w:rsid w:val="001D2E43"/>
    <w:rsid w:val="001D32CE"/>
    <w:rsid w:val="001D374E"/>
    <w:rsid w:val="001D3B7E"/>
    <w:rsid w:val="001D41FA"/>
    <w:rsid w:val="001D48F4"/>
    <w:rsid w:val="001D4A69"/>
    <w:rsid w:val="001D4EEB"/>
    <w:rsid w:val="001D5898"/>
    <w:rsid w:val="001D59A7"/>
    <w:rsid w:val="001D5AD2"/>
    <w:rsid w:val="001D6469"/>
    <w:rsid w:val="001D6704"/>
    <w:rsid w:val="001D7191"/>
    <w:rsid w:val="001D7EF4"/>
    <w:rsid w:val="001E0830"/>
    <w:rsid w:val="001E0BA4"/>
    <w:rsid w:val="001E16C6"/>
    <w:rsid w:val="001E1CFA"/>
    <w:rsid w:val="001E1D30"/>
    <w:rsid w:val="001E1EBE"/>
    <w:rsid w:val="001E2226"/>
    <w:rsid w:val="001E2412"/>
    <w:rsid w:val="001E278C"/>
    <w:rsid w:val="001E28DC"/>
    <w:rsid w:val="001E32E0"/>
    <w:rsid w:val="001E375D"/>
    <w:rsid w:val="001E419F"/>
    <w:rsid w:val="001E50E6"/>
    <w:rsid w:val="001E550B"/>
    <w:rsid w:val="001E5D9E"/>
    <w:rsid w:val="001E65E9"/>
    <w:rsid w:val="001E68F7"/>
    <w:rsid w:val="001E6C9A"/>
    <w:rsid w:val="001E6DFF"/>
    <w:rsid w:val="001E7744"/>
    <w:rsid w:val="001E7877"/>
    <w:rsid w:val="001F0EE1"/>
    <w:rsid w:val="001F1295"/>
    <w:rsid w:val="001F15A3"/>
    <w:rsid w:val="001F1ACD"/>
    <w:rsid w:val="001F1B76"/>
    <w:rsid w:val="001F2271"/>
    <w:rsid w:val="001F23FE"/>
    <w:rsid w:val="001F24FC"/>
    <w:rsid w:val="001F2607"/>
    <w:rsid w:val="001F2810"/>
    <w:rsid w:val="001F3CC4"/>
    <w:rsid w:val="001F3DD6"/>
    <w:rsid w:val="001F41B7"/>
    <w:rsid w:val="001F4408"/>
    <w:rsid w:val="001F4962"/>
    <w:rsid w:val="001F4BD8"/>
    <w:rsid w:val="001F5CFD"/>
    <w:rsid w:val="001F5F6B"/>
    <w:rsid w:val="001F6655"/>
    <w:rsid w:val="001F666F"/>
    <w:rsid w:val="001F6940"/>
    <w:rsid w:val="001F6AA3"/>
    <w:rsid w:val="001F6B71"/>
    <w:rsid w:val="001F7A7F"/>
    <w:rsid w:val="002008CF"/>
    <w:rsid w:val="00200D4C"/>
    <w:rsid w:val="00201906"/>
    <w:rsid w:val="00201967"/>
    <w:rsid w:val="00201C3C"/>
    <w:rsid w:val="0020234E"/>
    <w:rsid w:val="00202598"/>
    <w:rsid w:val="00202B5D"/>
    <w:rsid w:val="00202E07"/>
    <w:rsid w:val="00203273"/>
    <w:rsid w:val="002039FD"/>
    <w:rsid w:val="00204056"/>
    <w:rsid w:val="00204937"/>
    <w:rsid w:val="0020528D"/>
    <w:rsid w:val="00205ABC"/>
    <w:rsid w:val="00206889"/>
    <w:rsid w:val="00206998"/>
    <w:rsid w:val="00207A38"/>
    <w:rsid w:val="002107F4"/>
    <w:rsid w:val="00210842"/>
    <w:rsid w:val="002113ED"/>
    <w:rsid w:val="00212AC4"/>
    <w:rsid w:val="00212CD2"/>
    <w:rsid w:val="00212FC0"/>
    <w:rsid w:val="0021387E"/>
    <w:rsid w:val="00214432"/>
    <w:rsid w:val="00214515"/>
    <w:rsid w:val="00216209"/>
    <w:rsid w:val="0021620B"/>
    <w:rsid w:val="002163D1"/>
    <w:rsid w:val="00216886"/>
    <w:rsid w:val="002170BB"/>
    <w:rsid w:val="002174B0"/>
    <w:rsid w:val="002175CF"/>
    <w:rsid w:val="00221002"/>
    <w:rsid w:val="0022171B"/>
    <w:rsid w:val="00223530"/>
    <w:rsid w:val="002238C0"/>
    <w:rsid w:val="00223950"/>
    <w:rsid w:val="00224939"/>
    <w:rsid w:val="00224B5E"/>
    <w:rsid w:val="00224BB2"/>
    <w:rsid w:val="00225611"/>
    <w:rsid w:val="002266CD"/>
    <w:rsid w:val="0022736E"/>
    <w:rsid w:val="002274CF"/>
    <w:rsid w:val="00231026"/>
    <w:rsid w:val="0023200C"/>
    <w:rsid w:val="00232A8C"/>
    <w:rsid w:val="00232F96"/>
    <w:rsid w:val="00234994"/>
    <w:rsid w:val="00234AE1"/>
    <w:rsid w:val="00234C49"/>
    <w:rsid w:val="0023553F"/>
    <w:rsid w:val="00235B75"/>
    <w:rsid w:val="00237336"/>
    <w:rsid w:val="00240259"/>
    <w:rsid w:val="002406DB"/>
    <w:rsid w:val="00240842"/>
    <w:rsid w:val="00241CBB"/>
    <w:rsid w:val="002421E7"/>
    <w:rsid w:val="002421F3"/>
    <w:rsid w:val="0024235C"/>
    <w:rsid w:val="00242EE2"/>
    <w:rsid w:val="00243485"/>
    <w:rsid w:val="002435E8"/>
    <w:rsid w:val="002439B1"/>
    <w:rsid w:val="002443B8"/>
    <w:rsid w:val="00244434"/>
    <w:rsid w:val="00245AA7"/>
    <w:rsid w:val="002466A8"/>
    <w:rsid w:val="002470E6"/>
    <w:rsid w:val="0025156E"/>
    <w:rsid w:val="00252099"/>
    <w:rsid w:val="00252875"/>
    <w:rsid w:val="00252B9E"/>
    <w:rsid w:val="00252D45"/>
    <w:rsid w:val="0025319E"/>
    <w:rsid w:val="00253589"/>
    <w:rsid w:val="00253A31"/>
    <w:rsid w:val="00254676"/>
    <w:rsid w:val="00254C5B"/>
    <w:rsid w:val="00254D59"/>
    <w:rsid w:val="00255062"/>
    <w:rsid w:val="00255387"/>
    <w:rsid w:val="00256554"/>
    <w:rsid w:val="00257808"/>
    <w:rsid w:val="002601D2"/>
    <w:rsid w:val="0026032D"/>
    <w:rsid w:val="00260402"/>
    <w:rsid w:val="00260533"/>
    <w:rsid w:val="0026063E"/>
    <w:rsid w:val="00260886"/>
    <w:rsid w:val="00260D55"/>
    <w:rsid w:val="00260E5C"/>
    <w:rsid w:val="0026146D"/>
    <w:rsid w:val="00261CF4"/>
    <w:rsid w:val="00262100"/>
    <w:rsid w:val="00262ED9"/>
    <w:rsid w:val="00263A19"/>
    <w:rsid w:val="00263B00"/>
    <w:rsid w:val="0026409F"/>
    <w:rsid w:val="00264235"/>
    <w:rsid w:val="00264607"/>
    <w:rsid w:val="00264619"/>
    <w:rsid w:val="00264664"/>
    <w:rsid w:val="0026614B"/>
    <w:rsid w:val="002676A7"/>
    <w:rsid w:val="00270583"/>
    <w:rsid w:val="00270C13"/>
    <w:rsid w:val="00270DA4"/>
    <w:rsid w:val="002711C5"/>
    <w:rsid w:val="002711D0"/>
    <w:rsid w:val="00271341"/>
    <w:rsid w:val="00271496"/>
    <w:rsid w:val="0027194F"/>
    <w:rsid w:val="00271D2E"/>
    <w:rsid w:val="00272795"/>
    <w:rsid w:val="00272D65"/>
    <w:rsid w:val="00272EA6"/>
    <w:rsid w:val="00273075"/>
    <w:rsid w:val="00273081"/>
    <w:rsid w:val="002742BA"/>
    <w:rsid w:val="0027632E"/>
    <w:rsid w:val="00276DA4"/>
    <w:rsid w:val="00277264"/>
    <w:rsid w:val="00277AAA"/>
    <w:rsid w:val="00280774"/>
    <w:rsid w:val="0028083A"/>
    <w:rsid w:val="00280CE6"/>
    <w:rsid w:val="002829B4"/>
    <w:rsid w:val="00282E0E"/>
    <w:rsid w:val="0028320C"/>
    <w:rsid w:val="00283A05"/>
    <w:rsid w:val="00283C75"/>
    <w:rsid w:val="00284C6E"/>
    <w:rsid w:val="00284CE7"/>
    <w:rsid w:val="00287260"/>
    <w:rsid w:val="0028728F"/>
    <w:rsid w:val="00287D89"/>
    <w:rsid w:val="00290081"/>
    <w:rsid w:val="002905E6"/>
    <w:rsid w:val="002908AE"/>
    <w:rsid w:val="002908E2"/>
    <w:rsid w:val="00290996"/>
    <w:rsid w:val="00290DB4"/>
    <w:rsid w:val="00291C74"/>
    <w:rsid w:val="00292B25"/>
    <w:rsid w:val="00292BA0"/>
    <w:rsid w:val="00292D7E"/>
    <w:rsid w:val="00293780"/>
    <w:rsid w:val="002937BB"/>
    <w:rsid w:val="00293B53"/>
    <w:rsid w:val="0029510C"/>
    <w:rsid w:val="00296059"/>
    <w:rsid w:val="00296AB4"/>
    <w:rsid w:val="0029735F"/>
    <w:rsid w:val="00297688"/>
    <w:rsid w:val="002A0110"/>
    <w:rsid w:val="002A1D24"/>
    <w:rsid w:val="002A2270"/>
    <w:rsid w:val="002A3098"/>
    <w:rsid w:val="002A3373"/>
    <w:rsid w:val="002A37C6"/>
    <w:rsid w:val="002A3982"/>
    <w:rsid w:val="002A3D78"/>
    <w:rsid w:val="002A3FB0"/>
    <w:rsid w:val="002A5074"/>
    <w:rsid w:val="002A51B9"/>
    <w:rsid w:val="002A56CB"/>
    <w:rsid w:val="002A5A4F"/>
    <w:rsid w:val="002A5F7A"/>
    <w:rsid w:val="002A6BDC"/>
    <w:rsid w:val="002A79EB"/>
    <w:rsid w:val="002B05B9"/>
    <w:rsid w:val="002B086D"/>
    <w:rsid w:val="002B0CA8"/>
    <w:rsid w:val="002B120C"/>
    <w:rsid w:val="002B15C3"/>
    <w:rsid w:val="002B1D88"/>
    <w:rsid w:val="002B2694"/>
    <w:rsid w:val="002B27AF"/>
    <w:rsid w:val="002B3DA3"/>
    <w:rsid w:val="002B44E0"/>
    <w:rsid w:val="002B59C5"/>
    <w:rsid w:val="002B5D09"/>
    <w:rsid w:val="002B7030"/>
    <w:rsid w:val="002C0527"/>
    <w:rsid w:val="002C0EBB"/>
    <w:rsid w:val="002C0F33"/>
    <w:rsid w:val="002C175B"/>
    <w:rsid w:val="002C1ECA"/>
    <w:rsid w:val="002C427F"/>
    <w:rsid w:val="002C4578"/>
    <w:rsid w:val="002C5B27"/>
    <w:rsid w:val="002C5F02"/>
    <w:rsid w:val="002C614E"/>
    <w:rsid w:val="002C7DA8"/>
    <w:rsid w:val="002D06F4"/>
    <w:rsid w:val="002D0D7E"/>
    <w:rsid w:val="002D13BE"/>
    <w:rsid w:val="002D166D"/>
    <w:rsid w:val="002D2451"/>
    <w:rsid w:val="002D2DBF"/>
    <w:rsid w:val="002D34C4"/>
    <w:rsid w:val="002D40E9"/>
    <w:rsid w:val="002D4462"/>
    <w:rsid w:val="002D4483"/>
    <w:rsid w:val="002D45CF"/>
    <w:rsid w:val="002D4847"/>
    <w:rsid w:val="002D4BAF"/>
    <w:rsid w:val="002D4D27"/>
    <w:rsid w:val="002D4E30"/>
    <w:rsid w:val="002D58D2"/>
    <w:rsid w:val="002D68CA"/>
    <w:rsid w:val="002D6939"/>
    <w:rsid w:val="002D6CD0"/>
    <w:rsid w:val="002E0491"/>
    <w:rsid w:val="002E101A"/>
    <w:rsid w:val="002E1ABD"/>
    <w:rsid w:val="002E2538"/>
    <w:rsid w:val="002E2B83"/>
    <w:rsid w:val="002E430F"/>
    <w:rsid w:val="002E4574"/>
    <w:rsid w:val="002E5598"/>
    <w:rsid w:val="002E624C"/>
    <w:rsid w:val="002E6506"/>
    <w:rsid w:val="002E691E"/>
    <w:rsid w:val="002E6A99"/>
    <w:rsid w:val="002E6C52"/>
    <w:rsid w:val="002E6D7E"/>
    <w:rsid w:val="002F0098"/>
    <w:rsid w:val="002F02F8"/>
    <w:rsid w:val="002F044A"/>
    <w:rsid w:val="002F0618"/>
    <w:rsid w:val="002F1709"/>
    <w:rsid w:val="002F1932"/>
    <w:rsid w:val="002F1C94"/>
    <w:rsid w:val="002F2042"/>
    <w:rsid w:val="002F23AD"/>
    <w:rsid w:val="002F27FA"/>
    <w:rsid w:val="002F34B6"/>
    <w:rsid w:val="002F3687"/>
    <w:rsid w:val="002F3A1F"/>
    <w:rsid w:val="002F3ACA"/>
    <w:rsid w:val="002F3D7B"/>
    <w:rsid w:val="002F453C"/>
    <w:rsid w:val="002F4FFA"/>
    <w:rsid w:val="002F509F"/>
    <w:rsid w:val="002F516E"/>
    <w:rsid w:val="002F553D"/>
    <w:rsid w:val="002F5A94"/>
    <w:rsid w:val="002F5DAE"/>
    <w:rsid w:val="002F7691"/>
    <w:rsid w:val="002F7865"/>
    <w:rsid w:val="00300829"/>
    <w:rsid w:val="00300F46"/>
    <w:rsid w:val="00301827"/>
    <w:rsid w:val="0030189B"/>
    <w:rsid w:val="00302689"/>
    <w:rsid w:val="0030268B"/>
    <w:rsid w:val="00302710"/>
    <w:rsid w:val="0030357F"/>
    <w:rsid w:val="0030364E"/>
    <w:rsid w:val="00303866"/>
    <w:rsid w:val="00303D54"/>
    <w:rsid w:val="00304F65"/>
    <w:rsid w:val="0030548B"/>
    <w:rsid w:val="00305538"/>
    <w:rsid w:val="0030628D"/>
    <w:rsid w:val="003066AF"/>
    <w:rsid w:val="00306E5F"/>
    <w:rsid w:val="003073C8"/>
    <w:rsid w:val="00310196"/>
    <w:rsid w:val="003105D7"/>
    <w:rsid w:val="0031103D"/>
    <w:rsid w:val="00311B28"/>
    <w:rsid w:val="003121A9"/>
    <w:rsid w:val="00313B40"/>
    <w:rsid w:val="00313D38"/>
    <w:rsid w:val="0031493F"/>
    <w:rsid w:val="00314D85"/>
    <w:rsid w:val="00314F03"/>
    <w:rsid w:val="003170D2"/>
    <w:rsid w:val="00317206"/>
    <w:rsid w:val="003173B5"/>
    <w:rsid w:val="00321FB3"/>
    <w:rsid w:val="00322783"/>
    <w:rsid w:val="00322BDB"/>
    <w:rsid w:val="00322DF6"/>
    <w:rsid w:val="00322E93"/>
    <w:rsid w:val="00324F71"/>
    <w:rsid w:val="00325A52"/>
    <w:rsid w:val="00325B8D"/>
    <w:rsid w:val="0032717F"/>
    <w:rsid w:val="00327230"/>
    <w:rsid w:val="00327523"/>
    <w:rsid w:val="00327783"/>
    <w:rsid w:val="00327946"/>
    <w:rsid w:val="00327999"/>
    <w:rsid w:val="00327A3F"/>
    <w:rsid w:val="00327B2D"/>
    <w:rsid w:val="00327E54"/>
    <w:rsid w:val="00330996"/>
    <w:rsid w:val="00330AC8"/>
    <w:rsid w:val="00330F8D"/>
    <w:rsid w:val="00331CBF"/>
    <w:rsid w:val="003320A5"/>
    <w:rsid w:val="00333060"/>
    <w:rsid w:val="00334438"/>
    <w:rsid w:val="00334A8A"/>
    <w:rsid w:val="003350F5"/>
    <w:rsid w:val="00335EE6"/>
    <w:rsid w:val="003367F8"/>
    <w:rsid w:val="00336D37"/>
    <w:rsid w:val="00336D70"/>
    <w:rsid w:val="00340F8A"/>
    <w:rsid w:val="00341014"/>
    <w:rsid w:val="00341A6A"/>
    <w:rsid w:val="00342EEF"/>
    <w:rsid w:val="00342F8D"/>
    <w:rsid w:val="0034332F"/>
    <w:rsid w:val="003434D9"/>
    <w:rsid w:val="00343898"/>
    <w:rsid w:val="00343DE6"/>
    <w:rsid w:val="00344315"/>
    <w:rsid w:val="00344BA1"/>
    <w:rsid w:val="003456D1"/>
    <w:rsid w:val="00345883"/>
    <w:rsid w:val="00345984"/>
    <w:rsid w:val="003466BF"/>
    <w:rsid w:val="003468A8"/>
    <w:rsid w:val="00346B8A"/>
    <w:rsid w:val="00346D82"/>
    <w:rsid w:val="0035021D"/>
    <w:rsid w:val="003507BB"/>
    <w:rsid w:val="00350A26"/>
    <w:rsid w:val="00352254"/>
    <w:rsid w:val="00352871"/>
    <w:rsid w:val="00352B6D"/>
    <w:rsid w:val="00353038"/>
    <w:rsid w:val="003533AB"/>
    <w:rsid w:val="00353451"/>
    <w:rsid w:val="00353481"/>
    <w:rsid w:val="00353C09"/>
    <w:rsid w:val="00354400"/>
    <w:rsid w:val="003547C5"/>
    <w:rsid w:val="003547FD"/>
    <w:rsid w:val="00354BC7"/>
    <w:rsid w:val="00355373"/>
    <w:rsid w:val="0035602F"/>
    <w:rsid w:val="00356307"/>
    <w:rsid w:val="00356538"/>
    <w:rsid w:val="00356F2B"/>
    <w:rsid w:val="003574CE"/>
    <w:rsid w:val="00360447"/>
    <w:rsid w:val="0036062D"/>
    <w:rsid w:val="00360B19"/>
    <w:rsid w:val="003624A2"/>
    <w:rsid w:val="00362622"/>
    <w:rsid w:val="00362D4F"/>
    <w:rsid w:val="0036349F"/>
    <w:rsid w:val="00364739"/>
    <w:rsid w:val="00366524"/>
    <w:rsid w:val="003665A2"/>
    <w:rsid w:val="00366AD2"/>
    <w:rsid w:val="00366D5A"/>
    <w:rsid w:val="00366D95"/>
    <w:rsid w:val="00366E03"/>
    <w:rsid w:val="00366F20"/>
    <w:rsid w:val="00366F94"/>
    <w:rsid w:val="003672C4"/>
    <w:rsid w:val="00367810"/>
    <w:rsid w:val="003701EE"/>
    <w:rsid w:val="00370D5A"/>
    <w:rsid w:val="00371154"/>
    <w:rsid w:val="0037163A"/>
    <w:rsid w:val="0037217A"/>
    <w:rsid w:val="003722DD"/>
    <w:rsid w:val="003730D7"/>
    <w:rsid w:val="00374123"/>
    <w:rsid w:val="00374654"/>
    <w:rsid w:val="00374C0F"/>
    <w:rsid w:val="00375283"/>
    <w:rsid w:val="003757FB"/>
    <w:rsid w:val="003762F7"/>
    <w:rsid w:val="003764E8"/>
    <w:rsid w:val="00376598"/>
    <w:rsid w:val="00377603"/>
    <w:rsid w:val="00380717"/>
    <w:rsid w:val="00380AF7"/>
    <w:rsid w:val="00380FC6"/>
    <w:rsid w:val="00381FB0"/>
    <w:rsid w:val="00382231"/>
    <w:rsid w:val="00382B2A"/>
    <w:rsid w:val="0038307D"/>
    <w:rsid w:val="003833CC"/>
    <w:rsid w:val="00383A78"/>
    <w:rsid w:val="00384020"/>
    <w:rsid w:val="0038402C"/>
    <w:rsid w:val="0038438D"/>
    <w:rsid w:val="00385DC1"/>
    <w:rsid w:val="00386093"/>
    <w:rsid w:val="003862A9"/>
    <w:rsid w:val="00386A84"/>
    <w:rsid w:val="0038756F"/>
    <w:rsid w:val="0038759A"/>
    <w:rsid w:val="0038787D"/>
    <w:rsid w:val="00387DE6"/>
    <w:rsid w:val="00390C86"/>
    <w:rsid w:val="0039145D"/>
    <w:rsid w:val="003916B0"/>
    <w:rsid w:val="00391CEF"/>
    <w:rsid w:val="00391EBB"/>
    <w:rsid w:val="0039240C"/>
    <w:rsid w:val="003924A9"/>
    <w:rsid w:val="00392929"/>
    <w:rsid w:val="00392A73"/>
    <w:rsid w:val="00392FFC"/>
    <w:rsid w:val="00393AE8"/>
    <w:rsid w:val="00393C03"/>
    <w:rsid w:val="00393F2E"/>
    <w:rsid w:val="00394A60"/>
    <w:rsid w:val="00394A94"/>
    <w:rsid w:val="00395124"/>
    <w:rsid w:val="00396557"/>
    <w:rsid w:val="003969B7"/>
    <w:rsid w:val="003A0BE7"/>
    <w:rsid w:val="003A0FDF"/>
    <w:rsid w:val="003A1137"/>
    <w:rsid w:val="003A11EC"/>
    <w:rsid w:val="003A14A9"/>
    <w:rsid w:val="003A1CC7"/>
    <w:rsid w:val="003A212C"/>
    <w:rsid w:val="003A29A5"/>
    <w:rsid w:val="003A2DF2"/>
    <w:rsid w:val="003A4764"/>
    <w:rsid w:val="003A4938"/>
    <w:rsid w:val="003A4C39"/>
    <w:rsid w:val="003A5928"/>
    <w:rsid w:val="003A5A4F"/>
    <w:rsid w:val="003A6C00"/>
    <w:rsid w:val="003B04DE"/>
    <w:rsid w:val="003B0991"/>
    <w:rsid w:val="003B0AD2"/>
    <w:rsid w:val="003B1140"/>
    <w:rsid w:val="003B1887"/>
    <w:rsid w:val="003B1B02"/>
    <w:rsid w:val="003B1F93"/>
    <w:rsid w:val="003B2C11"/>
    <w:rsid w:val="003B6254"/>
    <w:rsid w:val="003B7298"/>
    <w:rsid w:val="003B7EE5"/>
    <w:rsid w:val="003C04FE"/>
    <w:rsid w:val="003C1227"/>
    <w:rsid w:val="003C162E"/>
    <w:rsid w:val="003C203B"/>
    <w:rsid w:val="003C303C"/>
    <w:rsid w:val="003C3FD2"/>
    <w:rsid w:val="003C4497"/>
    <w:rsid w:val="003C592D"/>
    <w:rsid w:val="003C5C99"/>
    <w:rsid w:val="003C6B9A"/>
    <w:rsid w:val="003C7168"/>
    <w:rsid w:val="003D0054"/>
    <w:rsid w:val="003D098F"/>
    <w:rsid w:val="003D14C6"/>
    <w:rsid w:val="003D1560"/>
    <w:rsid w:val="003D1F0B"/>
    <w:rsid w:val="003D2025"/>
    <w:rsid w:val="003D2CBC"/>
    <w:rsid w:val="003D3A33"/>
    <w:rsid w:val="003D56E1"/>
    <w:rsid w:val="003D60F1"/>
    <w:rsid w:val="003D67E9"/>
    <w:rsid w:val="003D73A5"/>
    <w:rsid w:val="003D7476"/>
    <w:rsid w:val="003D78C8"/>
    <w:rsid w:val="003D7AC5"/>
    <w:rsid w:val="003D7E2E"/>
    <w:rsid w:val="003E02F9"/>
    <w:rsid w:val="003E0F4F"/>
    <w:rsid w:val="003E179F"/>
    <w:rsid w:val="003E1BA4"/>
    <w:rsid w:val="003E388D"/>
    <w:rsid w:val="003E43C5"/>
    <w:rsid w:val="003E43E7"/>
    <w:rsid w:val="003E4908"/>
    <w:rsid w:val="003E498B"/>
    <w:rsid w:val="003E4CBD"/>
    <w:rsid w:val="003E4E75"/>
    <w:rsid w:val="003E4F55"/>
    <w:rsid w:val="003E56A3"/>
    <w:rsid w:val="003E5D1A"/>
    <w:rsid w:val="003E5F2C"/>
    <w:rsid w:val="003E6007"/>
    <w:rsid w:val="003E6662"/>
    <w:rsid w:val="003E6C87"/>
    <w:rsid w:val="003E71EC"/>
    <w:rsid w:val="003E76B4"/>
    <w:rsid w:val="003E7995"/>
    <w:rsid w:val="003F05F5"/>
    <w:rsid w:val="003F087B"/>
    <w:rsid w:val="003F08DF"/>
    <w:rsid w:val="003F0A46"/>
    <w:rsid w:val="003F0ADE"/>
    <w:rsid w:val="003F114C"/>
    <w:rsid w:val="003F1489"/>
    <w:rsid w:val="003F17CE"/>
    <w:rsid w:val="003F2ED3"/>
    <w:rsid w:val="003F3124"/>
    <w:rsid w:val="003F33A2"/>
    <w:rsid w:val="003F4891"/>
    <w:rsid w:val="003F4903"/>
    <w:rsid w:val="003F5319"/>
    <w:rsid w:val="003F555D"/>
    <w:rsid w:val="003F5D00"/>
    <w:rsid w:val="003F6760"/>
    <w:rsid w:val="003F67A6"/>
    <w:rsid w:val="003F6CA7"/>
    <w:rsid w:val="003F6E63"/>
    <w:rsid w:val="003F7C9B"/>
    <w:rsid w:val="0040044B"/>
    <w:rsid w:val="004005A9"/>
    <w:rsid w:val="004007AB"/>
    <w:rsid w:val="004008EA"/>
    <w:rsid w:val="00400E83"/>
    <w:rsid w:val="00400EC6"/>
    <w:rsid w:val="00401071"/>
    <w:rsid w:val="0040216F"/>
    <w:rsid w:val="00402931"/>
    <w:rsid w:val="004029E3"/>
    <w:rsid w:val="00402CA5"/>
    <w:rsid w:val="00402E7A"/>
    <w:rsid w:val="00403620"/>
    <w:rsid w:val="0040370B"/>
    <w:rsid w:val="00403FE5"/>
    <w:rsid w:val="00404459"/>
    <w:rsid w:val="00404C7A"/>
    <w:rsid w:val="00405EC9"/>
    <w:rsid w:val="004071C3"/>
    <w:rsid w:val="004076EB"/>
    <w:rsid w:val="00410353"/>
    <w:rsid w:val="0041087F"/>
    <w:rsid w:val="0041094F"/>
    <w:rsid w:val="0041133A"/>
    <w:rsid w:val="0041244F"/>
    <w:rsid w:val="00412B02"/>
    <w:rsid w:val="004133E1"/>
    <w:rsid w:val="0041357D"/>
    <w:rsid w:val="00413E7F"/>
    <w:rsid w:val="00414BC3"/>
    <w:rsid w:val="004156D9"/>
    <w:rsid w:val="004167A0"/>
    <w:rsid w:val="00417292"/>
    <w:rsid w:val="004179E9"/>
    <w:rsid w:val="004212C7"/>
    <w:rsid w:val="004214A4"/>
    <w:rsid w:val="00421ACD"/>
    <w:rsid w:val="00421F02"/>
    <w:rsid w:val="004220F3"/>
    <w:rsid w:val="0042242F"/>
    <w:rsid w:val="00422B15"/>
    <w:rsid w:val="00422EA5"/>
    <w:rsid w:val="00423534"/>
    <w:rsid w:val="0042450D"/>
    <w:rsid w:val="00424EF7"/>
    <w:rsid w:val="004255AD"/>
    <w:rsid w:val="00425BC9"/>
    <w:rsid w:val="00426399"/>
    <w:rsid w:val="0042662A"/>
    <w:rsid w:val="00426BDC"/>
    <w:rsid w:val="00427578"/>
    <w:rsid w:val="00427F99"/>
    <w:rsid w:val="00430A43"/>
    <w:rsid w:val="004319A1"/>
    <w:rsid w:val="00431EAB"/>
    <w:rsid w:val="00432389"/>
    <w:rsid w:val="00432E66"/>
    <w:rsid w:val="0043414B"/>
    <w:rsid w:val="00434522"/>
    <w:rsid w:val="0043478B"/>
    <w:rsid w:val="00435C40"/>
    <w:rsid w:val="00435D00"/>
    <w:rsid w:val="004375D5"/>
    <w:rsid w:val="0043768C"/>
    <w:rsid w:val="0044010A"/>
    <w:rsid w:val="004407F4"/>
    <w:rsid w:val="00440E55"/>
    <w:rsid w:val="00442697"/>
    <w:rsid w:val="00443224"/>
    <w:rsid w:val="004438AB"/>
    <w:rsid w:val="00443D08"/>
    <w:rsid w:val="00444299"/>
    <w:rsid w:val="00444C43"/>
    <w:rsid w:val="0044699D"/>
    <w:rsid w:val="00446ACD"/>
    <w:rsid w:val="00446D47"/>
    <w:rsid w:val="00447CAB"/>
    <w:rsid w:val="00447EEB"/>
    <w:rsid w:val="004501C4"/>
    <w:rsid w:val="0045066B"/>
    <w:rsid w:val="004506AB"/>
    <w:rsid w:val="0045097D"/>
    <w:rsid w:val="00450C19"/>
    <w:rsid w:val="004510A5"/>
    <w:rsid w:val="00451776"/>
    <w:rsid w:val="004517D9"/>
    <w:rsid w:val="00452279"/>
    <w:rsid w:val="00452695"/>
    <w:rsid w:val="00452BA8"/>
    <w:rsid w:val="00453014"/>
    <w:rsid w:val="004531BC"/>
    <w:rsid w:val="00453551"/>
    <w:rsid w:val="00453662"/>
    <w:rsid w:val="00454032"/>
    <w:rsid w:val="00454F4F"/>
    <w:rsid w:val="00455007"/>
    <w:rsid w:val="00455B2A"/>
    <w:rsid w:val="004567B2"/>
    <w:rsid w:val="00456C5D"/>
    <w:rsid w:val="00457EBB"/>
    <w:rsid w:val="004601EC"/>
    <w:rsid w:val="004603A6"/>
    <w:rsid w:val="00460D22"/>
    <w:rsid w:val="0046109C"/>
    <w:rsid w:val="0046205A"/>
    <w:rsid w:val="004625C0"/>
    <w:rsid w:val="0046325A"/>
    <w:rsid w:val="00463E4C"/>
    <w:rsid w:val="004643AB"/>
    <w:rsid w:val="00464AF3"/>
    <w:rsid w:val="00465040"/>
    <w:rsid w:val="00465AE3"/>
    <w:rsid w:val="00465EE7"/>
    <w:rsid w:val="004660E0"/>
    <w:rsid w:val="004665C8"/>
    <w:rsid w:val="00466691"/>
    <w:rsid w:val="00467F3A"/>
    <w:rsid w:val="00467F9D"/>
    <w:rsid w:val="00470338"/>
    <w:rsid w:val="004709E7"/>
    <w:rsid w:val="00470F49"/>
    <w:rsid w:val="004711F9"/>
    <w:rsid w:val="004714EC"/>
    <w:rsid w:val="00471C8E"/>
    <w:rsid w:val="00472264"/>
    <w:rsid w:val="0047263C"/>
    <w:rsid w:val="00472641"/>
    <w:rsid w:val="00472C1C"/>
    <w:rsid w:val="0047303D"/>
    <w:rsid w:val="00473DAA"/>
    <w:rsid w:val="00474378"/>
    <w:rsid w:val="00474910"/>
    <w:rsid w:val="004753C0"/>
    <w:rsid w:val="004754E5"/>
    <w:rsid w:val="00475CBC"/>
    <w:rsid w:val="004763A8"/>
    <w:rsid w:val="0047654D"/>
    <w:rsid w:val="004767C2"/>
    <w:rsid w:val="00476910"/>
    <w:rsid w:val="00476BDE"/>
    <w:rsid w:val="0047778F"/>
    <w:rsid w:val="00477DFB"/>
    <w:rsid w:val="00480855"/>
    <w:rsid w:val="00480FE8"/>
    <w:rsid w:val="004823B1"/>
    <w:rsid w:val="00482699"/>
    <w:rsid w:val="0048303E"/>
    <w:rsid w:val="004833CD"/>
    <w:rsid w:val="00483AC6"/>
    <w:rsid w:val="00483B42"/>
    <w:rsid w:val="00483FEB"/>
    <w:rsid w:val="00486E0D"/>
    <w:rsid w:val="004873B2"/>
    <w:rsid w:val="004874BE"/>
    <w:rsid w:val="00487717"/>
    <w:rsid w:val="0049059D"/>
    <w:rsid w:val="00490A9E"/>
    <w:rsid w:val="00490C53"/>
    <w:rsid w:val="0049161A"/>
    <w:rsid w:val="00491624"/>
    <w:rsid w:val="00491898"/>
    <w:rsid w:val="00491C1F"/>
    <w:rsid w:val="00491F8A"/>
    <w:rsid w:val="00492ED2"/>
    <w:rsid w:val="00493926"/>
    <w:rsid w:val="00493DE5"/>
    <w:rsid w:val="004942BA"/>
    <w:rsid w:val="00494C31"/>
    <w:rsid w:val="00494CBF"/>
    <w:rsid w:val="00495FBE"/>
    <w:rsid w:val="004968E3"/>
    <w:rsid w:val="00496DBF"/>
    <w:rsid w:val="00497362"/>
    <w:rsid w:val="004A0E0D"/>
    <w:rsid w:val="004A149F"/>
    <w:rsid w:val="004A1908"/>
    <w:rsid w:val="004A1B10"/>
    <w:rsid w:val="004A1E44"/>
    <w:rsid w:val="004A288B"/>
    <w:rsid w:val="004A2D19"/>
    <w:rsid w:val="004A33DC"/>
    <w:rsid w:val="004A3802"/>
    <w:rsid w:val="004A3901"/>
    <w:rsid w:val="004A3F99"/>
    <w:rsid w:val="004A435E"/>
    <w:rsid w:val="004A5B68"/>
    <w:rsid w:val="004A6584"/>
    <w:rsid w:val="004A6E4E"/>
    <w:rsid w:val="004A73D0"/>
    <w:rsid w:val="004B15D6"/>
    <w:rsid w:val="004B19C0"/>
    <w:rsid w:val="004B1E29"/>
    <w:rsid w:val="004B1FF2"/>
    <w:rsid w:val="004B253F"/>
    <w:rsid w:val="004B2A87"/>
    <w:rsid w:val="004B2F92"/>
    <w:rsid w:val="004B38F9"/>
    <w:rsid w:val="004B395E"/>
    <w:rsid w:val="004B39E3"/>
    <w:rsid w:val="004B3BFB"/>
    <w:rsid w:val="004B45A3"/>
    <w:rsid w:val="004B4DFC"/>
    <w:rsid w:val="004B506E"/>
    <w:rsid w:val="004B562B"/>
    <w:rsid w:val="004B578E"/>
    <w:rsid w:val="004B5981"/>
    <w:rsid w:val="004B6671"/>
    <w:rsid w:val="004B6B2D"/>
    <w:rsid w:val="004B7880"/>
    <w:rsid w:val="004B7C2C"/>
    <w:rsid w:val="004C10DE"/>
    <w:rsid w:val="004C25C2"/>
    <w:rsid w:val="004C2927"/>
    <w:rsid w:val="004C3069"/>
    <w:rsid w:val="004C30C3"/>
    <w:rsid w:val="004C3114"/>
    <w:rsid w:val="004C338A"/>
    <w:rsid w:val="004C3A94"/>
    <w:rsid w:val="004C4145"/>
    <w:rsid w:val="004C48CC"/>
    <w:rsid w:val="004C4BCC"/>
    <w:rsid w:val="004C4E1D"/>
    <w:rsid w:val="004C568B"/>
    <w:rsid w:val="004C5DFE"/>
    <w:rsid w:val="004C7CC5"/>
    <w:rsid w:val="004C7FAD"/>
    <w:rsid w:val="004D13DB"/>
    <w:rsid w:val="004D1B17"/>
    <w:rsid w:val="004D1CA0"/>
    <w:rsid w:val="004D26F7"/>
    <w:rsid w:val="004D2853"/>
    <w:rsid w:val="004D29F4"/>
    <w:rsid w:val="004D2EBA"/>
    <w:rsid w:val="004D329A"/>
    <w:rsid w:val="004D3700"/>
    <w:rsid w:val="004D3EDA"/>
    <w:rsid w:val="004D402E"/>
    <w:rsid w:val="004D4BB5"/>
    <w:rsid w:val="004D4FCB"/>
    <w:rsid w:val="004D5764"/>
    <w:rsid w:val="004D5825"/>
    <w:rsid w:val="004D5830"/>
    <w:rsid w:val="004D58E5"/>
    <w:rsid w:val="004D5A8E"/>
    <w:rsid w:val="004D5AB0"/>
    <w:rsid w:val="004D5C97"/>
    <w:rsid w:val="004D601B"/>
    <w:rsid w:val="004D6D05"/>
    <w:rsid w:val="004D6E33"/>
    <w:rsid w:val="004D7251"/>
    <w:rsid w:val="004E002A"/>
    <w:rsid w:val="004E0C21"/>
    <w:rsid w:val="004E0EEA"/>
    <w:rsid w:val="004E1138"/>
    <w:rsid w:val="004E1612"/>
    <w:rsid w:val="004E1B09"/>
    <w:rsid w:val="004E1CC9"/>
    <w:rsid w:val="004E2A46"/>
    <w:rsid w:val="004E2B62"/>
    <w:rsid w:val="004E2E86"/>
    <w:rsid w:val="004E32A3"/>
    <w:rsid w:val="004E3D7B"/>
    <w:rsid w:val="004E3F89"/>
    <w:rsid w:val="004E4A35"/>
    <w:rsid w:val="004E4C96"/>
    <w:rsid w:val="004E5328"/>
    <w:rsid w:val="004E55F4"/>
    <w:rsid w:val="004E5714"/>
    <w:rsid w:val="004E5A68"/>
    <w:rsid w:val="004E6869"/>
    <w:rsid w:val="004E6D6C"/>
    <w:rsid w:val="004E733C"/>
    <w:rsid w:val="004E7A50"/>
    <w:rsid w:val="004F024B"/>
    <w:rsid w:val="004F0C31"/>
    <w:rsid w:val="004F0E0B"/>
    <w:rsid w:val="004F2069"/>
    <w:rsid w:val="004F2462"/>
    <w:rsid w:val="004F2501"/>
    <w:rsid w:val="004F2C98"/>
    <w:rsid w:val="004F34FB"/>
    <w:rsid w:val="004F398B"/>
    <w:rsid w:val="004F3FFB"/>
    <w:rsid w:val="004F4823"/>
    <w:rsid w:val="004F4AA0"/>
    <w:rsid w:val="004F4ACB"/>
    <w:rsid w:val="004F5702"/>
    <w:rsid w:val="004F576E"/>
    <w:rsid w:val="004F5B7D"/>
    <w:rsid w:val="004F5F78"/>
    <w:rsid w:val="004F68E5"/>
    <w:rsid w:val="004F6978"/>
    <w:rsid w:val="004F6B65"/>
    <w:rsid w:val="004F7293"/>
    <w:rsid w:val="004F75D3"/>
    <w:rsid w:val="004F798F"/>
    <w:rsid w:val="004F7ECC"/>
    <w:rsid w:val="0050040B"/>
    <w:rsid w:val="00500434"/>
    <w:rsid w:val="005005AF"/>
    <w:rsid w:val="00500B1B"/>
    <w:rsid w:val="005011E1"/>
    <w:rsid w:val="005013BB"/>
    <w:rsid w:val="005013D5"/>
    <w:rsid w:val="0050181F"/>
    <w:rsid w:val="005021B2"/>
    <w:rsid w:val="0050343B"/>
    <w:rsid w:val="005038F8"/>
    <w:rsid w:val="00503CAC"/>
    <w:rsid w:val="00504AA6"/>
    <w:rsid w:val="0050595F"/>
    <w:rsid w:val="00510768"/>
    <w:rsid w:val="00510982"/>
    <w:rsid w:val="00511052"/>
    <w:rsid w:val="00511D4D"/>
    <w:rsid w:val="00512A49"/>
    <w:rsid w:val="00512D8D"/>
    <w:rsid w:val="00514510"/>
    <w:rsid w:val="005146DA"/>
    <w:rsid w:val="00514904"/>
    <w:rsid w:val="00514BDC"/>
    <w:rsid w:val="00514E4A"/>
    <w:rsid w:val="005158BA"/>
    <w:rsid w:val="00515E6F"/>
    <w:rsid w:val="005164A9"/>
    <w:rsid w:val="005176A0"/>
    <w:rsid w:val="005179D6"/>
    <w:rsid w:val="00517C2E"/>
    <w:rsid w:val="0052038E"/>
    <w:rsid w:val="00520841"/>
    <w:rsid w:val="0052145E"/>
    <w:rsid w:val="00521746"/>
    <w:rsid w:val="00521BD1"/>
    <w:rsid w:val="00522250"/>
    <w:rsid w:val="00522553"/>
    <w:rsid w:val="005226FC"/>
    <w:rsid w:val="00522C2A"/>
    <w:rsid w:val="00522E56"/>
    <w:rsid w:val="005239B2"/>
    <w:rsid w:val="00524630"/>
    <w:rsid w:val="00524BFA"/>
    <w:rsid w:val="00524D53"/>
    <w:rsid w:val="005265EE"/>
    <w:rsid w:val="00526A42"/>
    <w:rsid w:val="00526C4D"/>
    <w:rsid w:val="005272B0"/>
    <w:rsid w:val="0053192B"/>
    <w:rsid w:val="0053252F"/>
    <w:rsid w:val="00532E9F"/>
    <w:rsid w:val="00532F68"/>
    <w:rsid w:val="0053300C"/>
    <w:rsid w:val="0053306B"/>
    <w:rsid w:val="005342BB"/>
    <w:rsid w:val="00534AA9"/>
    <w:rsid w:val="00534FE0"/>
    <w:rsid w:val="00536101"/>
    <w:rsid w:val="00536130"/>
    <w:rsid w:val="0053618B"/>
    <w:rsid w:val="005366C4"/>
    <w:rsid w:val="00536C61"/>
    <w:rsid w:val="005378EA"/>
    <w:rsid w:val="005400F5"/>
    <w:rsid w:val="005402B8"/>
    <w:rsid w:val="005403B9"/>
    <w:rsid w:val="005410F8"/>
    <w:rsid w:val="00541680"/>
    <w:rsid w:val="00541A5F"/>
    <w:rsid w:val="00542540"/>
    <w:rsid w:val="00542C5A"/>
    <w:rsid w:val="00542D58"/>
    <w:rsid w:val="00542F4F"/>
    <w:rsid w:val="00543D10"/>
    <w:rsid w:val="00543F7A"/>
    <w:rsid w:val="005443C5"/>
    <w:rsid w:val="00545A70"/>
    <w:rsid w:val="00545E99"/>
    <w:rsid w:val="00546887"/>
    <w:rsid w:val="00546D41"/>
    <w:rsid w:val="00546ECC"/>
    <w:rsid w:val="00547BA8"/>
    <w:rsid w:val="0055092F"/>
    <w:rsid w:val="00550A19"/>
    <w:rsid w:val="00550C0C"/>
    <w:rsid w:val="005519B3"/>
    <w:rsid w:val="00552388"/>
    <w:rsid w:val="00552E2B"/>
    <w:rsid w:val="005533F9"/>
    <w:rsid w:val="00553891"/>
    <w:rsid w:val="00554335"/>
    <w:rsid w:val="005546E7"/>
    <w:rsid w:val="005549D6"/>
    <w:rsid w:val="00554A7D"/>
    <w:rsid w:val="00554BA3"/>
    <w:rsid w:val="00555572"/>
    <w:rsid w:val="00556331"/>
    <w:rsid w:val="005564F3"/>
    <w:rsid w:val="00556602"/>
    <w:rsid w:val="00557416"/>
    <w:rsid w:val="00557E24"/>
    <w:rsid w:val="00560094"/>
    <w:rsid w:val="0056046E"/>
    <w:rsid w:val="005632B3"/>
    <w:rsid w:val="00563FF5"/>
    <w:rsid w:val="00564754"/>
    <w:rsid w:val="005650D4"/>
    <w:rsid w:val="00565246"/>
    <w:rsid w:val="00565652"/>
    <w:rsid w:val="005659D8"/>
    <w:rsid w:val="00566CCB"/>
    <w:rsid w:val="005672EE"/>
    <w:rsid w:val="00567625"/>
    <w:rsid w:val="005677A0"/>
    <w:rsid w:val="00570762"/>
    <w:rsid w:val="0057082C"/>
    <w:rsid w:val="00572058"/>
    <w:rsid w:val="005726F3"/>
    <w:rsid w:val="0057338F"/>
    <w:rsid w:val="00573577"/>
    <w:rsid w:val="005739AE"/>
    <w:rsid w:val="005740B5"/>
    <w:rsid w:val="0057472C"/>
    <w:rsid w:val="00574B20"/>
    <w:rsid w:val="0057552D"/>
    <w:rsid w:val="0057647E"/>
    <w:rsid w:val="00576FBB"/>
    <w:rsid w:val="005770DE"/>
    <w:rsid w:val="00577259"/>
    <w:rsid w:val="0057764C"/>
    <w:rsid w:val="00577B78"/>
    <w:rsid w:val="00577BD1"/>
    <w:rsid w:val="00581416"/>
    <w:rsid w:val="00581496"/>
    <w:rsid w:val="0058193B"/>
    <w:rsid w:val="00582151"/>
    <w:rsid w:val="005821EA"/>
    <w:rsid w:val="00582496"/>
    <w:rsid w:val="00582DB3"/>
    <w:rsid w:val="00583060"/>
    <w:rsid w:val="0058340C"/>
    <w:rsid w:val="0058380C"/>
    <w:rsid w:val="00584544"/>
    <w:rsid w:val="00584B4C"/>
    <w:rsid w:val="005856BD"/>
    <w:rsid w:val="00585BB8"/>
    <w:rsid w:val="00585FBC"/>
    <w:rsid w:val="00586B65"/>
    <w:rsid w:val="00586EA6"/>
    <w:rsid w:val="0058707E"/>
    <w:rsid w:val="005870FD"/>
    <w:rsid w:val="00587214"/>
    <w:rsid w:val="005872CC"/>
    <w:rsid w:val="0058759A"/>
    <w:rsid w:val="00587F8A"/>
    <w:rsid w:val="005904FB"/>
    <w:rsid w:val="00590B47"/>
    <w:rsid w:val="00590EEA"/>
    <w:rsid w:val="00591C6A"/>
    <w:rsid w:val="005930C9"/>
    <w:rsid w:val="005940D3"/>
    <w:rsid w:val="0059443A"/>
    <w:rsid w:val="0059527F"/>
    <w:rsid w:val="00595555"/>
    <w:rsid w:val="005955D0"/>
    <w:rsid w:val="005956CB"/>
    <w:rsid w:val="00595C07"/>
    <w:rsid w:val="0059748F"/>
    <w:rsid w:val="005A173D"/>
    <w:rsid w:val="005A1AFC"/>
    <w:rsid w:val="005A1F30"/>
    <w:rsid w:val="005A2587"/>
    <w:rsid w:val="005A27AF"/>
    <w:rsid w:val="005A31D6"/>
    <w:rsid w:val="005A3561"/>
    <w:rsid w:val="005A44F5"/>
    <w:rsid w:val="005A4722"/>
    <w:rsid w:val="005A4E23"/>
    <w:rsid w:val="005A5C29"/>
    <w:rsid w:val="005A5E83"/>
    <w:rsid w:val="005A6CB1"/>
    <w:rsid w:val="005A6D20"/>
    <w:rsid w:val="005A7029"/>
    <w:rsid w:val="005A7A4E"/>
    <w:rsid w:val="005A7D61"/>
    <w:rsid w:val="005A7D69"/>
    <w:rsid w:val="005A7FC8"/>
    <w:rsid w:val="005B0734"/>
    <w:rsid w:val="005B095B"/>
    <w:rsid w:val="005B0A28"/>
    <w:rsid w:val="005B0A50"/>
    <w:rsid w:val="005B0C87"/>
    <w:rsid w:val="005B0CA6"/>
    <w:rsid w:val="005B1734"/>
    <w:rsid w:val="005B1DE6"/>
    <w:rsid w:val="005B1F63"/>
    <w:rsid w:val="005B2013"/>
    <w:rsid w:val="005B34D8"/>
    <w:rsid w:val="005B39FE"/>
    <w:rsid w:val="005B3C62"/>
    <w:rsid w:val="005B4778"/>
    <w:rsid w:val="005B4787"/>
    <w:rsid w:val="005B50C6"/>
    <w:rsid w:val="005B5361"/>
    <w:rsid w:val="005B5EA4"/>
    <w:rsid w:val="005B60FE"/>
    <w:rsid w:val="005B7627"/>
    <w:rsid w:val="005B7CE9"/>
    <w:rsid w:val="005C04F2"/>
    <w:rsid w:val="005C147B"/>
    <w:rsid w:val="005C14B9"/>
    <w:rsid w:val="005C181B"/>
    <w:rsid w:val="005C24C9"/>
    <w:rsid w:val="005C2993"/>
    <w:rsid w:val="005C2A4B"/>
    <w:rsid w:val="005C337A"/>
    <w:rsid w:val="005C3C49"/>
    <w:rsid w:val="005C4FEE"/>
    <w:rsid w:val="005C5A5A"/>
    <w:rsid w:val="005C5D35"/>
    <w:rsid w:val="005C697D"/>
    <w:rsid w:val="005D01EE"/>
    <w:rsid w:val="005D034F"/>
    <w:rsid w:val="005D10AF"/>
    <w:rsid w:val="005D11F2"/>
    <w:rsid w:val="005D15B7"/>
    <w:rsid w:val="005D25C5"/>
    <w:rsid w:val="005D339D"/>
    <w:rsid w:val="005D3A67"/>
    <w:rsid w:val="005D524C"/>
    <w:rsid w:val="005D6B64"/>
    <w:rsid w:val="005D7D38"/>
    <w:rsid w:val="005E07F3"/>
    <w:rsid w:val="005E0963"/>
    <w:rsid w:val="005E0E32"/>
    <w:rsid w:val="005E1635"/>
    <w:rsid w:val="005E172B"/>
    <w:rsid w:val="005E177A"/>
    <w:rsid w:val="005E1D5F"/>
    <w:rsid w:val="005E26AD"/>
    <w:rsid w:val="005E2B98"/>
    <w:rsid w:val="005E2D3B"/>
    <w:rsid w:val="005E2FC8"/>
    <w:rsid w:val="005E361A"/>
    <w:rsid w:val="005E4153"/>
    <w:rsid w:val="005E4246"/>
    <w:rsid w:val="005E4315"/>
    <w:rsid w:val="005E48ED"/>
    <w:rsid w:val="005E4C6D"/>
    <w:rsid w:val="005E5398"/>
    <w:rsid w:val="005E5649"/>
    <w:rsid w:val="005E5966"/>
    <w:rsid w:val="005E5D9C"/>
    <w:rsid w:val="005E6C9D"/>
    <w:rsid w:val="005E720A"/>
    <w:rsid w:val="005E7B44"/>
    <w:rsid w:val="005F0698"/>
    <w:rsid w:val="005F07A6"/>
    <w:rsid w:val="005F0CA2"/>
    <w:rsid w:val="005F2498"/>
    <w:rsid w:val="005F2D23"/>
    <w:rsid w:val="005F3132"/>
    <w:rsid w:val="005F3641"/>
    <w:rsid w:val="005F3D44"/>
    <w:rsid w:val="005F3F34"/>
    <w:rsid w:val="005F4037"/>
    <w:rsid w:val="005F49F2"/>
    <w:rsid w:val="005F5057"/>
    <w:rsid w:val="005F5DA2"/>
    <w:rsid w:val="005F6549"/>
    <w:rsid w:val="005F6DED"/>
    <w:rsid w:val="005F7FF3"/>
    <w:rsid w:val="00600307"/>
    <w:rsid w:val="00600BE1"/>
    <w:rsid w:val="00600E3F"/>
    <w:rsid w:val="006012D9"/>
    <w:rsid w:val="00601B48"/>
    <w:rsid w:val="0060275C"/>
    <w:rsid w:val="00602912"/>
    <w:rsid w:val="006029EB"/>
    <w:rsid w:val="00602DBE"/>
    <w:rsid w:val="006036AE"/>
    <w:rsid w:val="00604184"/>
    <w:rsid w:val="00604788"/>
    <w:rsid w:val="0060569F"/>
    <w:rsid w:val="00605781"/>
    <w:rsid w:val="00605DF5"/>
    <w:rsid w:val="00606791"/>
    <w:rsid w:val="0060713C"/>
    <w:rsid w:val="00607DCF"/>
    <w:rsid w:val="00610840"/>
    <w:rsid w:val="00611C6A"/>
    <w:rsid w:val="00612A18"/>
    <w:rsid w:val="00612A2A"/>
    <w:rsid w:val="006133C5"/>
    <w:rsid w:val="00613593"/>
    <w:rsid w:val="006135F6"/>
    <w:rsid w:val="00613D13"/>
    <w:rsid w:val="00614DED"/>
    <w:rsid w:val="0061751E"/>
    <w:rsid w:val="006178B6"/>
    <w:rsid w:val="00617D2C"/>
    <w:rsid w:val="00617DF0"/>
    <w:rsid w:val="00617DF7"/>
    <w:rsid w:val="006205DD"/>
    <w:rsid w:val="00620ED9"/>
    <w:rsid w:val="00621BF7"/>
    <w:rsid w:val="006220E7"/>
    <w:rsid w:val="006227D7"/>
    <w:rsid w:val="00623519"/>
    <w:rsid w:val="00623528"/>
    <w:rsid w:val="006240E7"/>
    <w:rsid w:val="006247B9"/>
    <w:rsid w:val="00624DA2"/>
    <w:rsid w:val="00624FB6"/>
    <w:rsid w:val="006253AA"/>
    <w:rsid w:val="00625854"/>
    <w:rsid w:val="00625946"/>
    <w:rsid w:val="00625A92"/>
    <w:rsid w:val="00626953"/>
    <w:rsid w:val="00626B36"/>
    <w:rsid w:val="00627B28"/>
    <w:rsid w:val="00627EC9"/>
    <w:rsid w:val="0063014F"/>
    <w:rsid w:val="006304A5"/>
    <w:rsid w:val="00630C08"/>
    <w:rsid w:val="0063118F"/>
    <w:rsid w:val="006320A0"/>
    <w:rsid w:val="0063238D"/>
    <w:rsid w:val="00632812"/>
    <w:rsid w:val="00632DC5"/>
    <w:rsid w:val="006336CA"/>
    <w:rsid w:val="00636D77"/>
    <w:rsid w:val="00637EE0"/>
    <w:rsid w:val="00637FC2"/>
    <w:rsid w:val="00640405"/>
    <w:rsid w:val="00640F71"/>
    <w:rsid w:val="0064101D"/>
    <w:rsid w:val="006415DD"/>
    <w:rsid w:val="00641B12"/>
    <w:rsid w:val="00642905"/>
    <w:rsid w:val="00642ABB"/>
    <w:rsid w:val="00642EFF"/>
    <w:rsid w:val="006437AB"/>
    <w:rsid w:val="00643DC2"/>
    <w:rsid w:val="00643ED3"/>
    <w:rsid w:val="006450EB"/>
    <w:rsid w:val="00647161"/>
    <w:rsid w:val="0064764E"/>
    <w:rsid w:val="00647DAC"/>
    <w:rsid w:val="00647F07"/>
    <w:rsid w:val="00650B23"/>
    <w:rsid w:val="00651357"/>
    <w:rsid w:val="0065135A"/>
    <w:rsid w:val="006521AC"/>
    <w:rsid w:val="006521DC"/>
    <w:rsid w:val="006528D1"/>
    <w:rsid w:val="00652CF8"/>
    <w:rsid w:val="00652DFC"/>
    <w:rsid w:val="0065474C"/>
    <w:rsid w:val="00655C59"/>
    <w:rsid w:val="0065766F"/>
    <w:rsid w:val="00657A21"/>
    <w:rsid w:val="006601DF"/>
    <w:rsid w:val="00660E5C"/>
    <w:rsid w:val="00660F20"/>
    <w:rsid w:val="00661122"/>
    <w:rsid w:val="00661184"/>
    <w:rsid w:val="006619F9"/>
    <w:rsid w:val="00662805"/>
    <w:rsid w:val="00662D09"/>
    <w:rsid w:val="006634C5"/>
    <w:rsid w:val="0066354F"/>
    <w:rsid w:val="00664050"/>
    <w:rsid w:val="006646F6"/>
    <w:rsid w:val="00665A46"/>
    <w:rsid w:val="00666060"/>
    <w:rsid w:val="00666482"/>
    <w:rsid w:val="00666707"/>
    <w:rsid w:val="00666F3D"/>
    <w:rsid w:val="00667170"/>
    <w:rsid w:val="00670273"/>
    <w:rsid w:val="00670D50"/>
    <w:rsid w:val="00671271"/>
    <w:rsid w:val="00671278"/>
    <w:rsid w:val="00671377"/>
    <w:rsid w:val="006716F7"/>
    <w:rsid w:val="00671859"/>
    <w:rsid w:val="00671BCE"/>
    <w:rsid w:val="0067247A"/>
    <w:rsid w:val="00672A34"/>
    <w:rsid w:val="00672A88"/>
    <w:rsid w:val="00672D65"/>
    <w:rsid w:val="00672FF8"/>
    <w:rsid w:val="0067301D"/>
    <w:rsid w:val="0067318C"/>
    <w:rsid w:val="00673814"/>
    <w:rsid w:val="00673878"/>
    <w:rsid w:val="0067388C"/>
    <w:rsid w:val="00673D7B"/>
    <w:rsid w:val="0067486B"/>
    <w:rsid w:val="00674965"/>
    <w:rsid w:val="0067498A"/>
    <w:rsid w:val="00674EFF"/>
    <w:rsid w:val="00674FAC"/>
    <w:rsid w:val="00674FFD"/>
    <w:rsid w:val="006757CC"/>
    <w:rsid w:val="00676679"/>
    <w:rsid w:val="0067680E"/>
    <w:rsid w:val="006771F6"/>
    <w:rsid w:val="0067738D"/>
    <w:rsid w:val="00677608"/>
    <w:rsid w:val="00681CBB"/>
    <w:rsid w:val="0068285B"/>
    <w:rsid w:val="00682B8F"/>
    <w:rsid w:val="006833D1"/>
    <w:rsid w:val="006834FA"/>
    <w:rsid w:val="006835A8"/>
    <w:rsid w:val="006837C9"/>
    <w:rsid w:val="0068425F"/>
    <w:rsid w:val="00684394"/>
    <w:rsid w:val="00685561"/>
    <w:rsid w:val="00685BBF"/>
    <w:rsid w:val="00685BCE"/>
    <w:rsid w:val="0068639A"/>
    <w:rsid w:val="00690761"/>
    <w:rsid w:val="00690859"/>
    <w:rsid w:val="00690D6E"/>
    <w:rsid w:val="00690F2B"/>
    <w:rsid w:val="0069224D"/>
    <w:rsid w:val="006928AB"/>
    <w:rsid w:val="006934DD"/>
    <w:rsid w:val="00693A3A"/>
    <w:rsid w:val="00693EF2"/>
    <w:rsid w:val="006943E6"/>
    <w:rsid w:val="00694491"/>
    <w:rsid w:val="0069463D"/>
    <w:rsid w:val="0069563A"/>
    <w:rsid w:val="0069572F"/>
    <w:rsid w:val="006964A1"/>
    <w:rsid w:val="00696FC8"/>
    <w:rsid w:val="00697153"/>
    <w:rsid w:val="006971B0"/>
    <w:rsid w:val="006974B2"/>
    <w:rsid w:val="006979D7"/>
    <w:rsid w:val="006A085F"/>
    <w:rsid w:val="006A1103"/>
    <w:rsid w:val="006A180B"/>
    <w:rsid w:val="006A2335"/>
    <w:rsid w:val="006A27ED"/>
    <w:rsid w:val="006A3236"/>
    <w:rsid w:val="006A32C5"/>
    <w:rsid w:val="006A458E"/>
    <w:rsid w:val="006A4A7E"/>
    <w:rsid w:val="006A4DB6"/>
    <w:rsid w:val="006A4F52"/>
    <w:rsid w:val="006A5278"/>
    <w:rsid w:val="006A52A7"/>
    <w:rsid w:val="006A5619"/>
    <w:rsid w:val="006A5EF1"/>
    <w:rsid w:val="006A6128"/>
    <w:rsid w:val="006A6183"/>
    <w:rsid w:val="006A6289"/>
    <w:rsid w:val="006A6679"/>
    <w:rsid w:val="006A66FD"/>
    <w:rsid w:val="006A6A80"/>
    <w:rsid w:val="006A7233"/>
    <w:rsid w:val="006A7DD5"/>
    <w:rsid w:val="006B0DB9"/>
    <w:rsid w:val="006B1878"/>
    <w:rsid w:val="006B1CB5"/>
    <w:rsid w:val="006B29C3"/>
    <w:rsid w:val="006B2EB6"/>
    <w:rsid w:val="006B3AEB"/>
    <w:rsid w:val="006B3BB5"/>
    <w:rsid w:val="006B3C08"/>
    <w:rsid w:val="006B3C30"/>
    <w:rsid w:val="006B4E51"/>
    <w:rsid w:val="006B4E5A"/>
    <w:rsid w:val="006B69F1"/>
    <w:rsid w:val="006B6C20"/>
    <w:rsid w:val="006B6D99"/>
    <w:rsid w:val="006B7265"/>
    <w:rsid w:val="006B74BE"/>
    <w:rsid w:val="006C0281"/>
    <w:rsid w:val="006C03EE"/>
    <w:rsid w:val="006C0CE6"/>
    <w:rsid w:val="006C143F"/>
    <w:rsid w:val="006C14B5"/>
    <w:rsid w:val="006C16E6"/>
    <w:rsid w:val="006C1B90"/>
    <w:rsid w:val="006C1C1F"/>
    <w:rsid w:val="006C1CDD"/>
    <w:rsid w:val="006C2156"/>
    <w:rsid w:val="006C230D"/>
    <w:rsid w:val="006C2516"/>
    <w:rsid w:val="006C3E97"/>
    <w:rsid w:val="006C3FEB"/>
    <w:rsid w:val="006C4024"/>
    <w:rsid w:val="006C4070"/>
    <w:rsid w:val="006C482C"/>
    <w:rsid w:val="006C4AC2"/>
    <w:rsid w:val="006C4CC2"/>
    <w:rsid w:val="006C5694"/>
    <w:rsid w:val="006C6346"/>
    <w:rsid w:val="006C6957"/>
    <w:rsid w:val="006C72A6"/>
    <w:rsid w:val="006C7521"/>
    <w:rsid w:val="006C7D45"/>
    <w:rsid w:val="006D0121"/>
    <w:rsid w:val="006D05D8"/>
    <w:rsid w:val="006D0DD7"/>
    <w:rsid w:val="006D1C8D"/>
    <w:rsid w:val="006D2652"/>
    <w:rsid w:val="006D2DE8"/>
    <w:rsid w:val="006D4476"/>
    <w:rsid w:val="006D4521"/>
    <w:rsid w:val="006D4AB2"/>
    <w:rsid w:val="006D52A2"/>
    <w:rsid w:val="006D5478"/>
    <w:rsid w:val="006D568D"/>
    <w:rsid w:val="006D5A5E"/>
    <w:rsid w:val="006D5DF9"/>
    <w:rsid w:val="006D62CA"/>
    <w:rsid w:val="006D671C"/>
    <w:rsid w:val="006D6DB7"/>
    <w:rsid w:val="006E0D02"/>
    <w:rsid w:val="006E0DFB"/>
    <w:rsid w:val="006E1042"/>
    <w:rsid w:val="006E1EB1"/>
    <w:rsid w:val="006E291E"/>
    <w:rsid w:val="006E3C7E"/>
    <w:rsid w:val="006E4BCF"/>
    <w:rsid w:val="006E4DDE"/>
    <w:rsid w:val="006E5FCE"/>
    <w:rsid w:val="006E66C8"/>
    <w:rsid w:val="006E711D"/>
    <w:rsid w:val="006E755A"/>
    <w:rsid w:val="006F067D"/>
    <w:rsid w:val="006F06E9"/>
    <w:rsid w:val="006F114E"/>
    <w:rsid w:val="006F170F"/>
    <w:rsid w:val="006F1C83"/>
    <w:rsid w:val="006F1D83"/>
    <w:rsid w:val="006F1E23"/>
    <w:rsid w:val="006F2771"/>
    <w:rsid w:val="006F27E9"/>
    <w:rsid w:val="006F28E1"/>
    <w:rsid w:val="006F35AB"/>
    <w:rsid w:val="006F36BC"/>
    <w:rsid w:val="006F3B87"/>
    <w:rsid w:val="006F4311"/>
    <w:rsid w:val="006F4E0B"/>
    <w:rsid w:val="006F5577"/>
    <w:rsid w:val="006F5C75"/>
    <w:rsid w:val="006F5D8D"/>
    <w:rsid w:val="006F5F4E"/>
    <w:rsid w:val="006F5FB5"/>
    <w:rsid w:val="006F64FE"/>
    <w:rsid w:val="006F7757"/>
    <w:rsid w:val="0070022C"/>
    <w:rsid w:val="0070052A"/>
    <w:rsid w:val="00700550"/>
    <w:rsid w:val="00701AFF"/>
    <w:rsid w:val="00702037"/>
    <w:rsid w:val="0070256D"/>
    <w:rsid w:val="00702818"/>
    <w:rsid w:val="00702DD0"/>
    <w:rsid w:val="00702E89"/>
    <w:rsid w:val="00702FC6"/>
    <w:rsid w:val="0070445A"/>
    <w:rsid w:val="00704E90"/>
    <w:rsid w:val="007051C2"/>
    <w:rsid w:val="00705560"/>
    <w:rsid w:val="007056FA"/>
    <w:rsid w:val="00705C82"/>
    <w:rsid w:val="007064B0"/>
    <w:rsid w:val="007068A9"/>
    <w:rsid w:val="00706938"/>
    <w:rsid w:val="0070710A"/>
    <w:rsid w:val="007078A9"/>
    <w:rsid w:val="007079FF"/>
    <w:rsid w:val="00710A77"/>
    <w:rsid w:val="00710FE6"/>
    <w:rsid w:val="00711161"/>
    <w:rsid w:val="00711B2A"/>
    <w:rsid w:val="0071215A"/>
    <w:rsid w:val="00712291"/>
    <w:rsid w:val="0071275B"/>
    <w:rsid w:val="00712CB5"/>
    <w:rsid w:val="00712DA8"/>
    <w:rsid w:val="00712DFC"/>
    <w:rsid w:val="00712FF1"/>
    <w:rsid w:val="007132FF"/>
    <w:rsid w:val="0071386D"/>
    <w:rsid w:val="0071473A"/>
    <w:rsid w:val="00714B47"/>
    <w:rsid w:val="00717339"/>
    <w:rsid w:val="007204F5"/>
    <w:rsid w:val="00720CDA"/>
    <w:rsid w:val="00721A62"/>
    <w:rsid w:val="00721B21"/>
    <w:rsid w:val="00721FFC"/>
    <w:rsid w:val="00722428"/>
    <w:rsid w:val="00722652"/>
    <w:rsid w:val="00723369"/>
    <w:rsid w:val="00723B42"/>
    <w:rsid w:val="00724623"/>
    <w:rsid w:val="00724AAF"/>
    <w:rsid w:val="00725371"/>
    <w:rsid w:val="00725BB2"/>
    <w:rsid w:val="00725E85"/>
    <w:rsid w:val="0072658F"/>
    <w:rsid w:val="007268B0"/>
    <w:rsid w:val="00726D7E"/>
    <w:rsid w:val="00727469"/>
    <w:rsid w:val="007276FE"/>
    <w:rsid w:val="00727B93"/>
    <w:rsid w:val="00727DE9"/>
    <w:rsid w:val="00730773"/>
    <w:rsid w:val="00731059"/>
    <w:rsid w:val="007316D9"/>
    <w:rsid w:val="00732356"/>
    <w:rsid w:val="00732422"/>
    <w:rsid w:val="00732590"/>
    <w:rsid w:val="00732A6E"/>
    <w:rsid w:val="00733E2F"/>
    <w:rsid w:val="007364E4"/>
    <w:rsid w:val="00736898"/>
    <w:rsid w:val="00736917"/>
    <w:rsid w:val="007369FA"/>
    <w:rsid w:val="00737060"/>
    <w:rsid w:val="00737914"/>
    <w:rsid w:val="00737BF2"/>
    <w:rsid w:val="00740AA0"/>
    <w:rsid w:val="00740F95"/>
    <w:rsid w:val="00740FDD"/>
    <w:rsid w:val="00741833"/>
    <w:rsid w:val="00741965"/>
    <w:rsid w:val="00741C91"/>
    <w:rsid w:val="00742E46"/>
    <w:rsid w:val="00743099"/>
    <w:rsid w:val="00743DFA"/>
    <w:rsid w:val="00744260"/>
    <w:rsid w:val="007442E4"/>
    <w:rsid w:val="007447DB"/>
    <w:rsid w:val="0074488B"/>
    <w:rsid w:val="007451B4"/>
    <w:rsid w:val="007453E2"/>
    <w:rsid w:val="007455F7"/>
    <w:rsid w:val="00745CFC"/>
    <w:rsid w:val="00745D28"/>
    <w:rsid w:val="007462AA"/>
    <w:rsid w:val="00746345"/>
    <w:rsid w:val="007465E6"/>
    <w:rsid w:val="007466B6"/>
    <w:rsid w:val="007467AD"/>
    <w:rsid w:val="007476F4"/>
    <w:rsid w:val="007506EF"/>
    <w:rsid w:val="0075084D"/>
    <w:rsid w:val="007508EF"/>
    <w:rsid w:val="0075110B"/>
    <w:rsid w:val="007516B7"/>
    <w:rsid w:val="00751947"/>
    <w:rsid w:val="007528AA"/>
    <w:rsid w:val="00752AE5"/>
    <w:rsid w:val="00752B7F"/>
    <w:rsid w:val="00753699"/>
    <w:rsid w:val="00754B64"/>
    <w:rsid w:val="00755019"/>
    <w:rsid w:val="0075567F"/>
    <w:rsid w:val="00755A29"/>
    <w:rsid w:val="00756226"/>
    <w:rsid w:val="00756679"/>
    <w:rsid w:val="007574E7"/>
    <w:rsid w:val="007579F8"/>
    <w:rsid w:val="00757A89"/>
    <w:rsid w:val="007603A3"/>
    <w:rsid w:val="00761561"/>
    <w:rsid w:val="00761C26"/>
    <w:rsid w:val="0076212A"/>
    <w:rsid w:val="007632AB"/>
    <w:rsid w:val="00763D4A"/>
    <w:rsid w:val="00764AF9"/>
    <w:rsid w:val="00766167"/>
    <w:rsid w:val="00766EC3"/>
    <w:rsid w:val="00767000"/>
    <w:rsid w:val="007678FE"/>
    <w:rsid w:val="00767A1D"/>
    <w:rsid w:val="00770722"/>
    <w:rsid w:val="00770B1F"/>
    <w:rsid w:val="00770D64"/>
    <w:rsid w:val="00770E29"/>
    <w:rsid w:val="0077199B"/>
    <w:rsid w:val="00771E39"/>
    <w:rsid w:val="00772667"/>
    <w:rsid w:val="0077281B"/>
    <w:rsid w:val="007746AC"/>
    <w:rsid w:val="0077571F"/>
    <w:rsid w:val="00775ECE"/>
    <w:rsid w:val="00776D31"/>
    <w:rsid w:val="00776DCA"/>
    <w:rsid w:val="00776E63"/>
    <w:rsid w:val="00776EAF"/>
    <w:rsid w:val="00777AED"/>
    <w:rsid w:val="00777B7E"/>
    <w:rsid w:val="00777BFB"/>
    <w:rsid w:val="0078061C"/>
    <w:rsid w:val="00780FCB"/>
    <w:rsid w:val="00781488"/>
    <w:rsid w:val="00781970"/>
    <w:rsid w:val="00781CA7"/>
    <w:rsid w:val="0078238B"/>
    <w:rsid w:val="00782A67"/>
    <w:rsid w:val="00782A87"/>
    <w:rsid w:val="00782E6A"/>
    <w:rsid w:val="00783041"/>
    <w:rsid w:val="00785ADA"/>
    <w:rsid w:val="00786083"/>
    <w:rsid w:val="0078668A"/>
    <w:rsid w:val="00786CD6"/>
    <w:rsid w:val="00786E51"/>
    <w:rsid w:val="00787CE6"/>
    <w:rsid w:val="00787DAE"/>
    <w:rsid w:val="00790916"/>
    <w:rsid w:val="007909DE"/>
    <w:rsid w:val="007910A7"/>
    <w:rsid w:val="0079161E"/>
    <w:rsid w:val="007919C8"/>
    <w:rsid w:val="0079208D"/>
    <w:rsid w:val="007923AC"/>
    <w:rsid w:val="00792F51"/>
    <w:rsid w:val="00793233"/>
    <w:rsid w:val="007932E5"/>
    <w:rsid w:val="00793BE6"/>
    <w:rsid w:val="00793F32"/>
    <w:rsid w:val="00794953"/>
    <w:rsid w:val="007949AF"/>
    <w:rsid w:val="00794B5F"/>
    <w:rsid w:val="00794DE3"/>
    <w:rsid w:val="007954AA"/>
    <w:rsid w:val="0079727B"/>
    <w:rsid w:val="00797745"/>
    <w:rsid w:val="007A07BF"/>
    <w:rsid w:val="007A16E7"/>
    <w:rsid w:val="007A2643"/>
    <w:rsid w:val="007A2D1B"/>
    <w:rsid w:val="007A2E5F"/>
    <w:rsid w:val="007A33CD"/>
    <w:rsid w:val="007A3C6F"/>
    <w:rsid w:val="007A3E6C"/>
    <w:rsid w:val="007A5E89"/>
    <w:rsid w:val="007A70FB"/>
    <w:rsid w:val="007A7A31"/>
    <w:rsid w:val="007B0CEA"/>
    <w:rsid w:val="007B153F"/>
    <w:rsid w:val="007B15DF"/>
    <w:rsid w:val="007B1F18"/>
    <w:rsid w:val="007B2239"/>
    <w:rsid w:val="007B252E"/>
    <w:rsid w:val="007B2697"/>
    <w:rsid w:val="007B27DA"/>
    <w:rsid w:val="007B294C"/>
    <w:rsid w:val="007B31A5"/>
    <w:rsid w:val="007B39E4"/>
    <w:rsid w:val="007B3E54"/>
    <w:rsid w:val="007B5008"/>
    <w:rsid w:val="007B5361"/>
    <w:rsid w:val="007B54B1"/>
    <w:rsid w:val="007B54D9"/>
    <w:rsid w:val="007B7B6B"/>
    <w:rsid w:val="007C0AAA"/>
    <w:rsid w:val="007C109B"/>
    <w:rsid w:val="007C18E1"/>
    <w:rsid w:val="007C329C"/>
    <w:rsid w:val="007C44F5"/>
    <w:rsid w:val="007C45D8"/>
    <w:rsid w:val="007C4B24"/>
    <w:rsid w:val="007C4B62"/>
    <w:rsid w:val="007C513A"/>
    <w:rsid w:val="007C55BD"/>
    <w:rsid w:val="007C5F23"/>
    <w:rsid w:val="007C667B"/>
    <w:rsid w:val="007C66DA"/>
    <w:rsid w:val="007C710B"/>
    <w:rsid w:val="007D038E"/>
    <w:rsid w:val="007D06E1"/>
    <w:rsid w:val="007D084F"/>
    <w:rsid w:val="007D0AA7"/>
    <w:rsid w:val="007D0D4C"/>
    <w:rsid w:val="007D0FE0"/>
    <w:rsid w:val="007D112E"/>
    <w:rsid w:val="007D1DE2"/>
    <w:rsid w:val="007D2BE9"/>
    <w:rsid w:val="007D3411"/>
    <w:rsid w:val="007D3C58"/>
    <w:rsid w:val="007D4307"/>
    <w:rsid w:val="007D45CF"/>
    <w:rsid w:val="007D46B9"/>
    <w:rsid w:val="007D47F6"/>
    <w:rsid w:val="007D4F07"/>
    <w:rsid w:val="007D50F5"/>
    <w:rsid w:val="007D5360"/>
    <w:rsid w:val="007D53A1"/>
    <w:rsid w:val="007D60C2"/>
    <w:rsid w:val="007D6225"/>
    <w:rsid w:val="007D6D9A"/>
    <w:rsid w:val="007D7625"/>
    <w:rsid w:val="007D7E02"/>
    <w:rsid w:val="007D7F02"/>
    <w:rsid w:val="007E04E7"/>
    <w:rsid w:val="007E059B"/>
    <w:rsid w:val="007E0FA4"/>
    <w:rsid w:val="007E1E66"/>
    <w:rsid w:val="007E24D6"/>
    <w:rsid w:val="007E29C0"/>
    <w:rsid w:val="007E38C8"/>
    <w:rsid w:val="007E3D6D"/>
    <w:rsid w:val="007E42A2"/>
    <w:rsid w:val="007E44B6"/>
    <w:rsid w:val="007E4D1B"/>
    <w:rsid w:val="007E56FC"/>
    <w:rsid w:val="007E5D4B"/>
    <w:rsid w:val="007E60BE"/>
    <w:rsid w:val="007E6581"/>
    <w:rsid w:val="007E68A5"/>
    <w:rsid w:val="007E73E1"/>
    <w:rsid w:val="007E7B1A"/>
    <w:rsid w:val="007E7F47"/>
    <w:rsid w:val="007F0883"/>
    <w:rsid w:val="007F0FAC"/>
    <w:rsid w:val="007F16FB"/>
    <w:rsid w:val="007F1E8D"/>
    <w:rsid w:val="007F202F"/>
    <w:rsid w:val="007F334C"/>
    <w:rsid w:val="007F33AE"/>
    <w:rsid w:val="007F3524"/>
    <w:rsid w:val="007F35FD"/>
    <w:rsid w:val="007F36F2"/>
    <w:rsid w:val="007F3D31"/>
    <w:rsid w:val="007F44AA"/>
    <w:rsid w:val="007F4A73"/>
    <w:rsid w:val="007F4BA8"/>
    <w:rsid w:val="007F4BCD"/>
    <w:rsid w:val="007F56B1"/>
    <w:rsid w:val="007F593E"/>
    <w:rsid w:val="007F6D8B"/>
    <w:rsid w:val="007F6EFC"/>
    <w:rsid w:val="007F73BD"/>
    <w:rsid w:val="007F77CA"/>
    <w:rsid w:val="007F7AB8"/>
    <w:rsid w:val="00800175"/>
    <w:rsid w:val="008004DA"/>
    <w:rsid w:val="00800AFC"/>
    <w:rsid w:val="00802B24"/>
    <w:rsid w:val="00802E61"/>
    <w:rsid w:val="00803B39"/>
    <w:rsid w:val="008045C8"/>
    <w:rsid w:val="0080505C"/>
    <w:rsid w:val="0080519E"/>
    <w:rsid w:val="008052E8"/>
    <w:rsid w:val="00805EBF"/>
    <w:rsid w:val="00806047"/>
    <w:rsid w:val="0080695B"/>
    <w:rsid w:val="00807279"/>
    <w:rsid w:val="00807CA9"/>
    <w:rsid w:val="0081058C"/>
    <w:rsid w:val="00810790"/>
    <w:rsid w:val="00810A19"/>
    <w:rsid w:val="00810F47"/>
    <w:rsid w:val="00811664"/>
    <w:rsid w:val="0081176D"/>
    <w:rsid w:val="00812282"/>
    <w:rsid w:val="008122E5"/>
    <w:rsid w:val="00812A28"/>
    <w:rsid w:val="008130C4"/>
    <w:rsid w:val="00813A2D"/>
    <w:rsid w:val="008144B8"/>
    <w:rsid w:val="00814EEF"/>
    <w:rsid w:val="00815368"/>
    <w:rsid w:val="00816AD8"/>
    <w:rsid w:val="00816F5F"/>
    <w:rsid w:val="00817178"/>
    <w:rsid w:val="008173B5"/>
    <w:rsid w:val="0081778D"/>
    <w:rsid w:val="008177D7"/>
    <w:rsid w:val="00817AE6"/>
    <w:rsid w:val="00817D7D"/>
    <w:rsid w:val="00820331"/>
    <w:rsid w:val="00820A62"/>
    <w:rsid w:val="00820D44"/>
    <w:rsid w:val="00821594"/>
    <w:rsid w:val="008224D0"/>
    <w:rsid w:val="008225EC"/>
    <w:rsid w:val="008231AF"/>
    <w:rsid w:val="0082351B"/>
    <w:rsid w:val="00823C2A"/>
    <w:rsid w:val="008242B8"/>
    <w:rsid w:val="00824A2F"/>
    <w:rsid w:val="0082578B"/>
    <w:rsid w:val="008261AB"/>
    <w:rsid w:val="008262B7"/>
    <w:rsid w:val="00826CC5"/>
    <w:rsid w:val="00827B6A"/>
    <w:rsid w:val="00830878"/>
    <w:rsid w:val="00830970"/>
    <w:rsid w:val="00832775"/>
    <w:rsid w:val="00833757"/>
    <w:rsid w:val="00833F9C"/>
    <w:rsid w:val="0083403E"/>
    <w:rsid w:val="00834068"/>
    <w:rsid w:val="00834B17"/>
    <w:rsid w:val="0083548F"/>
    <w:rsid w:val="00836C3E"/>
    <w:rsid w:val="008371CF"/>
    <w:rsid w:val="00837227"/>
    <w:rsid w:val="008376F6"/>
    <w:rsid w:val="00837C9C"/>
    <w:rsid w:val="00837D2C"/>
    <w:rsid w:val="00840986"/>
    <w:rsid w:val="00840E82"/>
    <w:rsid w:val="0084150A"/>
    <w:rsid w:val="00841AE2"/>
    <w:rsid w:val="0084249D"/>
    <w:rsid w:val="008424F2"/>
    <w:rsid w:val="008425D1"/>
    <w:rsid w:val="00842662"/>
    <w:rsid w:val="00842824"/>
    <w:rsid w:val="0084377E"/>
    <w:rsid w:val="00843932"/>
    <w:rsid w:val="00843BFB"/>
    <w:rsid w:val="0084449D"/>
    <w:rsid w:val="008447B0"/>
    <w:rsid w:val="00844F1B"/>
    <w:rsid w:val="00845251"/>
    <w:rsid w:val="0084538E"/>
    <w:rsid w:val="00845A1F"/>
    <w:rsid w:val="00845A3C"/>
    <w:rsid w:val="00845FDB"/>
    <w:rsid w:val="00846404"/>
    <w:rsid w:val="008475C1"/>
    <w:rsid w:val="00847788"/>
    <w:rsid w:val="00850B2A"/>
    <w:rsid w:val="008517AC"/>
    <w:rsid w:val="00851C7A"/>
    <w:rsid w:val="00851CF0"/>
    <w:rsid w:val="00851FF7"/>
    <w:rsid w:val="0085230D"/>
    <w:rsid w:val="00852AFF"/>
    <w:rsid w:val="00852E7C"/>
    <w:rsid w:val="00852EAE"/>
    <w:rsid w:val="00853DAF"/>
    <w:rsid w:val="008548DD"/>
    <w:rsid w:val="0085575B"/>
    <w:rsid w:val="0085577B"/>
    <w:rsid w:val="00855973"/>
    <w:rsid w:val="00855C59"/>
    <w:rsid w:val="00856484"/>
    <w:rsid w:val="00856A8B"/>
    <w:rsid w:val="00857021"/>
    <w:rsid w:val="00857975"/>
    <w:rsid w:val="00857FD6"/>
    <w:rsid w:val="008603A8"/>
    <w:rsid w:val="008603F1"/>
    <w:rsid w:val="008604E2"/>
    <w:rsid w:val="00860B91"/>
    <w:rsid w:val="00861071"/>
    <w:rsid w:val="0086146B"/>
    <w:rsid w:val="008622E2"/>
    <w:rsid w:val="008623E9"/>
    <w:rsid w:val="008625A0"/>
    <w:rsid w:val="00862CE3"/>
    <w:rsid w:val="00863501"/>
    <w:rsid w:val="00864C9F"/>
    <w:rsid w:val="00865C95"/>
    <w:rsid w:val="00865DA8"/>
    <w:rsid w:val="00865DFE"/>
    <w:rsid w:val="00866391"/>
    <w:rsid w:val="0086650F"/>
    <w:rsid w:val="00866680"/>
    <w:rsid w:val="008669E6"/>
    <w:rsid w:val="008712C8"/>
    <w:rsid w:val="008714BD"/>
    <w:rsid w:val="008717CE"/>
    <w:rsid w:val="00871B94"/>
    <w:rsid w:val="00872477"/>
    <w:rsid w:val="0087282B"/>
    <w:rsid w:val="00873140"/>
    <w:rsid w:val="00873EBA"/>
    <w:rsid w:val="008747A4"/>
    <w:rsid w:val="0087483C"/>
    <w:rsid w:val="00874864"/>
    <w:rsid w:val="008768E8"/>
    <w:rsid w:val="00876D05"/>
    <w:rsid w:val="00876E1E"/>
    <w:rsid w:val="00877C75"/>
    <w:rsid w:val="008802CA"/>
    <w:rsid w:val="00880977"/>
    <w:rsid w:val="00881581"/>
    <w:rsid w:val="00881A98"/>
    <w:rsid w:val="00883A49"/>
    <w:rsid w:val="00884D39"/>
    <w:rsid w:val="00884EDC"/>
    <w:rsid w:val="00885B5E"/>
    <w:rsid w:val="008860A5"/>
    <w:rsid w:val="0088690B"/>
    <w:rsid w:val="008869C2"/>
    <w:rsid w:val="00887238"/>
    <w:rsid w:val="008875EF"/>
    <w:rsid w:val="00887BDC"/>
    <w:rsid w:val="00887F82"/>
    <w:rsid w:val="00887FD9"/>
    <w:rsid w:val="008916B4"/>
    <w:rsid w:val="008918CC"/>
    <w:rsid w:val="00891A3A"/>
    <w:rsid w:val="00892188"/>
    <w:rsid w:val="00892F5D"/>
    <w:rsid w:val="008931E6"/>
    <w:rsid w:val="00893C0F"/>
    <w:rsid w:val="00894AAF"/>
    <w:rsid w:val="00894D74"/>
    <w:rsid w:val="00895FE4"/>
    <w:rsid w:val="00896BB0"/>
    <w:rsid w:val="00896CB2"/>
    <w:rsid w:val="008A0898"/>
    <w:rsid w:val="008A1369"/>
    <w:rsid w:val="008A21B4"/>
    <w:rsid w:val="008A24BD"/>
    <w:rsid w:val="008A28F9"/>
    <w:rsid w:val="008A2F07"/>
    <w:rsid w:val="008A326C"/>
    <w:rsid w:val="008A33B8"/>
    <w:rsid w:val="008A3CE9"/>
    <w:rsid w:val="008A3DDF"/>
    <w:rsid w:val="008A4CCE"/>
    <w:rsid w:val="008A58A8"/>
    <w:rsid w:val="008A58CB"/>
    <w:rsid w:val="008A5983"/>
    <w:rsid w:val="008A5BAB"/>
    <w:rsid w:val="008A5F9C"/>
    <w:rsid w:val="008A5FDB"/>
    <w:rsid w:val="008A610F"/>
    <w:rsid w:val="008A6934"/>
    <w:rsid w:val="008A6FB1"/>
    <w:rsid w:val="008A7413"/>
    <w:rsid w:val="008A7921"/>
    <w:rsid w:val="008A7A24"/>
    <w:rsid w:val="008A7D7C"/>
    <w:rsid w:val="008B0163"/>
    <w:rsid w:val="008B02FC"/>
    <w:rsid w:val="008B03E4"/>
    <w:rsid w:val="008B0DD7"/>
    <w:rsid w:val="008B1B12"/>
    <w:rsid w:val="008B1CF4"/>
    <w:rsid w:val="008B23C7"/>
    <w:rsid w:val="008B243E"/>
    <w:rsid w:val="008B24A2"/>
    <w:rsid w:val="008B257E"/>
    <w:rsid w:val="008B2819"/>
    <w:rsid w:val="008B2E04"/>
    <w:rsid w:val="008B2F8F"/>
    <w:rsid w:val="008B365B"/>
    <w:rsid w:val="008B3742"/>
    <w:rsid w:val="008B3F97"/>
    <w:rsid w:val="008B454C"/>
    <w:rsid w:val="008B51F6"/>
    <w:rsid w:val="008B5732"/>
    <w:rsid w:val="008B6E8A"/>
    <w:rsid w:val="008B70C3"/>
    <w:rsid w:val="008B7218"/>
    <w:rsid w:val="008C01E6"/>
    <w:rsid w:val="008C0218"/>
    <w:rsid w:val="008C037F"/>
    <w:rsid w:val="008C093B"/>
    <w:rsid w:val="008C0E9C"/>
    <w:rsid w:val="008C135D"/>
    <w:rsid w:val="008C19CE"/>
    <w:rsid w:val="008C1C63"/>
    <w:rsid w:val="008C1C76"/>
    <w:rsid w:val="008C2149"/>
    <w:rsid w:val="008C2391"/>
    <w:rsid w:val="008C2519"/>
    <w:rsid w:val="008C269C"/>
    <w:rsid w:val="008C2EE8"/>
    <w:rsid w:val="008C3144"/>
    <w:rsid w:val="008C36D2"/>
    <w:rsid w:val="008C48E7"/>
    <w:rsid w:val="008C4ED0"/>
    <w:rsid w:val="008C587F"/>
    <w:rsid w:val="008C6416"/>
    <w:rsid w:val="008C6E2C"/>
    <w:rsid w:val="008C73AB"/>
    <w:rsid w:val="008C7E36"/>
    <w:rsid w:val="008C7EBC"/>
    <w:rsid w:val="008D076C"/>
    <w:rsid w:val="008D0BD6"/>
    <w:rsid w:val="008D1BB5"/>
    <w:rsid w:val="008D1DD8"/>
    <w:rsid w:val="008D2353"/>
    <w:rsid w:val="008D2D2E"/>
    <w:rsid w:val="008D2EF1"/>
    <w:rsid w:val="008D3253"/>
    <w:rsid w:val="008D33E7"/>
    <w:rsid w:val="008D3653"/>
    <w:rsid w:val="008D3AEF"/>
    <w:rsid w:val="008D4607"/>
    <w:rsid w:val="008D4B0D"/>
    <w:rsid w:val="008D5197"/>
    <w:rsid w:val="008D527E"/>
    <w:rsid w:val="008D6AEE"/>
    <w:rsid w:val="008D6E28"/>
    <w:rsid w:val="008D6E54"/>
    <w:rsid w:val="008D6F8D"/>
    <w:rsid w:val="008D7A9D"/>
    <w:rsid w:val="008E01C2"/>
    <w:rsid w:val="008E066E"/>
    <w:rsid w:val="008E067B"/>
    <w:rsid w:val="008E1296"/>
    <w:rsid w:val="008E13A7"/>
    <w:rsid w:val="008E1686"/>
    <w:rsid w:val="008E181D"/>
    <w:rsid w:val="008E1B12"/>
    <w:rsid w:val="008E27EE"/>
    <w:rsid w:val="008E2883"/>
    <w:rsid w:val="008E2A08"/>
    <w:rsid w:val="008E2BB3"/>
    <w:rsid w:val="008E2FA3"/>
    <w:rsid w:val="008E3218"/>
    <w:rsid w:val="008E34BB"/>
    <w:rsid w:val="008E36BF"/>
    <w:rsid w:val="008E4036"/>
    <w:rsid w:val="008E46EA"/>
    <w:rsid w:val="008E53C5"/>
    <w:rsid w:val="008E64B3"/>
    <w:rsid w:val="008E653A"/>
    <w:rsid w:val="008E6C91"/>
    <w:rsid w:val="008E6DCB"/>
    <w:rsid w:val="008E7A1E"/>
    <w:rsid w:val="008E7A73"/>
    <w:rsid w:val="008F0656"/>
    <w:rsid w:val="008F0B76"/>
    <w:rsid w:val="008F134E"/>
    <w:rsid w:val="008F14C5"/>
    <w:rsid w:val="008F16AD"/>
    <w:rsid w:val="008F19A5"/>
    <w:rsid w:val="008F231E"/>
    <w:rsid w:val="008F284F"/>
    <w:rsid w:val="008F377A"/>
    <w:rsid w:val="008F44DD"/>
    <w:rsid w:val="008F4690"/>
    <w:rsid w:val="008F47B8"/>
    <w:rsid w:val="008F4C97"/>
    <w:rsid w:val="008F5693"/>
    <w:rsid w:val="008F5A84"/>
    <w:rsid w:val="008F5C33"/>
    <w:rsid w:val="008F63AF"/>
    <w:rsid w:val="008F6F20"/>
    <w:rsid w:val="008F78E7"/>
    <w:rsid w:val="008F7A25"/>
    <w:rsid w:val="00900297"/>
    <w:rsid w:val="009010BB"/>
    <w:rsid w:val="00901110"/>
    <w:rsid w:val="0090125F"/>
    <w:rsid w:val="00901390"/>
    <w:rsid w:val="00901B24"/>
    <w:rsid w:val="00901F46"/>
    <w:rsid w:val="009021D6"/>
    <w:rsid w:val="00902649"/>
    <w:rsid w:val="00903AC3"/>
    <w:rsid w:val="00903C83"/>
    <w:rsid w:val="009062C3"/>
    <w:rsid w:val="009069DB"/>
    <w:rsid w:val="00906BE3"/>
    <w:rsid w:val="00906DB6"/>
    <w:rsid w:val="009075B5"/>
    <w:rsid w:val="00907CD5"/>
    <w:rsid w:val="00907FAD"/>
    <w:rsid w:val="00910A97"/>
    <w:rsid w:val="00910B52"/>
    <w:rsid w:val="0091196F"/>
    <w:rsid w:val="009128A7"/>
    <w:rsid w:val="00912C54"/>
    <w:rsid w:val="00913456"/>
    <w:rsid w:val="009135E8"/>
    <w:rsid w:val="009135FD"/>
    <w:rsid w:val="00913795"/>
    <w:rsid w:val="00913FF7"/>
    <w:rsid w:val="009145BC"/>
    <w:rsid w:val="009146BA"/>
    <w:rsid w:val="00915552"/>
    <w:rsid w:val="00915CCE"/>
    <w:rsid w:val="00916240"/>
    <w:rsid w:val="00916412"/>
    <w:rsid w:val="00916913"/>
    <w:rsid w:val="00916A4F"/>
    <w:rsid w:val="0091721D"/>
    <w:rsid w:val="00917735"/>
    <w:rsid w:val="00917BD4"/>
    <w:rsid w:val="00920378"/>
    <w:rsid w:val="00920DAD"/>
    <w:rsid w:val="00920F12"/>
    <w:rsid w:val="00921331"/>
    <w:rsid w:val="00921C4C"/>
    <w:rsid w:val="00921F20"/>
    <w:rsid w:val="00921F85"/>
    <w:rsid w:val="009220BA"/>
    <w:rsid w:val="00922CEF"/>
    <w:rsid w:val="0092310F"/>
    <w:rsid w:val="009232CC"/>
    <w:rsid w:val="00923B7D"/>
    <w:rsid w:val="00923FE4"/>
    <w:rsid w:val="00924A79"/>
    <w:rsid w:val="00924B7D"/>
    <w:rsid w:val="00925545"/>
    <w:rsid w:val="00930029"/>
    <w:rsid w:val="00930665"/>
    <w:rsid w:val="0093198F"/>
    <w:rsid w:val="0093282E"/>
    <w:rsid w:val="00932A33"/>
    <w:rsid w:val="00932FEA"/>
    <w:rsid w:val="009332D2"/>
    <w:rsid w:val="0093486C"/>
    <w:rsid w:val="00934A64"/>
    <w:rsid w:val="00935477"/>
    <w:rsid w:val="00935AE4"/>
    <w:rsid w:val="00936C02"/>
    <w:rsid w:val="00937278"/>
    <w:rsid w:val="009378F7"/>
    <w:rsid w:val="0093796C"/>
    <w:rsid w:val="009407E7"/>
    <w:rsid w:val="00940D23"/>
    <w:rsid w:val="00941919"/>
    <w:rsid w:val="009424BB"/>
    <w:rsid w:val="00942567"/>
    <w:rsid w:val="009427D5"/>
    <w:rsid w:val="009438F2"/>
    <w:rsid w:val="00943BFA"/>
    <w:rsid w:val="00944435"/>
    <w:rsid w:val="0094509A"/>
    <w:rsid w:val="00946B41"/>
    <w:rsid w:val="009472BA"/>
    <w:rsid w:val="009513D9"/>
    <w:rsid w:val="00951410"/>
    <w:rsid w:val="0095193C"/>
    <w:rsid w:val="00953990"/>
    <w:rsid w:val="00953D53"/>
    <w:rsid w:val="00953F46"/>
    <w:rsid w:val="00954607"/>
    <w:rsid w:val="00954B7C"/>
    <w:rsid w:val="00955678"/>
    <w:rsid w:val="0095636B"/>
    <w:rsid w:val="00956E6C"/>
    <w:rsid w:val="00957D75"/>
    <w:rsid w:val="00960433"/>
    <w:rsid w:val="00960980"/>
    <w:rsid w:val="00960A1A"/>
    <w:rsid w:val="0096100F"/>
    <w:rsid w:val="009620BC"/>
    <w:rsid w:val="00962403"/>
    <w:rsid w:val="00962C66"/>
    <w:rsid w:val="0096322E"/>
    <w:rsid w:val="0096373C"/>
    <w:rsid w:val="00964CEB"/>
    <w:rsid w:val="00965285"/>
    <w:rsid w:val="00965616"/>
    <w:rsid w:val="00965662"/>
    <w:rsid w:val="00965689"/>
    <w:rsid w:val="00965694"/>
    <w:rsid w:val="0096645C"/>
    <w:rsid w:val="00966AB9"/>
    <w:rsid w:val="00966DC2"/>
    <w:rsid w:val="009675A2"/>
    <w:rsid w:val="009676A9"/>
    <w:rsid w:val="00967B3C"/>
    <w:rsid w:val="009704AD"/>
    <w:rsid w:val="009705BF"/>
    <w:rsid w:val="00971270"/>
    <w:rsid w:val="009716C5"/>
    <w:rsid w:val="0097197D"/>
    <w:rsid w:val="00972743"/>
    <w:rsid w:val="00972D86"/>
    <w:rsid w:val="009730DF"/>
    <w:rsid w:val="00973AB3"/>
    <w:rsid w:val="00973E04"/>
    <w:rsid w:val="00974B4D"/>
    <w:rsid w:val="009751F6"/>
    <w:rsid w:val="00975218"/>
    <w:rsid w:val="00975BDD"/>
    <w:rsid w:val="00975DAD"/>
    <w:rsid w:val="00976BFD"/>
    <w:rsid w:val="00977134"/>
    <w:rsid w:val="009774AE"/>
    <w:rsid w:val="00977B7F"/>
    <w:rsid w:val="009801CC"/>
    <w:rsid w:val="00980A50"/>
    <w:rsid w:val="00980B47"/>
    <w:rsid w:val="00981570"/>
    <w:rsid w:val="009817EC"/>
    <w:rsid w:val="009819F4"/>
    <w:rsid w:val="0098211A"/>
    <w:rsid w:val="00982145"/>
    <w:rsid w:val="009824BB"/>
    <w:rsid w:val="009828BD"/>
    <w:rsid w:val="009834E3"/>
    <w:rsid w:val="0098424C"/>
    <w:rsid w:val="0098429F"/>
    <w:rsid w:val="009846D2"/>
    <w:rsid w:val="0098536C"/>
    <w:rsid w:val="00986FE8"/>
    <w:rsid w:val="00987259"/>
    <w:rsid w:val="009879F1"/>
    <w:rsid w:val="00987B9C"/>
    <w:rsid w:val="00987E3E"/>
    <w:rsid w:val="00990A58"/>
    <w:rsid w:val="0099114D"/>
    <w:rsid w:val="0099181F"/>
    <w:rsid w:val="00991965"/>
    <w:rsid w:val="00991E51"/>
    <w:rsid w:val="0099257D"/>
    <w:rsid w:val="009928A3"/>
    <w:rsid w:val="00992B41"/>
    <w:rsid w:val="00992C77"/>
    <w:rsid w:val="00992CDC"/>
    <w:rsid w:val="00992E14"/>
    <w:rsid w:val="00993020"/>
    <w:rsid w:val="00993237"/>
    <w:rsid w:val="00993238"/>
    <w:rsid w:val="0099348A"/>
    <w:rsid w:val="00993926"/>
    <w:rsid w:val="009946CE"/>
    <w:rsid w:val="00994974"/>
    <w:rsid w:val="00995643"/>
    <w:rsid w:val="00995E21"/>
    <w:rsid w:val="0099726F"/>
    <w:rsid w:val="00997366"/>
    <w:rsid w:val="009975A6"/>
    <w:rsid w:val="009A0FBC"/>
    <w:rsid w:val="009A3706"/>
    <w:rsid w:val="009A3960"/>
    <w:rsid w:val="009A3A88"/>
    <w:rsid w:val="009A4000"/>
    <w:rsid w:val="009A47C7"/>
    <w:rsid w:val="009A484B"/>
    <w:rsid w:val="009A5CD6"/>
    <w:rsid w:val="009A5E5F"/>
    <w:rsid w:val="009A6C17"/>
    <w:rsid w:val="009A6F0F"/>
    <w:rsid w:val="009A7FA9"/>
    <w:rsid w:val="009B04DB"/>
    <w:rsid w:val="009B0DCD"/>
    <w:rsid w:val="009B0F58"/>
    <w:rsid w:val="009B148B"/>
    <w:rsid w:val="009B1FAA"/>
    <w:rsid w:val="009B23D4"/>
    <w:rsid w:val="009B24B1"/>
    <w:rsid w:val="009B2604"/>
    <w:rsid w:val="009B28CA"/>
    <w:rsid w:val="009B2A08"/>
    <w:rsid w:val="009B33D9"/>
    <w:rsid w:val="009B3A14"/>
    <w:rsid w:val="009B41D2"/>
    <w:rsid w:val="009B5513"/>
    <w:rsid w:val="009B598A"/>
    <w:rsid w:val="009B5B10"/>
    <w:rsid w:val="009B5BE7"/>
    <w:rsid w:val="009B60A0"/>
    <w:rsid w:val="009C047F"/>
    <w:rsid w:val="009C0A20"/>
    <w:rsid w:val="009C0A75"/>
    <w:rsid w:val="009C1382"/>
    <w:rsid w:val="009C1DFC"/>
    <w:rsid w:val="009C2812"/>
    <w:rsid w:val="009C2D6F"/>
    <w:rsid w:val="009C411E"/>
    <w:rsid w:val="009C429D"/>
    <w:rsid w:val="009C42C0"/>
    <w:rsid w:val="009C4CE8"/>
    <w:rsid w:val="009C4EB2"/>
    <w:rsid w:val="009C4ED2"/>
    <w:rsid w:val="009C55C9"/>
    <w:rsid w:val="009C5D41"/>
    <w:rsid w:val="009C5E74"/>
    <w:rsid w:val="009C6CE6"/>
    <w:rsid w:val="009C6F2F"/>
    <w:rsid w:val="009C71B2"/>
    <w:rsid w:val="009C7621"/>
    <w:rsid w:val="009D0471"/>
    <w:rsid w:val="009D07FE"/>
    <w:rsid w:val="009D1437"/>
    <w:rsid w:val="009D163F"/>
    <w:rsid w:val="009D1FA8"/>
    <w:rsid w:val="009D21D6"/>
    <w:rsid w:val="009D2E5D"/>
    <w:rsid w:val="009D2EF4"/>
    <w:rsid w:val="009D39F4"/>
    <w:rsid w:val="009D4267"/>
    <w:rsid w:val="009D4714"/>
    <w:rsid w:val="009D47F2"/>
    <w:rsid w:val="009D4825"/>
    <w:rsid w:val="009D538C"/>
    <w:rsid w:val="009D58D3"/>
    <w:rsid w:val="009D5949"/>
    <w:rsid w:val="009D5B28"/>
    <w:rsid w:val="009D6A56"/>
    <w:rsid w:val="009D6A7D"/>
    <w:rsid w:val="009D703B"/>
    <w:rsid w:val="009D762A"/>
    <w:rsid w:val="009D7943"/>
    <w:rsid w:val="009D7F90"/>
    <w:rsid w:val="009E0609"/>
    <w:rsid w:val="009E08B9"/>
    <w:rsid w:val="009E10F4"/>
    <w:rsid w:val="009E1211"/>
    <w:rsid w:val="009E162A"/>
    <w:rsid w:val="009E26B5"/>
    <w:rsid w:val="009E3342"/>
    <w:rsid w:val="009E3598"/>
    <w:rsid w:val="009E36C2"/>
    <w:rsid w:val="009E411F"/>
    <w:rsid w:val="009E4728"/>
    <w:rsid w:val="009E4E30"/>
    <w:rsid w:val="009E505B"/>
    <w:rsid w:val="009E67D5"/>
    <w:rsid w:val="009E6AD0"/>
    <w:rsid w:val="009E7775"/>
    <w:rsid w:val="009E79AB"/>
    <w:rsid w:val="009F08A7"/>
    <w:rsid w:val="009F1724"/>
    <w:rsid w:val="009F1D78"/>
    <w:rsid w:val="009F2F33"/>
    <w:rsid w:val="009F4978"/>
    <w:rsid w:val="009F4F84"/>
    <w:rsid w:val="009F5432"/>
    <w:rsid w:val="009F556F"/>
    <w:rsid w:val="009F56BC"/>
    <w:rsid w:val="009F577B"/>
    <w:rsid w:val="009F5F0B"/>
    <w:rsid w:val="009F6C30"/>
    <w:rsid w:val="009F72F0"/>
    <w:rsid w:val="00A006B5"/>
    <w:rsid w:val="00A019FA"/>
    <w:rsid w:val="00A02564"/>
    <w:rsid w:val="00A029B8"/>
    <w:rsid w:val="00A02BD9"/>
    <w:rsid w:val="00A02FC4"/>
    <w:rsid w:val="00A03341"/>
    <w:rsid w:val="00A036DC"/>
    <w:rsid w:val="00A03C4F"/>
    <w:rsid w:val="00A04FF8"/>
    <w:rsid w:val="00A05A0B"/>
    <w:rsid w:val="00A06101"/>
    <w:rsid w:val="00A0673D"/>
    <w:rsid w:val="00A068F2"/>
    <w:rsid w:val="00A073DA"/>
    <w:rsid w:val="00A100DE"/>
    <w:rsid w:val="00A105C2"/>
    <w:rsid w:val="00A1082B"/>
    <w:rsid w:val="00A10846"/>
    <w:rsid w:val="00A109B6"/>
    <w:rsid w:val="00A10AC0"/>
    <w:rsid w:val="00A10B8B"/>
    <w:rsid w:val="00A10DED"/>
    <w:rsid w:val="00A11B04"/>
    <w:rsid w:val="00A12167"/>
    <w:rsid w:val="00A12559"/>
    <w:rsid w:val="00A12691"/>
    <w:rsid w:val="00A12C91"/>
    <w:rsid w:val="00A12EE7"/>
    <w:rsid w:val="00A131BF"/>
    <w:rsid w:val="00A13E3D"/>
    <w:rsid w:val="00A13F85"/>
    <w:rsid w:val="00A13FDC"/>
    <w:rsid w:val="00A148B7"/>
    <w:rsid w:val="00A1495E"/>
    <w:rsid w:val="00A150B4"/>
    <w:rsid w:val="00A15783"/>
    <w:rsid w:val="00A161CF"/>
    <w:rsid w:val="00A16C98"/>
    <w:rsid w:val="00A173B8"/>
    <w:rsid w:val="00A20F9A"/>
    <w:rsid w:val="00A21C4F"/>
    <w:rsid w:val="00A23D1B"/>
    <w:rsid w:val="00A23ECF"/>
    <w:rsid w:val="00A2652C"/>
    <w:rsid w:val="00A2656A"/>
    <w:rsid w:val="00A269F8"/>
    <w:rsid w:val="00A26C4D"/>
    <w:rsid w:val="00A26ECE"/>
    <w:rsid w:val="00A273F5"/>
    <w:rsid w:val="00A27777"/>
    <w:rsid w:val="00A304BD"/>
    <w:rsid w:val="00A30901"/>
    <w:rsid w:val="00A30959"/>
    <w:rsid w:val="00A3124F"/>
    <w:rsid w:val="00A31551"/>
    <w:rsid w:val="00A318B5"/>
    <w:rsid w:val="00A33125"/>
    <w:rsid w:val="00A331CB"/>
    <w:rsid w:val="00A33593"/>
    <w:rsid w:val="00A33A47"/>
    <w:rsid w:val="00A33AE1"/>
    <w:rsid w:val="00A33B37"/>
    <w:rsid w:val="00A342BD"/>
    <w:rsid w:val="00A34693"/>
    <w:rsid w:val="00A346FB"/>
    <w:rsid w:val="00A34D8C"/>
    <w:rsid w:val="00A34ECC"/>
    <w:rsid w:val="00A35980"/>
    <w:rsid w:val="00A35D6D"/>
    <w:rsid w:val="00A362C7"/>
    <w:rsid w:val="00A36EA0"/>
    <w:rsid w:val="00A36FF7"/>
    <w:rsid w:val="00A37333"/>
    <w:rsid w:val="00A37A83"/>
    <w:rsid w:val="00A37CFC"/>
    <w:rsid w:val="00A40462"/>
    <w:rsid w:val="00A410E4"/>
    <w:rsid w:val="00A413A8"/>
    <w:rsid w:val="00A41AD1"/>
    <w:rsid w:val="00A41D83"/>
    <w:rsid w:val="00A42080"/>
    <w:rsid w:val="00A42505"/>
    <w:rsid w:val="00A42CDD"/>
    <w:rsid w:val="00A432AF"/>
    <w:rsid w:val="00A43973"/>
    <w:rsid w:val="00A444F3"/>
    <w:rsid w:val="00A44813"/>
    <w:rsid w:val="00A454F9"/>
    <w:rsid w:val="00A46062"/>
    <w:rsid w:val="00A46C6B"/>
    <w:rsid w:val="00A47022"/>
    <w:rsid w:val="00A47370"/>
    <w:rsid w:val="00A47F90"/>
    <w:rsid w:val="00A50035"/>
    <w:rsid w:val="00A50DE5"/>
    <w:rsid w:val="00A51402"/>
    <w:rsid w:val="00A5275F"/>
    <w:rsid w:val="00A52E18"/>
    <w:rsid w:val="00A5336C"/>
    <w:rsid w:val="00A535F7"/>
    <w:rsid w:val="00A537E9"/>
    <w:rsid w:val="00A548C4"/>
    <w:rsid w:val="00A54931"/>
    <w:rsid w:val="00A54BB4"/>
    <w:rsid w:val="00A54E78"/>
    <w:rsid w:val="00A60AA8"/>
    <w:rsid w:val="00A60D78"/>
    <w:rsid w:val="00A61E4C"/>
    <w:rsid w:val="00A62B47"/>
    <w:rsid w:val="00A63627"/>
    <w:rsid w:val="00A6377F"/>
    <w:rsid w:val="00A64AA3"/>
    <w:rsid w:val="00A64DB7"/>
    <w:rsid w:val="00A64E76"/>
    <w:rsid w:val="00A64F11"/>
    <w:rsid w:val="00A65B12"/>
    <w:rsid w:val="00A66417"/>
    <w:rsid w:val="00A6680D"/>
    <w:rsid w:val="00A668EF"/>
    <w:rsid w:val="00A66F03"/>
    <w:rsid w:val="00A67967"/>
    <w:rsid w:val="00A67A7B"/>
    <w:rsid w:val="00A67B9F"/>
    <w:rsid w:val="00A67F50"/>
    <w:rsid w:val="00A7137A"/>
    <w:rsid w:val="00A71596"/>
    <w:rsid w:val="00A71D9C"/>
    <w:rsid w:val="00A71E10"/>
    <w:rsid w:val="00A721D4"/>
    <w:rsid w:val="00A725B6"/>
    <w:rsid w:val="00A72D13"/>
    <w:rsid w:val="00A730BB"/>
    <w:rsid w:val="00A739D0"/>
    <w:rsid w:val="00A73C84"/>
    <w:rsid w:val="00A74AB5"/>
    <w:rsid w:val="00A76401"/>
    <w:rsid w:val="00A764FB"/>
    <w:rsid w:val="00A8036A"/>
    <w:rsid w:val="00A80B0C"/>
    <w:rsid w:val="00A8130C"/>
    <w:rsid w:val="00A816A7"/>
    <w:rsid w:val="00A81AFF"/>
    <w:rsid w:val="00A81C58"/>
    <w:rsid w:val="00A8358B"/>
    <w:rsid w:val="00A83AE2"/>
    <w:rsid w:val="00A83CC2"/>
    <w:rsid w:val="00A84206"/>
    <w:rsid w:val="00A84CEF"/>
    <w:rsid w:val="00A85206"/>
    <w:rsid w:val="00A854B7"/>
    <w:rsid w:val="00A85F80"/>
    <w:rsid w:val="00A870C3"/>
    <w:rsid w:val="00A87BB0"/>
    <w:rsid w:val="00A87CF6"/>
    <w:rsid w:val="00A900EF"/>
    <w:rsid w:val="00A904C3"/>
    <w:rsid w:val="00A9092C"/>
    <w:rsid w:val="00A90CA8"/>
    <w:rsid w:val="00A91075"/>
    <w:rsid w:val="00A919C6"/>
    <w:rsid w:val="00A91F78"/>
    <w:rsid w:val="00A92A64"/>
    <w:rsid w:val="00A93271"/>
    <w:rsid w:val="00A9333B"/>
    <w:rsid w:val="00A93523"/>
    <w:rsid w:val="00A93FB9"/>
    <w:rsid w:val="00A941FE"/>
    <w:rsid w:val="00A945AB"/>
    <w:rsid w:val="00A9494C"/>
    <w:rsid w:val="00A94EAE"/>
    <w:rsid w:val="00A95507"/>
    <w:rsid w:val="00A96403"/>
    <w:rsid w:val="00A968A5"/>
    <w:rsid w:val="00A969CE"/>
    <w:rsid w:val="00A97237"/>
    <w:rsid w:val="00A97690"/>
    <w:rsid w:val="00A976B3"/>
    <w:rsid w:val="00A97710"/>
    <w:rsid w:val="00AA0715"/>
    <w:rsid w:val="00AA0A83"/>
    <w:rsid w:val="00AA0F65"/>
    <w:rsid w:val="00AA1248"/>
    <w:rsid w:val="00AA1510"/>
    <w:rsid w:val="00AA1F4E"/>
    <w:rsid w:val="00AA247F"/>
    <w:rsid w:val="00AA2809"/>
    <w:rsid w:val="00AA2A41"/>
    <w:rsid w:val="00AA2A9B"/>
    <w:rsid w:val="00AA2C6E"/>
    <w:rsid w:val="00AA389A"/>
    <w:rsid w:val="00AA5E6B"/>
    <w:rsid w:val="00AA6544"/>
    <w:rsid w:val="00AA690C"/>
    <w:rsid w:val="00AA759C"/>
    <w:rsid w:val="00AA7F5D"/>
    <w:rsid w:val="00AB03BE"/>
    <w:rsid w:val="00AB0EBF"/>
    <w:rsid w:val="00AB107A"/>
    <w:rsid w:val="00AB1B9A"/>
    <w:rsid w:val="00AB1E83"/>
    <w:rsid w:val="00AB1F15"/>
    <w:rsid w:val="00AB2A3B"/>
    <w:rsid w:val="00AB35BF"/>
    <w:rsid w:val="00AB388B"/>
    <w:rsid w:val="00AB3C34"/>
    <w:rsid w:val="00AB412E"/>
    <w:rsid w:val="00AB424F"/>
    <w:rsid w:val="00AB4476"/>
    <w:rsid w:val="00AB4BB8"/>
    <w:rsid w:val="00AB56F7"/>
    <w:rsid w:val="00AB57BB"/>
    <w:rsid w:val="00AB6161"/>
    <w:rsid w:val="00AB63BA"/>
    <w:rsid w:val="00AB6889"/>
    <w:rsid w:val="00AB6AA7"/>
    <w:rsid w:val="00AB74D2"/>
    <w:rsid w:val="00AB7933"/>
    <w:rsid w:val="00AB7C0A"/>
    <w:rsid w:val="00AC121A"/>
    <w:rsid w:val="00AC1252"/>
    <w:rsid w:val="00AC1961"/>
    <w:rsid w:val="00AC19E4"/>
    <w:rsid w:val="00AC1C5E"/>
    <w:rsid w:val="00AC23C0"/>
    <w:rsid w:val="00AC3464"/>
    <w:rsid w:val="00AC36C1"/>
    <w:rsid w:val="00AC3817"/>
    <w:rsid w:val="00AC55F7"/>
    <w:rsid w:val="00AC5973"/>
    <w:rsid w:val="00AC6FDA"/>
    <w:rsid w:val="00AC76EB"/>
    <w:rsid w:val="00AC77B4"/>
    <w:rsid w:val="00AD047E"/>
    <w:rsid w:val="00AD1093"/>
    <w:rsid w:val="00AD17E5"/>
    <w:rsid w:val="00AD1DCF"/>
    <w:rsid w:val="00AD1F22"/>
    <w:rsid w:val="00AD1FFE"/>
    <w:rsid w:val="00AD2513"/>
    <w:rsid w:val="00AD2F1A"/>
    <w:rsid w:val="00AD3F82"/>
    <w:rsid w:val="00AD42C4"/>
    <w:rsid w:val="00AD4DBD"/>
    <w:rsid w:val="00AD4F65"/>
    <w:rsid w:val="00AD56EA"/>
    <w:rsid w:val="00AD7181"/>
    <w:rsid w:val="00AD71DF"/>
    <w:rsid w:val="00AE042A"/>
    <w:rsid w:val="00AE08B3"/>
    <w:rsid w:val="00AE17A2"/>
    <w:rsid w:val="00AE1927"/>
    <w:rsid w:val="00AE2C4C"/>
    <w:rsid w:val="00AE2F71"/>
    <w:rsid w:val="00AE3A22"/>
    <w:rsid w:val="00AE4E70"/>
    <w:rsid w:val="00AE57B9"/>
    <w:rsid w:val="00AE5ED4"/>
    <w:rsid w:val="00AE6CA0"/>
    <w:rsid w:val="00AE6F4C"/>
    <w:rsid w:val="00AE72BB"/>
    <w:rsid w:val="00AE74F0"/>
    <w:rsid w:val="00AE7CD2"/>
    <w:rsid w:val="00AE7D95"/>
    <w:rsid w:val="00AF040E"/>
    <w:rsid w:val="00AF064A"/>
    <w:rsid w:val="00AF06EC"/>
    <w:rsid w:val="00AF128A"/>
    <w:rsid w:val="00AF14C8"/>
    <w:rsid w:val="00AF1A5F"/>
    <w:rsid w:val="00AF25DC"/>
    <w:rsid w:val="00AF2786"/>
    <w:rsid w:val="00AF2EBC"/>
    <w:rsid w:val="00AF3398"/>
    <w:rsid w:val="00AF4DD6"/>
    <w:rsid w:val="00AF506C"/>
    <w:rsid w:val="00AF58F6"/>
    <w:rsid w:val="00AF5A2F"/>
    <w:rsid w:val="00AF5A6F"/>
    <w:rsid w:val="00AF61CC"/>
    <w:rsid w:val="00AF6C9A"/>
    <w:rsid w:val="00AF7608"/>
    <w:rsid w:val="00AF7EB3"/>
    <w:rsid w:val="00B00423"/>
    <w:rsid w:val="00B00D43"/>
    <w:rsid w:val="00B00F66"/>
    <w:rsid w:val="00B01057"/>
    <w:rsid w:val="00B01142"/>
    <w:rsid w:val="00B013BB"/>
    <w:rsid w:val="00B03683"/>
    <w:rsid w:val="00B037E5"/>
    <w:rsid w:val="00B03BCE"/>
    <w:rsid w:val="00B047AF"/>
    <w:rsid w:val="00B0534B"/>
    <w:rsid w:val="00B057F3"/>
    <w:rsid w:val="00B058E9"/>
    <w:rsid w:val="00B06601"/>
    <w:rsid w:val="00B07535"/>
    <w:rsid w:val="00B07542"/>
    <w:rsid w:val="00B07AE7"/>
    <w:rsid w:val="00B07E2B"/>
    <w:rsid w:val="00B100BA"/>
    <w:rsid w:val="00B10200"/>
    <w:rsid w:val="00B10349"/>
    <w:rsid w:val="00B10373"/>
    <w:rsid w:val="00B10710"/>
    <w:rsid w:val="00B109E2"/>
    <w:rsid w:val="00B10EFA"/>
    <w:rsid w:val="00B11940"/>
    <w:rsid w:val="00B12013"/>
    <w:rsid w:val="00B12765"/>
    <w:rsid w:val="00B13966"/>
    <w:rsid w:val="00B13ABB"/>
    <w:rsid w:val="00B14600"/>
    <w:rsid w:val="00B14A0C"/>
    <w:rsid w:val="00B15734"/>
    <w:rsid w:val="00B161E0"/>
    <w:rsid w:val="00B16A65"/>
    <w:rsid w:val="00B177A1"/>
    <w:rsid w:val="00B17960"/>
    <w:rsid w:val="00B179E0"/>
    <w:rsid w:val="00B17E0B"/>
    <w:rsid w:val="00B203AC"/>
    <w:rsid w:val="00B2060B"/>
    <w:rsid w:val="00B20E53"/>
    <w:rsid w:val="00B2102B"/>
    <w:rsid w:val="00B217AF"/>
    <w:rsid w:val="00B22071"/>
    <w:rsid w:val="00B22533"/>
    <w:rsid w:val="00B22C86"/>
    <w:rsid w:val="00B23DBD"/>
    <w:rsid w:val="00B24116"/>
    <w:rsid w:val="00B24451"/>
    <w:rsid w:val="00B24514"/>
    <w:rsid w:val="00B2463F"/>
    <w:rsid w:val="00B24717"/>
    <w:rsid w:val="00B24859"/>
    <w:rsid w:val="00B2509B"/>
    <w:rsid w:val="00B25F17"/>
    <w:rsid w:val="00B264F4"/>
    <w:rsid w:val="00B2730C"/>
    <w:rsid w:val="00B27479"/>
    <w:rsid w:val="00B2755C"/>
    <w:rsid w:val="00B27C73"/>
    <w:rsid w:val="00B30971"/>
    <w:rsid w:val="00B30C3D"/>
    <w:rsid w:val="00B30C9E"/>
    <w:rsid w:val="00B3258F"/>
    <w:rsid w:val="00B33445"/>
    <w:rsid w:val="00B33716"/>
    <w:rsid w:val="00B33C2C"/>
    <w:rsid w:val="00B33F18"/>
    <w:rsid w:val="00B343AC"/>
    <w:rsid w:val="00B34775"/>
    <w:rsid w:val="00B347AD"/>
    <w:rsid w:val="00B34BBB"/>
    <w:rsid w:val="00B34C2C"/>
    <w:rsid w:val="00B34DB2"/>
    <w:rsid w:val="00B34F4F"/>
    <w:rsid w:val="00B35135"/>
    <w:rsid w:val="00B35C07"/>
    <w:rsid w:val="00B35C19"/>
    <w:rsid w:val="00B35F62"/>
    <w:rsid w:val="00B361E3"/>
    <w:rsid w:val="00B365D7"/>
    <w:rsid w:val="00B37245"/>
    <w:rsid w:val="00B37A1F"/>
    <w:rsid w:val="00B4000D"/>
    <w:rsid w:val="00B4030F"/>
    <w:rsid w:val="00B40758"/>
    <w:rsid w:val="00B40D50"/>
    <w:rsid w:val="00B4156D"/>
    <w:rsid w:val="00B41582"/>
    <w:rsid w:val="00B415C7"/>
    <w:rsid w:val="00B41F5B"/>
    <w:rsid w:val="00B4234E"/>
    <w:rsid w:val="00B42B71"/>
    <w:rsid w:val="00B42D4D"/>
    <w:rsid w:val="00B42D5E"/>
    <w:rsid w:val="00B43F5E"/>
    <w:rsid w:val="00B4571D"/>
    <w:rsid w:val="00B459E0"/>
    <w:rsid w:val="00B45A91"/>
    <w:rsid w:val="00B4717F"/>
    <w:rsid w:val="00B4761C"/>
    <w:rsid w:val="00B4782D"/>
    <w:rsid w:val="00B500E8"/>
    <w:rsid w:val="00B50244"/>
    <w:rsid w:val="00B5035D"/>
    <w:rsid w:val="00B505D4"/>
    <w:rsid w:val="00B52098"/>
    <w:rsid w:val="00B52AED"/>
    <w:rsid w:val="00B52EB8"/>
    <w:rsid w:val="00B53868"/>
    <w:rsid w:val="00B53B2C"/>
    <w:rsid w:val="00B53BAB"/>
    <w:rsid w:val="00B53F9D"/>
    <w:rsid w:val="00B54C93"/>
    <w:rsid w:val="00B55376"/>
    <w:rsid w:val="00B555A8"/>
    <w:rsid w:val="00B55E69"/>
    <w:rsid w:val="00B56549"/>
    <w:rsid w:val="00B56D77"/>
    <w:rsid w:val="00B56F11"/>
    <w:rsid w:val="00B57BDD"/>
    <w:rsid w:val="00B604A4"/>
    <w:rsid w:val="00B609AC"/>
    <w:rsid w:val="00B60A2D"/>
    <w:rsid w:val="00B60C09"/>
    <w:rsid w:val="00B60C2E"/>
    <w:rsid w:val="00B61DD9"/>
    <w:rsid w:val="00B626C6"/>
    <w:rsid w:val="00B62D42"/>
    <w:rsid w:val="00B63402"/>
    <w:rsid w:val="00B64160"/>
    <w:rsid w:val="00B64B45"/>
    <w:rsid w:val="00B64CB5"/>
    <w:rsid w:val="00B65CC1"/>
    <w:rsid w:val="00B66CB5"/>
    <w:rsid w:val="00B672C4"/>
    <w:rsid w:val="00B674FD"/>
    <w:rsid w:val="00B67900"/>
    <w:rsid w:val="00B67CBF"/>
    <w:rsid w:val="00B7077E"/>
    <w:rsid w:val="00B70818"/>
    <w:rsid w:val="00B70B69"/>
    <w:rsid w:val="00B70BCA"/>
    <w:rsid w:val="00B71BAB"/>
    <w:rsid w:val="00B7256A"/>
    <w:rsid w:val="00B72A2C"/>
    <w:rsid w:val="00B72AAF"/>
    <w:rsid w:val="00B72C04"/>
    <w:rsid w:val="00B731C0"/>
    <w:rsid w:val="00B73F71"/>
    <w:rsid w:val="00B741A0"/>
    <w:rsid w:val="00B746CF"/>
    <w:rsid w:val="00B7494E"/>
    <w:rsid w:val="00B74AB0"/>
    <w:rsid w:val="00B75D93"/>
    <w:rsid w:val="00B75FB4"/>
    <w:rsid w:val="00B7671E"/>
    <w:rsid w:val="00B7690B"/>
    <w:rsid w:val="00B77812"/>
    <w:rsid w:val="00B8000F"/>
    <w:rsid w:val="00B808D6"/>
    <w:rsid w:val="00B81594"/>
    <w:rsid w:val="00B8174D"/>
    <w:rsid w:val="00B8252D"/>
    <w:rsid w:val="00B82BCB"/>
    <w:rsid w:val="00B831B4"/>
    <w:rsid w:val="00B834F5"/>
    <w:rsid w:val="00B8401F"/>
    <w:rsid w:val="00B848AC"/>
    <w:rsid w:val="00B8551B"/>
    <w:rsid w:val="00B85673"/>
    <w:rsid w:val="00B85AF0"/>
    <w:rsid w:val="00B85CEB"/>
    <w:rsid w:val="00B85E2D"/>
    <w:rsid w:val="00B901C4"/>
    <w:rsid w:val="00B90317"/>
    <w:rsid w:val="00B905B3"/>
    <w:rsid w:val="00B907C9"/>
    <w:rsid w:val="00B908A9"/>
    <w:rsid w:val="00B90C5E"/>
    <w:rsid w:val="00B929B6"/>
    <w:rsid w:val="00B931F1"/>
    <w:rsid w:val="00B946CA"/>
    <w:rsid w:val="00B94C6B"/>
    <w:rsid w:val="00B9614E"/>
    <w:rsid w:val="00B96853"/>
    <w:rsid w:val="00B96F34"/>
    <w:rsid w:val="00B97720"/>
    <w:rsid w:val="00B9777A"/>
    <w:rsid w:val="00B977A6"/>
    <w:rsid w:val="00B97EF2"/>
    <w:rsid w:val="00BA2CC9"/>
    <w:rsid w:val="00BA2D85"/>
    <w:rsid w:val="00BA3C47"/>
    <w:rsid w:val="00BA43B6"/>
    <w:rsid w:val="00BA4650"/>
    <w:rsid w:val="00BA4BAC"/>
    <w:rsid w:val="00BA4DD5"/>
    <w:rsid w:val="00BA51C6"/>
    <w:rsid w:val="00BA55C9"/>
    <w:rsid w:val="00BA56D7"/>
    <w:rsid w:val="00BA618C"/>
    <w:rsid w:val="00BA6396"/>
    <w:rsid w:val="00BA6AB0"/>
    <w:rsid w:val="00BA6B9F"/>
    <w:rsid w:val="00BA71C4"/>
    <w:rsid w:val="00BA7B22"/>
    <w:rsid w:val="00BB047E"/>
    <w:rsid w:val="00BB0998"/>
    <w:rsid w:val="00BB149E"/>
    <w:rsid w:val="00BB1D72"/>
    <w:rsid w:val="00BB36E6"/>
    <w:rsid w:val="00BB3EFD"/>
    <w:rsid w:val="00BB445F"/>
    <w:rsid w:val="00BB4CC3"/>
    <w:rsid w:val="00BB6358"/>
    <w:rsid w:val="00BB66A0"/>
    <w:rsid w:val="00BB67BD"/>
    <w:rsid w:val="00BB67DF"/>
    <w:rsid w:val="00BB690F"/>
    <w:rsid w:val="00BB6A7D"/>
    <w:rsid w:val="00BB73E2"/>
    <w:rsid w:val="00BB7588"/>
    <w:rsid w:val="00BB770D"/>
    <w:rsid w:val="00BB78CA"/>
    <w:rsid w:val="00BB79DC"/>
    <w:rsid w:val="00BB7AB0"/>
    <w:rsid w:val="00BB7D83"/>
    <w:rsid w:val="00BC0044"/>
    <w:rsid w:val="00BC2499"/>
    <w:rsid w:val="00BC2605"/>
    <w:rsid w:val="00BC27BD"/>
    <w:rsid w:val="00BC4053"/>
    <w:rsid w:val="00BC40F8"/>
    <w:rsid w:val="00BC45BE"/>
    <w:rsid w:val="00BC4AFD"/>
    <w:rsid w:val="00BC5757"/>
    <w:rsid w:val="00BC58E9"/>
    <w:rsid w:val="00BC5E33"/>
    <w:rsid w:val="00BC5F93"/>
    <w:rsid w:val="00BC6167"/>
    <w:rsid w:val="00BC6463"/>
    <w:rsid w:val="00BC7F3F"/>
    <w:rsid w:val="00BD0083"/>
    <w:rsid w:val="00BD142E"/>
    <w:rsid w:val="00BD180C"/>
    <w:rsid w:val="00BD2046"/>
    <w:rsid w:val="00BD2257"/>
    <w:rsid w:val="00BD23E3"/>
    <w:rsid w:val="00BD26FC"/>
    <w:rsid w:val="00BD29AC"/>
    <w:rsid w:val="00BD2FB8"/>
    <w:rsid w:val="00BD3837"/>
    <w:rsid w:val="00BD4641"/>
    <w:rsid w:val="00BD4D10"/>
    <w:rsid w:val="00BD4FB6"/>
    <w:rsid w:val="00BD4FCE"/>
    <w:rsid w:val="00BD5D52"/>
    <w:rsid w:val="00BD5F62"/>
    <w:rsid w:val="00BD6941"/>
    <w:rsid w:val="00BD6A5D"/>
    <w:rsid w:val="00BD6DCE"/>
    <w:rsid w:val="00BD73E4"/>
    <w:rsid w:val="00BD7824"/>
    <w:rsid w:val="00BE03FC"/>
    <w:rsid w:val="00BE0D15"/>
    <w:rsid w:val="00BE0E39"/>
    <w:rsid w:val="00BE16D6"/>
    <w:rsid w:val="00BE16E0"/>
    <w:rsid w:val="00BE17D3"/>
    <w:rsid w:val="00BE1BBA"/>
    <w:rsid w:val="00BE2C93"/>
    <w:rsid w:val="00BE3534"/>
    <w:rsid w:val="00BE3F88"/>
    <w:rsid w:val="00BE4189"/>
    <w:rsid w:val="00BE4661"/>
    <w:rsid w:val="00BE54CC"/>
    <w:rsid w:val="00BE5598"/>
    <w:rsid w:val="00BE6636"/>
    <w:rsid w:val="00BE6DEB"/>
    <w:rsid w:val="00BE6E52"/>
    <w:rsid w:val="00BF06AB"/>
    <w:rsid w:val="00BF0F41"/>
    <w:rsid w:val="00BF0F58"/>
    <w:rsid w:val="00BF1696"/>
    <w:rsid w:val="00BF2044"/>
    <w:rsid w:val="00BF256B"/>
    <w:rsid w:val="00BF2700"/>
    <w:rsid w:val="00BF2A51"/>
    <w:rsid w:val="00BF2C2E"/>
    <w:rsid w:val="00BF3F21"/>
    <w:rsid w:val="00BF4503"/>
    <w:rsid w:val="00BF4A50"/>
    <w:rsid w:val="00BF4EA9"/>
    <w:rsid w:val="00BF5C11"/>
    <w:rsid w:val="00BF5D97"/>
    <w:rsid w:val="00C00238"/>
    <w:rsid w:val="00C0044A"/>
    <w:rsid w:val="00C00916"/>
    <w:rsid w:val="00C00AD6"/>
    <w:rsid w:val="00C00B3A"/>
    <w:rsid w:val="00C00C2D"/>
    <w:rsid w:val="00C00D85"/>
    <w:rsid w:val="00C01406"/>
    <w:rsid w:val="00C01B42"/>
    <w:rsid w:val="00C01FD8"/>
    <w:rsid w:val="00C0222E"/>
    <w:rsid w:val="00C0231A"/>
    <w:rsid w:val="00C02431"/>
    <w:rsid w:val="00C039E7"/>
    <w:rsid w:val="00C046E7"/>
    <w:rsid w:val="00C04759"/>
    <w:rsid w:val="00C04DC9"/>
    <w:rsid w:val="00C04E43"/>
    <w:rsid w:val="00C04E48"/>
    <w:rsid w:val="00C0518F"/>
    <w:rsid w:val="00C05B2B"/>
    <w:rsid w:val="00C05C4E"/>
    <w:rsid w:val="00C0649C"/>
    <w:rsid w:val="00C077B5"/>
    <w:rsid w:val="00C10100"/>
    <w:rsid w:val="00C1041C"/>
    <w:rsid w:val="00C1064E"/>
    <w:rsid w:val="00C10F0F"/>
    <w:rsid w:val="00C110D0"/>
    <w:rsid w:val="00C12E00"/>
    <w:rsid w:val="00C13A82"/>
    <w:rsid w:val="00C13CC3"/>
    <w:rsid w:val="00C13E64"/>
    <w:rsid w:val="00C146C8"/>
    <w:rsid w:val="00C153A7"/>
    <w:rsid w:val="00C15FFE"/>
    <w:rsid w:val="00C1691F"/>
    <w:rsid w:val="00C16A87"/>
    <w:rsid w:val="00C179B6"/>
    <w:rsid w:val="00C2090B"/>
    <w:rsid w:val="00C21281"/>
    <w:rsid w:val="00C21905"/>
    <w:rsid w:val="00C219A5"/>
    <w:rsid w:val="00C23545"/>
    <w:rsid w:val="00C2370E"/>
    <w:rsid w:val="00C24E7A"/>
    <w:rsid w:val="00C25699"/>
    <w:rsid w:val="00C25F03"/>
    <w:rsid w:val="00C26E2E"/>
    <w:rsid w:val="00C2774B"/>
    <w:rsid w:val="00C27E03"/>
    <w:rsid w:val="00C30431"/>
    <w:rsid w:val="00C31BA8"/>
    <w:rsid w:val="00C32376"/>
    <w:rsid w:val="00C32DA1"/>
    <w:rsid w:val="00C32F3E"/>
    <w:rsid w:val="00C33678"/>
    <w:rsid w:val="00C33BFC"/>
    <w:rsid w:val="00C33CAB"/>
    <w:rsid w:val="00C34693"/>
    <w:rsid w:val="00C3476B"/>
    <w:rsid w:val="00C352D9"/>
    <w:rsid w:val="00C35AAA"/>
    <w:rsid w:val="00C378ED"/>
    <w:rsid w:val="00C37C6A"/>
    <w:rsid w:val="00C4064B"/>
    <w:rsid w:val="00C40F12"/>
    <w:rsid w:val="00C41096"/>
    <w:rsid w:val="00C410B3"/>
    <w:rsid w:val="00C417B6"/>
    <w:rsid w:val="00C418F6"/>
    <w:rsid w:val="00C41DFA"/>
    <w:rsid w:val="00C441E2"/>
    <w:rsid w:val="00C44698"/>
    <w:rsid w:val="00C44B29"/>
    <w:rsid w:val="00C4530E"/>
    <w:rsid w:val="00C457A4"/>
    <w:rsid w:val="00C4683D"/>
    <w:rsid w:val="00C4686F"/>
    <w:rsid w:val="00C46E13"/>
    <w:rsid w:val="00C474DC"/>
    <w:rsid w:val="00C47546"/>
    <w:rsid w:val="00C507AC"/>
    <w:rsid w:val="00C5086B"/>
    <w:rsid w:val="00C50CEC"/>
    <w:rsid w:val="00C50DFE"/>
    <w:rsid w:val="00C51B78"/>
    <w:rsid w:val="00C51F84"/>
    <w:rsid w:val="00C51F93"/>
    <w:rsid w:val="00C5214A"/>
    <w:rsid w:val="00C5237F"/>
    <w:rsid w:val="00C52A77"/>
    <w:rsid w:val="00C52B6E"/>
    <w:rsid w:val="00C52F92"/>
    <w:rsid w:val="00C546D7"/>
    <w:rsid w:val="00C54F03"/>
    <w:rsid w:val="00C54FC9"/>
    <w:rsid w:val="00C55A0B"/>
    <w:rsid w:val="00C56732"/>
    <w:rsid w:val="00C567D5"/>
    <w:rsid w:val="00C57972"/>
    <w:rsid w:val="00C57C2F"/>
    <w:rsid w:val="00C6081F"/>
    <w:rsid w:val="00C60FD2"/>
    <w:rsid w:val="00C61444"/>
    <w:rsid w:val="00C616F0"/>
    <w:rsid w:val="00C62114"/>
    <w:rsid w:val="00C62D95"/>
    <w:rsid w:val="00C62DAD"/>
    <w:rsid w:val="00C63928"/>
    <w:rsid w:val="00C63DB8"/>
    <w:rsid w:val="00C63E30"/>
    <w:rsid w:val="00C64082"/>
    <w:rsid w:val="00C65235"/>
    <w:rsid w:val="00C6552D"/>
    <w:rsid w:val="00C65842"/>
    <w:rsid w:val="00C66478"/>
    <w:rsid w:val="00C66483"/>
    <w:rsid w:val="00C665B8"/>
    <w:rsid w:val="00C665BE"/>
    <w:rsid w:val="00C665F1"/>
    <w:rsid w:val="00C67602"/>
    <w:rsid w:val="00C6782B"/>
    <w:rsid w:val="00C67B78"/>
    <w:rsid w:val="00C67C4C"/>
    <w:rsid w:val="00C71153"/>
    <w:rsid w:val="00C71673"/>
    <w:rsid w:val="00C71EA2"/>
    <w:rsid w:val="00C722AC"/>
    <w:rsid w:val="00C7243B"/>
    <w:rsid w:val="00C72DF2"/>
    <w:rsid w:val="00C74B30"/>
    <w:rsid w:val="00C74D14"/>
    <w:rsid w:val="00C75052"/>
    <w:rsid w:val="00C7506A"/>
    <w:rsid w:val="00C753B2"/>
    <w:rsid w:val="00C75948"/>
    <w:rsid w:val="00C75C5D"/>
    <w:rsid w:val="00C75F76"/>
    <w:rsid w:val="00C760FE"/>
    <w:rsid w:val="00C76909"/>
    <w:rsid w:val="00C778B8"/>
    <w:rsid w:val="00C77CF5"/>
    <w:rsid w:val="00C80033"/>
    <w:rsid w:val="00C808FD"/>
    <w:rsid w:val="00C80B8D"/>
    <w:rsid w:val="00C80D31"/>
    <w:rsid w:val="00C81649"/>
    <w:rsid w:val="00C82272"/>
    <w:rsid w:val="00C83594"/>
    <w:rsid w:val="00C8479F"/>
    <w:rsid w:val="00C85E83"/>
    <w:rsid w:val="00C860FE"/>
    <w:rsid w:val="00C8630E"/>
    <w:rsid w:val="00C866A2"/>
    <w:rsid w:val="00C868AF"/>
    <w:rsid w:val="00C87965"/>
    <w:rsid w:val="00C901B6"/>
    <w:rsid w:val="00C907FA"/>
    <w:rsid w:val="00C90A7A"/>
    <w:rsid w:val="00C9118E"/>
    <w:rsid w:val="00C9153C"/>
    <w:rsid w:val="00C92649"/>
    <w:rsid w:val="00C93973"/>
    <w:rsid w:val="00C93F23"/>
    <w:rsid w:val="00C94687"/>
    <w:rsid w:val="00C947D5"/>
    <w:rsid w:val="00C94FA6"/>
    <w:rsid w:val="00C95A17"/>
    <w:rsid w:val="00C9613C"/>
    <w:rsid w:val="00C96311"/>
    <w:rsid w:val="00C96B7D"/>
    <w:rsid w:val="00C96DD0"/>
    <w:rsid w:val="00C96F4E"/>
    <w:rsid w:val="00C9717F"/>
    <w:rsid w:val="00C97404"/>
    <w:rsid w:val="00C97BFE"/>
    <w:rsid w:val="00C97E65"/>
    <w:rsid w:val="00CA0164"/>
    <w:rsid w:val="00CA0788"/>
    <w:rsid w:val="00CA0CA9"/>
    <w:rsid w:val="00CA29F7"/>
    <w:rsid w:val="00CA3D7B"/>
    <w:rsid w:val="00CA4FA4"/>
    <w:rsid w:val="00CA5188"/>
    <w:rsid w:val="00CA5839"/>
    <w:rsid w:val="00CA5C7A"/>
    <w:rsid w:val="00CA5D01"/>
    <w:rsid w:val="00CA736B"/>
    <w:rsid w:val="00CA7AE7"/>
    <w:rsid w:val="00CA7C15"/>
    <w:rsid w:val="00CB00BA"/>
    <w:rsid w:val="00CB0100"/>
    <w:rsid w:val="00CB170C"/>
    <w:rsid w:val="00CB17BB"/>
    <w:rsid w:val="00CB192D"/>
    <w:rsid w:val="00CB363C"/>
    <w:rsid w:val="00CB3AD5"/>
    <w:rsid w:val="00CB4369"/>
    <w:rsid w:val="00CB4AFB"/>
    <w:rsid w:val="00CB4EC8"/>
    <w:rsid w:val="00CB5152"/>
    <w:rsid w:val="00CB53E2"/>
    <w:rsid w:val="00CB5E86"/>
    <w:rsid w:val="00CB6190"/>
    <w:rsid w:val="00CB66EB"/>
    <w:rsid w:val="00CB6D96"/>
    <w:rsid w:val="00CB767B"/>
    <w:rsid w:val="00CB78F0"/>
    <w:rsid w:val="00CB7FD5"/>
    <w:rsid w:val="00CC02A4"/>
    <w:rsid w:val="00CC04A7"/>
    <w:rsid w:val="00CC0F73"/>
    <w:rsid w:val="00CC2B2F"/>
    <w:rsid w:val="00CC3DD1"/>
    <w:rsid w:val="00CC410C"/>
    <w:rsid w:val="00CC488B"/>
    <w:rsid w:val="00CC61D2"/>
    <w:rsid w:val="00CC61F3"/>
    <w:rsid w:val="00CC63B6"/>
    <w:rsid w:val="00CC6582"/>
    <w:rsid w:val="00CC6A25"/>
    <w:rsid w:val="00CD03AE"/>
    <w:rsid w:val="00CD04D3"/>
    <w:rsid w:val="00CD0F01"/>
    <w:rsid w:val="00CD2603"/>
    <w:rsid w:val="00CD298F"/>
    <w:rsid w:val="00CD3232"/>
    <w:rsid w:val="00CD3FD3"/>
    <w:rsid w:val="00CD4056"/>
    <w:rsid w:val="00CD42E1"/>
    <w:rsid w:val="00CD4849"/>
    <w:rsid w:val="00CD4966"/>
    <w:rsid w:val="00CD50A3"/>
    <w:rsid w:val="00CD5109"/>
    <w:rsid w:val="00CD51B6"/>
    <w:rsid w:val="00CD523A"/>
    <w:rsid w:val="00CD6416"/>
    <w:rsid w:val="00CD7D37"/>
    <w:rsid w:val="00CE089A"/>
    <w:rsid w:val="00CE13EC"/>
    <w:rsid w:val="00CE20EA"/>
    <w:rsid w:val="00CE2F27"/>
    <w:rsid w:val="00CE33A4"/>
    <w:rsid w:val="00CE37FD"/>
    <w:rsid w:val="00CE4286"/>
    <w:rsid w:val="00CE44BC"/>
    <w:rsid w:val="00CE4831"/>
    <w:rsid w:val="00CE5B23"/>
    <w:rsid w:val="00CE6098"/>
    <w:rsid w:val="00CE60D7"/>
    <w:rsid w:val="00CE61EB"/>
    <w:rsid w:val="00CE634E"/>
    <w:rsid w:val="00CE6C15"/>
    <w:rsid w:val="00CE6E82"/>
    <w:rsid w:val="00CE7835"/>
    <w:rsid w:val="00CF00D5"/>
    <w:rsid w:val="00CF17EB"/>
    <w:rsid w:val="00CF21B9"/>
    <w:rsid w:val="00CF3270"/>
    <w:rsid w:val="00CF4107"/>
    <w:rsid w:val="00CF4C9C"/>
    <w:rsid w:val="00CF574A"/>
    <w:rsid w:val="00CF68AC"/>
    <w:rsid w:val="00CF6D42"/>
    <w:rsid w:val="00CF73CA"/>
    <w:rsid w:val="00CF7750"/>
    <w:rsid w:val="00CF787B"/>
    <w:rsid w:val="00D003F8"/>
    <w:rsid w:val="00D005BE"/>
    <w:rsid w:val="00D0199E"/>
    <w:rsid w:val="00D038C7"/>
    <w:rsid w:val="00D0393B"/>
    <w:rsid w:val="00D03B6D"/>
    <w:rsid w:val="00D03DD9"/>
    <w:rsid w:val="00D04F54"/>
    <w:rsid w:val="00D05C92"/>
    <w:rsid w:val="00D070A1"/>
    <w:rsid w:val="00D077F5"/>
    <w:rsid w:val="00D1088A"/>
    <w:rsid w:val="00D118E7"/>
    <w:rsid w:val="00D11CE7"/>
    <w:rsid w:val="00D12848"/>
    <w:rsid w:val="00D13261"/>
    <w:rsid w:val="00D13429"/>
    <w:rsid w:val="00D13D94"/>
    <w:rsid w:val="00D14342"/>
    <w:rsid w:val="00D1465A"/>
    <w:rsid w:val="00D14818"/>
    <w:rsid w:val="00D1499E"/>
    <w:rsid w:val="00D15525"/>
    <w:rsid w:val="00D15816"/>
    <w:rsid w:val="00D15968"/>
    <w:rsid w:val="00D16703"/>
    <w:rsid w:val="00D169C4"/>
    <w:rsid w:val="00D17549"/>
    <w:rsid w:val="00D17BE2"/>
    <w:rsid w:val="00D17C2F"/>
    <w:rsid w:val="00D17FB3"/>
    <w:rsid w:val="00D201EF"/>
    <w:rsid w:val="00D203E8"/>
    <w:rsid w:val="00D20C82"/>
    <w:rsid w:val="00D2151B"/>
    <w:rsid w:val="00D22492"/>
    <w:rsid w:val="00D22C0B"/>
    <w:rsid w:val="00D2316A"/>
    <w:rsid w:val="00D231A7"/>
    <w:rsid w:val="00D23299"/>
    <w:rsid w:val="00D237C6"/>
    <w:rsid w:val="00D24A40"/>
    <w:rsid w:val="00D24B7F"/>
    <w:rsid w:val="00D25DE0"/>
    <w:rsid w:val="00D2621B"/>
    <w:rsid w:val="00D2642A"/>
    <w:rsid w:val="00D26BEE"/>
    <w:rsid w:val="00D26CFE"/>
    <w:rsid w:val="00D26F0B"/>
    <w:rsid w:val="00D27447"/>
    <w:rsid w:val="00D27546"/>
    <w:rsid w:val="00D27A6B"/>
    <w:rsid w:val="00D27F35"/>
    <w:rsid w:val="00D300DF"/>
    <w:rsid w:val="00D30BD0"/>
    <w:rsid w:val="00D30D6A"/>
    <w:rsid w:val="00D30EE8"/>
    <w:rsid w:val="00D31BFA"/>
    <w:rsid w:val="00D324A9"/>
    <w:rsid w:val="00D32EF8"/>
    <w:rsid w:val="00D34035"/>
    <w:rsid w:val="00D34ADA"/>
    <w:rsid w:val="00D34B05"/>
    <w:rsid w:val="00D34CF8"/>
    <w:rsid w:val="00D35BC1"/>
    <w:rsid w:val="00D35FFF"/>
    <w:rsid w:val="00D3619F"/>
    <w:rsid w:val="00D361AF"/>
    <w:rsid w:val="00D36700"/>
    <w:rsid w:val="00D369E1"/>
    <w:rsid w:val="00D37366"/>
    <w:rsid w:val="00D3761F"/>
    <w:rsid w:val="00D404DF"/>
    <w:rsid w:val="00D411E5"/>
    <w:rsid w:val="00D4147D"/>
    <w:rsid w:val="00D415BF"/>
    <w:rsid w:val="00D41671"/>
    <w:rsid w:val="00D42FDF"/>
    <w:rsid w:val="00D439D7"/>
    <w:rsid w:val="00D445DA"/>
    <w:rsid w:val="00D44688"/>
    <w:rsid w:val="00D44989"/>
    <w:rsid w:val="00D4577D"/>
    <w:rsid w:val="00D457DA"/>
    <w:rsid w:val="00D46566"/>
    <w:rsid w:val="00D465E8"/>
    <w:rsid w:val="00D4744A"/>
    <w:rsid w:val="00D47A67"/>
    <w:rsid w:val="00D47F3D"/>
    <w:rsid w:val="00D51355"/>
    <w:rsid w:val="00D5161A"/>
    <w:rsid w:val="00D51BAF"/>
    <w:rsid w:val="00D5213C"/>
    <w:rsid w:val="00D53A31"/>
    <w:rsid w:val="00D54885"/>
    <w:rsid w:val="00D54B8D"/>
    <w:rsid w:val="00D55792"/>
    <w:rsid w:val="00D55C3B"/>
    <w:rsid w:val="00D5630B"/>
    <w:rsid w:val="00D56590"/>
    <w:rsid w:val="00D56CA2"/>
    <w:rsid w:val="00D57E51"/>
    <w:rsid w:val="00D57EA4"/>
    <w:rsid w:val="00D60F76"/>
    <w:rsid w:val="00D61D4D"/>
    <w:rsid w:val="00D6248D"/>
    <w:rsid w:val="00D6282E"/>
    <w:rsid w:val="00D628C2"/>
    <w:rsid w:val="00D62FFF"/>
    <w:rsid w:val="00D6322F"/>
    <w:rsid w:val="00D633ED"/>
    <w:rsid w:val="00D63607"/>
    <w:rsid w:val="00D638F0"/>
    <w:rsid w:val="00D643C8"/>
    <w:rsid w:val="00D64BAD"/>
    <w:rsid w:val="00D64F0B"/>
    <w:rsid w:val="00D651CE"/>
    <w:rsid w:val="00D651DC"/>
    <w:rsid w:val="00D65804"/>
    <w:rsid w:val="00D658A2"/>
    <w:rsid w:val="00D666B1"/>
    <w:rsid w:val="00D67327"/>
    <w:rsid w:val="00D67C61"/>
    <w:rsid w:val="00D67F63"/>
    <w:rsid w:val="00D7061C"/>
    <w:rsid w:val="00D7094E"/>
    <w:rsid w:val="00D70A62"/>
    <w:rsid w:val="00D70B2D"/>
    <w:rsid w:val="00D71D75"/>
    <w:rsid w:val="00D72C37"/>
    <w:rsid w:val="00D73199"/>
    <w:rsid w:val="00D731A7"/>
    <w:rsid w:val="00D74A00"/>
    <w:rsid w:val="00D74A06"/>
    <w:rsid w:val="00D7515E"/>
    <w:rsid w:val="00D75784"/>
    <w:rsid w:val="00D766BE"/>
    <w:rsid w:val="00D77295"/>
    <w:rsid w:val="00D808FF"/>
    <w:rsid w:val="00D812E1"/>
    <w:rsid w:val="00D81791"/>
    <w:rsid w:val="00D82BFD"/>
    <w:rsid w:val="00D83154"/>
    <w:rsid w:val="00D83A37"/>
    <w:rsid w:val="00D8473E"/>
    <w:rsid w:val="00D848A6"/>
    <w:rsid w:val="00D85AC6"/>
    <w:rsid w:val="00D867CE"/>
    <w:rsid w:val="00D86807"/>
    <w:rsid w:val="00D86E8B"/>
    <w:rsid w:val="00D86F94"/>
    <w:rsid w:val="00D87DC6"/>
    <w:rsid w:val="00D904B6"/>
    <w:rsid w:val="00D908CE"/>
    <w:rsid w:val="00D9123D"/>
    <w:rsid w:val="00D91876"/>
    <w:rsid w:val="00D9193C"/>
    <w:rsid w:val="00D91C87"/>
    <w:rsid w:val="00D92F64"/>
    <w:rsid w:val="00D93300"/>
    <w:rsid w:val="00D9411A"/>
    <w:rsid w:val="00D94303"/>
    <w:rsid w:val="00D957DD"/>
    <w:rsid w:val="00D958E9"/>
    <w:rsid w:val="00D963CB"/>
    <w:rsid w:val="00D97556"/>
    <w:rsid w:val="00D978D4"/>
    <w:rsid w:val="00D97AB8"/>
    <w:rsid w:val="00DA05FB"/>
    <w:rsid w:val="00DA0BE4"/>
    <w:rsid w:val="00DA1894"/>
    <w:rsid w:val="00DA1C3C"/>
    <w:rsid w:val="00DA2ABA"/>
    <w:rsid w:val="00DA2D67"/>
    <w:rsid w:val="00DA347F"/>
    <w:rsid w:val="00DA3C6F"/>
    <w:rsid w:val="00DA6244"/>
    <w:rsid w:val="00DA6DCE"/>
    <w:rsid w:val="00DA71EF"/>
    <w:rsid w:val="00DA75AA"/>
    <w:rsid w:val="00DA7766"/>
    <w:rsid w:val="00DB0884"/>
    <w:rsid w:val="00DB08C1"/>
    <w:rsid w:val="00DB112A"/>
    <w:rsid w:val="00DB1315"/>
    <w:rsid w:val="00DB1709"/>
    <w:rsid w:val="00DB1CA8"/>
    <w:rsid w:val="00DB262D"/>
    <w:rsid w:val="00DB2E68"/>
    <w:rsid w:val="00DB36FB"/>
    <w:rsid w:val="00DB3B38"/>
    <w:rsid w:val="00DB456E"/>
    <w:rsid w:val="00DB460E"/>
    <w:rsid w:val="00DB4A94"/>
    <w:rsid w:val="00DB4B69"/>
    <w:rsid w:val="00DB4DB6"/>
    <w:rsid w:val="00DB5764"/>
    <w:rsid w:val="00DB6469"/>
    <w:rsid w:val="00DB64B6"/>
    <w:rsid w:val="00DB6A20"/>
    <w:rsid w:val="00DB6ADE"/>
    <w:rsid w:val="00DB6DC1"/>
    <w:rsid w:val="00DB7349"/>
    <w:rsid w:val="00DB7BA1"/>
    <w:rsid w:val="00DB7CD7"/>
    <w:rsid w:val="00DC10C3"/>
    <w:rsid w:val="00DC1142"/>
    <w:rsid w:val="00DC13E5"/>
    <w:rsid w:val="00DC16E3"/>
    <w:rsid w:val="00DC18F6"/>
    <w:rsid w:val="00DC20AA"/>
    <w:rsid w:val="00DC3641"/>
    <w:rsid w:val="00DC3DFD"/>
    <w:rsid w:val="00DC40B8"/>
    <w:rsid w:val="00DC433E"/>
    <w:rsid w:val="00DC4E62"/>
    <w:rsid w:val="00DC5342"/>
    <w:rsid w:val="00DC5CA6"/>
    <w:rsid w:val="00DC621B"/>
    <w:rsid w:val="00DC6408"/>
    <w:rsid w:val="00DC7095"/>
    <w:rsid w:val="00DC749E"/>
    <w:rsid w:val="00DD08DD"/>
    <w:rsid w:val="00DD0A47"/>
    <w:rsid w:val="00DD1291"/>
    <w:rsid w:val="00DD1594"/>
    <w:rsid w:val="00DD1925"/>
    <w:rsid w:val="00DD1B59"/>
    <w:rsid w:val="00DD1C61"/>
    <w:rsid w:val="00DD24CF"/>
    <w:rsid w:val="00DD264D"/>
    <w:rsid w:val="00DD28D5"/>
    <w:rsid w:val="00DD2F23"/>
    <w:rsid w:val="00DD3240"/>
    <w:rsid w:val="00DD3C9F"/>
    <w:rsid w:val="00DD417E"/>
    <w:rsid w:val="00DD4E21"/>
    <w:rsid w:val="00DD73E8"/>
    <w:rsid w:val="00DD7669"/>
    <w:rsid w:val="00DD7AC7"/>
    <w:rsid w:val="00DD7CAB"/>
    <w:rsid w:val="00DD7EAF"/>
    <w:rsid w:val="00DE12D2"/>
    <w:rsid w:val="00DE1D16"/>
    <w:rsid w:val="00DE2A98"/>
    <w:rsid w:val="00DE2F0E"/>
    <w:rsid w:val="00DE3042"/>
    <w:rsid w:val="00DE30A1"/>
    <w:rsid w:val="00DE360A"/>
    <w:rsid w:val="00DE3939"/>
    <w:rsid w:val="00DE4041"/>
    <w:rsid w:val="00DE432A"/>
    <w:rsid w:val="00DE4CB3"/>
    <w:rsid w:val="00DE52A7"/>
    <w:rsid w:val="00DE5A1A"/>
    <w:rsid w:val="00DE5DCF"/>
    <w:rsid w:val="00DE63A7"/>
    <w:rsid w:val="00DE6535"/>
    <w:rsid w:val="00DE6C97"/>
    <w:rsid w:val="00DE756D"/>
    <w:rsid w:val="00DF0970"/>
    <w:rsid w:val="00DF0D2E"/>
    <w:rsid w:val="00DF0FA2"/>
    <w:rsid w:val="00DF1967"/>
    <w:rsid w:val="00DF1A3C"/>
    <w:rsid w:val="00DF2743"/>
    <w:rsid w:val="00DF35A7"/>
    <w:rsid w:val="00DF3AF5"/>
    <w:rsid w:val="00DF3E00"/>
    <w:rsid w:val="00DF4A19"/>
    <w:rsid w:val="00DF4B59"/>
    <w:rsid w:val="00DF4C2A"/>
    <w:rsid w:val="00DF4E9B"/>
    <w:rsid w:val="00DF50AE"/>
    <w:rsid w:val="00DF5102"/>
    <w:rsid w:val="00DF5205"/>
    <w:rsid w:val="00DF5612"/>
    <w:rsid w:val="00DF5A1F"/>
    <w:rsid w:val="00DF5B37"/>
    <w:rsid w:val="00DF5CE8"/>
    <w:rsid w:val="00DF600B"/>
    <w:rsid w:val="00DF6755"/>
    <w:rsid w:val="00DF6B66"/>
    <w:rsid w:val="00DF7269"/>
    <w:rsid w:val="00DF73C2"/>
    <w:rsid w:val="00DF743A"/>
    <w:rsid w:val="00DF76A0"/>
    <w:rsid w:val="00DF781D"/>
    <w:rsid w:val="00E000DF"/>
    <w:rsid w:val="00E004ED"/>
    <w:rsid w:val="00E011E9"/>
    <w:rsid w:val="00E01C4E"/>
    <w:rsid w:val="00E02CB2"/>
    <w:rsid w:val="00E02D06"/>
    <w:rsid w:val="00E03501"/>
    <w:rsid w:val="00E0386E"/>
    <w:rsid w:val="00E0498E"/>
    <w:rsid w:val="00E0566E"/>
    <w:rsid w:val="00E06DF9"/>
    <w:rsid w:val="00E0736B"/>
    <w:rsid w:val="00E07B2F"/>
    <w:rsid w:val="00E1037A"/>
    <w:rsid w:val="00E114CE"/>
    <w:rsid w:val="00E117F1"/>
    <w:rsid w:val="00E11A59"/>
    <w:rsid w:val="00E11FA7"/>
    <w:rsid w:val="00E12594"/>
    <w:rsid w:val="00E129C4"/>
    <w:rsid w:val="00E12ECD"/>
    <w:rsid w:val="00E13568"/>
    <w:rsid w:val="00E13754"/>
    <w:rsid w:val="00E141D6"/>
    <w:rsid w:val="00E14B08"/>
    <w:rsid w:val="00E14E59"/>
    <w:rsid w:val="00E14EB1"/>
    <w:rsid w:val="00E14EE3"/>
    <w:rsid w:val="00E15B7D"/>
    <w:rsid w:val="00E164E3"/>
    <w:rsid w:val="00E16D3D"/>
    <w:rsid w:val="00E1757A"/>
    <w:rsid w:val="00E17CDC"/>
    <w:rsid w:val="00E2041A"/>
    <w:rsid w:val="00E20431"/>
    <w:rsid w:val="00E22886"/>
    <w:rsid w:val="00E2302D"/>
    <w:rsid w:val="00E23969"/>
    <w:rsid w:val="00E2412D"/>
    <w:rsid w:val="00E24425"/>
    <w:rsid w:val="00E24C47"/>
    <w:rsid w:val="00E2555B"/>
    <w:rsid w:val="00E25A93"/>
    <w:rsid w:val="00E25B58"/>
    <w:rsid w:val="00E26380"/>
    <w:rsid w:val="00E266D3"/>
    <w:rsid w:val="00E2793A"/>
    <w:rsid w:val="00E27AAB"/>
    <w:rsid w:val="00E30601"/>
    <w:rsid w:val="00E3089C"/>
    <w:rsid w:val="00E3195E"/>
    <w:rsid w:val="00E31F33"/>
    <w:rsid w:val="00E32C9F"/>
    <w:rsid w:val="00E32F5D"/>
    <w:rsid w:val="00E3312C"/>
    <w:rsid w:val="00E33339"/>
    <w:rsid w:val="00E34CF1"/>
    <w:rsid w:val="00E34FD4"/>
    <w:rsid w:val="00E3516A"/>
    <w:rsid w:val="00E36796"/>
    <w:rsid w:val="00E36AC8"/>
    <w:rsid w:val="00E41E65"/>
    <w:rsid w:val="00E41F2B"/>
    <w:rsid w:val="00E4210C"/>
    <w:rsid w:val="00E42251"/>
    <w:rsid w:val="00E43AC5"/>
    <w:rsid w:val="00E43CBD"/>
    <w:rsid w:val="00E44734"/>
    <w:rsid w:val="00E449BC"/>
    <w:rsid w:val="00E44A84"/>
    <w:rsid w:val="00E450E7"/>
    <w:rsid w:val="00E45453"/>
    <w:rsid w:val="00E45F59"/>
    <w:rsid w:val="00E46224"/>
    <w:rsid w:val="00E46CD5"/>
    <w:rsid w:val="00E4753A"/>
    <w:rsid w:val="00E52014"/>
    <w:rsid w:val="00E522D1"/>
    <w:rsid w:val="00E52852"/>
    <w:rsid w:val="00E52A65"/>
    <w:rsid w:val="00E53488"/>
    <w:rsid w:val="00E53515"/>
    <w:rsid w:val="00E536A2"/>
    <w:rsid w:val="00E53DBE"/>
    <w:rsid w:val="00E53FF1"/>
    <w:rsid w:val="00E540E9"/>
    <w:rsid w:val="00E5416C"/>
    <w:rsid w:val="00E5444A"/>
    <w:rsid w:val="00E54E09"/>
    <w:rsid w:val="00E55FEE"/>
    <w:rsid w:val="00E563DD"/>
    <w:rsid w:val="00E56986"/>
    <w:rsid w:val="00E57914"/>
    <w:rsid w:val="00E579FC"/>
    <w:rsid w:val="00E57AC9"/>
    <w:rsid w:val="00E57C34"/>
    <w:rsid w:val="00E57F64"/>
    <w:rsid w:val="00E61C9A"/>
    <w:rsid w:val="00E61DDF"/>
    <w:rsid w:val="00E623AC"/>
    <w:rsid w:val="00E62956"/>
    <w:rsid w:val="00E62BA5"/>
    <w:rsid w:val="00E62F11"/>
    <w:rsid w:val="00E634A3"/>
    <w:rsid w:val="00E6399C"/>
    <w:rsid w:val="00E64755"/>
    <w:rsid w:val="00E6498B"/>
    <w:rsid w:val="00E6508F"/>
    <w:rsid w:val="00E6518B"/>
    <w:rsid w:val="00E6553D"/>
    <w:rsid w:val="00E6574C"/>
    <w:rsid w:val="00E65BAC"/>
    <w:rsid w:val="00E65BE9"/>
    <w:rsid w:val="00E65C7E"/>
    <w:rsid w:val="00E65D7F"/>
    <w:rsid w:val="00E65E20"/>
    <w:rsid w:val="00E67579"/>
    <w:rsid w:val="00E67858"/>
    <w:rsid w:val="00E67E9C"/>
    <w:rsid w:val="00E702E0"/>
    <w:rsid w:val="00E704C4"/>
    <w:rsid w:val="00E71494"/>
    <w:rsid w:val="00E722C7"/>
    <w:rsid w:val="00E72376"/>
    <w:rsid w:val="00E73586"/>
    <w:rsid w:val="00E738E7"/>
    <w:rsid w:val="00E73EB4"/>
    <w:rsid w:val="00E74977"/>
    <w:rsid w:val="00E74D33"/>
    <w:rsid w:val="00E7566A"/>
    <w:rsid w:val="00E76C5B"/>
    <w:rsid w:val="00E772CB"/>
    <w:rsid w:val="00E773CE"/>
    <w:rsid w:val="00E77E20"/>
    <w:rsid w:val="00E810F7"/>
    <w:rsid w:val="00E81B75"/>
    <w:rsid w:val="00E81ED9"/>
    <w:rsid w:val="00E8207D"/>
    <w:rsid w:val="00E82BE9"/>
    <w:rsid w:val="00E83B89"/>
    <w:rsid w:val="00E84166"/>
    <w:rsid w:val="00E84886"/>
    <w:rsid w:val="00E85A16"/>
    <w:rsid w:val="00E85EF4"/>
    <w:rsid w:val="00E868F8"/>
    <w:rsid w:val="00E90797"/>
    <w:rsid w:val="00E910F4"/>
    <w:rsid w:val="00E91269"/>
    <w:rsid w:val="00E916EF"/>
    <w:rsid w:val="00E91924"/>
    <w:rsid w:val="00E91ABB"/>
    <w:rsid w:val="00E9215D"/>
    <w:rsid w:val="00E92548"/>
    <w:rsid w:val="00E92C0B"/>
    <w:rsid w:val="00E92CE3"/>
    <w:rsid w:val="00E92DD1"/>
    <w:rsid w:val="00E93892"/>
    <w:rsid w:val="00E93B24"/>
    <w:rsid w:val="00E94B53"/>
    <w:rsid w:val="00E951AA"/>
    <w:rsid w:val="00E95315"/>
    <w:rsid w:val="00E969DA"/>
    <w:rsid w:val="00E97173"/>
    <w:rsid w:val="00E97517"/>
    <w:rsid w:val="00E97F69"/>
    <w:rsid w:val="00EA1397"/>
    <w:rsid w:val="00EA148F"/>
    <w:rsid w:val="00EA24C8"/>
    <w:rsid w:val="00EA2CAE"/>
    <w:rsid w:val="00EA312D"/>
    <w:rsid w:val="00EA367E"/>
    <w:rsid w:val="00EA41C6"/>
    <w:rsid w:val="00EA4908"/>
    <w:rsid w:val="00EA4C33"/>
    <w:rsid w:val="00EA5071"/>
    <w:rsid w:val="00EA5379"/>
    <w:rsid w:val="00EA58B5"/>
    <w:rsid w:val="00EA6D61"/>
    <w:rsid w:val="00EA7045"/>
    <w:rsid w:val="00EA7797"/>
    <w:rsid w:val="00EB0002"/>
    <w:rsid w:val="00EB0EDD"/>
    <w:rsid w:val="00EB1015"/>
    <w:rsid w:val="00EB1995"/>
    <w:rsid w:val="00EB2FD0"/>
    <w:rsid w:val="00EB330A"/>
    <w:rsid w:val="00EB39E3"/>
    <w:rsid w:val="00EB562D"/>
    <w:rsid w:val="00EB665C"/>
    <w:rsid w:val="00EB6D1B"/>
    <w:rsid w:val="00EC000E"/>
    <w:rsid w:val="00EC0855"/>
    <w:rsid w:val="00EC158A"/>
    <w:rsid w:val="00EC1AFC"/>
    <w:rsid w:val="00EC2380"/>
    <w:rsid w:val="00EC3BBE"/>
    <w:rsid w:val="00EC3F97"/>
    <w:rsid w:val="00EC5772"/>
    <w:rsid w:val="00EC5796"/>
    <w:rsid w:val="00EC59AD"/>
    <w:rsid w:val="00EC5A69"/>
    <w:rsid w:val="00EC5E9B"/>
    <w:rsid w:val="00EC5FF2"/>
    <w:rsid w:val="00EC646F"/>
    <w:rsid w:val="00EC67D5"/>
    <w:rsid w:val="00EC6850"/>
    <w:rsid w:val="00EC74C6"/>
    <w:rsid w:val="00EC7A41"/>
    <w:rsid w:val="00EC7BD0"/>
    <w:rsid w:val="00ED03A7"/>
    <w:rsid w:val="00ED1262"/>
    <w:rsid w:val="00ED133E"/>
    <w:rsid w:val="00ED1792"/>
    <w:rsid w:val="00ED1809"/>
    <w:rsid w:val="00ED1DEE"/>
    <w:rsid w:val="00ED2EA1"/>
    <w:rsid w:val="00ED2EBA"/>
    <w:rsid w:val="00ED3001"/>
    <w:rsid w:val="00ED3CCF"/>
    <w:rsid w:val="00ED3E14"/>
    <w:rsid w:val="00ED6272"/>
    <w:rsid w:val="00ED6638"/>
    <w:rsid w:val="00ED7C43"/>
    <w:rsid w:val="00EE0365"/>
    <w:rsid w:val="00EE1393"/>
    <w:rsid w:val="00EE14AA"/>
    <w:rsid w:val="00EE1C73"/>
    <w:rsid w:val="00EE35E6"/>
    <w:rsid w:val="00EE3640"/>
    <w:rsid w:val="00EE3A55"/>
    <w:rsid w:val="00EE404D"/>
    <w:rsid w:val="00EE46D8"/>
    <w:rsid w:val="00EE47AE"/>
    <w:rsid w:val="00EE50F8"/>
    <w:rsid w:val="00EE5C1D"/>
    <w:rsid w:val="00EE5CE3"/>
    <w:rsid w:val="00EE6C84"/>
    <w:rsid w:val="00EE78C6"/>
    <w:rsid w:val="00EF0075"/>
    <w:rsid w:val="00EF0308"/>
    <w:rsid w:val="00EF03F9"/>
    <w:rsid w:val="00EF0B88"/>
    <w:rsid w:val="00EF0FB8"/>
    <w:rsid w:val="00EF13B4"/>
    <w:rsid w:val="00EF15FA"/>
    <w:rsid w:val="00EF1690"/>
    <w:rsid w:val="00EF1B21"/>
    <w:rsid w:val="00EF2218"/>
    <w:rsid w:val="00EF2427"/>
    <w:rsid w:val="00EF2760"/>
    <w:rsid w:val="00EF2EE2"/>
    <w:rsid w:val="00EF3936"/>
    <w:rsid w:val="00EF3B82"/>
    <w:rsid w:val="00EF3D91"/>
    <w:rsid w:val="00EF6A4E"/>
    <w:rsid w:val="00F00890"/>
    <w:rsid w:val="00F00CF8"/>
    <w:rsid w:val="00F016F9"/>
    <w:rsid w:val="00F01777"/>
    <w:rsid w:val="00F017C3"/>
    <w:rsid w:val="00F02141"/>
    <w:rsid w:val="00F02B15"/>
    <w:rsid w:val="00F02D89"/>
    <w:rsid w:val="00F0373B"/>
    <w:rsid w:val="00F03951"/>
    <w:rsid w:val="00F03A7E"/>
    <w:rsid w:val="00F04348"/>
    <w:rsid w:val="00F048E7"/>
    <w:rsid w:val="00F06402"/>
    <w:rsid w:val="00F06A79"/>
    <w:rsid w:val="00F06E5E"/>
    <w:rsid w:val="00F07049"/>
    <w:rsid w:val="00F07493"/>
    <w:rsid w:val="00F075F1"/>
    <w:rsid w:val="00F10A36"/>
    <w:rsid w:val="00F10FD4"/>
    <w:rsid w:val="00F1162E"/>
    <w:rsid w:val="00F1427B"/>
    <w:rsid w:val="00F14A2D"/>
    <w:rsid w:val="00F1513D"/>
    <w:rsid w:val="00F1555C"/>
    <w:rsid w:val="00F15FF9"/>
    <w:rsid w:val="00F16069"/>
    <w:rsid w:val="00F1608C"/>
    <w:rsid w:val="00F16193"/>
    <w:rsid w:val="00F16212"/>
    <w:rsid w:val="00F16658"/>
    <w:rsid w:val="00F1699B"/>
    <w:rsid w:val="00F17131"/>
    <w:rsid w:val="00F173F3"/>
    <w:rsid w:val="00F17E54"/>
    <w:rsid w:val="00F20197"/>
    <w:rsid w:val="00F214F8"/>
    <w:rsid w:val="00F223E8"/>
    <w:rsid w:val="00F225D8"/>
    <w:rsid w:val="00F22D0C"/>
    <w:rsid w:val="00F230DB"/>
    <w:rsid w:val="00F2383C"/>
    <w:rsid w:val="00F24445"/>
    <w:rsid w:val="00F24686"/>
    <w:rsid w:val="00F24FE3"/>
    <w:rsid w:val="00F25373"/>
    <w:rsid w:val="00F2539C"/>
    <w:rsid w:val="00F25BF9"/>
    <w:rsid w:val="00F2607E"/>
    <w:rsid w:val="00F2692E"/>
    <w:rsid w:val="00F270C7"/>
    <w:rsid w:val="00F27E53"/>
    <w:rsid w:val="00F30046"/>
    <w:rsid w:val="00F309A0"/>
    <w:rsid w:val="00F310C5"/>
    <w:rsid w:val="00F31615"/>
    <w:rsid w:val="00F31729"/>
    <w:rsid w:val="00F3198A"/>
    <w:rsid w:val="00F31FE5"/>
    <w:rsid w:val="00F32577"/>
    <w:rsid w:val="00F329CA"/>
    <w:rsid w:val="00F337E1"/>
    <w:rsid w:val="00F33BD9"/>
    <w:rsid w:val="00F33C46"/>
    <w:rsid w:val="00F35988"/>
    <w:rsid w:val="00F36365"/>
    <w:rsid w:val="00F36D40"/>
    <w:rsid w:val="00F3745D"/>
    <w:rsid w:val="00F37BB8"/>
    <w:rsid w:val="00F4108E"/>
    <w:rsid w:val="00F41826"/>
    <w:rsid w:val="00F4225E"/>
    <w:rsid w:val="00F42777"/>
    <w:rsid w:val="00F42891"/>
    <w:rsid w:val="00F42A32"/>
    <w:rsid w:val="00F43BBE"/>
    <w:rsid w:val="00F440DD"/>
    <w:rsid w:val="00F44411"/>
    <w:rsid w:val="00F44586"/>
    <w:rsid w:val="00F445C8"/>
    <w:rsid w:val="00F44928"/>
    <w:rsid w:val="00F44B12"/>
    <w:rsid w:val="00F453D1"/>
    <w:rsid w:val="00F45982"/>
    <w:rsid w:val="00F45A5B"/>
    <w:rsid w:val="00F45F32"/>
    <w:rsid w:val="00F4637C"/>
    <w:rsid w:val="00F46E79"/>
    <w:rsid w:val="00F506A4"/>
    <w:rsid w:val="00F507C1"/>
    <w:rsid w:val="00F50B20"/>
    <w:rsid w:val="00F50F68"/>
    <w:rsid w:val="00F512C8"/>
    <w:rsid w:val="00F51BD0"/>
    <w:rsid w:val="00F52FEC"/>
    <w:rsid w:val="00F535BE"/>
    <w:rsid w:val="00F5452D"/>
    <w:rsid w:val="00F54A04"/>
    <w:rsid w:val="00F54A0B"/>
    <w:rsid w:val="00F551E0"/>
    <w:rsid w:val="00F555B6"/>
    <w:rsid w:val="00F55F3E"/>
    <w:rsid w:val="00F56124"/>
    <w:rsid w:val="00F562F0"/>
    <w:rsid w:val="00F567F2"/>
    <w:rsid w:val="00F57241"/>
    <w:rsid w:val="00F57A7D"/>
    <w:rsid w:val="00F57B06"/>
    <w:rsid w:val="00F60384"/>
    <w:rsid w:val="00F613DF"/>
    <w:rsid w:val="00F61E52"/>
    <w:rsid w:val="00F629BF"/>
    <w:rsid w:val="00F64890"/>
    <w:rsid w:val="00F65910"/>
    <w:rsid w:val="00F65B0C"/>
    <w:rsid w:val="00F65F79"/>
    <w:rsid w:val="00F66096"/>
    <w:rsid w:val="00F6723B"/>
    <w:rsid w:val="00F67F48"/>
    <w:rsid w:val="00F67F99"/>
    <w:rsid w:val="00F70B3F"/>
    <w:rsid w:val="00F710A4"/>
    <w:rsid w:val="00F71366"/>
    <w:rsid w:val="00F7138B"/>
    <w:rsid w:val="00F71AA1"/>
    <w:rsid w:val="00F71CD7"/>
    <w:rsid w:val="00F72528"/>
    <w:rsid w:val="00F72762"/>
    <w:rsid w:val="00F72DA2"/>
    <w:rsid w:val="00F73248"/>
    <w:rsid w:val="00F73D27"/>
    <w:rsid w:val="00F73FDB"/>
    <w:rsid w:val="00F7476F"/>
    <w:rsid w:val="00F75BEC"/>
    <w:rsid w:val="00F76BBD"/>
    <w:rsid w:val="00F771B8"/>
    <w:rsid w:val="00F7725D"/>
    <w:rsid w:val="00F808DB"/>
    <w:rsid w:val="00F808F3"/>
    <w:rsid w:val="00F8175F"/>
    <w:rsid w:val="00F81BC4"/>
    <w:rsid w:val="00F826E9"/>
    <w:rsid w:val="00F83A15"/>
    <w:rsid w:val="00F85D1E"/>
    <w:rsid w:val="00F86342"/>
    <w:rsid w:val="00F863D5"/>
    <w:rsid w:val="00F868AE"/>
    <w:rsid w:val="00F86A77"/>
    <w:rsid w:val="00F872DD"/>
    <w:rsid w:val="00F8769F"/>
    <w:rsid w:val="00F87BD3"/>
    <w:rsid w:val="00F92790"/>
    <w:rsid w:val="00F92EE1"/>
    <w:rsid w:val="00F9331C"/>
    <w:rsid w:val="00F938CA"/>
    <w:rsid w:val="00F9499F"/>
    <w:rsid w:val="00F94E3A"/>
    <w:rsid w:val="00F95201"/>
    <w:rsid w:val="00F95329"/>
    <w:rsid w:val="00F956C6"/>
    <w:rsid w:val="00F95966"/>
    <w:rsid w:val="00F9696E"/>
    <w:rsid w:val="00FA16E8"/>
    <w:rsid w:val="00FA174C"/>
    <w:rsid w:val="00FA1792"/>
    <w:rsid w:val="00FA1D2D"/>
    <w:rsid w:val="00FA1FA0"/>
    <w:rsid w:val="00FA313B"/>
    <w:rsid w:val="00FA3378"/>
    <w:rsid w:val="00FA3868"/>
    <w:rsid w:val="00FA3DD7"/>
    <w:rsid w:val="00FA409E"/>
    <w:rsid w:val="00FA45C3"/>
    <w:rsid w:val="00FA4E1D"/>
    <w:rsid w:val="00FA5A58"/>
    <w:rsid w:val="00FA6564"/>
    <w:rsid w:val="00FA7001"/>
    <w:rsid w:val="00FA7EDB"/>
    <w:rsid w:val="00FB061D"/>
    <w:rsid w:val="00FB0F38"/>
    <w:rsid w:val="00FB1917"/>
    <w:rsid w:val="00FB20F5"/>
    <w:rsid w:val="00FB2277"/>
    <w:rsid w:val="00FB2FA0"/>
    <w:rsid w:val="00FB37F6"/>
    <w:rsid w:val="00FB41E4"/>
    <w:rsid w:val="00FB4300"/>
    <w:rsid w:val="00FB46D2"/>
    <w:rsid w:val="00FB57B7"/>
    <w:rsid w:val="00FB58A2"/>
    <w:rsid w:val="00FB5BE5"/>
    <w:rsid w:val="00FB6024"/>
    <w:rsid w:val="00FB69AC"/>
    <w:rsid w:val="00FB76CC"/>
    <w:rsid w:val="00FB7FF9"/>
    <w:rsid w:val="00FC054B"/>
    <w:rsid w:val="00FC125B"/>
    <w:rsid w:val="00FC1861"/>
    <w:rsid w:val="00FC2ED0"/>
    <w:rsid w:val="00FC4CCE"/>
    <w:rsid w:val="00FD05E3"/>
    <w:rsid w:val="00FD095E"/>
    <w:rsid w:val="00FD0DD8"/>
    <w:rsid w:val="00FD0F73"/>
    <w:rsid w:val="00FD1C2A"/>
    <w:rsid w:val="00FD1D2E"/>
    <w:rsid w:val="00FD2CE8"/>
    <w:rsid w:val="00FD2DB3"/>
    <w:rsid w:val="00FD2F59"/>
    <w:rsid w:val="00FD352D"/>
    <w:rsid w:val="00FD3AEC"/>
    <w:rsid w:val="00FD4E45"/>
    <w:rsid w:val="00FD569C"/>
    <w:rsid w:val="00FD5B65"/>
    <w:rsid w:val="00FD5BBA"/>
    <w:rsid w:val="00FD61F6"/>
    <w:rsid w:val="00FD6485"/>
    <w:rsid w:val="00FD6A58"/>
    <w:rsid w:val="00FD7CF0"/>
    <w:rsid w:val="00FE0803"/>
    <w:rsid w:val="00FE0CF1"/>
    <w:rsid w:val="00FE150A"/>
    <w:rsid w:val="00FE17F7"/>
    <w:rsid w:val="00FE221F"/>
    <w:rsid w:val="00FE2C34"/>
    <w:rsid w:val="00FE2F21"/>
    <w:rsid w:val="00FE3CD1"/>
    <w:rsid w:val="00FE47F7"/>
    <w:rsid w:val="00FE4B1A"/>
    <w:rsid w:val="00FE4D83"/>
    <w:rsid w:val="00FE4F41"/>
    <w:rsid w:val="00FE5009"/>
    <w:rsid w:val="00FE52B6"/>
    <w:rsid w:val="00FE55C4"/>
    <w:rsid w:val="00FE5704"/>
    <w:rsid w:val="00FE581C"/>
    <w:rsid w:val="00FE5CC4"/>
    <w:rsid w:val="00FE60FF"/>
    <w:rsid w:val="00FE69CC"/>
    <w:rsid w:val="00FE69F9"/>
    <w:rsid w:val="00FE6EE5"/>
    <w:rsid w:val="00FE74C3"/>
    <w:rsid w:val="00FE74D7"/>
    <w:rsid w:val="00FE7810"/>
    <w:rsid w:val="00FE7D75"/>
    <w:rsid w:val="00FE7D78"/>
    <w:rsid w:val="00FE7E1E"/>
    <w:rsid w:val="00FF0489"/>
    <w:rsid w:val="00FF0F90"/>
    <w:rsid w:val="00FF1005"/>
    <w:rsid w:val="00FF1198"/>
    <w:rsid w:val="00FF1923"/>
    <w:rsid w:val="00FF28D6"/>
    <w:rsid w:val="00FF37B0"/>
    <w:rsid w:val="00FF3C7B"/>
    <w:rsid w:val="00FF3DCB"/>
    <w:rsid w:val="00FF3FA8"/>
    <w:rsid w:val="00FF4248"/>
    <w:rsid w:val="00FF4670"/>
    <w:rsid w:val="00FF4770"/>
    <w:rsid w:val="00FF6ABC"/>
    <w:rsid w:val="00FF6C40"/>
    <w:rsid w:val="00FF6DB0"/>
    <w:rsid w:val="00FF79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13B36"/>
  <w15:docId w15:val="{05926693-0588-4B11-8310-A0ED2C19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607"/>
    <w:rPr>
      <w:rFonts w:ascii="Arial" w:hAnsi="Arial"/>
      <w:sz w:val="24"/>
      <w:lang w:eastAsia="fr-FR"/>
    </w:rPr>
  </w:style>
  <w:style w:type="paragraph" w:styleId="Titre1">
    <w:name w:val="heading 1"/>
    <w:basedOn w:val="Paragraphe"/>
    <w:next w:val="Paragraphe"/>
    <w:qFormat/>
    <w:rsid w:val="00993237"/>
    <w:pPr>
      <w:numPr>
        <w:numId w:val="0"/>
      </w:numPr>
      <w:outlineLvl w:val="0"/>
    </w:pPr>
    <w:rPr>
      <w:b/>
    </w:rPr>
  </w:style>
  <w:style w:type="paragraph" w:styleId="Titre2">
    <w:name w:val="heading 2"/>
    <w:basedOn w:val="Normal"/>
    <w:next w:val="Paragraphe"/>
    <w:qFormat/>
    <w:rsid w:val="006837C9"/>
    <w:pPr>
      <w:keepNext/>
      <w:spacing w:before="120" w:after="120"/>
      <w:jc w:val="both"/>
      <w:outlineLvl w:val="1"/>
    </w:pPr>
    <w:rPr>
      <w:b/>
      <w:lang w:eastAsia="fr-CA"/>
    </w:rPr>
  </w:style>
  <w:style w:type="paragraph" w:styleId="Titre3">
    <w:name w:val="heading 3"/>
    <w:basedOn w:val="Normal"/>
    <w:next w:val="Paragraphe"/>
    <w:qFormat/>
    <w:rsid w:val="00830878"/>
    <w:pPr>
      <w:keepNext/>
      <w:numPr>
        <w:ilvl w:val="1"/>
        <w:numId w:val="21"/>
      </w:numPr>
      <w:spacing w:before="120" w:after="120"/>
      <w:outlineLvl w:val="2"/>
    </w:pPr>
    <w:rPr>
      <w:b/>
      <w:bCs/>
      <w:i/>
      <w:lang w:eastAsia="fr-CA"/>
    </w:rPr>
  </w:style>
  <w:style w:type="paragraph" w:styleId="Titre4">
    <w:name w:val="heading 4"/>
    <w:basedOn w:val="Normal"/>
    <w:next w:val="Paragraphe"/>
    <w:qFormat/>
    <w:rsid w:val="00122A81"/>
    <w:pPr>
      <w:keepNext/>
      <w:spacing w:before="120" w:after="120"/>
      <w:jc w:val="both"/>
      <w:outlineLvl w:val="3"/>
    </w:pPr>
    <w:rPr>
      <w:u w:val="single"/>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rsid w:val="0096322E"/>
    <w:pPr>
      <w:numPr>
        <w:numId w:val="1"/>
      </w:numPr>
      <w:spacing w:before="120" w:after="120"/>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pPr>
      <w:spacing w:after="120"/>
    </w:pPr>
  </w:style>
  <w:style w:type="paragraph" w:styleId="Notedebasdepage">
    <w:name w:val="footnote text"/>
    <w:basedOn w:val="Normal"/>
    <w:link w:val="NotedebasdepageCar"/>
    <w:uiPriority w:val="99"/>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rsid w:val="00B4030F"/>
    <w:pPr>
      <w:jc w:val="center"/>
    </w:pPr>
    <w:rPr>
      <w:b/>
      <w:sz w:val="32"/>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pPr>
      <w:ind w:left="70"/>
    </w:pPr>
  </w:style>
  <w:style w:type="paragraph" w:customStyle="1" w:styleId="zSoquijdatGreffe">
    <w:name w:val="zSoquij_datGreffe"/>
    <w:basedOn w:val="Normal"/>
    <w:pPr>
      <w:ind w:left="29"/>
    </w:p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pPr>
      <w:ind w:left="70"/>
    </w:pPr>
    <w:rPr>
      <w:b/>
    </w:rPr>
  </w:style>
  <w:style w:type="paragraph" w:customStyle="1" w:styleId="zSoquijdatQteJuge">
    <w:name w:val="zSoquij_datQteJuge"/>
    <w:basedOn w:val="Normal"/>
    <w:pPr>
      <w:ind w:left="29"/>
    </w:pPr>
    <w:rPr>
      <w:b/>
    </w:rPr>
  </w:style>
  <w:style w:type="paragraph" w:customStyle="1" w:styleId="zSoquijdatJuge">
    <w:name w:val="zSoquij_datJuge"/>
    <w:basedOn w:val="Normal"/>
    <w:pPr>
      <w:ind w:left="52"/>
    </w:pPr>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B203AC"/>
    <w:pPr>
      <w:jc w:val="center"/>
    </w:pPr>
    <w:rPr>
      <w:b/>
      <w:small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basedOn w:val="Policepardfaut"/>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aphe"/>
    <w:next w:val="Paragraph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uiPriority w:val="99"/>
    <w:pPr>
      <w:widowControl w:val="0"/>
      <w:numPr>
        <w:ilvl w:val="1"/>
        <w:numId w:val="1"/>
      </w:numPr>
      <w:spacing w:after="120"/>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aphe"/>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paragraph" w:customStyle="1" w:styleId="zSoquijlblNoDecision">
    <w:name w:val="zSoquij_lblNoDecision"/>
    <w:basedOn w:val="zSoquijlblNoDossier"/>
    <w:rsid w:val="00EB39E3"/>
  </w:style>
  <w:style w:type="paragraph" w:customStyle="1" w:styleId="zSoquijdatNoDecision">
    <w:name w:val="zSoquij_datNoDecision"/>
    <w:basedOn w:val="zSoquijdatNoDossier"/>
    <w:rsid w:val="00EB39E3"/>
  </w:style>
  <w:style w:type="paragraph" w:styleId="En-tte">
    <w:name w:val="header"/>
    <w:basedOn w:val="Normal"/>
    <w:rsid w:val="00B4030F"/>
    <w:pPr>
      <w:tabs>
        <w:tab w:val="center" w:pos="4320"/>
        <w:tab w:val="right" w:pos="8640"/>
      </w:tabs>
    </w:pPr>
  </w:style>
  <w:style w:type="paragraph" w:styleId="Pieddepage">
    <w:name w:val="footer"/>
    <w:basedOn w:val="Normal"/>
    <w:rsid w:val="00B4030F"/>
    <w:pPr>
      <w:tabs>
        <w:tab w:val="center" w:pos="4320"/>
        <w:tab w:val="right" w:pos="8640"/>
      </w:tabs>
    </w:pPr>
  </w:style>
  <w:style w:type="paragraph" w:customStyle="1" w:styleId="Citationendoubleretrait">
    <w:name w:val="Citation en double retrait"/>
    <w:basedOn w:val="Normal"/>
    <w:qFormat/>
    <w:rsid w:val="00823C2A"/>
    <w:pPr>
      <w:ind w:left="1237" w:right="849"/>
      <w:jc w:val="both"/>
    </w:pPr>
    <w:rPr>
      <w:rFonts w:cs="Arial"/>
      <w:color w:val="000000"/>
      <w:sz w:val="22"/>
      <w:szCs w:val="22"/>
      <w:lang w:val="en-CA" w:eastAsia="fr-CA"/>
    </w:rPr>
  </w:style>
  <w:style w:type="paragraph" w:customStyle="1" w:styleId="zSoquijlblNosArticles">
    <w:name w:val="zSoquij_lblNosArticles"/>
    <w:basedOn w:val="zSoquijlblTypeDocument"/>
    <w:rsid w:val="00B203AC"/>
    <w:rPr>
      <w:b w:val="0"/>
      <w:smallCaps w:val="0"/>
    </w:rPr>
  </w:style>
  <w:style w:type="character" w:styleId="Appelnotedebasdep">
    <w:name w:val="footnote reference"/>
    <w:basedOn w:val="Policepardfaut"/>
    <w:uiPriority w:val="99"/>
    <w:rsid w:val="00BA3C47"/>
    <w:rPr>
      <w:vertAlign w:val="superscript"/>
    </w:rPr>
  </w:style>
  <w:style w:type="paragraph" w:customStyle="1" w:styleId="listespuces">
    <w:name w:val="listespuces"/>
    <w:basedOn w:val="Normal"/>
    <w:rsid w:val="000B7475"/>
    <w:pPr>
      <w:spacing w:before="100" w:beforeAutospacing="1" w:after="100" w:afterAutospacing="1"/>
    </w:pPr>
    <w:rPr>
      <w:rFonts w:ascii="Times New Roman" w:hAnsi="Times New Roman"/>
      <w:szCs w:val="24"/>
      <w:lang w:eastAsia="fr-CA"/>
    </w:rPr>
  </w:style>
  <w:style w:type="character" w:styleId="Textedelespacerserv">
    <w:name w:val="Placeholder Text"/>
    <w:basedOn w:val="Policepardfaut"/>
    <w:uiPriority w:val="99"/>
    <w:semiHidden/>
    <w:rsid w:val="005E4C6D"/>
    <w:rPr>
      <w:color w:val="808080"/>
    </w:rPr>
  </w:style>
  <w:style w:type="character" w:customStyle="1" w:styleId="cf01">
    <w:name w:val="cf01"/>
    <w:basedOn w:val="Policepardfaut"/>
    <w:rsid w:val="004A33DC"/>
    <w:rPr>
      <w:rFonts w:ascii="Segoe UI" w:hAnsi="Segoe UI" w:cs="Segoe UI" w:hint="default"/>
      <w:sz w:val="18"/>
      <w:szCs w:val="18"/>
    </w:rPr>
  </w:style>
  <w:style w:type="character" w:styleId="Marquedecommentaire">
    <w:name w:val="annotation reference"/>
    <w:basedOn w:val="Policepardfaut"/>
    <w:semiHidden/>
    <w:unhideWhenUsed/>
    <w:rsid w:val="00393AE8"/>
    <w:rPr>
      <w:sz w:val="16"/>
      <w:szCs w:val="16"/>
    </w:rPr>
  </w:style>
  <w:style w:type="paragraph" w:styleId="Commentaire">
    <w:name w:val="annotation text"/>
    <w:basedOn w:val="Normal"/>
    <w:link w:val="CommentaireCar"/>
    <w:unhideWhenUsed/>
    <w:rsid w:val="00393AE8"/>
    <w:rPr>
      <w:sz w:val="20"/>
    </w:rPr>
  </w:style>
  <w:style w:type="character" w:customStyle="1" w:styleId="CommentaireCar">
    <w:name w:val="Commentaire Car"/>
    <w:basedOn w:val="Policepardfaut"/>
    <w:link w:val="Commentaire"/>
    <w:rsid w:val="00393AE8"/>
    <w:rPr>
      <w:rFonts w:ascii="Arial" w:hAnsi="Arial"/>
      <w:lang w:eastAsia="fr-FR"/>
    </w:rPr>
  </w:style>
  <w:style w:type="paragraph" w:styleId="Objetducommentaire">
    <w:name w:val="annotation subject"/>
    <w:basedOn w:val="Commentaire"/>
    <w:next w:val="Commentaire"/>
    <w:link w:val="ObjetducommentaireCar"/>
    <w:semiHidden/>
    <w:unhideWhenUsed/>
    <w:rsid w:val="00393AE8"/>
    <w:rPr>
      <w:b/>
      <w:bCs/>
    </w:rPr>
  </w:style>
  <w:style w:type="character" w:customStyle="1" w:styleId="ObjetducommentaireCar">
    <w:name w:val="Objet du commentaire Car"/>
    <w:basedOn w:val="CommentaireCar"/>
    <w:link w:val="Objetducommentaire"/>
    <w:semiHidden/>
    <w:rsid w:val="00393AE8"/>
    <w:rPr>
      <w:rFonts w:ascii="Arial" w:hAnsi="Arial"/>
      <w:b/>
      <w:bCs/>
      <w:lang w:eastAsia="fr-FR"/>
    </w:rPr>
  </w:style>
  <w:style w:type="paragraph" w:styleId="Textedebulles">
    <w:name w:val="Balloon Text"/>
    <w:basedOn w:val="Normal"/>
    <w:link w:val="TextedebullesCar"/>
    <w:semiHidden/>
    <w:unhideWhenUsed/>
    <w:rsid w:val="00E449BC"/>
    <w:rPr>
      <w:rFonts w:ascii="Segoe UI" w:hAnsi="Segoe UI" w:cs="Segoe UI"/>
      <w:sz w:val="18"/>
      <w:szCs w:val="18"/>
    </w:rPr>
  </w:style>
  <w:style w:type="character" w:customStyle="1" w:styleId="TextedebullesCar">
    <w:name w:val="Texte de bulles Car"/>
    <w:basedOn w:val="Policepardfaut"/>
    <w:link w:val="Textedebulles"/>
    <w:semiHidden/>
    <w:rsid w:val="00E449BC"/>
    <w:rPr>
      <w:rFonts w:ascii="Segoe UI" w:hAnsi="Segoe UI" w:cs="Segoe UI"/>
      <w:sz w:val="18"/>
      <w:szCs w:val="18"/>
      <w:lang w:eastAsia="fr-FR"/>
    </w:rPr>
  </w:style>
  <w:style w:type="paragraph" w:styleId="Paragraphedeliste">
    <w:name w:val="List Paragraph"/>
    <w:basedOn w:val="Normal"/>
    <w:link w:val="ParagraphedelisteCar"/>
    <w:uiPriority w:val="34"/>
    <w:qFormat/>
    <w:rsid w:val="001D4A69"/>
    <w:pPr>
      <w:ind w:left="720"/>
      <w:contextualSpacing/>
    </w:pPr>
  </w:style>
  <w:style w:type="paragraph" w:customStyle="1" w:styleId="Default">
    <w:name w:val="Default"/>
    <w:rsid w:val="00A2652C"/>
    <w:pPr>
      <w:autoSpaceDE w:val="0"/>
      <w:autoSpaceDN w:val="0"/>
      <w:adjustRightInd w:val="0"/>
    </w:pPr>
    <w:rPr>
      <w:rFonts w:ascii="Arial" w:hAnsi="Arial" w:cs="Arial"/>
      <w:color w:val="000000"/>
      <w:sz w:val="24"/>
      <w:szCs w:val="24"/>
    </w:rPr>
  </w:style>
  <w:style w:type="paragraph" w:customStyle="1" w:styleId="paragraphe0">
    <w:name w:val="paragraphe"/>
    <w:basedOn w:val="Normal"/>
    <w:rsid w:val="00D812E1"/>
    <w:pPr>
      <w:spacing w:before="100" w:beforeAutospacing="1" w:after="100" w:afterAutospacing="1"/>
    </w:pPr>
    <w:rPr>
      <w:rFonts w:ascii="Times New Roman" w:hAnsi="Times New Roman"/>
      <w:szCs w:val="24"/>
      <w:lang w:eastAsia="fr-CA"/>
    </w:rPr>
  </w:style>
  <w:style w:type="character" w:customStyle="1" w:styleId="solexhl">
    <w:name w:val="solexhl"/>
    <w:basedOn w:val="Policepardfaut"/>
    <w:rsid w:val="00D812E1"/>
  </w:style>
  <w:style w:type="paragraph" w:styleId="NormalWeb">
    <w:name w:val="Normal (Web)"/>
    <w:basedOn w:val="Normal"/>
    <w:uiPriority w:val="99"/>
    <w:unhideWhenUsed/>
    <w:rsid w:val="00B90317"/>
    <w:pPr>
      <w:spacing w:before="100" w:beforeAutospacing="1" w:after="100" w:afterAutospacing="1"/>
    </w:pPr>
    <w:rPr>
      <w:rFonts w:ascii="Times New Roman" w:hAnsi="Times New Roman"/>
      <w:szCs w:val="24"/>
      <w:lang w:eastAsia="fr-CA"/>
    </w:rPr>
  </w:style>
  <w:style w:type="character" w:styleId="Hyperlien">
    <w:name w:val="Hyperlink"/>
    <w:basedOn w:val="Policepardfaut"/>
    <w:uiPriority w:val="99"/>
    <w:unhideWhenUsed/>
    <w:rsid w:val="00B90317"/>
    <w:rPr>
      <w:color w:val="0000FF"/>
      <w:u w:val="single"/>
    </w:rPr>
  </w:style>
  <w:style w:type="paragraph" w:styleId="Rvision">
    <w:name w:val="Revision"/>
    <w:hidden/>
    <w:uiPriority w:val="99"/>
    <w:semiHidden/>
    <w:rsid w:val="00A0673D"/>
    <w:rPr>
      <w:rFonts w:ascii="Arial" w:hAnsi="Arial"/>
      <w:sz w:val="24"/>
      <w:lang w:eastAsia="fr-FR"/>
    </w:rPr>
  </w:style>
  <w:style w:type="character" w:customStyle="1" w:styleId="NotedebasdepageCar">
    <w:name w:val="Note de bas de page Car"/>
    <w:basedOn w:val="Policepardfaut"/>
    <w:link w:val="Notedebasdepage"/>
    <w:uiPriority w:val="99"/>
    <w:rsid w:val="00992E14"/>
    <w:rPr>
      <w:rFonts w:ascii="Arial" w:hAnsi="Arial"/>
      <w:lang w:eastAsia="fr-FR"/>
    </w:rPr>
  </w:style>
  <w:style w:type="character" w:customStyle="1" w:styleId="label-z">
    <w:name w:val="label-z"/>
    <w:basedOn w:val="Policepardfaut"/>
    <w:rsid w:val="00922CEF"/>
  </w:style>
  <w:style w:type="character" w:customStyle="1" w:styleId="paragraph">
    <w:name w:val="paragraph"/>
    <w:basedOn w:val="Policepardfaut"/>
    <w:rsid w:val="00922CEF"/>
  </w:style>
  <w:style w:type="character" w:customStyle="1" w:styleId="reflex">
    <w:name w:val="reflex"/>
    <w:basedOn w:val="Policepardfaut"/>
    <w:rsid w:val="00A64F11"/>
  </w:style>
  <w:style w:type="character" w:customStyle="1" w:styleId="reflex3-block">
    <w:name w:val="reflex3-block"/>
    <w:basedOn w:val="Policepardfaut"/>
    <w:rsid w:val="00A64F11"/>
  </w:style>
  <w:style w:type="character" w:customStyle="1" w:styleId="ParagrapheCar">
    <w:name w:val="Paragraphe Car"/>
    <w:link w:val="Paragraphe"/>
    <w:locked/>
    <w:rsid w:val="00A64F11"/>
    <w:rPr>
      <w:rFonts w:ascii="Arial" w:hAnsi="Arial"/>
      <w:kern w:val="28"/>
      <w:sz w:val="24"/>
      <w:lang w:eastAsia="fr-FR"/>
    </w:rPr>
  </w:style>
  <w:style w:type="paragraph" w:styleId="Citation">
    <w:name w:val="Quote"/>
    <w:basedOn w:val="Normal"/>
    <w:next w:val="Normal"/>
    <w:link w:val="CitationCar"/>
    <w:uiPriority w:val="29"/>
    <w:qFormat/>
    <w:rsid w:val="00C26E2E"/>
    <w:pPr>
      <w:spacing w:before="200" w:after="160" w:line="259" w:lineRule="auto"/>
      <w:ind w:left="864" w:right="864"/>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C26E2E"/>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customStyle="1" w:styleId="citationenretrait0">
    <w:name w:val="citationenretrait"/>
    <w:basedOn w:val="Normal"/>
    <w:rsid w:val="004A0E0D"/>
    <w:pPr>
      <w:spacing w:before="100" w:beforeAutospacing="1" w:after="100" w:afterAutospacing="1"/>
    </w:pPr>
    <w:rPr>
      <w:rFonts w:ascii="Times New Roman" w:hAnsi="Times New Roman"/>
      <w:szCs w:val="24"/>
      <w:lang w:val="en-US" w:eastAsia="en-US"/>
    </w:rPr>
  </w:style>
  <w:style w:type="table" w:customStyle="1" w:styleId="TableNormal0">
    <w:name w:val="Table Normal_0"/>
    <w:uiPriority w:val="2"/>
    <w:semiHidden/>
    <w:unhideWhenUsed/>
    <w:qFormat/>
    <w:rsid w:val="00340F8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aragraphedelisteCar">
    <w:name w:val="Paragraphe de liste Car"/>
    <w:link w:val="Paragraphedeliste"/>
    <w:uiPriority w:val="34"/>
    <w:rsid w:val="00AD7181"/>
    <w:rPr>
      <w:rFonts w:ascii="Arial" w:hAnsi="Arial"/>
      <w:sz w:val="24"/>
      <w:lang w:eastAsia="fr-FR"/>
    </w:rPr>
  </w:style>
  <w:style w:type="character" w:customStyle="1" w:styleId="cf11">
    <w:name w:val="cf11"/>
    <w:basedOn w:val="Policepardfaut"/>
    <w:rsid w:val="002676A7"/>
    <w:rPr>
      <w:rFonts w:ascii="Segoe UI" w:hAnsi="Segoe UI" w:cs="Segoe UI" w:hint="default"/>
      <w:sz w:val="18"/>
      <w:szCs w:val="18"/>
    </w:rPr>
  </w:style>
  <w:style w:type="paragraph" w:customStyle="1" w:styleId="numberedparagraph">
    <w:name w:val="numberedparagraph"/>
    <w:basedOn w:val="Normal"/>
    <w:rsid w:val="00F507C1"/>
    <w:pPr>
      <w:spacing w:before="100" w:beforeAutospacing="1" w:after="100" w:afterAutospacing="1"/>
    </w:pPr>
    <w:rPr>
      <w:rFonts w:ascii="Times New Roman" w:hAnsi="Times New Roman"/>
      <w:szCs w:val="24"/>
      <w:lang w:eastAsia="fr-CA"/>
    </w:rPr>
  </w:style>
  <w:style w:type="character" w:customStyle="1" w:styleId="label-section">
    <w:name w:val="label-section"/>
    <w:basedOn w:val="Policepardfaut"/>
    <w:rsid w:val="00DE432A"/>
  </w:style>
  <w:style w:type="character" w:customStyle="1" w:styleId="subsection">
    <w:name w:val="subsection"/>
    <w:basedOn w:val="Policepardfaut"/>
    <w:rsid w:val="00DE432A"/>
  </w:style>
  <w:style w:type="character" w:customStyle="1" w:styleId="widthfixforlabel">
    <w:name w:val="widthfixforlabel"/>
    <w:basedOn w:val="Policepardfaut"/>
    <w:rsid w:val="00DE432A"/>
  </w:style>
  <w:style w:type="character" w:customStyle="1" w:styleId="ui-provider">
    <w:name w:val="ui-provider"/>
    <w:basedOn w:val="Policepardfaut"/>
    <w:rsid w:val="005A31D6"/>
  </w:style>
  <w:style w:type="character" w:styleId="Mentionnonrsolue">
    <w:name w:val="Unresolved Mention"/>
    <w:basedOn w:val="Policepardfaut"/>
    <w:uiPriority w:val="99"/>
    <w:semiHidden/>
    <w:unhideWhenUsed/>
    <w:rsid w:val="0093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9C0A838F64CFC8CD793D928EA54D2"/>
        <w:category>
          <w:name w:val="Général"/>
          <w:gallery w:val="placeholder"/>
        </w:category>
        <w:types>
          <w:type w:val="bbPlcHdr"/>
        </w:types>
        <w:behaviors>
          <w:behavior w:val="content"/>
        </w:behaviors>
        <w:guid w:val="{9947BAB4-12BD-41DA-9947-E4690A8C2B22}"/>
      </w:docPartPr>
      <w:docPartBody>
        <w:p w:rsidR="006F64FE" w:rsidRDefault="004B28A2">
          <w:r w:rsidRPr="008D4B0D">
            <w:rPr>
              <w:rStyle w:val="Textedelespacerserv"/>
            </w:rPr>
            <w:t>Partie demanderesse</w:t>
          </w:r>
        </w:p>
      </w:docPartBody>
    </w:docPart>
    <w:docPart>
      <w:docPartPr>
        <w:name w:val="99135CB13AD94B6AB5AB34347D2B8EFF"/>
        <w:category>
          <w:name w:val="Général"/>
          <w:gallery w:val="placeholder"/>
        </w:category>
        <w:types>
          <w:type w:val="bbPlcHdr"/>
        </w:types>
        <w:behaviors>
          <w:behavior w:val="content"/>
        </w:behaviors>
        <w:guid w:val="{A2C6E71C-C878-4DED-9B96-1DFE506F1DB7}"/>
      </w:docPartPr>
      <w:docPartBody>
        <w:p w:rsidR="006F64FE" w:rsidRDefault="004B28A2">
          <w:r w:rsidRPr="008D4B0D">
            <w:rPr>
              <w:rStyle w:val="Textedelespacerserv"/>
            </w:rPr>
            <w:t>Partie intimée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9D1" w:rsidRDefault="008239D1">
      <w:pPr>
        <w:spacing w:after="0" w:line="240" w:lineRule="auto"/>
      </w:pPr>
      <w:r>
        <w:separator/>
      </w:r>
    </w:p>
  </w:endnote>
  <w:endnote w:type="continuationSeparator" w:id="0">
    <w:p w:rsidR="008239D1" w:rsidRDefault="008239D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9D1" w:rsidRDefault="008239D1">
      <w:pPr>
        <w:spacing w:after="0" w:line="240" w:lineRule="auto"/>
      </w:pPr>
      <w:r>
        <w:separator/>
      </w:r>
    </w:p>
  </w:footnote>
  <w:footnote w:type="continuationSeparator" w:id="0">
    <w:p w:rsidR="008239D1" w:rsidRDefault="008239D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18"/>
    <w:rsid w:val="00044475"/>
    <w:rsid w:val="00076635"/>
    <w:rsid w:val="00080C8E"/>
    <w:rsid w:val="000B7850"/>
    <w:rsid w:val="000D09BF"/>
    <w:rsid w:val="000D1617"/>
    <w:rsid w:val="000F10A1"/>
    <w:rsid w:val="000F4F07"/>
    <w:rsid w:val="000F7247"/>
    <w:rsid w:val="00100ECD"/>
    <w:rsid w:val="001030EA"/>
    <w:rsid w:val="00120923"/>
    <w:rsid w:val="001317EB"/>
    <w:rsid w:val="00143BFF"/>
    <w:rsid w:val="0014489A"/>
    <w:rsid w:val="00185853"/>
    <w:rsid w:val="00192AEA"/>
    <w:rsid w:val="001A1F9B"/>
    <w:rsid w:val="001A2112"/>
    <w:rsid w:val="001A2BC6"/>
    <w:rsid w:val="001A344E"/>
    <w:rsid w:val="001D0F3C"/>
    <w:rsid w:val="001F6908"/>
    <w:rsid w:val="00203C1E"/>
    <w:rsid w:val="002076CE"/>
    <w:rsid w:val="00211925"/>
    <w:rsid w:val="002170BB"/>
    <w:rsid w:val="00225539"/>
    <w:rsid w:val="00255387"/>
    <w:rsid w:val="00260D55"/>
    <w:rsid w:val="00287FB7"/>
    <w:rsid w:val="0029309A"/>
    <w:rsid w:val="002E624C"/>
    <w:rsid w:val="002F7B9C"/>
    <w:rsid w:val="00302323"/>
    <w:rsid w:val="00312F21"/>
    <w:rsid w:val="00320F3A"/>
    <w:rsid w:val="00322338"/>
    <w:rsid w:val="00324551"/>
    <w:rsid w:val="00335275"/>
    <w:rsid w:val="00375A98"/>
    <w:rsid w:val="00393387"/>
    <w:rsid w:val="003A3F2B"/>
    <w:rsid w:val="003A5C4C"/>
    <w:rsid w:val="003B7F6D"/>
    <w:rsid w:val="003D0947"/>
    <w:rsid w:val="003D4B49"/>
    <w:rsid w:val="003F19D7"/>
    <w:rsid w:val="003F1D35"/>
    <w:rsid w:val="003F33ED"/>
    <w:rsid w:val="00423C5F"/>
    <w:rsid w:val="004375D5"/>
    <w:rsid w:val="004550B3"/>
    <w:rsid w:val="004601EC"/>
    <w:rsid w:val="00465AE3"/>
    <w:rsid w:val="004754F5"/>
    <w:rsid w:val="0047778F"/>
    <w:rsid w:val="00477B4F"/>
    <w:rsid w:val="00484D4C"/>
    <w:rsid w:val="00485D28"/>
    <w:rsid w:val="00486ADE"/>
    <w:rsid w:val="004A7FB2"/>
    <w:rsid w:val="004B28A2"/>
    <w:rsid w:val="004F1E09"/>
    <w:rsid w:val="004F217C"/>
    <w:rsid w:val="005175B7"/>
    <w:rsid w:val="0052722E"/>
    <w:rsid w:val="00551EE4"/>
    <w:rsid w:val="005568AF"/>
    <w:rsid w:val="00570762"/>
    <w:rsid w:val="00581C08"/>
    <w:rsid w:val="005B3D46"/>
    <w:rsid w:val="005C2F5C"/>
    <w:rsid w:val="005D5FB0"/>
    <w:rsid w:val="005E1635"/>
    <w:rsid w:val="005E4C62"/>
    <w:rsid w:val="005E5649"/>
    <w:rsid w:val="0060262D"/>
    <w:rsid w:val="00614EFF"/>
    <w:rsid w:val="0062417B"/>
    <w:rsid w:val="00634491"/>
    <w:rsid w:val="006352D4"/>
    <w:rsid w:val="00661B02"/>
    <w:rsid w:val="00661F68"/>
    <w:rsid w:val="006728BE"/>
    <w:rsid w:val="006A2845"/>
    <w:rsid w:val="006A7AC7"/>
    <w:rsid w:val="006B1CB5"/>
    <w:rsid w:val="006B657A"/>
    <w:rsid w:val="006C33E7"/>
    <w:rsid w:val="006F64FE"/>
    <w:rsid w:val="007007FB"/>
    <w:rsid w:val="007164C3"/>
    <w:rsid w:val="00730FFC"/>
    <w:rsid w:val="00775886"/>
    <w:rsid w:val="007932E5"/>
    <w:rsid w:val="00795B7D"/>
    <w:rsid w:val="007A0F7C"/>
    <w:rsid w:val="007E22A2"/>
    <w:rsid w:val="007F1962"/>
    <w:rsid w:val="007F4ABB"/>
    <w:rsid w:val="00806CDF"/>
    <w:rsid w:val="008239D1"/>
    <w:rsid w:val="008326C1"/>
    <w:rsid w:val="008364B0"/>
    <w:rsid w:val="00842E39"/>
    <w:rsid w:val="008436C6"/>
    <w:rsid w:val="00845EF5"/>
    <w:rsid w:val="00862013"/>
    <w:rsid w:val="008714BD"/>
    <w:rsid w:val="00883BB8"/>
    <w:rsid w:val="00891A3A"/>
    <w:rsid w:val="008B4CAE"/>
    <w:rsid w:val="008B6E8A"/>
    <w:rsid w:val="008C1C13"/>
    <w:rsid w:val="008E00EF"/>
    <w:rsid w:val="008E2573"/>
    <w:rsid w:val="008E27EE"/>
    <w:rsid w:val="008F284F"/>
    <w:rsid w:val="008F446F"/>
    <w:rsid w:val="008F646D"/>
    <w:rsid w:val="009148AA"/>
    <w:rsid w:val="00935021"/>
    <w:rsid w:val="00950CB3"/>
    <w:rsid w:val="0095168D"/>
    <w:rsid w:val="00953A03"/>
    <w:rsid w:val="00982A41"/>
    <w:rsid w:val="00987DF0"/>
    <w:rsid w:val="009921D6"/>
    <w:rsid w:val="009973E5"/>
    <w:rsid w:val="009B0779"/>
    <w:rsid w:val="009D762A"/>
    <w:rsid w:val="009F4FA5"/>
    <w:rsid w:val="00A1589C"/>
    <w:rsid w:val="00A47BCC"/>
    <w:rsid w:val="00A659CE"/>
    <w:rsid w:val="00A67967"/>
    <w:rsid w:val="00A949EE"/>
    <w:rsid w:val="00AA2991"/>
    <w:rsid w:val="00AB6ED3"/>
    <w:rsid w:val="00AC36D8"/>
    <w:rsid w:val="00AD47ED"/>
    <w:rsid w:val="00AF137B"/>
    <w:rsid w:val="00AF3876"/>
    <w:rsid w:val="00B03C6B"/>
    <w:rsid w:val="00B145DA"/>
    <w:rsid w:val="00B24449"/>
    <w:rsid w:val="00B46C9D"/>
    <w:rsid w:val="00B53E99"/>
    <w:rsid w:val="00B606EA"/>
    <w:rsid w:val="00B84D09"/>
    <w:rsid w:val="00B858B4"/>
    <w:rsid w:val="00BC5F93"/>
    <w:rsid w:val="00BE31DE"/>
    <w:rsid w:val="00BF1696"/>
    <w:rsid w:val="00BF34C9"/>
    <w:rsid w:val="00BF43E8"/>
    <w:rsid w:val="00C11C24"/>
    <w:rsid w:val="00C15111"/>
    <w:rsid w:val="00C20615"/>
    <w:rsid w:val="00C24F4F"/>
    <w:rsid w:val="00C2710C"/>
    <w:rsid w:val="00C31D1C"/>
    <w:rsid w:val="00C35F37"/>
    <w:rsid w:val="00C54FC9"/>
    <w:rsid w:val="00C56DA8"/>
    <w:rsid w:val="00C665F1"/>
    <w:rsid w:val="00C67FDB"/>
    <w:rsid w:val="00C71267"/>
    <w:rsid w:val="00C95BBA"/>
    <w:rsid w:val="00CA2245"/>
    <w:rsid w:val="00CA4BCA"/>
    <w:rsid w:val="00CB6282"/>
    <w:rsid w:val="00CC4EA2"/>
    <w:rsid w:val="00CD7C9E"/>
    <w:rsid w:val="00CE1A44"/>
    <w:rsid w:val="00CE5288"/>
    <w:rsid w:val="00D00B71"/>
    <w:rsid w:val="00D07073"/>
    <w:rsid w:val="00D30C39"/>
    <w:rsid w:val="00D622D1"/>
    <w:rsid w:val="00D77008"/>
    <w:rsid w:val="00D8709F"/>
    <w:rsid w:val="00DA4158"/>
    <w:rsid w:val="00DC09FD"/>
    <w:rsid w:val="00DC68FE"/>
    <w:rsid w:val="00DD7D18"/>
    <w:rsid w:val="00DF0D2E"/>
    <w:rsid w:val="00DF4CC7"/>
    <w:rsid w:val="00E06FC0"/>
    <w:rsid w:val="00E1587E"/>
    <w:rsid w:val="00E34C2E"/>
    <w:rsid w:val="00E45453"/>
    <w:rsid w:val="00E86C7C"/>
    <w:rsid w:val="00EA6D61"/>
    <w:rsid w:val="00EB6147"/>
    <w:rsid w:val="00EF06C9"/>
    <w:rsid w:val="00F2454D"/>
    <w:rsid w:val="00F33E68"/>
    <w:rsid w:val="00F40EAC"/>
    <w:rsid w:val="00F4334F"/>
    <w:rsid w:val="00F810B9"/>
    <w:rsid w:val="00F9478F"/>
    <w:rsid w:val="00FC49AC"/>
    <w:rsid w:val="00FD305F"/>
    <w:rsid w:val="00FE58D2"/>
    <w:rsid w:val="00FF29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7D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A86F-81B7-446A-9BF7-C785BCBC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19349</Words>
  <Characters>106424</Characters>
  <Application>Microsoft Office Word</Application>
  <DocSecurity>0</DocSecurity>
  <Lines>886</Lines>
  <Paragraphs>251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Dubé - Juge administrative</dc:creator>
  <cp:lastModifiedBy>Gauthier, François</cp:lastModifiedBy>
  <cp:revision>3</cp:revision>
  <dcterms:created xsi:type="dcterms:W3CDTF">2025-04-28T17:14:00Z</dcterms:created>
  <dcterms:modified xsi:type="dcterms:W3CDTF">2025-04-28T18:40:00Z</dcterms:modified>
</cp:coreProperties>
</file>