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349B" w14:textId="79CA95A4" w:rsidR="00EB1CA9" w:rsidRPr="008C047A" w:rsidRDefault="00EB1CA9">
      <w:pPr>
        <w:rPr>
          <w:b/>
          <w:bCs/>
          <w:lang w:val="en-US"/>
        </w:rPr>
      </w:pPr>
      <w:r w:rsidRPr="008C047A">
        <w:rPr>
          <w:b/>
          <w:bCs/>
          <w:lang w:val="en-US"/>
        </w:rPr>
        <w:t xml:space="preserve">English translation of the </w:t>
      </w:r>
      <w:r w:rsidR="00322CFE" w:rsidRPr="008C047A">
        <w:rPr>
          <w:b/>
          <w:bCs/>
          <w:lang w:val="en-US"/>
        </w:rPr>
        <w:t>j</w:t>
      </w:r>
      <w:r w:rsidRPr="008C047A">
        <w:rPr>
          <w:b/>
          <w:bCs/>
          <w:lang w:val="en-US"/>
        </w:rPr>
        <w:t>udgment of the Court</w:t>
      </w:r>
      <w:r w:rsidR="00322CFE" w:rsidRPr="008C047A">
        <w:rPr>
          <w:b/>
          <w:bCs/>
          <w:lang w:val="en-US"/>
        </w:rPr>
        <w:t xml:space="preserve"> by SOQUIJ</w:t>
      </w:r>
    </w:p>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291C6F" w:rsidRPr="00324CF1" w14:paraId="2F76DCB2" w14:textId="77777777" w:rsidTr="008D18FC">
        <w:trPr>
          <w:trHeight w:val="248"/>
        </w:trPr>
        <w:tc>
          <w:tcPr>
            <w:tcW w:w="7372" w:type="dxa"/>
            <w:gridSpan w:val="5"/>
          </w:tcPr>
          <w:p w14:paraId="3EADA4C6" w14:textId="1A324409" w:rsidR="007B7E00" w:rsidRPr="00324CF1" w:rsidRDefault="00ED47F8" w:rsidP="007B7E00">
            <w:pPr>
              <w:pStyle w:val="zSoquijdatRepertorie"/>
              <w:rPr>
                <w:rFonts w:cs="Arial"/>
                <w:lang w:val="en-US"/>
              </w:rPr>
            </w:pPr>
            <w:r w:rsidRPr="00324CF1">
              <w:rPr>
                <w:rFonts w:cs="Arial"/>
                <w:bCs/>
                <w:lang w:val="en-CA"/>
              </w:rPr>
              <w:t>Republic of India c. CCDM Holdings</w:t>
            </w:r>
          </w:p>
          <w:p w14:paraId="0D4E918B" w14:textId="77777777" w:rsidR="007B7E00" w:rsidRPr="00324CF1" w:rsidRDefault="007B7E00" w:rsidP="007B7E00">
            <w:pPr>
              <w:pStyle w:val="zSoquijdatRepertorie"/>
              <w:rPr>
                <w:rFonts w:cs="Arial"/>
                <w:lang w:val="en-US"/>
              </w:rPr>
            </w:pPr>
          </w:p>
          <w:p w14:paraId="46CBD195" w14:textId="269716B3" w:rsidR="008F364A" w:rsidRPr="00324CF1" w:rsidRDefault="00ED47F8" w:rsidP="007B7E00">
            <w:pPr>
              <w:pStyle w:val="zSoquijdatRepertorie"/>
              <w:rPr>
                <w:rFonts w:cs="Arial"/>
                <w:lang w:val="en-US"/>
              </w:rPr>
            </w:pPr>
            <w:r w:rsidRPr="00324CF1">
              <w:rPr>
                <w:rFonts w:cs="Arial"/>
                <w:bCs/>
                <w:lang w:val="en-CA"/>
              </w:rPr>
              <w:t xml:space="preserve"> </w:t>
            </w:r>
          </w:p>
        </w:tc>
        <w:tc>
          <w:tcPr>
            <w:tcW w:w="1988" w:type="dxa"/>
          </w:tcPr>
          <w:p w14:paraId="143424DD" w14:textId="3DD10679" w:rsidR="008F364A" w:rsidRPr="00324CF1" w:rsidRDefault="00ED47F8" w:rsidP="00B7336E">
            <w:pPr>
              <w:pStyle w:val="zSoquijdatRefNeutre"/>
              <w:jc w:val="right"/>
              <w:rPr>
                <w:rFonts w:cs="Arial"/>
              </w:rPr>
            </w:pPr>
            <w:r w:rsidRPr="00324CF1">
              <w:rPr>
                <w:rFonts w:cs="Arial"/>
                <w:bCs/>
                <w:lang w:val="en-CA"/>
              </w:rPr>
              <w:t>2024 QCCA 1620</w:t>
            </w:r>
          </w:p>
        </w:tc>
      </w:tr>
      <w:tr w:rsidR="00291C6F" w:rsidRPr="00324CF1" w14:paraId="7E04DD35" w14:textId="77777777" w:rsidTr="008D18FC">
        <w:trPr>
          <w:trHeight w:val="247"/>
        </w:trPr>
        <w:tc>
          <w:tcPr>
            <w:tcW w:w="9360" w:type="dxa"/>
            <w:gridSpan w:val="6"/>
          </w:tcPr>
          <w:p w14:paraId="7DFD6B28" w14:textId="77777777" w:rsidR="008F364A" w:rsidRPr="00324CF1" w:rsidRDefault="00ED47F8" w:rsidP="00935A8A">
            <w:pPr>
              <w:pStyle w:val="zSoquijlblCour"/>
              <w:tabs>
                <w:tab w:val="left" w:pos="1720"/>
              </w:tabs>
            </w:pPr>
            <w:r w:rsidRPr="00324CF1">
              <w:rPr>
                <w:bCs/>
                <w:lang w:val="en-CA"/>
              </w:rPr>
              <w:t>COURT OF APPEAL</w:t>
            </w:r>
          </w:p>
        </w:tc>
      </w:tr>
      <w:tr w:rsidR="00291C6F" w:rsidRPr="00324CF1" w14:paraId="76B18C52" w14:textId="77777777" w:rsidTr="008D18FC">
        <w:trPr>
          <w:trHeight w:val="540"/>
        </w:trPr>
        <w:tc>
          <w:tcPr>
            <w:tcW w:w="9360" w:type="dxa"/>
            <w:gridSpan w:val="6"/>
          </w:tcPr>
          <w:p w14:paraId="1BA727E0" w14:textId="77777777" w:rsidR="008F364A" w:rsidRPr="00324CF1" w:rsidRDefault="008F364A">
            <w:pPr>
              <w:pStyle w:val="zSoquijdatDivision"/>
            </w:pPr>
          </w:p>
        </w:tc>
      </w:tr>
      <w:tr w:rsidR="00291C6F" w:rsidRPr="00324CF1" w14:paraId="6CE47FA3" w14:textId="77777777" w:rsidTr="008D18FC">
        <w:tc>
          <w:tcPr>
            <w:tcW w:w="9360" w:type="dxa"/>
            <w:gridSpan w:val="6"/>
          </w:tcPr>
          <w:p w14:paraId="14611EBA" w14:textId="77777777" w:rsidR="008F364A" w:rsidRPr="00324CF1" w:rsidRDefault="00ED47F8">
            <w:pPr>
              <w:pStyle w:val="zSoquijlblPays"/>
            </w:pPr>
            <w:r w:rsidRPr="00324CF1">
              <w:rPr>
                <w:lang w:val="en-CA"/>
              </w:rPr>
              <w:t>CANADA</w:t>
            </w:r>
          </w:p>
        </w:tc>
      </w:tr>
      <w:tr w:rsidR="00291C6F" w:rsidRPr="00324CF1" w14:paraId="76BDD9D2" w14:textId="77777777" w:rsidTr="008D18FC">
        <w:tc>
          <w:tcPr>
            <w:tcW w:w="9360" w:type="dxa"/>
            <w:gridSpan w:val="6"/>
          </w:tcPr>
          <w:p w14:paraId="150187A7" w14:textId="77777777" w:rsidR="008F364A" w:rsidRPr="00324CF1" w:rsidRDefault="00ED47F8">
            <w:pPr>
              <w:pStyle w:val="zSoquijlblProvince"/>
            </w:pPr>
            <w:r w:rsidRPr="00324CF1">
              <w:rPr>
                <w:lang w:val="en-CA"/>
              </w:rPr>
              <w:t>PROVINCE OF QUEBEC</w:t>
            </w:r>
          </w:p>
        </w:tc>
      </w:tr>
      <w:tr w:rsidR="00291C6F" w:rsidRPr="00324CF1" w14:paraId="1CAC0A67" w14:textId="77777777" w:rsidTr="00DD73D7">
        <w:tc>
          <w:tcPr>
            <w:tcW w:w="1701" w:type="dxa"/>
            <w:gridSpan w:val="3"/>
          </w:tcPr>
          <w:p w14:paraId="6C5A4A6B" w14:textId="77777777" w:rsidR="008F364A" w:rsidRPr="00324CF1" w:rsidRDefault="00ED47F8">
            <w:pPr>
              <w:pStyle w:val="zSoquijlblGreffe"/>
            </w:pPr>
            <w:r w:rsidRPr="00324CF1">
              <w:rPr>
                <w:lang w:val="en-CA"/>
              </w:rPr>
              <w:t>REGISTRY OF</w:t>
            </w:r>
          </w:p>
          <w:p w14:paraId="5EE5D1E5" w14:textId="77777777" w:rsidR="008F364A" w:rsidRPr="00324CF1" w:rsidRDefault="008F364A">
            <w:pPr>
              <w:pStyle w:val="zSoquijlblGreffe"/>
            </w:pPr>
          </w:p>
        </w:tc>
        <w:tc>
          <w:tcPr>
            <w:tcW w:w="7659" w:type="dxa"/>
            <w:gridSpan w:val="3"/>
          </w:tcPr>
          <w:p w14:paraId="31B2351B" w14:textId="4210F16A" w:rsidR="008F364A" w:rsidRPr="00324CF1" w:rsidRDefault="00ED47F8">
            <w:pPr>
              <w:pStyle w:val="zSoquijdatGreffe"/>
            </w:pPr>
            <w:bookmarkStart w:id="0" w:name="NomGreffe"/>
            <w:r w:rsidRPr="00324CF1">
              <w:rPr>
                <w:lang w:val="en-CA"/>
              </w:rPr>
              <w:t>MONTR</w:t>
            </w:r>
            <w:r w:rsidR="00322CFE">
              <w:rPr>
                <w:lang w:val="en-CA"/>
              </w:rPr>
              <w:t>E</w:t>
            </w:r>
            <w:r w:rsidRPr="00324CF1">
              <w:rPr>
                <w:lang w:val="en-CA"/>
              </w:rPr>
              <w:t>AL</w:t>
            </w:r>
            <w:bookmarkEnd w:id="0"/>
          </w:p>
        </w:tc>
      </w:tr>
      <w:tr w:rsidR="00291C6F" w:rsidRPr="00324CF1" w14:paraId="2B2B9067" w14:textId="77777777" w:rsidTr="008D18FC">
        <w:tc>
          <w:tcPr>
            <w:tcW w:w="1030" w:type="dxa"/>
          </w:tcPr>
          <w:p w14:paraId="0F17D0BC" w14:textId="5D8FF043" w:rsidR="008F364A" w:rsidRPr="00324CF1" w:rsidRDefault="00ED47F8">
            <w:pPr>
              <w:pStyle w:val="zSoquijlblNoDossier"/>
            </w:pPr>
            <w:r w:rsidRPr="00324CF1">
              <w:rPr>
                <w:lang w:val="en-CA"/>
              </w:rPr>
              <w:t>No</w:t>
            </w:r>
            <w:r w:rsidR="00322CFE">
              <w:rPr>
                <w:lang w:val="en-CA"/>
              </w:rPr>
              <w:t>s</w:t>
            </w:r>
            <w:r w:rsidRPr="00324CF1">
              <w:rPr>
                <w:lang w:val="en-CA"/>
              </w:rPr>
              <w:t>.:</w:t>
            </w:r>
          </w:p>
        </w:tc>
        <w:tc>
          <w:tcPr>
            <w:tcW w:w="8330" w:type="dxa"/>
            <w:gridSpan w:val="5"/>
          </w:tcPr>
          <w:p w14:paraId="1FAF826F" w14:textId="77777777" w:rsidR="008F364A" w:rsidRPr="00324CF1" w:rsidRDefault="00ED47F8">
            <w:pPr>
              <w:pStyle w:val="zSoquijdatNoDossier"/>
            </w:pPr>
            <w:bookmarkStart w:id="1" w:name="NoDossier"/>
            <w:r w:rsidRPr="00324CF1">
              <w:rPr>
                <w:lang w:val="en-CA"/>
              </w:rPr>
              <w:t>500-09-030393-235</w:t>
            </w:r>
            <w:bookmarkEnd w:id="1"/>
            <w:r w:rsidRPr="00324CF1">
              <w:rPr>
                <w:lang w:val="en-CA"/>
              </w:rPr>
              <w:t>, 500-09-029899-226, 500-09-700124-225</w:t>
            </w:r>
          </w:p>
        </w:tc>
      </w:tr>
      <w:tr w:rsidR="00291C6F" w:rsidRPr="00324CF1" w14:paraId="21591CF5" w14:textId="77777777" w:rsidTr="008D18FC">
        <w:tc>
          <w:tcPr>
            <w:tcW w:w="9360" w:type="dxa"/>
            <w:gridSpan w:val="6"/>
          </w:tcPr>
          <w:p w14:paraId="414F7C1C" w14:textId="77777777" w:rsidR="0006117A" w:rsidRPr="00324CF1" w:rsidRDefault="00ED47F8" w:rsidP="0006117A">
            <w:pPr>
              <w:pStyle w:val="zSoquijdatNoDossierAnt"/>
            </w:pPr>
            <w:r w:rsidRPr="00324CF1">
              <w:rPr>
                <w:lang w:val="en-CA"/>
              </w:rPr>
              <w:t>(500-11-060766-223, formerly 500-17-119144-213)</w:t>
            </w:r>
          </w:p>
        </w:tc>
      </w:tr>
      <w:tr w:rsidR="00291C6F" w:rsidRPr="00324CF1" w14:paraId="32E6EB04" w14:textId="77777777" w:rsidTr="008D18FC">
        <w:tc>
          <w:tcPr>
            <w:tcW w:w="9360" w:type="dxa"/>
            <w:gridSpan w:val="6"/>
          </w:tcPr>
          <w:p w14:paraId="72B8B439" w14:textId="77777777" w:rsidR="008F364A" w:rsidRPr="00324CF1" w:rsidRDefault="008F364A"/>
        </w:tc>
      </w:tr>
      <w:tr w:rsidR="00291C6F" w:rsidRPr="00324CF1" w14:paraId="58270D7F" w14:textId="77777777" w:rsidTr="008D18FC">
        <w:tc>
          <w:tcPr>
            <w:tcW w:w="1030" w:type="dxa"/>
          </w:tcPr>
          <w:p w14:paraId="5FD2B91D" w14:textId="77777777" w:rsidR="008F364A" w:rsidRPr="00324CF1" w:rsidRDefault="00ED47F8">
            <w:pPr>
              <w:pStyle w:val="zSoquijlblDateJugement"/>
            </w:pPr>
            <w:r w:rsidRPr="00324CF1">
              <w:rPr>
                <w:lang w:val="en-CA"/>
              </w:rPr>
              <w:t>DATE:</w:t>
            </w:r>
          </w:p>
        </w:tc>
        <w:tc>
          <w:tcPr>
            <w:tcW w:w="8330" w:type="dxa"/>
            <w:gridSpan w:val="5"/>
          </w:tcPr>
          <w:p w14:paraId="3214845F" w14:textId="77777777" w:rsidR="008F364A" w:rsidRPr="00324CF1" w:rsidRDefault="00ED47F8">
            <w:pPr>
              <w:pStyle w:val="zSoquijdatDateJugement"/>
            </w:pPr>
            <w:r w:rsidRPr="00324CF1">
              <w:rPr>
                <w:lang w:val="en-CA"/>
              </w:rPr>
              <w:t>December 4, 2024</w:t>
            </w:r>
          </w:p>
        </w:tc>
      </w:tr>
      <w:tr w:rsidR="00291C6F" w:rsidRPr="00324CF1" w14:paraId="71D37EF1" w14:textId="77777777" w:rsidTr="008D18FC">
        <w:tc>
          <w:tcPr>
            <w:tcW w:w="9360" w:type="dxa"/>
            <w:gridSpan w:val="6"/>
            <w:tcBorders>
              <w:bottom w:val="single" w:sz="8" w:space="0" w:color="auto"/>
            </w:tcBorders>
          </w:tcPr>
          <w:p w14:paraId="6D3DAAEF" w14:textId="77777777" w:rsidR="008F364A" w:rsidRPr="00324CF1" w:rsidRDefault="008F364A"/>
        </w:tc>
      </w:tr>
      <w:tr w:rsidR="00291C6F" w:rsidRPr="00324CF1" w14:paraId="4C042D9E" w14:textId="77777777" w:rsidTr="008D18FC">
        <w:tc>
          <w:tcPr>
            <w:tcW w:w="9360" w:type="dxa"/>
            <w:gridSpan w:val="6"/>
            <w:tcBorders>
              <w:top w:val="single" w:sz="8" w:space="0" w:color="auto"/>
            </w:tcBorders>
          </w:tcPr>
          <w:p w14:paraId="59B9E7F3" w14:textId="77777777" w:rsidR="008F364A" w:rsidRPr="00324CF1" w:rsidRDefault="008F364A"/>
        </w:tc>
      </w:tr>
      <w:tr w:rsidR="00291C6F" w:rsidRPr="00324CF1" w14:paraId="437AFF16" w14:textId="77777777" w:rsidTr="008D18FC">
        <w:tc>
          <w:tcPr>
            <w:tcW w:w="1620" w:type="dxa"/>
            <w:gridSpan w:val="2"/>
          </w:tcPr>
          <w:p w14:paraId="5756E628" w14:textId="77777777" w:rsidR="008F364A" w:rsidRPr="00324CF1" w:rsidRDefault="00ED47F8" w:rsidP="00423DF1">
            <w:pPr>
              <w:pStyle w:val="zSoquijlblJuge"/>
              <w:ind w:right="-142"/>
            </w:pPr>
            <w:bookmarkStart w:id="2" w:name="FORMATION"/>
            <w:r w:rsidRPr="00324CF1">
              <w:rPr>
                <w:bCs/>
                <w:lang w:val="en-CA"/>
              </w:rPr>
              <w:t>CORAM:</w:t>
            </w:r>
            <w:bookmarkEnd w:id="2"/>
          </w:p>
        </w:tc>
        <w:tc>
          <w:tcPr>
            <w:tcW w:w="2350" w:type="dxa"/>
            <w:gridSpan w:val="2"/>
          </w:tcPr>
          <w:p w14:paraId="3BC86B9E" w14:textId="77777777" w:rsidR="008F364A" w:rsidRPr="00324CF1" w:rsidRDefault="00ED47F8">
            <w:pPr>
              <w:pStyle w:val="zSoquijdatQteJuge"/>
            </w:pPr>
            <w:bookmarkStart w:id="3" w:name="Honorables"/>
            <w:r w:rsidRPr="00324CF1">
              <w:rPr>
                <w:bCs/>
                <w:lang w:val="en-CA"/>
              </w:rPr>
              <w:t>THE HONOURABLE</w:t>
            </w:r>
            <w:bookmarkEnd w:id="3"/>
          </w:p>
        </w:tc>
        <w:tc>
          <w:tcPr>
            <w:tcW w:w="5390" w:type="dxa"/>
            <w:gridSpan w:val="2"/>
          </w:tcPr>
          <w:p w14:paraId="12D55322" w14:textId="77777777" w:rsidR="008F364A" w:rsidRPr="00324CF1" w:rsidRDefault="00ED47F8">
            <w:pPr>
              <w:pStyle w:val="zSoquijdatJuge"/>
              <w:rPr>
                <w:lang w:val="en-US"/>
              </w:rPr>
            </w:pPr>
            <w:bookmarkStart w:id="4" w:name="NomJuge1"/>
            <w:r w:rsidRPr="00324CF1">
              <w:rPr>
                <w:bCs/>
                <w:lang w:val="en-CA"/>
              </w:rPr>
              <w:t>GENEVIÈVE MARCOTTE, J.A.</w:t>
            </w:r>
            <w:bookmarkEnd w:id="4"/>
          </w:p>
          <w:p w14:paraId="1CE304D0" w14:textId="77777777" w:rsidR="008F364A" w:rsidRPr="00324CF1" w:rsidRDefault="00ED47F8">
            <w:pPr>
              <w:pStyle w:val="zSoquijdatJuge"/>
              <w:rPr>
                <w:lang w:val="en-US"/>
              </w:rPr>
            </w:pPr>
            <w:bookmarkStart w:id="5" w:name="NomJuge2"/>
            <w:r w:rsidRPr="00324CF1">
              <w:rPr>
                <w:bCs/>
                <w:lang w:val="en-CA"/>
              </w:rPr>
              <w:t>BENOÎT MOORE, J.A.</w:t>
            </w:r>
            <w:bookmarkEnd w:id="5"/>
          </w:p>
          <w:p w14:paraId="4C3C61A6" w14:textId="77777777" w:rsidR="005A78BF" w:rsidRPr="00324CF1" w:rsidRDefault="00ED47F8" w:rsidP="0006117A">
            <w:pPr>
              <w:pStyle w:val="zSoquijdatJuge"/>
            </w:pPr>
            <w:bookmarkStart w:id="6" w:name="_Hlt520513784"/>
            <w:bookmarkStart w:id="7" w:name="NomJuge3"/>
            <w:bookmarkEnd w:id="6"/>
            <w:r w:rsidRPr="00324CF1">
              <w:rPr>
                <w:bCs/>
                <w:lang w:val="en-CA"/>
              </w:rPr>
              <w:t>SOPHIE LAVALLÉE, J.A.</w:t>
            </w:r>
            <w:bookmarkEnd w:id="7"/>
          </w:p>
        </w:tc>
      </w:tr>
      <w:tr w:rsidR="00291C6F" w:rsidRPr="00324CF1" w14:paraId="6099C255" w14:textId="77777777" w:rsidTr="008D18FC">
        <w:tc>
          <w:tcPr>
            <w:tcW w:w="9360" w:type="dxa"/>
            <w:gridSpan w:val="6"/>
            <w:tcBorders>
              <w:bottom w:val="single" w:sz="8" w:space="0" w:color="auto"/>
            </w:tcBorders>
          </w:tcPr>
          <w:p w14:paraId="6098CA67" w14:textId="77777777" w:rsidR="008F364A" w:rsidRPr="00324CF1" w:rsidRDefault="008F364A"/>
        </w:tc>
      </w:tr>
      <w:tr w:rsidR="00291C6F" w:rsidRPr="00324CF1" w14:paraId="0473CB3C" w14:textId="77777777" w:rsidTr="008D18FC">
        <w:tc>
          <w:tcPr>
            <w:tcW w:w="9360" w:type="dxa"/>
            <w:gridSpan w:val="6"/>
          </w:tcPr>
          <w:p w14:paraId="05C12CD2" w14:textId="77777777" w:rsidR="008F364A" w:rsidRPr="00324CF1" w:rsidRDefault="008F364A">
            <w:pPr>
              <w:pStyle w:val="zSoquijlblTitrePartie"/>
            </w:pPr>
          </w:p>
          <w:p w14:paraId="5EE12404" w14:textId="77777777" w:rsidR="0006117A" w:rsidRPr="00324CF1" w:rsidRDefault="00ED47F8">
            <w:pPr>
              <w:pStyle w:val="zSoquijlblTitrePartie"/>
            </w:pPr>
            <w:r w:rsidRPr="00324CF1">
              <w:rPr>
                <w:lang w:val="en-CA"/>
              </w:rPr>
              <w:t>No. 500-09-030393-235</w:t>
            </w:r>
          </w:p>
          <w:p w14:paraId="7E2FA256" w14:textId="77777777" w:rsidR="0006117A" w:rsidRPr="00324CF1" w:rsidRDefault="0006117A">
            <w:pPr>
              <w:pStyle w:val="zSoquijlblTitrePartie"/>
            </w:pPr>
          </w:p>
        </w:tc>
      </w:tr>
      <w:tr w:rsidR="00291C6F" w:rsidRPr="00324CF1" w14:paraId="1C3E7123" w14:textId="77777777" w:rsidTr="008D18FC">
        <w:tc>
          <w:tcPr>
            <w:tcW w:w="9360" w:type="dxa"/>
            <w:gridSpan w:val="6"/>
          </w:tcPr>
          <w:p w14:paraId="6948785D" w14:textId="77777777" w:rsidR="008F364A" w:rsidRPr="00324CF1" w:rsidRDefault="00ED47F8">
            <w:pPr>
              <w:pStyle w:val="zSoquijdatNomPartieDem"/>
            </w:pPr>
            <w:r w:rsidRPr="00324CF1">
              <w:rPr>
                <w:caps/>
                <w:lang w:val="en-CA"/>
              </w:rPr>
              <w:t>The Republic of India</w:t>
            </w:r>
          </w:p>
        </w:tc>
      </w:tr>
      <w:tr w:rsidR="00291C6F" w:rsidRPr="00324CF1" w14:paraId="3231F2DE" w14:textId="77777777" w:rsidTr="008D18FC">
        <w:tc>
          <w:tcPr>
            <w:tcW w:w="9360" w:type="dxa"/>
            <w:gridSpan w:val="6"/>
          </w:tcPr>
          <w:p w14:paraId="22870E07" w14:textId="77777777" w:rsidR="008F364A" w:rsidRPr="00324CF1" w:rsidRDefault="00ED47F8">
            <w:pPr>
              <w:pStyle w:val="zSoquijdatQtePartieDem"/>
            </w:pPr>
            <w:r w:rsidRPr="00324CF1">
              <w:rPr>
                <w:lang w:val="en-CA"/>
              </w:rPr>
              <w:t>APPELLANT – Defendant</w:t>
            </w:r>
          </w:p>
        </w:tc>
      </w:tr>
      <w:tr w:rsidR="00291C6F" w:rsidRPr="00324CF1" w14:paraId="289787B5" w14:textId="77777777" w:rsidTr="008D18FC">
        <w:tc>
          <w:tcPr>
            <w:tcW w:w="9360" w:type="dxa"/>
            <w:gridSpan w:val="6"/>
          </w:tcPr>
          <w:p w14:paraId="413EFDB3" w14:textId="77777777" w:rsidR="008F364A" w:rsidRPr="00324CF1" w:rsidRDefault="00ED47F8">
            <w:pPr>
              <w:pStyle w:val="zSoquijlblLienParties"/>
            </w:pPr>
            <w:r w:rsidRPr="00324CF1">
              <w:rPr>
                <w:lang w:val="en-CA"/>
              </w:rPr>
              <w:t>v.</w:t>
            </w:r>
          </w:p>
        </w:tc>
      </w:tr>
      <w:tr w:rsidR="00291C6F" w:rsidRPr="00324CF1" w14:paraId="5B23F0D8" w14:textId="77777777" w:rsidTr="008D18FC">
        <w:tc>
          <w:tcPr>
            <w:tcW w:w="9360" w:type="dxa"/>
            <w:gridSpan w:val="6"/>
          </w:tcPr>
          <w:p w14:paraId="583DEFC3" w14:textId="77777777" w:rsidR="008F364A" w:rsidRPr="00324CF1" w:rsidRDefault="008F364A"/>
        </w:tc>
      </w:tr>
      <w:tr w:rsidR="00291C6F" w:rsidRPr="00324CF1" w14:paraId="32692DBC" w14:textId="77777777" w:rsidTr="008D18FC">
        <w:tc>
          <w:tcPr>
            <w:tcW w:w="9360" w:type="dxa"/>
            <w:gridSpan w:val="6"/>
          </w:tcPr>
          <w:p w14:paraId="0CDB629E" w14:textId="77777777" w:rsidR="0006117A" w:rsidRPr="00324CF1" w:rsidRDefault="00ED47F8" w:rsidP="0006117A">
            <w:pPr>
              <w:pStyle w:val="zSoquijdatNomPartieDef"/>
              <w:tabs>
                <w:tab w:val="center" w:pos="2412"/>
              </w:tabs>
              <w:rPr>
                <w:caps/>
                <w:lang w:val="en-US"/>
              </w:rPr>
            </w:pPr>
            <w:bookmarkStart w:id="8" w:name="Intimé"/>
            <w:r w:rsidRPr="00324CF1">
              <w:rPr>
                <w:caps/>
                <w:lang w:val="en-CA"/>
              </w:rPr>
              <w:t>CCDM Holdings, LLC</w:t>
            </w:r>
          </w:p>
          <w:p w14:paraId="5762FA33" w14:textId="77777777" w:rsidR="0006117A" w:rsidRPr="00324CF1" w:rsidRDefault="00ED47F8" w:rsidP="0006117A">
            <w:pPr>
              <w:pStyle w:val="zSoquijdatNomPartieDef"/>
              <w:rPr>
                <w:caps/>
                <w:lang w:val="en-US"/>
              </w:rPr>
            </w:pPr>
            <w:r w:rsidRPr="00324CF1">
              <w:rPr>
                <w:caps/>
                <w:lang w:val="en-CA"/>
              </w:rPr>
              <w:t>Devas Employees Fund Us, LLC</w:t>
            </w:r>
          </w:p>
          <w:p w14:paraId="0B255637" w14:textId="77777777" w:rsidR="008F364A" w:rsidRPr="00324CF1" w:rsidRDefault="00ED47F8" w:rsidP="0006117A">
            <w:pPr>
              <w:pStyle w:val="zSoquijdatNomPartieDef"/>
            </w:pPr>
            <w:r w:rsidRPr="00324CF1">
              <w:rPr>
                <w:caps/>
                <w:lang w:val="en-CA"/>
              </w:rPr>
              <w:t>TELCOM Devas, LLC</w:t>
            </w:r>
            <w:bookmarkEnd w:id="8"/>
          </w:p>
        </w:tc>
      </w:tr>
      <w:tr w:rsidR="00291C6F" w:rsidRPr="00005C57" w14:paraId="5B6BAD40" w14:textId="77777777" w:rsidTr="008D18FC">
        <w:tc>
          <w:tcPr>
            <w:tcW w:w="9360" w:type="dxa"/>
            <w:gridSpan w:val="6"/>
          </w:tcPr>
          <w:p w14:paraId="080C5027" w14:textId="77777777" w:rsidR="008F364A" w:rsidRPr="00324CF1" w:rsidRDefault="00ED47F8">
            <w:pPr>
              <w:pStyle w:val="zSoquijdatQtePartieDef"/>
              <w:rPr>
                <w:lang w:val="en-US"/>
              </w:rPr>
            </w:pPr>
            <w:r w:rsidRPr="00324CF1">
              <w:rPr>
                <w:lang w:val="en-CA"/>
              </w:rPr>
              <w:t>RESPONDENTS – Plaintiffs in continuance of proceedings</w:t>
            </w:r>
          </w:p>
        </w:tc>
      </w:tr>
      <w:tr w:rsidR="00291C6F" w:rsidRPr="00324CF1" w14:paraId="22F8C6BC" w14:textId="77777777" w:rsidTr="008D18FC">
        <w:tc>
          <w:tcPr>
            <w:tcW w:w="9360" w:type="dxa"/>
            <w:gridSpan w:val="6"/>
          </w:tcPr>
          <w:p w14:paraId="4CE25C39" w14:textId="77777777" w:rsidR="0006117A" w:rsidRPr="00324CF1" w:rsidRDefault="00ED47F8" w:rsidP="0006117A">
            <w:pPr>
              <w:pStyle w:val="zSoquijdatQtePartieDef"/>
              <w:ind w:left="0"/>
            </w:pPr>
            <w:r w:rsidRPr="00324CF1">
              <w:rPr>
                <w:lang w:val="en-CA"/>
              </w:rPr>
              <w:t>and</w:t>
            </w:r>
          </w:p>
        </w:tc>
      </w:tr>
      <w:tr w:rsidR="00291C6F" w:rsidRPr="00005C57" w14:paraId="2B4DA3C6" w14:textId="77777777" w:rsidTr="008D18FC">
        <w:tc>
          <w:tcPr>
            <w:tcW w:w="9360" w:type="dxa"/>
            <w:gridSpan w:val="6"/>
          </w:tcPr>
          <w:p w14:paraId="3CECCD79" w14:textId="77777777" w:rsidR="0006117A" w:rsidRPr="00324CF1" w:rsidRDefault="00ED47F8" w:rsidP="0006117A">
            <w:pPr>
              <w:pStyle w:val="zSoquijdatQtePartieDef"/>
              <w:ind w:left="0"/>
              <w:rPr>
                <w:b/>
                <w:bCs/>
                <w:caps/>
                <w:lang w:val="en-US"/>
              </w:rPr>
            </w:pPr>
            <w:r w:rsidRPr="00324CF1">
              <w:rPr>
                <w:b/>
                <w:bCs/>
                <w:caps/>
                <w:lang w:val="en-CA"/>
              </w:rPr>
              <w:t>AIRPORT AUTHORITY OF INDIA</w:t>
            </w:r>
          </w:p>
          <w:p w14:paraId="6393771E" w14:textId="77777777" w:rsidR="0006117A" w:rsidRPr="00324CF1" w:rsidRDefault="00ED47F8" w:rsidP="0006117A">
            <w:pPr>
              <w:pStyle w:val="zSoquijdatNomPartieMec"/>
              <w:jc w:val="left"/>
              <w:rPr>
                <w:lang w:val="en-US"/>
              </w:rPr>
            </w:pPr>
            <w:r w:rsidRPr="00324CF1">
              <w:rPr>
                <w:lang w:val="en-CA"/>
              </w:rPr>
              <w:t>AIR INDIA LIMITED</w:t>
            </w:r>
          </w:p>
        </w:tc>
      </w:tr>
      <w:tr w:rsidR="00291C6F" w:rsidRPr="00324CF1" w14:paraId="35AF99DF" w14:textId="77777777" w:rsidTr="008D18FC">
        <w:tc>
          <w:tcPr>
            <w:tcW w:w="9360" w:type="dxa"/>
            <w:gridSpan w:val="6"/>
          </w:tcPr>
          <w:p w14:paraId="5C90AFA8" w14:textId="77777777" w:rsidR="0006117A" w:rsidRPr="00324CF1" w:rsidRDefault="00ED47F8">
            <w:pPr>
              <w:pStyle w:val="zSoquijdatQtePartieDef"/>
            </w:pPr>
            <w:r w:rsidRPr="00324CF1">
              <w:rPr>
                <w:lang w:val="en-CA"/>
              </w:rPr>
              <w:t>IMPLEADED PARTIES – Impleaded parties</w:t>
            </w:r>
          </w:p>
        </w:tc>
      </w:tr>
      <w:tr w:rsidR="00291C6F" w:rsidRPr="00324CF1" w14:paraId="49AEFFF7" w14:textId="77777777" w:rsidTr="008D18FC">
        <w:tc>
          <w:tcPr>
            <w:tcW w:w="9360" w:type="dxa"/>
            <w:gridSpan w:val="6"/>
          </w:tcPr>
          <w:p w14:paraId="2CAED1AF" w14:textId="77777777" w:rsidR="0006117A" w:rsidRPr="00324CF1" w:rsidRDefault="00ED47F8" w:rsidP="0006117A">
            <w:pPr>
              <w:pStyle w:val="zSoquijdatQtePartieDef"/>
              <w:ind w:left="0"/>
            </w:pPr>
            <w:r w:rsidRPr="00324CF1">
              <w:rPr>
                <w:lang w:val="en-CA"/>
              </w:rPr>
              <w:t>and</w:t>
            </w:r>
          </w:p>
        </w:tc>
      </w:tr>
      <w:tr w:rsidR="00291C6F" w:rsidRPr="00324CF1" w14:paraId="2EF9A6C2" w14:textId="77777777" w:rsidTr="008D18FC">
        <w:tc>
          <w:tcPr>
            <w:tcW w:w="9360" w:type="dxa"/>
            <w:gridSpan w:val="6"/>
          </w:tcPr>
          <w:p w14:paraId="599E74F4" w14:textId="77777777" w:rsidR="0006117A" w:rsidRPr="00324CF1" w:rsidRDefault="00ED47F8" w:rsidP="0006117A">
            <w:pPr>
              <w:pStyle w:val="zSoquijdatNomPartieMec"/>
              <w:jc w:val="left"/>
              <w:rPr>
                <w:caps/>
              </w:rPr>
            </w:pPr>
            <w:r w:rsidRPr="00324CF1">
              <w:rPr>
                <w:caps/>
                <w:lang w:val="en-CA"/>
              </w:rPr>
              <w:t>INTERNATIONAL AIR TRANSPORT ASSOCIATION</w:t>
            </w:r>
          </w:p>
        </w:tc>
      </w:tr>
      <w:tr w:rsidR="00291C6F" w:rsidRPr="00005C57" w14:paraId="3BD93F06" w14:textId="77777777" w:rsidTr="008D18FC">
        <w:tc>
          <w:tcPr>
            <w:tcW w:w="9360" w:type="dxa"/>
            <w:gridSpan w:val="6"/>
          </w:tcPr>
          <w:p w14:paraId="3A7F2C74" w14:textId="1CE66214" w:rsidR="0006117A" w:rsidRPr="00324CF1" w:rsidRDefault="00ED47F8">
            <w:pPr>
              <w:pStyle w:val="zSoquijdatQtePartieDef"/>
              <w:rPr>
                <w:lang w:val="en-US"/>
              </w:rPr>
            </w:pPr>
            <w:r w:rsidRPr="00324CF1">
              <w:rPr>
                <w:lang w:val="en-CA"/>
              </w:rPr>
              <w:t>IMPLEADED PARTY – Third-party garnishee</w:t>
            </w:r>
          </w:p>
        </w:tc>
      </w:tr>
      <w:tr w:rsidR="00291C6F" w:rsidRPr="00005C57" w14:paraId="5AD5B1AB" w14:textId="77777777" w:rsidTr="0062089F">
        <w:tc>
          <w:tcPr>
            <w:tcW w:w="9360" w:type="dxa"/>
            <w:gridSpan w:val="6"/>
            <w:tcBorders>
              <w:bottom w:val="single" w:sz="4" w:space="0" w:color="auto"/>
            </w:tcBorders>
          </w:tcPr>
          <w:p w14:paraId="18539DB4" w14:textId="77777777" w:rsidR="0006117A" w:rsidRPr="00324CF1" w:rsidRDefault="0006117A" w:rsidP="0006117A">
            <w:pPr>
              <w:rPr>
                <w:lang w:val="en-US"/>
              </w:rPr>
            </w:pPr>
          </w:p>
        </w:tc>
      </w:tr>
      <w:tr w:rsidR="00291C6F" w:rsidRPr="00324CF1" w14:paraId="4C8AFE47" w14:textId="77777777" w:rsidTr="0062089F">
        <w:tc>
          <w:tcPr>
            <w:tcW w:w="9360" w:type="dxa"/>
            <w:gridSpan w:val="6"/>
            <w:tcBorders>
              <w:top w:val="single" w:sz="4" w:space="0" w:color="auto"/>
            </w:tcBorders>
          </w:tcPr>
          <w:p w14:paraId="530DDE90" w14:textId="77777777" w:rsidR="0006117A" w:rsidRPr="00324CF1" w:rsidRDefault="0006117A" w:rsidP="0006117A">
            <w:pPr>
              <w:rPr>
                <w:lang w:val="en-US"/>
              </w:rPr>
            </w:pPr>
          </w:p>
          <w:p w14:paraId="5620144D" w14:textId="77777777" w:rsidR="0006117A" w:rsidRPr="00324CF1" w:rsidRDefault="00ED47F8" w:rsidP="0006117A">
            <w:r w:rsidRPr="00324CF1">
              <w:rPr>
                <w:lang w:val="en-CA"/>
              </w:rPr>
              <w:t>No. 500-09-029899-226</w:t>
            </w:r>
          </w:p>
          <w:p w14:paraId="27B7AD95" w14:textId="77777777" w:rsidR="0006117A" w:rsidRPr="00324CF1" w:rsidRDefault="0006117A" w:rsidP="0006117A"/>
        </w:tc>
      </w:tr>
      <w:tr w:rsidR="00291C6F" w:rsidRPr="00324CF1" w14:paraId="27C1305D" w14:textId="77777777" w:rsidTr="008D18FC">
        <w:tc>
          <w:tcPr>
            <w:tcW w:w="9360" w:type="dxa"/>
            <w:gridSpan w:val="6"/>
          </w:tcPr>
          <w:p w14:paraId="0B49B8C5" w14:textId="77777777" w:rsidR="0006117A" w:rsidRPr="00324CF1" w:rsidRDefault="00ED47F8" w:rsidP="0006117A">
            <w:pPr>
              <w:pStyle w:val="zSoquijdatNomPartieDef"/>
              <w:tabs>
                <w:tab w:val="center" w:pos="2412"/>
              </w:tabs>
              <w:rPr>
                <w:caps/>
                <w:lang w:val="en-US"/>
              </w:rPr>
            </w:pPr>
            <w:r w:rsidRPr="00324CF1">
              <w:rPr>
                <w:caps/>
                <w:lang w:val="en-CA"/>
              </w:rPr>
              <w:t>CCDM Holdings, LLC</w:t>
            </w:r>
          </w:p>
          <w:p w14:paraId="26422247" w14:textId="77777777" w:rsidR="0006117A" w:rsidRPr="00324CF1" w:rsidRDefault="00ED47F8" w:rsidP="0006117A">
            <w:pPr>
              <w:pStyle w:val="zSoquijdatNomPartieDef"/>
              <w:rPr>
                <w:caps/>
                <w:lang w:val="en-US"/>
              </w:rPr>
            </w:pPr>
            <w:r w:rsidRPr="00324CF1">
              <w:rPr>
                <w:caps/>
                <w:lang w:val="en-CA"/>
              </w:rPr>
              <w:t>Devas Employees Fund Us, LLC</w:t>
            </w:r>
          </w:p>
          <w:p w14:paraId="5229C6EC" w14:textId="77777777" w:rsidR="0006117A" w:rsidRPr="00324CF1" w:rsidRDefault="00ED47F8" w:rsidP="0006117A">
            <w:pPr>
              <w:pStyle w:val="zSoquijdatQtePartieDef"/>
              <w:ind w:left="0"/>
              <w:rPr>
                <w:b/>
                <w:bCs/>
              </w:rPr>
            </w:pPr>
            <w:r w:rsidRPr="00324CF1">
              <w:rPr>
                <w:b/>
                <w:bCs/>
                <w:caps/>
                <w:lang w:val="en-CA"/>
              </w:rPr>
              <w:lastRenderedPageBreak/>
              <w:t>TELCOM Devas, LLC</w:t>
            </w:r>
          </w:p>
        </w:tc>
      </w:tr>
      <w:tr w:rsidR="00291C6F" w:rsidRPr="00005C57" w14:paraId="1481248D" w14:textId="77777777" w:rsidTr="008D18FC">
        <w:tc>
          <w:tcPr>
            <w:tcW w:w="9360" w:type="dxa"/>
            <w:gridSpan w:val="6"/>
          </w:tcPr>
          <w:p w14:paraId="39693774" w14:textId="77777777" w:rsidR="0006117A" w:rsidRPr="00324CF1" w:rsidRDefault="00ED47F8" w:rsidP="0006117A">
            <w:pPr>
              <w:pStyle w:val="zSoquijdatQtePartieDef"/>
              <w:rPr>
                <w:lang w:val="en-US"/>
              </w:rPr>
            </w:pPr>
            <w:r w:rsidRPr="00324CF1">
              <w:rPr>
                <w:lang w:val="en-CA"/>
              </w:rPr>
              <w:lastRenderedPageBreak/>
              <w:t>APPELLANTS – Plaintiffs in continuance of proceedings</w:t>
            </w:r>
          </w:p>
        </w:tc>
      </w:tr>
      <w:tr w:rsidR="00291C6F" w:rsidRPr="00324CF1" w14:paraId="497B45D8" w14:textId="77777777" w:rsidTr="008D18FC">
        <w:tc>
          <w:tcPr>
            <w:tcW w:w="9360" w:type="dxa"/>
            <w:gridSpan w:val="6"/>
          </w:tcPr>
          <w:p w14:paraId="3963ECAC" w14:textId="77777777" w:rsidR="0006117A" w:rsidRPr="00324CF1" w:rsidRDefault="00ED47F8" w:rsidP="0006117A">
            <w:pPr>
              <w:pStyle w:val="zSoquijdatQtePartieDef"/>
              <w:ind w:left="0"/>
            </w:pPr>
            <w:r w:rsidRPr="00324CF1">
              <w:rPr>
                <w:lang w:val="en-CA"/>
              </w:rPr>
              <w:t>v.</w:t>
            </w:r>
          </w:p>
        </w:tc>
      </w:tr>
      <w:tr w:rsidR="00291C6F" w:rsidRPr="00324CF1" w14:paraId="614239D7" w14:textId="77777777" w:rsidTr="008D18FC">
        <w:tc>
          <w:tcPr>
            <w:tcW w:w="9360" w:type="dxa"/>
            <w:gridSpan w:val="6"/>
          </w:tcPr>
          <w:p w14:paraId="193354A0" w14:textId="77777777" w:rsidR="0006117A" w:rsidRPr="00324CF1" w:rsidRDefault="0006117A" w:rsidP="0006117A">
            <w:pPr>
              <w:pStyle w:val="zSoquijdatQtePartieDef"/>
            </w:pPr>
          </w:p>
        </w:tc>
      </w:tr>
      <w:tr w:rsidR="00291C6F" w:rsidRPr="00324CF1" w14:paraId="7793B0C2" w14:textId="77777777" w:rsidTr="008D18FC">
        <w:tc>
          <w:tcPr>
            <w:tcW w:w="9360" w:type="dxa"/>
            <w:gridSpan w:val="6"/>
          </w:tcPr>
          <w:p w14:paraId="44B1E464" w14:textId="77777777" w:rsidR="0006117A" w:rsidRPr="00324CF1" w:rsidRDefault="00ED47F8" w:rsidP="0006117A">
            <w:pPr>
              <w:pStyle w:val="zSoquijdatQtePartieDef"/>
              <w:ind w:left="0"/>
              <w:rPr>
                <w:b/>
                <w:bCs/>
                <w:caps/>
              </w:rPr>
            </w:pPr>
            <w:r w:rsidRPr="00324CF1">
              <w:rPr>
                <w:b/>
                <w:bCs/>
                <w:caps/>
                <w:lang w:val="en-CA"/>
              </w:rPr>
              <w:t>AIRPORT AUTHORITY OF INDIA</w:t>
            </w:r>
          </w:p>
        </w:tc>
      </w:tr>
      <w:tr w:rsidR="00291C6F" w:rsidRPr="00324CF1" w14:paraId="72B04E29" w14:textId="77777777" w:rsidTr="008D18FC">
        <w:tc>
          <w:tcPr>
            <w:tcW w:w="9360" w:type="dxa"/>
            <w:gridSpan w:val="6"/>
          </w:tcPr>
          <w:p w14:paraId="77F0F9E9" w14:textId="77777777" w:rsidR="0046357D" w:rsidRPr="00324CF1" w:rsidRDefault="00ED47F8" w:rsidP="0046357D">
            <w:pPr>
              <w:pStyle w:val="zSoquijdatQtePartieDef"/>
            </w:pPr>
            <w:r w:rsidRPr="00324CF1">
              <w:rPr>
                <w:lang w:val="en-CA"/>
              </w:rPr>
              <w:t>RESPONDENTS – Impleaded party</w:t>
            </w:r>
          </w:p>
        </w:tc>
      </w:tr>
      <w:tr w:rsidR="00291C6F" w:rsidRPr="00324CF1" w14:paraId="30134501" w14:textId="77777777" w:rsidTr="008D18FC">
        <w:tc>
          <w:tcPr>
            <w:tcW w:w="9360" w:type="dxa"/>
            <w:gridSpan w:val="6"/>
          </w:tcPr>
          <w:p w14:paraId="70B37819" w14:textId="77777777" w:rsidR="0046357D" w:rsidRPr="00324CF1" w:rsidRDefault="00ED47F8" w:rsidP="0046357D">
            <w:pPr>
              <w:pStyle w:val="zSoquijdatQtePartieDef"/>
              <w:ind w:left="0"/>
            </w:pPr>
            <w:r w:rsidRPr="00324CF1">
              <w:rPr>
                <w:lang w:val="en-CA"/>
              </w:rPr>
              <w:t>and</w:t>
            </w:r>
          </w:p>
        </w:tc>
      </w:tr>
      <w:tr w:rsidR="00291C6F" w:rsidRPr="00324CF1" w14:paraId="4DD1ECBD" w14:textId="77777777" w:rsidTr="008D18FC">
        <w:tc>
          <w:tcPr>
            <w:tcW w:w="9360" w:type="dxa"/>
            <w:gridSpan w:val="6"/>
          </w:tcPr>
          <w:p w14:paraId="6E4AFCD2" w14:textId="77777777" w:rsidR="0046357D" w:rsidRPr="00324CF1" w:rsidRDefault="00ED47F8" w:rsidP="0046357D">
            <w:pPr>
              <w:pStyle w:val="zSoquijdatQtePartieDef"/>
              <w:ind w:left="0"/>
              <w:rPr>
                <w:b/>
                <w:bCs/>
              </w:rPr>
            </w:pPr>
            <w:r w:rsidRPr="00324CF1">
              <w:rPr>
                <w:b/>
                <w:bCs/>
                <w:caps/>
                <w:lang w:val="en-CA"/>
              </w:rPr>
              <w:t>INTERNATIONAL AIR TRANSPORT ASSOCIATION</w:t>
            </w:r>
          </w:p>
        </w:tc>
      </w:tr>
      <w:tr w:rsidR="00291C6F" w:rsidRPr="00005C57" w14:paraId="3FE1BA34" w14:textId="77777777" w:rsidTr="008D18FC">
        <w:tc>
          <w:tcPr>
            <w:tcW w:w="9360" w:type="dxa"/>
            <w:gridSpan w:val="6"/>
          </w:tcPr>
          <w:p w14:paraId="0973F098" w14:textId="77777777" w:rsidR="0046357D" w:rsidRPr="00324CF1" w:rsidRDefault="00ED47F8" w:rsidP="0046357D">
            <w:pPr>
              <w:pStyle w:val="zSoquijdatQtePartieDef"/>
              <w:rPr>
                <w:lang w:val="en-US"/>
              </w:rPr>
            </w:pPr>
            <w:r w:rsidRPr="00324CF1">
              <w:rPr>
                <w:lang w:val="en-CA"/>
              </w:rPr>
              <w:t>IMPLEADED PARTY – Third-party garnishee</w:t>
            </w:r>
          </w:p>
        </w:tc>
      </w:tr>
      <w:tr w:rsidR="00291C6F" w:rsidRPr="00324CF1" w14:paraId="18C69C00" w14:textId="77777777" w:rsidTr="008D18FC">
        <w:tc>
          <w:tcPr>
            <w:tcW w:w="9360" w:type="dxa"/>
            <w:gridSpan w:val="6"/>
          </w:tcPr>
          <w:p w14:paraId="51B14591" w14:textId="77777777" w:rsidR="0046357D" w:rsidRPr="00324CF1" w:rsidRDefault="00ED47F8" w:rsidP="0046357D">
            <w:pPr>
              <w:pStyle w:val="zSoquijdatQtePartieDef"/>
              <w:ind w:left="0"/>
            </w:pPr>
            <w:r w:rsidRPr="00324CF1">
              <w:rPr>
                <w:lang w:val="en-CA"/>
              </w:rPr>
              <w:t>and</w:t>
            </w:r>
          </w:p>
        </w:tc>
      </w:tr>
      <w:tr w:rsidR="00291C6F" w:rsidRPr="00324CF1" w14:paraId="4E8C6D66" w14:textId="77777777" w:rsidTr="008D18FC">
        <w:tc>
          <w:tcPr>
            <w:tcW w:w="9360" w:type="dxa"/>
            <w:gridSpan w:val="6"/>
          </w:tcPr>
          <w:p w14:paraId="165B7B0D" w14:textId="77777777" w:rsidR="0046357D" w:rsidRPr="00324CF1" w:rsidRDefault="00ED47F8" w:rsidP="0046357D">
            <w:pPr>
              <w:pStyle w:val="zSoquijdatNomPartieMec"/>
              <w:jc w:val="left"/>
            </w:pPr>
            <w:r w:rsidRPr="00324CF1">
              <w:rPr>
                <w:lang w:val="en-CA"/>
              </w:rPr>
              <w:t>THE REPUBLIC OF INDIA</w:t>
            </w:r>
          </w:p>
        </w:tc>
      </w:tr>
      <w:tr w:rsidR="00291C6F" w:rsidRPr="00324CF1" w14:paraId="4FCEB39A" w14:textId="77777777" w:rsidTr="008D18FC">
        <w:tc>
          <w:tcPr>
            <w:tcW w:w="9360" w:type="dxa"/>
            <w:gridSpan w:val="6"/>
          </w:tcPr>
          <w:p w14:paraId="7C4DCD6C" w14:textId="77777777" w:rsidR="0046357D" w:rsidRPr="00324CF1" w:rsidRDefault="00ED47F8" w:rsidP="0046357D">
            <w:pPr>
              <w:pStyle w:val="zSoquijdatQtePartieDef"/>
            </w:pPr>
            <w:r w:rsidRPr="00324CF1">
              <w:rPr>
                <w:lang w:val="en-CA"/>
              </w:rPr>
              <w:t>IMPLEADED PARTY – Defendant</w:t>
            </w:r>
          </w:p>
        </w:tc>
      </w:tr>
      <w:tr w:rsidR="00291C6F" w:rsidRPr="00324CF1" w14:paraId="1BFD1E86" w14:textId="77777777" w:rsidTr="008D18FC">
        <w:tc>
          <w:tcPr>
            <w:tcW w:w="9360" w:type="dxa"/>
            <w:gridSpan w:val="6"/>
          </w:tcPr>
          <w:p w14:paraId="47CCEF17" w14:textId="77777777" w:rsidR="0046357D" w:rsidRPr="00324CF1" w:rsidRDefault="00ED47F8" w:rsidP="0046357D">
            <w:pPr>
              <w:pStyle w:val="zSoquijdatQtePartieDef"/>
              <w:ind w:left="0"/>
            </w:pPr>
            <w:r w:rsidRPr="00324CF1">
              <w:rPr>
                <w:lang w:val="en-CA"/>
              </w:rPr>
              <w:t>and</w:t>
            </w:r>
          </w:p>
        </w:tc>
      </w:tr>
      <w:tr w:rsidR="00291C6F" w:rsidRPr="00324CF1" w14:paraId="0F6E3C1E" w14:textId="77777777" w:rsidTr="008D18FC">
        <w:tc>
          <w:tcPr>
            <w:tcW w:w="9360" w:type="dxa"/>
            <w:gridSpan w:val="6"/>
          </w:tcPr>
          <w:p w14:paraId="5888B400" w14:textId="77777777" w:rsidR="0046357D" w:rsidRPr="00324CF1" w:rsidRDefault="00ED47F8" w:rsidP="0046357D">
            <w:pPr>
              <w:pStyle w:val="zSoquijdatQtePartieDef"/>
              <w:ind w:left="0"/>
              <w:rPr>
                <w:b/>
                <w:bCs/>
              </w:rPr>
            </w:pPr>
            <w:r w:rsidRPr="00324CF1">
              <w:rPr>
                <w:b/>
                <w:bCs/>
                <w:lang w:val="en-CA"/>
              </w:rPr>
              <w:t>AIR INDIA LIMITED</w:t>
            </w:r>
          </w:p>
        </w:tc>
      </w:tr>
      <w:tr w:rsidR="00291C6F" w:rsidRPr="00324CF1" w14:paraId="45205232" w14:textId="77777777" w:rsidTr="008D18FC">
        <w:tc>
          <w:tcPr>
            <w:tcW w:w="9360" w:type="dxa"/>
            <w:gridSpan w:val="6"/>
          </w:tcPr>
          <w:p w14:paraId="130515C1" w14:textId="77777777" w:rsidR="0046357D" w:rsidRPr="00324CF1" w:rsidRDefault="00ED47F8" w:rsidP="0046357D">
            <w:pPr>
              <w:pStyle w:val="zSoquijdatQtePartieDef"/>
            </w:pPr>
            <w:r w:rsidRPr="00324CF1">
              <w:rPr>
                <w:lang w:val="en-CA"/>
              </w:rPr>
              <w:t>IMPLEADED PARTY – Impleaded party</w:t>
            </w:r>
          </w:p>
        </w:tc>
      </w:tr>
      <w:tr w:rsidR="00291C6F" w:rsidRPr="00324CF1" w14:paraId="4A22F2BD" w14:textId="77777777" w:rsidTr="0062089F">
        <w:tc>
          <w:tcPr>
            <w:tcW w:w="9360" w:type="dxa"/>
            <w:gridSpan w:val="6"/>
            <w:tcBorders>
              <w:bottom w:val="single" w:sz="4" w:space="0" w:color="auto"/>
            </w:tcBorders>
          </w:tcPr>
          <w:p w14:paraId="03FE3424" w14:textId="77777777" w:rsidR="0046357D" w:rsidRPr="00324CF1" w:rsidRDefault="0046357D" w:rsidP="0046357D"/>
        </w:tc>
      </w:tr>
      <w:tr w:rsidR="00291C6F" w:rsidRPr="00324CF1" w14:paraId="7EF36B49" w14:textId="77777777" w:rsidTr="0062089F">
        <w:tc>
          <w:tcPr>
            <w:tcW w:w="9360" w:type="dxa"/>
            <w:gridSpan w:val="6"/>
            <w:tcBorders>
              <w:top w:val="single" w:sz="4" w:space="0" w:color="auto"/>
            </w:tcBorders>
          </w:tcPr>
          <w:p w14:paraId="39C71633" w14:textId="77777777" w:rsidR="0046357D" w:rsidRPr="00324CF1" w:rsidRDefault="0046357D" w:rsidP="0046357D"/>
          <w:p w14:paraId="25AB7EB1" w14:textId="77777777" w:rsidR="0046357D" w:rsidRPr="00324CF1" w:rsidRDefault="00ED47F8" w:rsidP="0046357D">
            <w:r w:rsidRPr="00324CF1">
              <w:rPr>
                <w:lang w:val="en-CA"/>
              </w:rPr>
              <w:t>No 500-09-700124-225</w:t>
            </w:r>
          </w:p>
          <w:p w14:paraId="3F280FD0" w14:textId="77777777" w:rsidR="0046357D" w:rsidRPr="00324CF1" w:rsidRDefault="0046357D" w:rsidP="0046357D"/>
        </w:tc>
      </w:tr>
      <w:tr w:rsidR="00291C6F" w:rsidRPr="00324CF1" w14:paraId="093E3C1C" w14:textId="77777777" w:rsidTr="008D18FC">
        <w:tc>
          <w:tcPr>
            <w:tcW w:w="9360" w:type="dxa"/>
            <w:gridSpan w:val="6"/>
          </w:tcPr>
          <w:p w14:paraId="5B67CFB8" w14:textId="77777777" w:rsidR="0046357D" w:rsidRPr="00324CF1" w:rsidRDefault="00ED47F8" w:rsidP="0046357D">
            <w:pPr>
              <w:pStyle w:val="zSoquijdatNomPartieDef"/>
              <w:tabs>
                <w:tab w:val="center" w:pos="2412"/>
              </w:tabs>
              <w:rPr>
                <w:caps/>
                <w:lang w:val="en-US"/>
              </w:rPr>
            </w:pPr>
            <w:r w:rsidRPr="00324CF1">
              <w:rPr>
                <w:caps/>
                <w:lang w:val="en-CA"/>
              </w:rPr>
              <w:t>CCDM Holdings, LLC</w:t>
            </w:r>
          </w:p>
          <w:p w14:paraId="3898BDF4" w14:textId="77777777" w:rsidR="0046357D" w:rsidRPr="00324CF1" w:rsidRDefault="00ED47F8" w:rsidP="0046357D">
            <w:pPr>
              <w:pStyle w:val="zSoquijdatNomPartieDef"/>
              <w:rPr>
                <w:caps/>
                <w:lang w:val="en-US"/>
              </w:rPr>
            </w:pPr>
            <w:r w:rsidRPr="00324CF1">
              <w:rPr>
                <w:caps/>
                <w:lang w:val="en-CA"/>
              </w:rPr>
              <w:t>Devas Employees Fund Us, LLC</w:t>
            </w:r>
          </w:p>
          <w:p w14:paraId="56BC19FF" w14:textId="77777777" w:rsidR="0046357D" w:rsidRPr="00324CF1" w:rsidRDefault="00ED47F8" w:rsidP="0046357D">
            <w:pPr>
              <w:pStyle w:val="zSoquijdatQtePartieDef"/>
              <w:ind w:left="0"/>
            </w:pPr>
            <w:r w:rsidRPr="00324CF1">
              <w:rPr>
                <w:b/>
                <w:bCs/>
                <w:caps/>
                <w:lang w:val="en-CA"/>
              </w:rPr>
              <w:t>TELCOM Devas, LLC</w:t>
            </w:r>
          </w:p>
        </w:tc>
      </w:tr>
      <w:tr w:rsidR="00291C6F" w:rsidRPr="00005C57" w14:paraId="6861F6A4" w14:textId="77777777" w:rsidTr="008D18FC">
        <w:tc>
          <w:tcPr>
            <w:tcW w:w="9360" w:type="dxa"/>
            <w:gridSpan w:val="6"/>
          </w:tcPr>
          <w:p w14:paraId="3394A3F0" w14:textId="77777777" w:rsidR="0046357D" w:rsidRPr="00324CF1" w:rsidRDefault="00ED47F8" w:rsidP="0046357D">
            <w:pPr>
              <w:pStyle w:val="zSoquijdatQtePartieDef"/>
              <w:rPr>
                <w:lang w:val="en-US"/>
              </w:rPr>
            </w:pPr>
            <w:r w:rsidRPr="00324CF1">
              <w:rPr>
                <w:lang w:val="en-CA"/>
              </w:rPr>
              <w:t>APPELLANTS – Plaintiffs in continuance of proceedings</w:t>
            </w:r>
          </w:p>
        </w:tc>
      </w:tr>
      <w:tr w:rsidR="00291C6F" w:rsidRPr="00324CF1" w14:paraId="5B230EBC" w14:textId="77777777" w:rsidTr="008D18FC">
        <w:tc>
          <w:tcPr>
            <w:tcW w:w="9360" w:type="dxa"/>
            <w:gridSpan w:val="6"/>
          </w:tcPr>
          <w:p w14:paraId="113FE439" w14:textId="77777777" w:rsidR="0046357D" w:rsidRPr="00324CF1" w:rsidRDefault="00ED47F8" w:rsidP="0046357D">
            <w:pPr>
              <w:pStyle w:val="zSoquijdatQtePartieDef"/>
              <w:ind w:left="0"/>
            </w:pPr>
            <w:r w:rsidRPr="00324CF1">
              <w:rPr>
                <w:lang w:val="en-CA"/>
              </w:rPr>
              <w:t>v.</w:t>
            </w:r>
          </w:p>
        </w:tc>
      </w:tr>
      <w:tr w:rsidR="00291C6F" w:rsidRPr="00324CF1" w14:paraId="74347FCE" w14:textId="77777777" w:rsidTr="008D18FC">
        <w:tc>
          <w:tcPr>
            <w:tcW w:w="9360" w:type="dxa"/>
            <w:gridSpan w:val="6"/>
          </w:tcPr>
          <w:p w14:paraId="6AF92CB1" w14:textId="77777777" w:rsidR="0046357D" w:rsidRPr="00324CF1" w:rsidRDefault="0046357D" w:rsidP="0046357D">
            <w:pPr>
              <w:pStyle w:val="zSoquijdatQtePartieDef"/>
            </w:pPr>
          </w:p>
        </w:tc>
      </w:tr>
      <w:tr w:rsidR="00291C6F" w:rsidRPr="00324CF1" w14:paraId="38C33D0B" w14:textId="77777777" w:rsidTr="008D18FC">
        <w:tc>
          <w:tcPr>
            <w:tcW w:w="9360" w:type="dxa"/>
            <w:gridSpan w:val="6"/>
          </w:tcPr>
          <w:p w14:paraId="1D17E545" w14:textId="77777777" w:rsidR="0046357D" w:rsidRPr="00324CF1" w:rsidRDefault="00ED47F8" w:rsidP="0046357D">
            <w:pPr>
              <w:pStyle w:val="zSoquijdatQtePartieDef"/>
              <w:ind w:left="0"/>
            </w:pPr>
            <w:r w:rsidRPr="00324CF1">
              <w:rPr>
                <w:b/>
                <w:bCs/>
                <w:caps/>
                <w:lang w:val="en-CA"/>
              </w:rPr>
              <w:t>AIRPORT AUTHORITY OF INDIA</w:t>
            </w:r>
          </w:p>
        </w:tc>
      </w:tr>
      <w:tr w:rsidR="00291C6F" w:rsidRPr="00324CF1" w14:paraId="4B4931D3" w14:textId="77777777" w:rsidTr="008D18FC">
        <w:tc>
          <w:tcPr>
            <w:tcW w:w="9360" w:type="dxa"/>
            <w:gridSpan w:val="6"/>
          </w:tcPr>
          <w:p w14:paraId="35099295" w14:textId="77777777" w:rsidR="0046357D" w:rsidRPr="00324CF1" w:rsidRDefault="00ED47F8" w:rsidP="0046357D">
            <w:pPr>
              <w:pStyle w:val="zSoquijdatQtePartieDef"/>
            </w:pPr>
            <w:r w:rsidRPr="00324CF1">
              <w:rPr>
                <w:lang w:val="en-CA"/>
              </w:rPr>
              <w:t>RESPONDENTS – Impleaded party</w:t>
            </w:r>
          </w:p>
        </w:tc>
      </w:tr>
      <w:tr w:rsidR="00291C6F" w:rsidRPr="00324CF1" w14:paraId="481DAB8F" w14:textId="77777777" w:rsidTr="008D18FC">
        <w:tc>
          <w:tcPr>
            <w:tcW w:w="9360" w:type="dxa"/>
            <w:gridSpan w:val="6"/>
          </w:tcPr>
          <w:p w14:paraId="5209415F" w14:textId="77777777" w:rsidR="0046357D" w:rsidRPr="00324CF1" w:rsidRDefault="00ED47F8" w:rsidP="0046357D">
            <w:pPr>
              <w:pStyle w:val="zSoquijdatQtePartieDef"/>
              <w:ind w:left="0"/>
            </w:pPr>
            <w:r w:rsidRPr="00324CF1">
              <w:rPr>
                <w:lang w:val="en-CA"/>
              </w:rPr>
              <w:t>and</w:t>
            </w:r>
          </w:p>
        </w:tc>
      </w:tr>
      <w:tr w:rsidR="00291C6F" w:rsidRPr="00324CF1" w14:paraId="281ACBE9" w14:textId="77777777" w:rsidTr="0062089F">
        <w:tc>
          <w:tcPr>
            <w:tcW w:w="9360" w:type="dxa"/>
            <w:gridSpan w:val="6"/>
          </w:tcPr>
          <w:p w14:paraId="354B62D1" w14:textId="77777777" w:rsidR="0046357D" w:rsidRPr="00324CF1" w:rsidRDefault="00ED47F8" w:rsidP="0062089F">
            <w:pPr>
              <w:pStyle w:val="zSoquijdatQtePartieDef"/>
              <w:ind w:left="0"/>
              <w:rPr>
                <w:b/>
                <w:bCs/>
              </w:rPr>
            </w:pPr>
            <w:r w:rsidRPr="00324CF1">
              <w:rPr>
                <w:b/>
                <w:bCs/>
                <w:caps/>
                <w:lang w:val="en-CA"/>
              </w:rPr>
              <w:t>INTERNATIONAL AIR TRANSPORT ASSOCIATION</w:t>
            </w:r>
          </w:p>
        </w:tc>
      </w:tr>
      <w:tr w:rsidR="00291C6F" w:rsidRPr="00005C57" w14:paraId="4AA572CC" w14:textId="77777777" w:rsidTr="0062089F">
        <w:tc>
          <w:tcPr>
            <w:tcW w:w="9360" w:type="dxa"/>
            <w:gridSpan w:val="6"/>
          </w:tcPr>
          <w:p w14:paraId="270D7746" w14:textId="77777777" w:rsidR="0046357D" w:rsidRPr="00324CF1" w:rsidRDefault="00ED47F8" w:rsidP="0062089F">
            <w:pPr>
              <w:pStyle w:val="zSoquijdatQtePartieDef"/>
              <w:rPr>
                <w:lang w:val="en-US"/>
              </w:rPr>
            </w:pPr>
            <w:r w:rsidRPr="00324CF1">
              <w:rPr>
                <w:lang w:val="en-CA"/>
              </w:rPr>
              <w:t>IMPLEADED PARTY – Third-party garnishee</w:t>
            </w:r>
          </w:p>
        </w:tc>
      </w:tr>
      <w:tr w:rsidR="00291C6F" w:rsidRPr="00324CF1" w14:paraId="3DC69BF9" w14:textId="77777777" w:rsidTr="0062089F">
        <w:tc>
          <w:tcPr>
            <w:tcW w:w="9360" w:type="dxa"/>
            <w:gridSpan w:val="6"/>
          </w:tcPr>
          <w:p w14:paraId="4831E90E" w14:textId="77777777" w:rsidR="0046357D" w:rsidRPr="00324CF1" w:rsidRDefault="00ED47F8" w:rsidP="0062089F">
            <w:pPr>
              <w:pStyle w:val="zSoquijdatQtePartieDef"/>
              <w:ind w:left="0"/>
            </w:pPr>
            <w:r w:rsidRPr="00324CF1">
              <w:rPr>
                <w:lang w:val="en-CA"/>
              </w:rPr>
              <w:t>and</w:t>
            </w:r>
          </w:p>
        </w:tc>
      </w:tr>
      <w:tr w:rsidR="00291C6F" w:rsidRPr="00324CF1" w14:paraId="3299250E" w14:textId="77777777" w:rsidTr="0062089F">
        <w:tc>
          <w:tcPr>
            <w:tcW w:w="9360" w:type="dxa"/>
            <w:gridSpan w:val="6"/>
          </w:tcPr>
          <w:p w14:paraId="075A69CA" w14:textId="77777777" w:rsidR="0046357D" w:rsidRPr="00324CF1" w:rsidRDefault="00ED47F8" w:rsidP="0062089F">
            <w:pPr>
              <w:pStyle w:val="zSoquijdatNomPartieMec"/>
              <w:jc w:val="left"/>
            </w:pPr>
            <w:r w:rsidRPr="00324CF1">
              <w:rPr>
                <w:lang w:val="en-CA"/>
              </w:rPr>
              <w:t>THE REPUBLIC OF INDIA</w:t>
            </w:r>
          </w:p>
        </w:tc>
      </w:tr>
      <w:tr w:rsidR="00291C6F" w:rsidRPr="00324CF1" w14:paraId="08A4201E" w14:textId="77777777" w:rsidTr="0062089F">
        <w:tc>
          <w:tcPr>
            <w:tcW w:w="9360" w:type="dxa"/>
            <w:gridSpan w:val="6"/>
          </w:tcPr>
          <w:p w14:paraId="382F462E" w14:textId="77777777" w:rsidR="0046357D" w:rsidRPr="00324CF1" w:rsidRDefault="00ED47F8" w:rsidP="0062089F">
            <w:pPr>
              <w:pStyle w:val="zSoquijdatQtePartieDef"/>
            </w:pPr>
            <w:r w:rsidRPr="00324CF1">
              <w:rPr>
                <w:lang w:val="en-CA"/>
              </w:rPr>
              <w:t>IMPLEADED PARTY – Defendant</w:t>
            </w:r>
          </w:p>
        </w:tc>
      </w:tr>
      <w:tr w:rsidR="00291C6F" w:rsidRPr="00324CF1" w14:paraId="5029F6BB" w14:textId="77777777" w:rsidTr="0062089F">
        <w:tc>
          <w:tcPr>
            <w:tcW w:w="9360" w:type="dxa"/>
            <w:gridSpan w:val="6"/>
          </w:tcPr>
          <w:p w14:paraId="1B70C45D" w14:textId="77777777" w:rsidR="0046357D" w:rsidRPr="00324CF1" w:rsidRDefault="00ED47F8" w:rsidP="0062089F">
            <w:pPr>
              <w:pStyle w:val="zSoquijdatQtePartieDef"/>
              <w:ind w:left="0"/>
            </w:pPr>
            <w:r w:rsidRPr="00324CF1">
              <w:rPr>
                <w:lang w:val="en-CA"/>
              </w:rPr>
              <w:t>and</w:t>
            </w:r>
          </w:p>
        </w:tc>
      </w:tr>
      <w:tr w:rsidR="00291C6F" w:rsidRPr="00324CF1" w14:paraId="001DC190" w14:textId="77777777" w:rsidTr="0062089F">
        <w:tc>
          <w:tcPr>
            <w:tcW w:w="9360" w:type="dxa"/>
            <w:gridSpan w:val="6"/>
          </w:tcPr>
          <w:p w14:paraId="74EB40B1" w14:textId="77777777" w:rsidR="0046357D" w:rsidRPr="00324CF1" w:rsidRDefault="00ED47F8" w:rsidP="0062089F">
            <w:pPr>
              <w:pStyle w:val="zSoquijdatQtePartieDef"/>
              <w:ind w:left="0"/>
              <w:rPr>
                <w:b/>
                <w:bCs/>
              </w:rPr>
            </w:pPr>
            <w:r w:rsidRPr="00324CF1">
              <w:rPr>
                <w:b/>
                <w:bCs/>
                <w:lang w:val="en-CA"/>
              </w:rPr>
              <w:t>AIR INDIA LIMITED</w:t>
            </w:r>
          </w:p>
        </w:tc>
      </w:tr>
      <w:tr w:rsidR="00291C6F" w:rsidRPr="00324CF1" w14:paraId="19DD3840" w14:textId="77777777" w:rsidTr="0062089F">
        <w:tc>
          <w:tcPr>
            <w:tcW w:w="9360" w:type="dxa"/>
            <w:gridSpan w:val="6"/>
          </w:tcPr>
          <w:p w14:paraId="10975D26" w14:textId="77777777" w:rsidR="0046357D" w:rsidRPr="00324CF1" w:rsidRDefault="00ED47F8" w:rsidP="0062089F">
            <w:pPr>
              <w:pStyle w:val="zSoquijdatQtePartieDef"/>
            </w:pPr>
            <w:r w:rsidRPr="00324CF1">
              <w:rPr>
                <w:lang w:val="en-CA"/>
              </w:rPr>
              <w:t>IMPLEADED PARTY – Impleaded party</w:t>
            </w:r>
          </w:p>
        </w:tc>
      </w:tr>
    </w:tbl>
    <w:p w14:paraId="56C3AEFF" w14:textId="77777777" w:rsidR="006760BB" w:rsidRPr="00324CF1" w:rsidRDefault="00ED47F8">
      <w:r w:rsidRPr="00324CF1">
        <w:rPr>
          <w:lang w:val="en-CA"/>
        </w:rPr>
        <w:br w:type="page"/>
      </w:r>
    </w:p>
    <w:tbl>
      <w:tblPr>
        <w:tblW w:w="9360" w:type="dxa"/>
        <w:tblLayout w:type="fixed"/>
        <w:tblCellMar>
          <w:left w:w="0" w:type="dxa"/>
          <w:right w:w="0" w:type="dxa"/>
        </w:tblCellMar>
        <w:tblLook w:val="0000" w:firstRow="0" w:lastRow="0" w:firstColumn="0" w:lastColumn="0" w:noHBand="0" w:noVBand="0"/>
      </w:tblPr>
      <w:tblGrid>
        <w:gridCol w:w="9360"/>
      </w:tblGrid>
      <w:tr w:rsidR="00291C6F" w:rsidRPr="00324CF1" w14:paraId="78E2DE86" w14:textId="77777777" w:rsidTr="00ED0C74">
        <w:tc>
          <w:tcPr>
            <w:tcW w:w="9360" w:type="dxa"/>
          </w:tcPr>
          <w:p w14:paraId="2C1D3E11" w14:textId="77777777" w:rsidR="00457D00" w:rsidRPr="00324CF1" w:rsidRDefault="00ED47F8" w:rsidP="00ED0C74">
            <w:r w:rsidRPr="00324CF1">
              <w:rPr>
                <w:lang w:val="en-CA"/>
              </w:rPr>
              <w:lastRenderedPageBreak/>
              <w:br w:type="page"/>
            </w:r>
          </w:p>
        </w:tc>
      </w:tr>
      <w:tr w:rsidR="00291C6F" w:rsidRPr="00324CF1" w14:paraId="69B85BD8" w14:textId="77777777" w:rsidTr="00ED0C74">
        <w:tc>
          <w:tcPr>
            <w:tcW w:w="9360" w:type="dxa"/>
            <w:tcBorders>
              <w:top w:val="single" w:sz="8" w:space="0" w:color="auto"/>
            </w:tcBorders>
          </w:tcPr>
          <w:p w14:paraId="327FBE68" w14:textId="77777777" w:rsidR="00457D00" w:rsidRPr="00324CF1" w:rsidRDefault="00457D00" w:rsidP="00ED0C74"/>
        </w:tc>
      </w:tr>
      <w:tr w:rsidR="00291C6F" w:rsidRPr="00324CF1" w14:paraId="3481FF54" w14:textId="77777777" w:rsidTr="00ED0C74">
        <w:tc>
          <w:tcPr>
            <w:tcW w:w="9360" w:type="dxa"/>
          </w:tcPr>
          <w:p w14:paraId="60A852EC" w14:textId="77777777" w:rsidR="00457D00" w:rsidRPr="00324CF1" w:rsidRDefault="00ED47F8" w:rsidP="00ED0C74">
            <w:pPr>
              <w:pStyle w:val="zSoquijlblTypeDocument"/>
            </w:pPr>
            <w:r w:rsidRPr="00324CF1">
              <w:rPr>
                <w:lang w:val="en-CA"/>
              </w:rPr>
              <w:t>TABLE OF CONTENTS</w:t>
            </w:r>
          </w:p>
        </w:tc>
      </w:tr>
      <w:tr w:rsidR="00291C6F" w:rsidRPr="00324CF1" w14:paraId="2A7DE793" w14:textId="77777777" w:rsidTr="00ED0C74">
        <w:tc>
          <w:tcPr>
            <w:tcW w:w="9360" w:type="dxa"/>
            <w:tcBorders>
              <w:bottom w:val="single" w:sz="8" w:space="0" w:color="auto"/>
            </w:tcBorders>
          </w:tcPr>
          <w:p w14:paraId="7A2CF9F3" w14:textId="77777777" w:rsidR="00457D00" w:rsidRPr="00324CF1" w:rsidRDefault="00457D00" w:rsidP="00ED0C74"/>
        </w:tc>
      </w:tr>
      <w:tr w:rsidR="00291C6F" w:rsidRPr="00324CF1" w14:paraId="4A235F83" w14:textId="77777777" w:rsidTr="00ED0C74">
        <w:tc>
          <w:tcPr>
            <w:tcW w:w="9360" w:type="dxa"/>
            <w:tcBorders>
              <w:top w:val="single" w:sz="8" w:space="0" w:color="auto"/>
            </w:tcBorders>
          </w:tcPr>
          <w:p w14:paraId="3B29B577" w14:textId="77777777" w:rsidR="00457D00" w:rsidRPr="00324CF1" w:rsidRDefault="00457D00" w:rsidP="00ED0C74"/>
        </w:tc>
      </w:tr>
    </w:tbl>
    <w:p w14:paraId="4A13F0CB" w14:textId="412AA0B2" w:rsidR="000D2CFB" w:rsidRPr="00324CF1" w:rsidRDefault="00ED47F8">
      <w:pPr>
        <w:pStyle w:val="TM1"/>
        <w:rPr>
          <w:rFonts w:asciiTheme="minorHAnsi" w:hAnsiTheme="minorHAnsi"/>
          <w:sz w:val="22"/>
        </w:rPr>
      </w:pPr>
      <w:r w:rsidRPr="00324CF1">
        <w:rPr>
          <w:rStyle w:val="Hyperlien"/>
          <w:color w:val="auto"/>
          <w:u w:val="none"/>
          <w:lang w:val="en-CA"/>
        </w:rPr>
        <w:t>A.</w:t>
      </w:r>
      <w:r w:rsidRPr="00324CF1">
        <w:tab/>
      </w:r>
      <w:r w:rsidR="00BD23E0">
        <w:t xml:space="preserve">Common </w:t>
      </w:r>
      <w:r w:rsidR="00BD23E0">
        <w:rPr>
          <w:rStyle w:val="Hyperlien"/>
          <w:color w:val="auto"/>
          <w:u w:val="none"/>
          <w:lang w:val="en-CA"/>
        </w:rPr>
        <w:t>b</w:t>
      </w:r>
      <w:r w:rsidRPr="00324CF1">
        <w:rPr>
          <w:rStyle w:val="Hyperlien"/>
          <w:color w:val="auto"/>
          <w:u w:val="none"/>
          <w:lang w:val="en-CA"/>
        </w:rPr>
        <w:t>ackground</w:t>
      </w:r>
      <w:r w:rsidRPr="00324CF1">
        <w:tab/>
        <w:t>5</w:t>
      </w:r>
    </w:p>
    <w:p w14:paraId="7A096B2B" w14:textId="77777777" w:rsidR="000D2CFB" w:rsidRPr="00324CF1" w:rsidRDefault="00ED47F8">
      <w:pPr>
        <w:pStyle w:val="TM1"/>
        <w:rPr>
          <w:rFonts w:asciiTheme="minorHAnsi" w:hAnsiTheme="minorHAnsi"/>
          <w:sz w:val="22"/>
        </w:rPr>
      </w:pPr>
      <w:r w:rsidRPr="00324CF1">
        <w:rPr>
          <w:rStyle w:val="Hyperlien"/>
          <w:color w:val="auto"/>
          <w:u w:val="none"/>
          <w:lang w:val="en-CA"/>
        </w:rPr>
        <w:t>B.</w:t>
      </w:r>
      <w:r w:rsidRPr="00324CF1">
        <w:tab/>
      </w:r>
      <w:r w:rsidRPr="00324CF1">
        <w:rPr>
          <w:rStyle w:val="Hyperlien"/>
          <w:color w:val="auto"/>
          <w:u w:val="none"/>
          <w:lang w:val="en-CA"/>
        </w:rPr>
        <w:t>The Republic of India v. CCDM Holdings LLC. et al. (500-09-030393-235)</w:t>
      </w:r>
      <w:r w:rsidRPr="00324CF1">
        <w:tab/>
        <w:t>12</w:t>
      </w:r>
    </w:p>
    <w:p w14:paraId="56613F24"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1. </w:t>
      </w:r>
      <w:r w:rsidRPr="00324CF1">
        <w:rPr>
          <w:b w:val="0"/>
          <w:bCs w:val="0"/>
          <w:lang w:val="en-CA"/>
        </w:rPr>
        <w:tab/>
      </w:r>
      <w:r w:rsidRPr="00324CF1">
        <w:rPr>
          <w:rStyle w:val="Hyperlien"/>
          <w:color w:val="auto"/>
          <w:u w:val="none"/>
          <w:lang w:val="en-CA"/>
        </w:rPr>
        <w:t>Judgment on Immunity</w:t>
      </w:r>
      <w:r w:rsidRPr="00324CF1">
        <w:rPr>
          <w:lang w:val="en-CA"/>
        </w:rPr>
        <w:tab/>
        <w:t>13</w:t>
      </w:r>
    </w:p>
    <w:p w14:paraId="6BC01EEB"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2. </w:t>
      </w:r>
      <w:r w:rsidRPr="00324CF1">
        <w:rPr>
          <w:b w:val="0"/>
          <w:bCs w:val="0"/>
          <w:lang w:val="en-CA"/>
        </w:rPr>
        <w:tab/>
      </w:r>
      <w:r w:rsidRPr="00324CF1">
        <w:rPr>
          <w:rStyle w:val="Hyperlien"/>
          <w:color w:val="auto"/>
          <w:u w:val="none"/>
          <w:lang w:val="en-CA"/>
        </w:rPr>
        <w:t>Grounds of appeal</w:t>
      </w:r>
      <w:r w:rsidRPr="00324CF1">
        <w:rPr>
          <w:lang w:val="en-CA"/>
        </w:rPr>
        <w:tab/>
        <w:t>16</w:t>
      </w:r>
    </w:p>
    <w:p w14:paraId="446F0B37" w14:textId="77777777" w:rsidR="000D2CFB" w:rsidRPr="00324CF1" w:rsidRDefault="00ED47F8">
      <w:pPr>
        <w:pStyle w:val="TM2"/>
        <w:rPr>
          <w:rFonts w:asciiTheme="minorHAnsi" w:hAnsiTheme="minorHAnsi"/>
          <w:sz w:val="22"/>
          <w:lang w:val="en-CA"/>
        </w:rPr>
      </w:pPr>
      <w:r w:rsidRPr="00324CF1">
        <w:rPr>
          <w:rStyle w:val="Hyperlien"/>
          <w:color w:val="auto"/>
          <w:u w:val="none"/>
          <w:lang w:val="en-CA"/>
        </w:rPr>
        <w:t xml:space="preserve">3. </w:t>
      </w:r>
      <w:r w:rsidRPr="00324CF1">
        <w:rPr>
          <w:b w:val="0"/>
          <w:bCs w:val="0"/>
          <w:lang w:val="en-CA"/>
        </w:rPr>
        <w:tab/>
      </w:r>
      <w:r w:rsidRPr="00324CF1">
        <w:rPr>
          <w:rStyle w:val="Hyperlien"/>
          <w:color w:val="auto"/>
          <w:u w:val="none"/>
          <w:lang w:val="en-CA"/>
        </w:rPr>
        <w:t>Applicable legal principles</w:t>
      </w:r>
      <w:r w:rsidRPr="00324CF1">
        <w:rPr>
          <w:lang w:val="en-CA"/>
        </w:rPr>
        <w:tab/>
        <w:t>18</w:t>
      </w:r>
    </w:p>
    <w:p w14:paraId="730E21E8" w14:textId="77777777" w:rsidR="000D2CFB" w:rsidRPr="00324CF1" w:rsidRDefault="00ED47F8">
      <w:pPr>
        <w:pStyle w:val="TM3"/>
        <w:rPr>
          <w:rFonts w:asciiTheme="minorHAnsi" w:hAnsiTheme="minorHAnsi"/>
          <w:sz w:val="22"/>
          <w:lang w:val="en-US"/>
        </w:rPr>
      </w:pPr>
      <w:r w:rsidRPr="00324CF1">
        <w:rPr>
          <w:rStyle w:val="Hyperlien"/>
          <w:color w:val="auto"/>
          <w:u w:val="none"/>
          <w:lang w:val="en-CA"/>
        </w:rPr>
        <w:t>3.1 Relevant provisions of the</w:t>
      </w:r>
      <w:r w:rsidRPr="00324CF1">
        <w:rPr>
          <w:rStyle w:val="Hyperlien"/>
          <w:i/>
          <w:iCs/>
          <w:color w:val="auto"/>
          <w:u w:val="none"/>
          <w:lang w:val="en-CA"/>
        </w:rPr>
        <w:t xml:space="preserve"> SIA</w:t>
      </w:r>
      <w:r w:rsidRPr="00324CF1">
        <w:rPr>
          <w:lang w:val="en-CA"/>
        </w:rPr>
        <w:tab/>
        <w:t>18</w:t>
      </w:r>
    </w:p>
    <w:p w14:paraId="0037B4D3" w14:textId="77777777" w:rsidR="000D2CFB" w:rsidRPr="00324CF1" w:rsidRDefault="00ED47F8">
      <w:pPr>
        <w:pStyle w:val="TM3"/>
        <w:rPr>
          <w:rFonts w:asciiTheme="minorHAnsi" w:hAnsiTheme="minorHAnsi"/>
          <w:sz w:val="22"/>
          <w:lang w:val="en-US"/>
        </w:rPr>
      </w:pPr>
      <w:r w:rsidRPr="00324CF1">
        <w:rPr>
          <w:lang w:val="en-CA"/>
        </w:rPr>
        <w:t xml:space="preserve">3.2 The </w:t>
      </w:r>
      <w:r w:rsidRPr="00324CF1">
        <w:rPr>
          <w:i/>
          <w:iCs/>
          <w:lang w:val="en-CA"/>
        </w:rPr>
        <w:t>New York Convention</w:t>
      </w:r>
      <w:r w:rsidRPr="00324CF1">
        <w:rPr>
          <w:lang w:val="en-CA"/>
        </w:rPr>
        <w:t xml:space="preserve"> and the Treaty</w:t>
      </w:r>
      <w:r w:rsidRPr="00324CF1">
        <w:rPr>
          <w:lang w:val="en-CA"/>
        </w:rPr>
        <w:tab/>
        <w:t>21</w:t>
      </w:r>
    </w:p>
    <w:p w14:paraId="7420B9B9" w14:textId="77777777" w:rsidR="000D2CFB" w:rsidRPr="00324CF1" w:rsidRDefault="00ED47F8">
      <w:pPr>
        <w:pStyle w:val="TM2"/>
        <w:rPr>
          <w:rFonts w:asciiTheme="minorHAnsi" w:hAnsiTheme="minorHAnsi"/>
          <w:sz w:val="22"/>
          <w:lang w:val="en-CA"/>
        </w:rPr>
      </w:pPr>
      <w:r w:rsidRPr="00324CF1">
        <w:rPr>
          <w:rStyle w:val="Hyperlien"/>
          <w:color w:val="auto"/>
          <w:u w:val="none"/>
          <w:lang w:val="en-CA"/>
        </w:rPr>
        <w:t xml:space="preserve">4. </w:t>
      </w:r>
      <w:r w:rsidRPr="00324CF1">
        <w:rPr>
          <w:b w:val="0"/>
          <w:bCs w:val="0"/>
          <w:lang w:val="en-CA"/>
        </w:rPr>
        <w:tab/>
      </w:r>
      <w:r w:rsidRPr="00324CF1">
        <w:rPr>
          <w:rStyle w:val="Hyperlien"/>
          <w:color w:val="auto"/>
          <w:u w:val="none"/>
          <w:lang w:val="en-CA"/>
        </w:rPr>
        <w:t>Application to the facts</w:t>
      </w:r>
      <w:r w:rsidRPr="00324CF1">
        <w:rPr>
          <w:lang w:val="en-CA"/>
        </w:rPr>
        <w:tab/>
        <w:t>24</w:t>
      </w:r>
    </w:p>
    <w:p w14:paraId="2681DB75" w14:textId="11A5460F" w:rsidR="000D2CFB" w:rsidRPr="00324CF1" w:rsidRDefault="00ED47F8">
      <w:pPr>
        <w:pStyle w:val="TM3"/>
        <w:rPr>
          <w:rFonts w:asciiTheme="minorHAnsi" w:hAnsiTheme="minorHAnsi"/>
          <w:sz w:val="22"/>
          <w:lang w:val="en-US"/>
        </w:rPr>
      </w:pPr>
      <w:r w:rsidRPr="00324CF1">
        <w:rPr>
          <w:rStyle w:val="Hyperlien"/>
          <w:color w:val="auto"/>
          <w:u w:val="none"/>
          <w:lang w:val="en-CA"/>
        </w:rPr>
        <w:t xml:space="preserve">4.1. Did the judge err </w:t>
      </w:r>
      <w:r w:rsidR="00EA3F9D">
        <w:rPr>
          <w:rStyle w:val="Hyperlien"/>
          <w:color w:val="auto"/>
          <w:u w:val="none"/>
          <w:lang w:val="en-CA"/>
        </w:rPr>
        <w:t>in</w:t>
      </w:r>
      <w:r w:rsidRPr="00324CF1">
        <w:rPr>
          <w:rStyle w:val="Hyperlien"/>
          <w:color w:val="auto"/>
          <w:u w:val="none"/>
          <w:lang w:val="en-CA"/>
        </w:rPr>
        <w:t xml:space="preserve"> concluding that the waiver exception </w:t>
      </w:r>
      <w:r w:rsidR="00FE1019">
        <w:rPr>
          <w:rStyle w:val="Hyperlien"/>
          <w:color w:val="auto"/>
          <w:u w:val="none"/>
          <w:lang w:val="en-CA"/>
        </w:rPr>
        <w:t>arising</w:t>
      </w:r>
      <w:r w:rsidRPr="00324CF1">
        <w:rPr>
          <w:rStyle w:val="Hyperlien"/>
          <w:color w:val="auto"/>
          <w:u w:val="none"/>
          <w:lang w:val="en-CA"/>
        </w:rPr>
        <w:t xml:space="preserve"> from the </w:t>
      </w:r>
      <w:r w:rsidR="00980F95">
        <w:rPr>
          <w:rStyle w:val="Hyperlien"/>
          <w:color w:val="auto"/>
          <w:u w:val="none"/>
          <w:lang w:val="en-CA"/>
        </w:rPr>
        <w:t>commitment</w:t>
      </w:r>
      <w:r w:rsidRPr="00324CF1">
        <w:rPr>
          <w:rStyle w:val="Hyperlien"/>
          <w:color w:val="auto"/>
          <w:u w:val="none"/>
          <w:lang w:val="en-CA"/>
        </w:rPr>
        <w:t xml:space="preserve"> and consent to submit the dispute to arbitration applied?</w:t>
      </w:r>
      <w:r w:rsidRPr="00324CF1">
        <w:rPr>
          <w:lang w:val="en-CA"/>
        </w:rPr>
        <w:tab/>
        <w:t>25</w:t>
      </w:r>
    </w:p>
    <w:p w14:paraId="5ECCD2EC" w14:textId="0F6EB40F" w:rsidR="000D2CFB" w:rsidRPr="00324CF1" w:rsidRDefault="00ED47F8">
      <w:pPr>
        <w:pStyle w:val="TM3"/>
        <w:rPr>
          <w:rFonts w:asciiTheme="minorHAnsi" w:hAnsiTheme="minorHAnsi"/>
          <w:sz w:val="22"/>
          <w:lang w:val="en-US"/>
        </w:rPr>
      </w:pPr>
      <w:r w:rsidRPr="00324CF1">
        <w:rPr>
          <w:rStyle w:val="Hyperlien"/>
          <w:color w:val="auto"/>
          <w:u w:val="none"/>
          <w:lang w:val="en-CA"/>
        </w:rPr>
        <w:t xml:space="preserve">4.2. Did the judge err </w:t>
      </w:r>
      <w:r w:rsidR="00D677F2">
        <w:rPr>
          <w:rStyle w:val="Hyperlien"/>
          <w:color w:val="auto"/>
          <w:u w:val="none"/>
          <w:lang w:val="en-CA"/>
        </w:rPr>
        <w:t>in</w:t>
      </w:r>
      <w:r w:rsidRPr="00324CF1">
        <w:rPr>
          <w:rStyle w:val="Hyperlien"/>
          <w:color w:val="auto"/>
          <w:u w:val="none"/>
          <w:lang w:val="en-CA"/>
        </w:rPr>
        <w:t xml:space="preserve"> refusing to give effect to the SCI Judgment </w:t>
      </w:r>
      <w:r w:rsidR="00E61701">
        <w:rPr>
          <w:rStyle w:val="Hyperlien"/>
          <w:color w:val="auto"/>
          <w:u w:val="none"/>
          <w:lang w:val="en-CA"/>
        </w:rPr>
        <w:t>with respect to</w:t>
      </w:r>
      <w:r w:rsidR="00E61701" w:rsidRPr="00324CF1">
        <w:rPr>
          <w:rStyle w:val="Hyperlien"/>
          <w:color w:val="auto"/>
          <w:u w:val="none"/>
          <w:lang w:val="en-CA"/>
        </w:rPr>
        <w:t xml:space="preserve"> </w:t>
      </w:r>
      <w:r w:rsidRPr="00324CF1">
        <w:rPr>
          <w:rStyle w:val="Hyperlien"/>
          <w:color w:val="auto"/>
          <w:u w:val="none"/>
          <w:lang w:val="en-CA"/>
        </w:rPr>
        <w:t>the findings of fraud</w:t>
      </w:r>
      <w:r w:rsidR="006D4BE6">
        <w:rPr>
          <w:rStyle w:val="Hyperlien"/>
          <w:color w:val="auto"/>
          <w:u w:val="none"/>
          <w:lang w:val="en-CA"/>
        </w:rPr>
        <w:t>,</w:t>
      </w:r>
      <w:r w:rsidRPr="00324CF1">
        <w:rPr>
          <w:rStyle w:val="Hyperlien"/>
          <w:color w:val="auto"/>
          <w:u w:val="none"/>
          <w:lang w:val="en-CA"/>
        </w:rPr>
        <w:t xml:space="preserve"> in the context of the debate on state immunity?</w:t>
      </w:r>
      <w:r w:rsidRPr="00324CF1">
        <w:rPr>
          <w:lang w:val="en-CA"/>
        </w:rPr>
        <w:tab/>
        <w:t>31</w:t>
      </w:r>
    </w:p>
    <w:p w14:paraId="72C48325"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5. </w:t>
      </w:r>
      <w:r w:rsidRPr="00324CF1">
        <w:rPr>
          <w:b w:val="0"/>
          <w:bCs w:val="0"/>
          <w:lang w:val="en-CA"/>
        </w:rPr>
        <w:tab/>
      </w:r>
      <w:r w:rsidRPr="00324CF1">
        <w:rPr>
          <w:rStyle w:val="Hyperlien"/>
          <w:color w:val="auto"/>
          <w:u w:val="none"/>
          <w:lang w:val="en-CA"/>
        </w:rPr>
        <w:t>Conclusion</w:t>
      </w:r>
      <w:r w:rsidRPr="00324CF1">
        <w:rPr>
          <w:lang w:val="en-CA"/>
        </w:rPr>
        <w:tab/>
        <w:t>33</w:t>
      </w:r>
    </w:p>
    <w:p w14:paraId="77E8135B" w14:textId="3E406CAD"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6. </w:t>
      </w:r>
      <w:r w:rsidRPr="00324CF1">
        <w:rPr>
          <w:b w:val="0"/>
          <w:bCs w:val="0"/>
          <w:lang w:val="en-CA"/>
        </w:rPr>
        <w:tab/>
      </w:r>
      <w:r w:rsidRPr="00324CF1">
        <w:rPr>
          <w:rStyle w:val="Hyperlien"/>
          <w:color w:val="auto"/>
          <w:u w:val="none"/>
          <w:lang w:val="en-CA"/>
        </w:rPr>
        <w:t>Was the judgment requiring</w:t>
      </w:r>
      <w:r w:rsidR="00FF47B7">
        <w:rPr>
          <w:rStyle w:val="Hyperlien"/>
          <w:color w:val="auto"/>
          <w:u w:val="none"/>
          <w:lang w:val="en-CA"/>
        </w:rPr>
        <w:t xml:space="preserve"> that</w:t>
      </w:r>
      <w:r w:rsidRPr="00324CF1">
        <w:rPr>
          <w:rStyle w:val="Hyperlien"/>
          <w:color w:val="auto"/>
          <w:u w:val="none"/>
          <w:lang w:val="en-CA"/>
        </w:rPr>
        <w:t xml:space="preserve"> India provide suretyship appropriate?</w:t>
      </w:r>
      <w:r w:rsidRPr="00324CF1">
        <w:rPr>
          <w:lang w:val="en-CA"/>
        </w:rPr>
        <w:tab/>
        <w:t>33</w:t>
      </w:r>
    </w:p>
    <w:p w14:paraId="1D3B8013" w14:textId="77777777" w:rsidR="000D2CFB" w:rsidRPr="00324CF1" w:rsidRDefault="00ED47F8">
      <w:pPr>
        <w:pStyle w:val="TM1"/>
        <w:rPr>
          <w:rFonts w:asciiTheme="minorHAnsi" w:hAnsiTheme="minorHAnsi"/>
          <w:sz w:val="22"/>
        </w:rPr>
      </w:pPr>
      <w:r w:rsidRPr="00324CF1">
        <w:rPr>
          <w:rStyle w:val="Hyperlien"/>
          <w:color w:val="auto"/>
          <w:u w:val="none"/>
          <w:lang w:val="en-CA"/>
        </w:rPr>
        <w:t>C.</w:t>
      </w:r>
      <w:r w:rsidRPr="00324CF1">
        <w:tab/>
      </w:r>
      <w:r w:rsidRPr="00324CF1">
        <w:rPr>
          <w:rStyle w:val="Hyperlien"/>
          <w:color w:val="auto"/>
          <w:u w:val="none"/>
          <w:lang w:val="en-CA"/>
        </w:rPr>
        <w:t>CCDM Holdings, LLC et al. c. The Airport Authority of India et al. (500-09-029899-226)</w:t>
      </w:r>
      <w:r w:rsidRPr="00324CF1">
        <w:tab/>
        <w:t>37</w:t>
      </w:r>
    </w:p>
    <w:p w14:paraId="0EAD0FAE" w14:textId="77777777" w:rsidR="000D2CFB" w:rsidRPr="00324CF1" w:rsidRDefault="00ED47F8">
      <w:pPr>
        <w:pStyle w:val="TM2"/>
        <w:rPr>
          <w:rFonts w:asciiTheme="minorHAnsi" w:hAnsiTheme="minorHAnsi"/>
          <w:sz w:val="22"/>
          <w:lang w:val="en-CA"/>
        </w:rPr>
      </w:pPr>
      <w:r w:rsidRPr="00324CF1">
        <w:rPr>
          <w:rStyle w:val="Hyperlien"/>
          <w:color w:val="auto"/>
          <w:u w:val="none"/>
          <w:lang w:val="en-CA"/>
        </w:rPr>
        <w:t xml:space="preserve">1. </w:t>
      </w:r>
      <w:r w:rsidRPr="00324CF1">
        <w:rPr>
          <w:b w:val="0"/>
          <w:bCs w:val="0"/>
          <w:lang w:val="en-CA"/>
        </w:rPr>
        <w:tab/>
      </w:r>
      <w:r w:rsidRPr="00324CF1">
        <w:rPr>
          <w:rStyle w:val="Hyperlien"/>
          <w:color w:val="auto"/>
          <w:u w:val="none"/>
          <w:lang w:val="en-CA"/>
        </w:rPr>
        <w:t>Judgment Quashing the Seizure</w:t>
      </w:r>
      <w:r w:rsidRPr="00324CF1">
        <w:rPr>
          <w:lang w:val="en-CA"/>
        </w:rPr>
        <w:tab/>
        <w:t>37</w:t>
      </w:r>
    </w:p>
    <w:p w14:paraId="203F3139" w14:textId="77777777" w:rsidR="000D2CFB" w:rsidRPr="00324CF1" w:rsidRDefault="00ED47F8">
      <w:pPr>
        <w:pStyle w:val="TM2"/>
        <w:rPr>
          <w:rFonts w:asciiTheme="minorHAnsi" w:hAnsiTheme="minorHAnsi"/>
          <w:sz w:val="22"/>
          <w:lang w:val="en-CA"/>
        </w:rPr>
      </w:pPr>
      <w:r w:rsidRPr="00324CF1">
        <w:rPr>
          <w:rStyle w:val="Hyperlien"/>
          <w:color w:val="auto"/>
          <w:u w:val="none"/>
          <w:lang w:val="en-CA"/>
        </w:rPr>
        <w:t xml:space="preserve">2. </w:t>
      </w:r>
      <w:r w:rsidRPr="00324CF1">
        <w:rPr>
          <w:b w:val="0"/>
          <w:bCs w:val="0"/>
          <w:lang w:val="en-CA"/>
        </w:rPr>
        <w:tab/>
      </w:r>
      <w:r w:rsidRPr="00324CF1">
        <w:rPr>
          <w:rStyle w:val="Hyperlien"/>
          <w:color w:val="auto"/>
          <w:u w:val="none"/>
          <w:lang w:val="en-CA"/>
        </w:rPr>
        <w:t>Grounds of appeal</w:t>
      </w:r>
      <w:r w:rsidRPr="00324CF1">
        <w:rPr>
          <w:lang w:val="en-CA"/>
        </w:rPr>
        <w:tab/>
        <w:t>38</w:t>
      </w:r>
    </w:p>
    <w:p w14:paraId="33501539"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3.</w:t>
      </w:r>
      <w:r w:rsidRPr="00324CF1">
        <w:rPr>
          <w:lang w:val="en-CA"/>
        </w:rPr>
        <w:tab/>
      </w:r>
      <w:r w:rsidRPr="00324CF1">
        <w:rPr>
          <w:rStyle w:val="Hyperlien"/>
          <w:color w:val="auto"/>
          <w:u w:val="none"/>
          <w:lang w:val="en-CA"/>
        </w:rPr>
        <w:t>Analysis</w:t>
      </w:r>
      <w:r w:rsidRPr="00324CF1">
        <w:rPr>
          <w:lang w:val="en-CA"/>
        </w:rPr>
        <w:tab/>
        <w:t>38</w:t>
      </w:r>
    </w:p>
    <w:p w14:paraId="224B0A6B" w14:textId="1412615D" w:rsidR="000D2CFB" w:rsidRPr="00324CF1" w:rsidRDefault="00ED47F8">
      <w:pPr>
        <w:pStyle w:val="TM3"/>
        <w:rPr>
          <w:rFonts w:asciiTheme="minorHAnsi" w:hAnsiTheme="minorHAnsi"/>
          <w:sz w:val="22"/>
          <w:lang w:val="en-US"/>
        </w:rPr>
      </w:pPr>
      <w:r w:rsidRPr="00324CF1">
        <w:rPr>
          <w:rStyle w:val="Hyperlien"/>
          <w:color w:val="auto"/>
          <w:u w:val="none"/>
          <w:lang w:val="en-CA"/>
        </w:rPr>
        <w:t xml:space="preserve">3.1. Did the </w:t>
      </w:r>
      <w:r w:rsidR="00203726">
        <w:rPr>
          <w:rStyle w:val="Hyperlien"/>
          <w:color w:val="auto"/>
          <w:u w:val="none"/>
          <w:lang w:val="en-CA"/>
        </w:rPr>
        <w:t>trial</w:t>
      </w:r>
      <w:r w:rsidRPr="00324CF1">
        <w:rPr>
          <w:rStyle w:val="Hyperlien"/>
          <w:color w:val="auto"/>
          <w:u w:val="none"/>
          <w:lang w:val="en-CA"/>
        </w:rPr>
        <w:t xml:space="preserve"> judge err in law by finding that AAI’s defence </w:t>
      </w:r>
      <w:r w:rsidR="00BF40A5">
        <w:rPr>
          <w:rStyle w:val="Hyperlien"/>
          <w:color w:val="auto"/>
          <w:u w:val="none"/>
          <w:lang w:val="en-CA"/>
        </w:rPr>
        <w:t>regarding</w:t>
      </w:r>
      <w:r w:rsidRPr="00324CF1">
        <w:rPr>
          <w:rStyle w:val="Hyperlien"/>
          <w:color w:val="auto"/>
          <w:u w:val="none"/>
          <w:lang w:val="en-CA"/>
        </w:rPr>
        <w:t xml:space="preserve"> its immunity had to be decided on the merits before a</w:t>
      </w:r>
      <w:r w:rsidR="00100B56">
        <w:rPr>
          <w:rStyle w:val="Hyperlien"/>
          <w:color w:val="auto"/>
          <w:u w:val="none"/>
          <w:lang w:val="en-CA"/>
        </w:rPr>
        <w:t>n</w:t>
      </w:r>
      <w:r w:rsidRPr="00324CF1">
        <w:rPr>
          <w:rStyle w:val="Hyperlien"/>
          <w:color w:val="auto"/>
          <w:u w:val="none"/>
          <w:lang w:val="en-CA"/>
        </w:rPr>
        <w:t xml:space="preserve"> </w:t>
      </w:r>
      <w:r w:rsidR="00100B56">
        <w:rPr>
          <w:rStyle w:val="Hyperlien"/>
          <w:color w:val="auto"/>
          <w:u w:val="none"/>
          <w:lang w:val="en-CA"/>
        </w:rPr>
        <w:t xml:space="preserve">order for </w:t>
      </w:r>
      <w:r w:rsidRPr="00324CF1">
        <w:rPr>
          <w:rStyle w:val="Hyperlien"/>
          <w:color w:val="auto"/>
          <w:u w:val="none"/>
          <w:lang w:val="en-CA"/>
        </w:rPr>
        <w:t xml:space="preserve">seizure before judgment could be </w:t>
      </w:r>
      <w:r w:rsidR="00100B56">
        <w:rPr>
          <w:rStyle w:val="Hyperlien"/>
          <w:color w:val="auto"/>
          <w:u w:val="none"/>
          <w:lang w:val="en-CA"/>
        </w:rPr>
        <w:t>made</w:t>
      </w:r>
      <w:r w:rsidR="00100B56" w:rsidRPr="00324CF1">
        <w:rPr>
          <w:rStyle w:val="Hyperlien"/>
          <w:color w:val="auto"/>
          <w:u w:val="none"/>
          <w:lang w:val="en-CA"/>
        </w:rPr>
        <w:t xml:space="preserve"> </w:t>
      </w:r>
      <w:r w:rsidRPr="00324CF1">
        <w:rPr>
          <w:rStyle w:val="Hyperlien"/>
          <w:color w:val="auto"/>
          <w:u w:val="none"/>
          <w:lang w:val="en-CA"/>
        </w:rPr>
        <w:t>against it?</w:t>
      </w:r>
      <w:r w:rsidRPr="00324CF1">
        <w:rPr>
          <w:lang w:val="en-CA"/>
        </w:rPr>
        <w:tab/>
        <w:t>38</w:t>
      </w:r>
    </w:p>
    <w:p w14:paraId="33DB7520" w14:textId="202DEE0D" w:rsidR="000D2CFB" w:rsidRPr="00324CF1" w:rsidRDefault="00ED47F8">
      <w:pPr>
        <w:pStyle w:val="TM3"/>
        <w:rPr>
          <w:rFonts w:asciiTheme="minorHAnsi" w:hAnsiTheme="minorHAnsi"/>
          <w:sz w:val="22"/>
          <w:lang w:val="en-US"/>
        </w:rPr>
      </w:pPr>
      <w:r w:rsidRPr="00324CF1">
        <w:rPr>
          <w:rStyle w:val="Hyperlien"/>
          <w:color w:val="auto"/>
          <w:u w:val="none"/>
          <w:lang w:val="en-CA"/>
        </w:rPr>
        <w:t xml:space="preserve">3.2. Did the </w:t>
      </w:r>
      <w:r w:rsidR="00C40483">
        <w:rPr>
          <w:rStyle w:val="Hyperlien"/>
          <w:color w:val="auto"/>
          <w:u w:val="none"/>
          <w:lang w:val="en-CA"/>
        </w:rPr>
        <w:t>trial</w:t>
      </w:r>
      <w:r w:rsidRPr="00324CF1">
        <w:rPr>
          <w:rStyle w:val="Hyperlien"/>
          <w:color w:val="auto"/>
          <w:u w:val="none"/>
          <w:lang w:val="en-CA"/>
        </w:rPr>
        <w:t xml:space="preserve"> judge err in fact and in law by finding that the presumption of immunity applied separately to AAI after concluding that India could not benefit from this presumption, and by determining that CCDM/Devas had not demonstrated that the exceptions provided for under the </w:t>
      </w:r>
      <w:r w:rsidRPr="00324CF1">
        <w:rPr>
          <w:rStyle w:val="Hyperlien"/>
          <w:i/>
          <w:iCs/>
          <w:color w:val="auto"/>
          <w:u w:val="none"/>
          <w:lang w:val="en-CA"/>
        </w:rPr>
        <w:t>SIA</w:t>
      </w:r>
      <w:r w:rsidRPr="00324CF1">
        <w:rPr>
          <w:rStyle w:val="Hyperlien"/>
          <w:color w:val="auto"/>
          <w:u w:val="none"/>
          <w:lang w:val="en-CA"/>
        </w:rPr>
        <w:t xml:space="preserve"> applied to AAI?</w:t>
      </w:r>
      <w:r w:rsidRPr="00324CF1">
        <w:rPr>
          <w:lang w:val="en-CA"/>
        </w:rPr>
        <w:tab/>
        <w:t>52</w:t>
      </w:r>
    </w:p>
    <w:p w14:paraId="052926B1" w14:textId="77777777" w:rsidR="000D2CFB" w:rsidRPr="00324CF1" w:rsidRDefault="00ED47F8">
      <w:pPr>
        <w:pStyle w:val="TM2"/>
        <w:rPr>
          <w:rFonts w:asciiTheme="minorHAnsi" w:hAnsiTheme="minorHAnsi"/>
          <w:sz w:val="22"/>
          <w:lang w:val="en-CA"/>
        </w:rPr>
      </w:pPr>
      <w:r w:rsidRPr="00324CF1">
        <w:rPr>
          <w:rStyle w:val="Hyperlien"/>
          <w:color w:val="auto"/>
          <w:u w:val="none"/>
          <w:lang w:val="en-CA"/>
        </w:rPr>
        <w:t xml:space="preserve">4. </w:t>
      </w:r>
      <w:r w:rsidRPr="00324CF1">
        <w:rPr>
          <w:b w:val="0"/>
          <w:bCs w:val="0"/>
          <w:lang w:val="en-CA"/>
        </w:rPr>
        <w:tab/>
      </w:r>
      <w:r w:rsidRPr="00324CF1">
        <w:rPr>
          <w:rStyle w:val="Hyperlien"/>
          <w:color w:val="auto"/>
          <w:u w:val="none"/>
          <w:lang w:val="en-CA"/>
        </w:rPr>
        <w:t>Conclusion</w:t>
      </w:r>
      <w:r w:rsidRPr="00324CF1">
        <w:rPr>
          <w:lang w:val="en-CA"/>
        </w:rPr>
        <w:tab/>
        <w:t>58</w:t>
      </w:r>
    </w:p>
    <w:p w14:paraId="16BE1484" w14:textId="77777777" w:rsidR="000D2CFB" w:rsidRPr="00324CF1" w:rsidRDefault="00ED47F8">
      <w:pPr>
        <w:pStyle w:val="TM1"/>
        <w:rPr>
          <w:rFonts w:asciiTheme="minorHAnsi" w:hAnsiTheme="minorHAnsi"/>
          <w:sz w:val="22"/>
        </w:rPr>
      </w:pPr>
      <w:r w:rsidRPr="00324CF1">
        <w:rPr>
          <w:rStyle w:val="Hyperlien"/>
          <w:color w:val="auto"/>
          <w:u w:val="none"/>
          <w:lang w:val="en-CA"/>
        </w:rPr>
        <w:t>D.</w:t>
      </w:r>
      <w:r w:rsidRPr="00324CF1">
        <w:tab/>
      </w:r>
      <w:r w:rsidRPr="00324CF1">
        <w:rPr>
          <w:rStyle w:val="Hyperlien"/>
          <w:color w:val="auto"/>
          <w:u w:val="none"/>
          <w:lang w:val="en-CA"/>
        </w:rPr>
        <w:t>CCDM Holdings et al. c. The Airport Authority of India et al. (500-09-700124-225)</w:t>
      </w:r>
      <w:r w:rsidRPr="00324CF1">
        <w:tab/>
        <w:t>58</w:t>
      </w:r>
    </w:p>
    <w:p w14:paraId="1525D8FB" w14:textId="1D122438" w:rsidR="000D2CFB" w:rsidRPr="00324CF1" w:rsidRDefault="00ED47F8">
      <w:pPr>
        <w:pStyle w:val="TM2"/>
        <w:rPr>
          <w:rFonts w:asciiTheme="minorHAnsi" w:hAnsiTheme="minorHAnsi"/>
          <w:sz w:val="22"/>
          <w:lang w:val="en-US"/>
        </w:rPr>
      </w:pPr>
      <w:r w:rsidRPr="00324CF1">
        <w:rPr>
          <w:rStyle w:val="Hyperlien"/>
          <w:color w:val="auto"/>
          <w:u w:val="none"/>
          <w:lang w:val="en-CA"/>
        </w:rPr>
        <w:lastRenderedPageBreak/>
        <w:t>1.</w:t>
      </w:r>
      <w:r w:rsidRPr="00324CF1">
        <w:rPr>
          <w:lang w:val="en-CA"/>
        </w:rPr>
        <w:tab/>
      </w:r>
      <w:r w:rsidRPr="00324CF1">
        <w:rPr>
          <w:rStyle w:val="Hyperlien"/>
          <w:color w:val="auto"/>
          <w:u w:val="none"/>
          <w:lang w:val="en-CA"/>
        </w:rPr>
        <w:t xml:space="preserve">Judgment on the </w:t>
      </w:r>
      <w:r w:rsidR="00A92438">
        <w:rPr>
          <w:rStyle w:val="Hyperlien"/>
          <w:color w:val="auto"/>
          <w:u w:val="none"/>
          <w:lang w:val="en-CA"/>
        </w:rPr>
        <w:t>a</w:t>
      </w:r>
      <w:r w:rsidRPr="00324CF1">
        <w:rPr>
          <w:rStyle w:val="Hyperlien"/>
          <w:color w:val="auto"/>
          <w:u w:val="none"/>
          <w:lang w:val="en-CA"/>
        </w:rPr>
        <w:t xml:space="preserve">pplication of the </w:t>
      </w:r>
      <w:r w:rsidRPr="00324CF1">
        <w:rPr>
          <w:rStyle w:val="Hyperlien"/>
          <w:i/>
          <w:iCs/>
          <w:color w:val="auto"/>
          <w:u w:val="none"/>
          <w:lang w:val="en-CA"/>
        </w:rPr>
        <w:t>IATA Act</w:t>
      </w:r>
      <w:r w:rsidRPr="00324CF1">
        <w:rPr>
          <w:lang w:val="en-CA"/>
        </w:rPr>
        <w:tab/>
        <w:t>62</w:t>
      </w:r>
    </w:p>
    <w:p w14:paraId="6801E488"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2.</w:t>
      </w:r>
      <w:r w:rsidRPr="00324CF1">
        <w:rPr>
          <w:lang w:val="en-CA"/>
        </w:rPr>
        <w:tab/>
      </w:r>
      <w:r w:rsidRPr="00324CF1">
        <w:rPr>
          <w:rStyle w:val="Hyperlien"/>
          <w:color w:val="auto"/>
          <w:u w:val="none"/>
          <w:lang w:val="en-CA"/>
        </w:rPr>
        <w:t>Grounds of appeal</w:t>
      </w:r>
      <w:r w:rsidRPr="00324CF1">
        <w:rPr>
          <w:lang w:val="en-CA"/>
        </w:rPr>
        <w:tab/>
        <w:t>64</w:t>
      </w:r>
    </w:p>
    <w:p w14:paraId="2BA91CF5"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3. </w:t>
      </w:r>
      <w:r w:rsidRPr="00324CF1">
        <w:rPr>
          <w:b w:val="0"/>
          <w:bCs w:val="0"/>
          <w:lang w:val="en-CA"/>
        </w:rPr>
        <w:tab/>
      </w:r>
      <w:r w:rsidRPr="00324CF1">
        <w:rPr>
          <w:rStyle w:val="Hyperlien"/>
          <w:color w:val="auto"/>
          <w:u w:val="none"/>
          <w:lang w:val="en-CA"/>
        </w:rPr>
        <w:t>Applicable legal principles</w:t>
      </w:r>
      <w:r w:rsidRPr="00324CF1">
        <w:rPr>
          <w:lang w:val="en-CA"/>
        </w:rPr>
        <w:tab/>
        <w:t>66</w:t>
      </w:r>
    </w:p>
    <w:p w14:paraId="11C8BDE5"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4. </w:t>
      </w:r>
      <w:r w:rsidRPr="00324CF1">
        <w:rPr>
          <w:b w:val="0"/>
          <w:bCs w:val="0"/>
          <w:lang w:val="en-CA"/>
        </w:rPr>
        <w:tab/>
      </w:r>
      <w:r w:rsidRPr="00324CF1">
        <w:rPr>
          <w:rStyle w:val="Hyperlien"/>
          <w:color w:val="auto"/>
          <w:u w:val="none"/>
          <w:lang w:val="en-CA"/>
        </w:rPr>
        <w:t>Application to the facts</w:t>
      </w:r>
      <w:r w:rsidRPr="00324CF1">
        <w:rPr>
          <w:lang w:val="en-CA"/>
        </w:rPr>
        <w:tab/>
        <w:t>68</w:t>
      </w:r>
    </w:p>
    <w:p w14:paraId="5D29BA54" w14:textId="77777777" w:rsidR="000D2CFB" w:rsidRPr="00324CF1" w:rsidRDefault="00ED47F8">
      <w:pPr>
        <w:pStyle w:val="TM2"/>
        <w:rPr>
          <w:rFonts w:asciiTheme="minorHAnsi" w:hAnsiTheme="minorHAnsi"/>
          <w:sz w:val="22"/>
          <w:lang w:val="en-US"/>
        </w:rPr>
      </w:pPr>
      <w:r w:rsidRPr="00324CF1">
        <w:rPr>
          <w:rStyle w:val="Hyperlien"/>
          <w:color w:val="auto"/>
          <w:u w:val="none"/>
          <w:lang w:val="en-CA"/>
        </w:rPr>
        <w:t xml:space="preserve">5. </w:t>
      </w:r>
      <w:r w:rsidRPr="00324CF1">
        <w:rPr>
          <w:b w:val="0"/>
          <w:bCs w:val="0"/>
          <w:lang w:val="en-CA"/>
        </w:rPr>
        <w:tab/>
      </w:r>
      <w:r w:rsidRPr="00324CF1">
        <w:rPr>
          <w:rStyle w:val="Hyperlien"/>
          <w:color w:val="auto"/>
          <w:u w:val="none"/>
          <w:lang w:val="en-CA"/>
        </w:rPr>
        <w:t>Conclusion</w:t>
      </w:r>
      <w:r w:rsidRPr="00324CF1">
        <w:rPr>
          <w:lang w:val="en-CA"/>
        </w:rPr>
        <w:tab/>
        <w:t>71</w:t>
      </w:r>
    </w:p>
    <w:p w14:paraId="24DE14F0" w14:textId="77777777" w:rsidR="000D2CFB" w:rsidRPr="00324CF1" w:rsidRDefault="000D2CFB">
      <w:pPr>
        <w:spacing w:line="240" w:lineRule="auto"/>
        <w:rPr>
          <w:b/>
          <w:bCs/>
          <w:lang w:val="en-US"/>
        </w:rPr>
      </w:pPr>
    </w:p>
    <w:p w14:paraId="76D60EA8" w14:textId="5C04345C" w:rsidR="00F127F7" w:rsidRPr="00324CF1" w:rsidRDefault="00ED47F8" w:rsidP="00F127F7">
      <w:pPr>
        <w:pStyle w:val="TM1"/>
        <w:rPr>
          <w:rFonts w:asciiTheme="minorHAnsi" w:eastAsiaTheme="minorEastAsia" w:hAnsiTheme="minorHAnsi" w:cstheme="minorBidi"/>
          <w:kern w:val="2"/>
          <w:sz w:val="22"/>
          <w:szCs w:val="22"/>
          <w14:ligatures w14:val="standardContextual"/>
        </w:rPr>
      </w:pPr>
      <w:r w:rsidRPr="00324CF1">
        <w:rPr>
          <w:rStyle w:val="Hyperlien"/>
          <w:noProof/>
          <w:color w:val="auto"/>
          <w:u w:val="none"/>
          <w:lang w:val="en-CA"/>
        </w:rPr>
        <w:t>E.</w:t>
      </w:r>
      <w:r w:rsidRPr="00324CF1">
        <w:rPr>
          <w:rStyle w:val="Hyperlien"/>
          <w:noProof/>
          <w:color w:val="auto"/>
          <w:u w:val="none"/>
          <w:lang w:val="en-CA"/>
        </w:rPr>
        <w:tab/>
      </w:r>
      <w:r w:rsidR="009C2345">
        <w:rPr>
          <w:rStyle w:val="Hyperlien"/>
          <w:noProof/>
          <w:color w:val="auto"/>
          <w:u w:val="none"/>
          <w:lang w:val="en-CA"/>
        </w:rPr>
        <w:t>CONCLUSIONS</w:t>
      </w:r>
      <w:r w:rsidRPr="00324CF1">
        <w:rPr>
          <w:rStyle w:val="Hyperlien"/>
          <w:noProof/>
          <w:webHidden/>
          <w:color w:val="auto"/>
          <w:u w:val="none"/>
          <w:lang w:val="en-CA"/>
        </w:rPr>
        <w:tab/>
        <w:t>71</w:t>
      </w:r>
    </w:p>
    <w:p w14:paraId="0CFD2A36" w14:textId="77777777" w:rsidR="00781108" w:rsidRPr="00324CF1" w:rsidRDefault="00ED47F8">
      <w:pPr>
        <w:spacing w:line="240" w:lineRule="auto"/>
        <w:rPr>
          <w:b/>
          <w:bCs/>
        </w:rPr>
      </w:pPr>
      <w:r w:rsidRPr="00324CF1">
        <w:rPr>
          <w:b/>
          <w:bCs/>
          <w:lang w:val="en-CA"/>
        </w:rPr>
        <w:br w:type="page"/>
      </w:r>
    </w:p>
    <w:p w14:paraId="674911BD" w14:textId="77777777" w:rsidR="003C7E34" w:rsidRPr="00324CF1" w:rsidRDefault="003C7E34">
      <w:pPr>
        <w:spacing w:line="240" w:lineRule="auto"/>
        <w:rPr>
          <w:b/>
          <w:bCs/>
        </w:rPr>
      </w:pPr>
    </w:p>
    <w:tbl>
      <w:tblPr>
        <w:tblW w:w="9360" w:type="dxa"/>
        <w:tblLayout w:type="fixed"/>
        <w:tblCellMar>
          <w:left w:w="0" w:type="dxa"/>
          <w:right w:w="0" w:type="dxa"/>
        </w:tblCellMar>
        <w:tblLook w:val="0000" w:firstRow="0" w:lastRow="0" w:firstColumn="0" w:lastColumn="0" w:noHBand="0" w:noVBand="0"/>
      </w:tblPr>
      <w:tblGrid>
        <w:gridCol w:w="9360"/>
      </w:tblGrid>
      <w:tr w:rsidR="00291C6F" w:rsidRPr="00324CF1" w14:paraId="4ED031F0" w14:textId="77777777" w:rsidTr="008D18FC">
        <w:tc>
          <w:tcPr>
            <w:tcW w:w="9360" w:type="dxa"/>
          </w:tcPr>
          <w:p w14:paraId="793A5B5F" w14:textId="77777777" w:rsidR="0046357D" w:rsidRPr="00324CF1" w:rsidRDefault="0046357D" w:rsidP="0046357D"/>
        </w:tc>
      </w:tr>
      <w:tr w:rsidR="00291C6F" w:rsidRPr="00324CF1" w14:paraId="6133B00A" w14:textId="77777777" w:rsidTr="008D18FC">
        <w:tc>
          <w:tcPr>
            <w:tcW w:w="9360" w:type="dxa"/>
            <w:tcBorders>
              <w:top w:val="single" w:sz="8" w:space="0" w:color="auto"/>
            </w:tcBorders>
          </w:tcPr>
          <w:p w14:paraId="2418A9B8" w14:textId="77777777" w:rsidR="0046357D" w:rsidRPr="00324CF1" w:rsidRDefault="0046357D" w:rsidP="0046357D"/>
        </w:tc>
      </w:tr>
      <w:tr w:rsidR="00291C6F" w:rsidRPr="00324CF1" w14:paraId="5C63A95E" w14:textId="77777777" w:rsidTr="008D18FC">
        <w:tc>
          <w:tcPr>
            <w:tcW w:w="9360" w:type="dxa"/>
          </w:tcPr>
          <w:p w14:paraId="16F55251" w14:textId="77777777" w:rsidR="0046357D" w:rsidRPr="00324CF1" w:rsidRDefault="00ED47F8" w:rsidP="0046357D">
            <w:pPr>
              <w:pStyle w:val="zSoquijlblTypeDocument"/>
            </w:pPr>
            <w:bookmarkStart w:id="9" w:name="TitreDocument"/>
            <w:r w:rsidRPr="00324CF1">
              <w:rPr>
                <w:lang w:val="en-CA"/>
              </w:rPr>
              <w:t>JUDGMENT</w:t>
            </w:r>
            <w:bookmarkEnd w:id="9"/>
          </w:p>
        </w:tc>
      </w:tr>
      <w:tr w:rsidR="00291C6F" w:rsidRPr="00324CF1" w14:paraId="2A462AE4" w14:textId="77777777" w:rsidTr="008D18FC">
        <w:tc>
          <w:tcPr>
            <w:tcW w:w="9360" w:type="dxa"/>
            <w:tcBorders>
              <w:bottom w:val="single" w:sz="8" w:space="0" w:color="auto"/>
            </w:tcBorders>
          </w:tcPr>
          <w:p w14:paraId="766560F9" w14:textId="77777777" w:rsidR="0046357D" w:rsidRPr="00324CF1" w:rsidRDefault="0046357D" w:rsidP="0046357D"/>
        </w:tc>
      </w:tr>
      <w:tr w:rsidR="00291C6F" w:rsidRPr="00324CF1" w14:paraId="48CC6CBA" w14:textId="77777777" w:rsidTr="008D18FC">
        <w:tc>
          <w:tcPr>
            <w:tcW w:w="9360" w:type="dxa"/>
            <w:tcBorders>
              <w:top w:val="single" w:sz="8" w:space="0" w:color="auto"/>
            </w:tcBorders>
          </w:tcPr>
          <w:p w14:paraId="60E83F2C" w14:textId="77777777" w:rsidR="0046357D" w:rsidRPr="00324CF1" w:rsidRDefault="0046357D" w:rsidP="0046357D"/>
        </w:tc>
      </w:tr>
    </w:tbl>
    <w:p w14:paraId="6573EB11" w14:textId="743D7B35" w:rsidR="00444E1F" w:rsidRPr="00324CF1" w:rsidRDefault="00ED47F8" w:rsidP="00FB5A91">
      <w:pPr>
        <w:pStyle w:val="Paragraphe"/>
        <w:spacing w:line="240" w:lineRule="auto"/>
        <w:rPr>
          <w:lang w:val="en-US"/>
        </w:rPr>
      </w:pPr>
      <w:bookmarkStart w:id="10" w:name="Arret"/>
      <w:r w:rsidRPr="00324CF1">
        <w:rPr>
          <w:lang w:val="en-CA"/>
        </w:rPr>
        <w:t xml:space="preserve">Three appeals were </w:t>
      </w:r>
      <w:r w:rsidR="00F818E0">
        <w:rPr>
          <w:lang w:val="en-CA"/>
        </w:rPr>
        <w:t>joined</w:t>
      </w:r>
      <w:r w:rsidR="00F818E0" w:rsidRPr="00324CF1">
        <w:rPr>
          <w:lang w:val="en-CA"/>
        </w:rPr>
        <w:t xml:space="preserve"> </w:t>
      </w:r>
      <w:r w:rsidRPr="00324CF1">
        <w:rPr>
          <w:lang w:val="en-CA"/>
        </w:rPr>
        <w:t xml:space="preserve">for a hearing on as many judgments </w:t>
      </w:r>
      <w:r w:rsidR="00F818E0">
        <w:rPr>
          <w:lang w:val="en-CA"/>
        </w:rPr>
        <w:t>rendered</w:t>
      </w:r>
      <w:r w:rsidR="00F818E0" w:rsidRPr="00324CF1">
        <w:rPr>
          <w:lang w:val="en-CA"/>
        </w:rPr>
        <w:t xml:space="preserve"> </w:t>
      </w:r>
      <w:r w:rsidRPr="00324CF1">
        <w:rPr>
          <w:lang w:val="en-CA"/>
        </w:rPr>
        <w:t>in 2022 by the Honourable Michel A. Pinsonnault of the Superior Court of Québec, District of Montr</w:t>
      </w:r>
      <w:r w:rsidR="00980F95">
        <w:rPr>
          <w:lang w:val="en-CA"/>
        </w:rPr>
        <w:t>e</w:t>
      </w:r>
      <w:r w:rsidRPr="00324CF1">
        <w:rPr>
          <w:lang w:val="en-CA"/>
        </w:rPr>
        <w:t>al, in connection with an application for recognition and enforcement of two foreign arbitral awards. These arbitral awards order the Republic of India (“</w:t>
      </w:r>
      <w:r w:rsidRPr="00324CF1">
        <w:rPr>
          <w:b/>
          <w:bCs/>
          <w:lang w:val="en-CA"/>
        </w:rPr>
        <w:t>India</w:t>
      </w:r>
      <w:r w:rsidRPr="00324CF1">
        <w:rPr>
          <w:lang w:val="en-CA"/>
        </w:rPr>
        <w:t>”) to pay US</w:t>
      </w:r>
      <w:r w:rsidR="00984815">
        <w:rPr>
          <w:lang w:val="en-CA"/>
        </w:rPr>
        <w:t>$</w:t>
      </w:r>
      <w:r w:rsidRPr="00324CF1">
        <w:rPr>
          <w:lang w:val="en-CA"/>
        </w:rPr>
        <w:t>111 million to the investors and shareholders of Devas Multimedia Services (“</w:t>
      </w:r>
      <w:r w:rsidRPr="00324CF1">
        <w:rPr>
          <w:b/>
          <w:bCs/>
          <w:lang w:val="en-CA"/>
        </w:rPr>
        <w:t>Devas</w:t>
      </w:r>
      <w:r w:rsidRPr="00324CF1">
        <w:rPr>
          <w:lang w:val="en-CA"/>
        </w:rPr>
        <w:t>”), i.e.</w:t>
      </w:r>
      <w:r w:rsidR="00F818E0">
        <w:rPr>
          <w:lang w:val="en-CA"/>
        </w:rPr>
        <w:t>,</w:t>
      </w:r>
      <w:r w:rsidRPr="00324CF1">
        <w:rPr>
          <w:lang w:val="en-CA"/>
        </w:rPr>
        <w:t xml:space="preserve"> CC/DEVAS (Mauritius) Ltd., Devas Employees Mauritius Private Limited, and Telcom Devas Mauritius Limited, domiciled in the Republic of Mauritius (collectively, “</w:t>
      </w:r>
      <w:r w:rsidRPr="00324CF1">
        <w:rPr>
          <w:b/>
          <w:bCs/>
          <w:lang w:val="en-CA"/>
        </w:rPr>
        <w:t>Devas Investors and Shareholders</w:t>
      </w:r>
      <w:r w:rsidRPr="00324CF1">
        <w:rPr>
          <w:lang w:val="en-CA"/>
        </w:rPr>
        <w:t xml:space="preserve">”). The proceedings brought by the Devas Investors and Shareholders were </w:t>
      </w:r>
      <w:r w:rsidR="00F818E0">
        <w:rPr>
          <w:lang w:val="en-CA"/>
        </w:rPr>
        <w:t>continued</w:t>
      </w:r>
      <w:r w:rsidRPr="00324CF1">
        <w:rPr>
          <w:lang w:val="en-CA"/>
        </w:rPr>
        <w:t xml:space="preserve"> by CCDM Holdings LLC, Devas Employees Fund US LLC and Telcom Devas LLC (collectively, “</w:t>
      </w:r>
      <w:bookmarkStart w:id="11" w:name="_Hlk172132345"/>
      <w:r w:rsidRPr="00324CF1">
        <w:rPr>
          <w:b/>
          <w:bCs/>
          <w:lang w:val="en-CA"/>
        </w:rPr>
        <w:t>CCDM/Devas</w:t>
      </w:r>
      <w:bookmarkEnd w:id="11"/>
      <w:r w:rsidRPr="00324CF1">
        <w:rPr>
          <w:lang w:val="en-CA"/>
        </w:rPr>
        <w:t>”).</w:t>
      </w:r>
    </w:p>
    <w:p w14:paraId="2B0DE0AA" w14:textId="772D815C" w:rsidR="00C0051B" w:rsidRPr="005E6EB3" w:rsidRDefault="00ED47F8" w:rsidP="00FB5A91">
      <w:pPr>
        <w:pStyle w:val="Titre1"/>
        <w:numPr>
          <w:ilvl w:val="0"/>
          <w:numId w:val="16"/>
        </w:numPr>
        <w:spacing w:line="240" w:lineRule="auto"/>
        <w:rPr>
          <w:sz w:val="24"/>
          <w:szCs w:val="24"/>
          <w:lang w:val="en-CA"/>
        </w:rPr>
      </w:pPr>
      <w:r w:rsidRPr="00324CF1">
        <w:rPr>
          <w:b w:val="0"/>
          <w:lang w:val="en-CA"/>
        </w:rPr>
        <w:tab/>
      </w:r>
      <w:bookmarkStart w:id="12" w:name="_Toc184205605"/>
      <w:bookmarkStart w:id="13" w:name="_Toc256000000"/>
      <w:r w:rsidR="00BD23E0" w:rsidRPr="00980F95">
        <w:rPr>
          <w:bCs/>
          <w:sz w:val="24"/>
          <w:szCs w:val="24"/>
          <w:lang w:val="en-CA"/>
        </w:rPr>
        <w:t xml:space="preserve">Common </w:t>
      </w:r>
      <w:r w:rsidR="00BD23E0">
        <w:rPr>
          <w:bCs/>
          <w:sz w:val="24"/>
          <w:szCs w:val="24"/>
          <w:lang w:val="en-CA"/>
        </w:rPr>
        <w:t>b</w:t>
      </w:r>
      <w:r w:rsidRPr="00324CF1">
        <w:rPr>
          <w:bCs/>
          <w:sz w:val="24"/>
          <w:szCs w:val="24"/>
          <w:lang w:val="en-CA"/>
        </w:rPr>
        <w:t>ackground</w:t>
      </w:r>
      <w:bookmarkEnd w:id="12"/>
      <w:bookmarkEnd w:id="13"/>
      <w:r w:rsidRPr="00324CF1">
        <w:rPr>
          <w:bCs/>
          <w:sz w:val="24"/>
          <w:szCs w:val="24"/>
          <w:lang w:val="en-CA"/>
        </w:rPr>
        <w:t xml:space="preserve"> </w:t>
      </w:r>
    </w:p>
    <w:p w14:paraId="4E70AC67" w14:textId="27C894F1" w:rsidR="009458F1" w:rsidRPr="00324CF1" w:rsidRDefault="00ED47F8" w:rsidP="00FB5A91">
      <w:pPr>
        <w:pStyle w:val="Paragraphe"/>
        <w:spacing w:line="240" w:lineRule="auto"/>
        <w:rPr>
          <w:lang w:val="en-US"/>
        </w:rPr>
      </w:pPr>
      <w:r w:rsidRPr="00324CF1">
        <w:rPr>
          <w:lang w:val="en-CA"/>
        </w:rPr>
        <w:t>These two arbitral awards, rendered by the Permanent Court of Arbitration sitting in The Hague (“</w:t>
      </w:r>
      <w:r w:rsidRPr="00324CF1">
        <w:rPr>
          <w:b/>
          <w:bCs/>
          <w:lang w:val="en-CA"/>
        </w:rPr>
        <w:t>PCA</w:t>
      </w:r>
      <w:r w:rsidRPr="00324CF1">
        <w:rPr>
          <w:lang w:val="en-CA"/>
        </w:rPr>
        <w:t>”), arose from a trade dispute between Devas and Antrix Corporation Limited (“</w:t>
      </w:r>
      <w:r w:rsidRPr="00324CF1">
        <w:rPr>
          <w:b/>
          <w:bCs/>
          <w:lang w:val="en-CA"/>
        </w:rPr>
        <w:t>Antrix</w:t>
      </w:r>
      <w:r w:rsidRPr="00324CF1">
        <w:rPr>
          <w:lang w:val="en-CA"/>
        </w:rPr>
        <w:t xml:space="preserve">”), a government corporation of India. </w:t>
      </w:r>
    </w:p>
    <w:p w14:paraId="5392D2AB" w14:textId="61347C84" w:rsidR="009458F1" w:rsidRPr="00324CF1" w:rsidRDefault="00ED47F8" w:rsidP="00FB5A91">
      <w:pPr>
        <w:pStyle w:val="Paragraphe"/>
        <w:spacing w:line="240" w:lineRule="auto"/>
        <w:rPr>
          <w:lang w:val="en-US"/>
        </w:rPr>
      </w:pPr>
      <w:bookmarkStart w:id="14" w:name="_Ref183090391"/>
      <w:r w:rsidRPr="00324CF1">
        <w:rPr>
          <w:lang w:val="en-CA"/>
        </w:rPr>
        <w:t xml:space="preserve">The first award, </w:t>
      </w:r>
      <w:r w:rsidR="00144D4F">
        <w:rPr>
          <w:lang w:val="en-CA"/>
        </w:rPr>
        <w:t>made</w:t>
      </w:r>
      <w:r w:rsidR="00144D4F" w:rsidRPr="00324CF1">
        <w:rPr>
          <w:lang w:val="en-CA"/>
        </w:rPr>
        <w:t xml:space="preserve"> </w:t>
      </w:r>
      <w:r w:rsidRPr="00324CF1">
        <w:rPr>
          <w:lang w:val="en-CA"/>
        </w:rPr>
        <w:t>on July 25, 2016 (“</w:t>
      </w:r>
      <w:r w:rsidRPr="00324CF1">
        <w:rPr>
          <w:b/>
          <w:bCs/>
          <w:lang w:val="en-CA"/>
        </w:rPr>
        <w:t>Award</w:t>
      </w:r>
      <w:r w:rsidR="00144D4F">
        <w:rPr>
          <w:b/>
          <w:bCs/>
          <w:lang w:val="en-CA"/>
        </w:rPr>
        <w:t xml:space="preserve"> on</w:t>
      </w:r>
      <w:r w:rsidR="00BF2135">
        <w:rPr>
          <w:b/>
          <w:bCs/>
          <w:lang w:val="en-CA"/>
        </w:rPr>
        <w:t xml:space="preserve"> the</w:t>
      </w:r>
      <w:r w:rsidR="00144D4F">
        <w:rPr>
          <w:b/>
          <w:bCs/>
          <w:lang w:val="en-CA"/>
        </w:rPr>
        <w:t xml:space="preserve"> </w:t>
      </w:r>
      <w:r w:rsidR="002922FF">
        <w:rPr>
          <w:b/>
          <w:bCs/>
          <w:lang w:val="en-CA"/>
        </w:rPr>
        <w:t>M</w:t>
      </w:r>
      <w:r w:rsidR="00144D4F">
        <w:rPr>
          <w:b/>
          <w:bCs/>
          <w:lang w:val="en-CA"/>
        </w:rPr>
        <w:t>erits</w:t>
      </w:r>
      <w:r w:rsidRPr="00324CF1">
        <w:rPr>
          <w:lang w:val="en-CA"/>
        </w:rPr>
        <w:t>”),</w:t>
      </w:r>
      <w:bookmarkStart w:id="15" w:name="_Ref182485844"/>
      <w:r w:rsidRPr="00324CF1">
        <w:rPr>
          <w:rStyle w:val="Appelnotedebasdep"/>
          <w:lang w:val="en-CA"/>
        </w:rPr>
        <w:footnoteReference w:id="1"/>
      </w:r>
      <w:bookmarkEnd w:id="15"/>
      <w:r w:rsidR="00144D4F">
        <w:rPr>
          <w:lang w:val="en-CA"/>
        </w:rPr>
        <w:t xml:space="preserve"> </w:t>
      </w:r>
      <w:r w:rsidRPr="00324CF1">
        <w:rPr>
          <w:lang w:val="en-CA"/>
        </w:rPr>
        <w:t xml:space="preserve">found that India was responsible for expropriating Devas’s investments, in contravention of the international commitments </w:t>
      </w:r>
      <w:r w:rsidR="00A64C65">
        <w:rPr>
          <w:lang w:val="en-CA"/>
        </w:rPr>
        <w:t>set out under</w:t>
      </w:r>
      <w:r w:rsidRPr="00324CF1">
        <w:rPr>
          <w:lang w:val="en-CA"/>
        </w:rPr>
        <w:t xml:space="preserve"> the bilateral investment treaty concluded between India and the Republic of Mauritius </w:t>
      </w:r>
      <w:r w:rsidR="00814D18">
        <w:rPr>
          <w:lang w:val="en-CA"/>
        </w:rPr>
        <w:t>aiming to protect</w:t>
      </w:r>
      <w:r w:rsidRPr="00324CF1">
        <w:rPr>
          <w:lang w:val="en-CA"/>
        </w:rPr>
        <w:t xml:space="preserve"> and promot</w:t>
      </w:r>
      <w:r w:rsidR="00814D18">
        <w:rPr>
          <w:lang w:val="en-CA"/>
        </w:rPr>
        <w:t>e</w:t>
      </w:r>
      <w:r w:rsidRPr="00324CF1">
        <w:rPr>
          <w:lang w:val="en-CA"/>
        </w:rPr>
        <w:t xml:space="preserve"> investments in their respective territories (“</w:t>
      </w:r>
      <w:r w:rsidRPr="00324CF1">
        <w:rPr>
          <w:b/>
          <w:bCs/>
          <w:lang w:val="en-CA"/>
        </w:rPr>
        <w:t>Treaty</w:t>
      </w:r>
      <w:r w:rsidRPr="00324CF1">
        <w:rPr>
          <w:lang w:val="en-CA"/>
        </w:rPr>
        <w:t>”).</w:t>
      </w:r>
      <w:r w:rsidRPr="00324CF1">
        <w:rPr>
          <w:vertAlign w:val="superscript"/>
          <w:lang w:val="en-CA"/>
        </w:rPr>
        <w:footnoteReference w:id="2"/>
      </w:r>
      <w:bookmarkEnd w:id="14"/>
      <w:r w:rsidRPr="00324CF1">
        <w:rPr>
          <w:lang w:val="en-CA"/>
        </w:rPr>
        <w:t xml:space="preserve"> </w:t>
      </w:r>
    </w:p>
    <w:p w14:paraId="42A8CF80" w14:textId="6678D637" w:rsidR="008F364A" w:rsidRPr="00324CF1" w:rsidRDefault="00ED47F8" w:rsidP="00FB5A91">
      <w:pPr>
        <w:pStyle w:val="Paragraphe"/>
        <w:spacing w:line="240" w:lineRule="auto"/>
        <w:rPr>
          <w:lang w:val="en-US"/>
        </w:rPr>
      </w:pPr>
      <w:r w:rsidRPr="00324CF1">
        <w:rPr>
          <w:lang w:val="en-CA"/>
        </w:rPr>
        <w:t xml:space="preserve">The second award, </w:t>
      </w:r>
      <w:r w:rsidR="00A64C65">
        <w:rPr>
          <w:lang w:val="en-CA"/>
        </w:rPr>
        <w:t>made</w:t>
      </w:r>
      <w:r w:rsidR="00A64C65" w:rsidRPr="00324CF1">
        <w:rPr>
          <w:lang w:val="en-CA"/>
        </w:rPr>
        <w:t xml:space="preserve"> </w:t>
      </w:r>
      <w:r w:rsidRPr="00324CF1">
        <w:rPr>
          <w:lang w:val="en-CA"/>
        </w:rPr>
        <w:t>on October 13, 2020, set the amount that India would have to pay at US</w:t>
      </w:r>
      <w:r w:rsidR="00984815">
        <w:rPr>
          <w:lang w:val="en-CA"/>
        </w:rPr>
        <w:t>$</w:t>
      </w:r>
      <w:r w:rsidRPr="00324CF1">
        <w:rPr>
          <w:lang w:val="en-CA"/>
        </w:rPr>
        <w:t>111 million (“</w:t>
      </w:r>
      <w:r w:rsidRPr="00324CF1">
        <w:rPr>
          <w:b/>
          <w:bCs/>
          <w:lang w:val="en-CA"/>
        </w:rPr>
        <w:t>Award on</w:t>
      </w:r>
      <w:r w:rsidR="00984815">
        <w:rPr>
          <w:b/>
          <w:bCs/>
          <w:lang w:val="en-CA"/>
        </w:rPr>
        <w:t xml:space="preserve"> the</w:t>
      </w:r>
      <w:r w:rsidRPr="00324CF1">
        <w:rPr>
          <w:b/>
          <w:bCs/>
          <w:lang w:val="en-CA"/>
        </w:rPr>
        <w:t xml:space="preserve"> Quantum</w:t>
      </w:r>
      <w:r w:rsidRPr="00324CF1">
        <w:rPr>
          <w:lang w:val="en-CA"/>
        </w:rPr>
        <w:t>”).</w:t>
      </w:r>
      <w:bookmarkStart w:id="18" w:name="_Ref174350296"/>
      <w:r w:rsidRPr="00324CF1">
        <w:rPr>
          <w:rStyle w:val="Appelnotedebasdep"/>
          <w:lang w:val="en-CA"/>
        </w:rPr>
        <w:footnoteReference w:id="3"/>
      </w:r>
      <w:bookmarkEnd w:id="18"/>
    </w:p>
    <w:p w14:paraId="612D321F" w14:textId="2DB57709" w:rsidR="00B11651" w:rsidRPr="00324CF1" w:rsidRDefault="00DC4AB4" w:rsidP="00FB5A91">
      <w:pPr>
        <w:pStyle w:val="Paragraphe"/>
        <w:spacing w:line="240" w:lineRule="auto"/>
        <w:rPr>
          <w:lang w:val="en-US"/>
        </w:rPr>
      </w:pPr>
      <w:r>
        <w:rPr>
          <w:lang w:val="en-CA"/>
        </w:rPr>
        <w:t xml:space="preserve">As yet, </w:t>
      </w:r>
      <w:r w:rsidR="00ED47F8" w:rsidRPr="00324CF1">
        <w:rPr>
          <w:lang w:val="en-CA"/>
        </w:rPr>
        <w:t xml:space="preserve">India has not paid this amount and has </w:t>
      </w:r>
      <w:r w:rsidR="007D4B94">
        <w:rPr>
          <w:lang w:val="en-CA"/>
        </w:rPr>
        <w:t>put a great deal of effort into</w:t>
      </w:r>
      <w:r w:rsidR="00ED47F8" w:rsidRPr="00324CF1">
        <w:rPr>
          <w:lang w:val="en-CA"/>
        </w:rPr>
        <w:t xml:space="preserve"> hav</w:t>
      </w:r>
      <w:r w:rsidR="007D4B94">
        <w:rPr>
          <w:lang w:val="en-CA"/>
        </w:rPr>
        <w:t>ing</w:t>
      </w:r>
      <w:r w:rsidR="00ED47F8" w:rsidRPr="00324CF1">
        <w:rPr>
          <w:lang w:val="en-CA"/>
        </w:rPr>
        <w:t xml:space="preserve"> these awards </w:t>
      </w:r>
      <w:r w:rsidR="003A13B3">
        <w:rPr>
          <w:lang w:val="en-CA"/>
        </w:rPr>
        <w:t>set aside</w:t>
      </w:r>
      <w:r w:rsidR="007D4B94" w:rsidRPr="00324CF1">
        <w:rPr>
          <w:lang w:val="en-CA"/>
        </w:rPr>
        <w:t xml:space="preserve"> </w:t>
      </w:r>
      <w:r w:rsidR="00ED47F8" w:rsidRPr="00324CF1">
        <w:rPr>
          <w:lang w:val="en-CA"/>
        </w:rPr>
        <w:t xml:space="preserve">or </w:t>
      </w:r>
      <w:r w:rsidR="007D4B94">
        <w:rPr>
          <w:lang w:val="en-CA"/>
        </w:rPr>
        <w:t>varied</w:t>
      </w:r>
      <w:r w:rsidR="00ED47F8" w:rsidRPr="00324CF1">
        <w:rPr>
          <w:lang w:val="en-CA"/>
        </w:rPr>
        <w:t>, thus leading the Devas Investors and Shareholders to resort to recognition and enforcement measures in several countries, including the Netherlands, France, Belgium, Luxembourg and the United Kingdom.</w:t>
      </w:r>
    </w:p>
    <w:p w14:paraId="1DE8BA30" w14:textId="0048CC50" w:rsidR="00874D4F" w:rsidRPr="00324CF1" w:rsidRDefault="00ED47F8" w:rsidP="00FB5A91">
      <w:pPr>
        <w:pStyle w:val="Paragraphe"/>
        <w:spacing w:line="240" w:lineRule="auto"/>
        <w:rPr>
          <w:lang w:val="en-US"/>
        </w:rPr>
      </w:pPr>
      <w:r w:rsidRPr="00324CF1">
        <w:rPr>
          <w:lang w:val="en-CA"/>
        </w:rPr>
        <w:t>It was in this context that</w:t>
      </w:r>
      <w:r w:rsidR="00595D2C">
        <w:rPr>
          <w:lang w:val="en-CA"/>
        </w:rPr>
        <w:t xml:space="preserve"> in November 2021,</w:t>
      </w:r>
      <w:r w:rsidRPr="00324CF1">
        <w:rPr>
          <w:lang w:val="en-CA"/>
        </w:rPr>
        <w:t xml:space="preserve"> the Devas Investors and Shareholders filed an application for recognition and enforcement of the two arbitral </w:t>
      </w:r>
      <w:r w:rsidRPr="00324CF1">
        <w:rPr>
          <w:lang w:val="en-CA"/>
        </w:rPr>
        <w:lastRenderedPageBreak/>
        <w:t xml:space="preserve">awards </w:t>
      </w:r>
      <w:r w:rsidR="00595D2C">
        <w:rPr>
          <w:lang w:val="en-CA"/>
        </w:rPr>
        <w:t>before</w:t>
      </w:r>
      <w:r w:rsidR="00595D2C" w:rsidRPr="00324CF1">
        <w:rPr>
          <w:lang w:val="en-CA"/>
        </w:rPr>
        <w:t xml:space="preserve"> </w:t>
      </w:r>
      <w:r w:rsidRPr="00324CF1">
        <w:rPr>
          <w:lang w:val="en-CA"/>
        </w:rPr>
        <w:t xml:space="preserve">the Superior Court of Québec and requested an initial notice of enforcement of </w:t>
      </w:r>
      <w:r w:rsidR="00595D2C">
        <w:rPr>
          <w:lang w:val="en-CA"/>
        </w:rPr>
        <w:t xml:space="preserve">a </w:t>
      </w:r>
      <w:r w:rsidRPr="00324CF1">
        <w:rPr>
          <w:lang w:val="en-CA"/>
        </w:rPr>
        <w:t>seizure before judgment by garnishment against the International Air Transport Association (“</w:t>
      </w:r>
      <w:r w:rsidRPr="00324CF1">
        <w:rPr>
          <w:b/>
          <w:bCs/>
          <w:lang w:val="en-CA"/>
        </w:rPr>
        <w:t>IATA</w:t>
      </w:r>
      <w:r w:rsidRPr="00324CF1">
        <w:rPr>
          <w:lang w:val="en-CA"/>
        </w:rPr>
        <w:t>”), the organization responsible for collecting airport fees and remitting them to the authorities or airlines. The Devas Investors and Shareholders there</w:t>
      </w:r>
      <w:r w:rsidR="002922FF">
        <w:rPr>
          <w:lang w:val="en-CA"/>
        </w:rPr>
        <w:t>by</w:t>
      </w:r>
      <w:r w:rsidRPr="00324CF1">
        <w:rPr>
          <w:lang w:val="en-CA"/>
        </w:rPr>
        <w:t xml:space="preserve"> sought to seize all sums due or property belonging to</w:t>
      </w:r>
      <w:r w:rsidR="007D2792">
        <w:rPr>
          <w:lang w:val="en-CA"/>
        </w:rPr>
        <w:t xml:space="preserve"> the</w:t>
      </w:r>
      <w:r w:rsidRPr="00324CF1">
        <w:rPr>
          <w:lang w:val="en-CA"/>
        </w:rPr>
        <w:t xml:space="preserve"> Airport Authority of India (“</w:t>
      </w:r>
      <w:r w:rsidRPr="00324CF1">
        <w:rPr>
          <w:b/>
          <w:bCs/>
          <w:lang w:val="en-CA"/>
        </w:rPr>
        <w:t>AAI</w:t>
      </w:r>
      <w:r w:rsidRPr="00324CF1">
        <w:rPr>
          <w:lang w:val="en-CA"/>
        </w:rPr>
        <w:t xml:space="preserve">”), the state agency responsible for managing Indian airports and airspace. They took the same steps the following month to seize from IATA the sums due or property belonging to the government </w:t>
      </w:r>
      <w:r w:rsidR="002922FF">
        <w:rPr>
          <w:lang w:val="en-CA"/>
        </w:rPr>
        <w:t>corporation</w:t>
      </w:r>
      <w:r w:rsidRPr="00324CF1">
        <w:rPr>
          <w:lang w:val="en-CA"/>
        </w:rPr>
        <w:t xml:space="preserve"> and official Indian airline, Air India.</w:t>
      </w:r>
    </w:p>
    <w:p w14:paraId="043B7EA3" w14:textId="21585DCF" w:rsidR="00A4023A" w:rsidRPr="00324CF1" w:rsidRDefault="00ED47F8" w:rsidP="00FB5A91">
      <w:pPr>
        <w:pStyle w:val="Paragraphe"/>
        <w:spacing w:line="240" w:lineRule="auto"/>
        <w:rPr>
          <w:lang w:val="en-US"/>
        </w:rPr>
      </w:pPr>
      <w:r w:rsidRPr="00324CF1">
        <w:rPr>
          <w:lang w:val="en-CA"/>
        </w:rPr>
        <w:t xml:space="preserve">At this stage, it is </w:t>
      </w:r>
      <w:r w:rsidR="00794282">
        <w:rPr>
          <w:lang w:val="en-CA"/>
        </w:rPr>
        <w:t>appropriate</w:t>
      </w:r>
      <w:r w:rsidR="00794282" w:rsidRPr="00324CF1">
        <w:rPr>
          <w:lang w:val="en-CA"/>
        </w:rPr>
        <w:t xml:space="preserve"> </w:t>
      </w:r>
      <w:r w:rsidRPr="00324CF1">
        <w:rPr>
          <w:lang w:val="en-CA"/>
        </w:rPr>
        <w:t xml:space="preserve">to </w:t>
      </w:r>
      <w:r w:rsidR="00D00D43">
        <w:rPr>
          <w:lang w:val="en-CA"/>
        </w:rPr>
        <w:t>detail</w:t>
      </w:r>
      <w:r w:rsidRPr="00324CF1">
        <w:rPr>
          <w:lang w:val="en-CA"/>
        </w:rPr>
        <w:t xml:space="preserve"> the origin of the dispute between Devas and Antrix, as well as the dispute between the Devas Investors and Shareholders and India. </w:t>
      </w:r>
      <w:r w:rsidR="00E240DF">
        <w:rPr>
          <w:lang w:val="en-CA"/>
        </w:rPr>
        <w:t>In the wake</w:t>
      </w:r>
      <w:r w:rsidRPr="00324CF1">
        <w:rPr>
          <w:lang w:val="en-CA"/>
        </w:rPr>
        <w:t xml:space="preserve"> of the Treaty, on January 28, 2005, Devas </w:t>
      </w:r>
      <w:r w:rsidR="00794282">
        <w:rPr>
          <w:lang w:val="en-CA"/>
        </w:rPr>
        <w:t>entered into</w:t>
      </w:r>
      <w:r w:rsidR="00794282" w:rsidRPr="00324CF1">
        <w:rPr>
          <w:lang w:val="en-CA"/>
        </w:rPr>
        <w:t xml:space="preserve"> </w:t>
      </w:r>
      <w:r w:rsidRPr="00324CF1">
        <w:rPr>
          <w:lang w:val="en-CA"/>
        </w:rPr>
        <w:t>an agreement with Antrix, the “marketing arm” of the Indian Department of Space (“</w:t>
      </w:r>
      <w:r w:rsidRPr="00324CF1">
        <w:rPr>
          <w:b/>
          <w:bCs/>
          <w:lang w:val="en-CA"/>
        </w:rPr>
        <w:t>DOS</w:t>
      </w:r>
      <w:r w:rsidRPr="00324CF1">
        <w:rPr>
          <w:lang w:val="en-CA"/>
        </w:rPr>
        <w:t>”) and the Indian Space Research Organisation (“</w:t>
      </w:r>
      <w:r w:rsidRPr="00324CF1">
        <w:rPr>
          <w:b/>
          <w:bCs/>
          <w:lang w:val="en-CA"/>
        </w:rPr>
        <w:t>ISRO</w:t>
      </w:r>
      <w:r w:rsidRPr="00324CF1">
        <w:rPr>
          <w:lang w:val="en-CA"/>
        </w:rPr>
        <w:t>”). This agreement provided that Antrix would lease part of the 2500-2690 Mhz S-band spectrum capacity to Devas and provide it with two satellites to be built, launched and operated by ISRO, while Devas would install antennas and transponders to provide wireless service across India, specifically wireless Internet service and audio and video services (“</w:t>
      </w:r>
      <w:r w:rsidRPr="00324CF1">
        <w:rPr>
          <w:b/>
          <w:bCs/>
          <w:lang w:val="en-CA"/>
        </w:rPr>
        <w:t>Devas Agreement</w:t>
      </w:r>
      <w:r w:rsidRPr="00324CF1">
        <w:rPr>
          <w:lang w:val="en-CA"/>
        </w:rPr>
        <w:t>”).</w:t>
      </w:r>
      <w:bookmarkStart w:id="20" w:name="_Ref174440572"/>
      <w:r w:rsidRPr="00324CF1">
        <w:rPr>
          <w:rStyle w:val="Appelnotedebasdep"/>
          <w:lang w:val="en-CA"/>
        </w:rPr>
        <w:footnoteReference w:id="4"/>
      </w:r>
      <w:bookmarkEnd w:id="20"/>
    </w:p>
    <w:p w14:paraId="7975D35B" w14:textId="48033D42" w:rsidR="00792421" w:rsidRPr="00324CF1" w:rsidRDefault="00ED47F8" w:rsidP="00FB5A91">
      <w:pPr>
        <w:pStyle w:val="Paragraphe"/>
        <w:spacing w:line="240" w:lineRule="auto"/>
        <w:rPr>
          <w:lang w:val="en-US"/>
        </w:rPr>
      </w:pPr>
      <w:r w:rsidRPr="00324CF1">
        <w:rPr>
          <w:lang w:val="en-CA"/>
        </w:rPr>
        <w:t>The Devas Agreement, governed by the Treaty, required an initial payment by the Devas Investors and Shareholders of US</w:t>
      </w:r>
      <w:r w:rsidR="003001F5">
        <w:rPr>
          <w:lang w:val="en-CA"/>
        </w:rPr>
        <w:t>$</w:t>
      </w:r>
      <w:r w:rsidRPr="00324CF1">
        <w:rPr>
          <w:lang w:val="en-CA"/>
        </w:rPr>
        <w:t>40 million.</w:t>
      </w:r>
      <w:r w:rsidRPr="00324CF1">
        <w:rPr>
          <w:rStyle w:val="Appelnotedebasdep"/>
          <w:lang w:val="en-CA"/>
        </w:rPr>
        <w:footnoteReference w:id="5"/>
      </w:r>
      <w:r w:rsidRPr="00324CF1">
        <w:rPr>
          <w:lang w:val="en-CA"/>
        </w:rPr>
        <w:t xml:space="preserve"> To ensure the construction, launch and operation of the satellites, Antrix had to obtain a series of authorizations from the Government of India. On December 1, 2005, India authorized the manufacture and launch of satellites essential to the </w:t>
      </w:r>
      <w:r w:rsidR="003001F5">
        <w:rPr>
          <w:lang w:val="en-CA"/>
        </w:rPr>
        <w:t>realization</w:t>
      </w:r>
      <w:r w:rsidR="003001F5" w:rsidRPr="00324CF1">
        <w:rPr>
          <w:lang w:val="en-CA"/>
        </w:rPr>
        <w:t xml:space="preserve"> </w:t>
      </w:r>
      <w:r w:rsidRPr="00324CF1">
        <w:rPr>
          <w:lang w:val="en-CA"/>
        </w:rPr>
        <w:t>of the Devas Agreement. On February 2, 2006, Antrix confirmed in writing to Devas that it had obtained all the required authorizations, so that the Devas Agreement was now in effect.</w:t>
      </w:r>
    </w:p>
    <w:p w14:paraId="383A4757" w14:textId="28EFE649" w:rsidR="00792421" w:rsidRPr="00324CF1" w:rsidRDefault="00ED47F8" w:rsidP="00FB5A91">
      <w:pPr>
        <w:pStyle w:val="Paragraphe"/>
        <w:spacing w:line="240" w:lineRule="auto"/>
        <w:rPr>
          <w:lang w:val="en-US"/>
        </w:rPr>
      </w:pPr>
      <w:r w:rsidRPr="00324CF1">
        <w:rPr>
          <w:lang w:val="en-CA"/>
        </w:rPr>
        <w:t>However, in September 2007, Indian military and paramilitary agencies questioned the accessibility of the spectrum for military needs</w:t>
      </w:r>
      <w:r w:rsidR="00E240DF">
        <w:rPr>
          <w:lang w:val="en-CA"/>
        </w:rPr>
        <w:t>,</w:t>
      </w:r>
      <w:r w:rsidRPr="00324CF1">
        <w:rPr>
          <w:lang w:val="en-CA"/>
        </w:rPr>
        <w:t xml:space="preserve"> if the Government were to make it available for commercial purposes. Starting in</w:t>
      </w:r>
      <w:r w:rsidRPr="00324CF1">
        <w:rPr>
          <w:kern w:val="0"/>
          <w:lang w:val="en-CA"/>
        </w:rPr>
        <w:t xml:space="preserve"> 2009, India </w:t>
      </w:r>
      <w:r w:rsidR="00814108">
        <w:rPr>
          <w:kern w:val="0"/>
          <w:lang w:val="en-CA"/>
        </w:rPr>
        <w:t>considered</w:t>
      </w:r>
      <w:r w:rsidRPr="00324CF1">
        <w:rPr>
          <w:kern w:val="0"/>
          <w:lang w:val="en-CA"/>
        </w:rPr>
        <w:t xml:space="preserve"> terminat</w:t>
      </w:r>
      <w:r w:rsidR="00814108">
        <w:rPr>
          <w:kern w:val="0"/>
          <w:lang w:val="en-CA"/>
        </w:rPr>
        <w:t>ing</w:t>
      </w:r>
      <w:r w:rsidRPr="00324CF1">
        <w:rPr>
          <w:kern w:val="0"/>
          <w:lang w:val="en-CA"/>
        </w:rPr>
        <w:t xml:space="preserve"> the Devas Agreement, which led to the </w:t>
      </w:r>
      <w:r w:rsidRPr="00324CF1">
        <w:rPr>
          <w:lang w:val="en-CA"/>
        </w:rPr>
        <w:t xml:space="preserve">delivery of the first satellite, initially scheduled for June 2009, being postponed until </w:t>
      </w:r>
      <w:r w:rsidR="00814108">
        <w:rPr>
          <w:lang w:val="en-CA"/>
        </w:rPr>
        <w:t>late</w:t>
      </w:r>
      <w:r w:rsidRPr="00324CF1">
        <w:rPr>
          <w:lang w:val="en-CA"/>
        </w:rPr>
        <w:t xml:space="preserve"> 2009 and then until September 2010. Meanwhile, the Devas Investors and Shareholders continued to pay the amounts required under the Devas Agreement, injecting over US</w:t>
      </w:r>
      <w:r w:rsidR="00814108">
        <w:rPr>
          <w:lang w:val="en-CA"/>
        </w:rPr>
        <w:t>$</w:t>
      </w:r>
      <w:r w:rsidRPr="00324CF1">
        <w:rPr>
          <w:lang w:val="en-CA"/>
        </w:rPr>
        <w:t>25 million into Devas through share purchases.</w:t>
      </w:r>
    </w:p>
    <w:p w14:paraId="2ECFA30F" w14:textId="2D620D3B" w:rsidR="00792421" w:rsidRPr="00324CF1" w:rsidRDefault="00ED47F8" w:rsidP="00FB5A91">
      <w:pPr>
        <w:pStyle w:val="Paragraphe"/>
        <w:spacing w:line="240" w:lineRule="auto"/>
        <w:rPr>
          <w:lang w:val="en-US"/>
        </w:rPr>
      </w:pPr>
      <w:r w:rsidRPr="00324CF1">
        <w:rPr>
          <w:lang w:val="en-CA"/>
        </w:rPr>
        <w:t xml:space="preserve">On April 23, 2010, the Indian Ministry of Defence sent a letter to ISRO informing it that its spectrum capacity needs would nearly double between 2017 and 2022. </w:t>
      </w:r>
      <w:r w:rsidR="005F01FC">
        <w:rPr>
          <w:lang w:val="en-CA"/>
        </w:rPr>
        <w:t>As of</w:t>
      </w:r>
      <w:r w:rsidR="005F01FC" w:rsidRPr="00324CF1">
        <w:rPr>
          <w:lang w:val="en-CA"/>
        </w:rPr>
        <w:t xml:space="preserve"> </w:t>
      </w:r>
      <w:r w:rsidRPr="00324CF1">
        <w:rPr>
          <w:lang w:val="en-CA"/>
        </w:rPr>
        <w:t xml:space="preserve">May 2010, while rumours were circulating about the Devas Agreement and the media were demanding </w:t>
      </w:r>
      <w:r w:rsidR="00E240DF">
        <w:rPr>
          <w:lang w:val="en-CA"/>
        </w:rPr>
        <w:t xml:space="preserve">that </w:t>
      </w:r>
      <w:r w:rsidR="00E240DF" w:rsidRPr="00324CF1">
        <w:rPr>
          <w:lang w:val="en-CA"/>
        </w:rPr>
        <w:t>the Indian government</w:t>
      </w:r>
      <w:r w:rsidR="00E240DF">
        <w:rPr>
          <w:lang w:val="en-CA"/>
        </w:rPr>
        <w:t xml:space="preserve"> cancel</w:t>
      </w:r>
      <w:r w:rsidR="00E240DF" w:rsidRPr="00324CF1">
        <w:rPr>
          <w:lang w:val="en-CA"/>
        </w:rPr>
        <w:t xml:space="preserve"> </w:t>
      </w:r>
      <w:r w:rsidRPr="00324CF1">
        <w:rPr>
          <w:lang w:val="en-CA"/>
        </w:rPr>
        <w:t>it, several meetings between the Devas Investors and Shareholders and various government entities took place</w:t>
      </w:r>
      <w:r w:rsidR="00E240DF">
        <w:rPr>
          <w:lang w:val="en-CA"/>
        </w:rPr>
        <w:t>.</w:t>
      </w:r>
      <w:r w:rsidRPr="00324CF1">
        <w:rPr>
          <w:lang w:val="en-CA"/>
        </w:rPr>
        <w:t xml:space="preserve"> </w:t>
      </w:r>
      <w:r w:rsidR="00E240DF">
        <w:rPr>
          <w:lang w:val="en-CA"/>
        </w:rPr>
        <w:t>T</w:t>
      </w:r>
      <w:r w:rsidRPr="00324CF1">
        <w:rPr>
          <w:lang w:val="en-CA"/>
        </w:rPr>
        <w:t xml:space="preserve">he viability of </w:t>
      </w:r>
      <w:r w:rsidRPr="00324CF1">
        <w:rPr>
          <w:lang w:val="en-CA"/>
        </w:rPr>
        <w:lastRenderedPageBreak/>
        <w:t>the Devas Agreement or the allocation of part of the spectrum to Devas</w:t>
      </w:r>
      <w:r w:rsidR="000D5836">
        <w:rPr>
          <w:lang w:val="en-CA"/>
        </w:rPr>
        <w:t xml:space="preserve"> were never called into question</w:t>
      </w:r>
      <w:r w:rsidRPr="00324CF1">
        <w:rPr>
          <w:lang w:val="en-CA"/>
        </w:rPr>
        <w:t>.</w:t>
      </w:r>
    </w:p>
    <w:p w14:paraId="6EAF30BE" w14:textId="4D907E72" w:rsidR="0067625C" w:rsidRPr="00324CF1" w:rsidRDefault="00ED47F8" w:rsidP="00FB5A91">
      <w:pPr>
        <w:pStyle w:val="Paragraphe"/>
        <w:spacing w:line="240" w:lineRule="auto"/>
        <w:rPr>
          <w:lang w:val="en-US"/>
        </w:rPr>
      </w:pPr>
      <w:r w:rsidRPr="00324CF1">
        <w:rPr>
          <w:lang w:val="en-CA"/>
        </w:rPr>
        <w:t xml:space="preserve">On July 12, 2010, the Solicitor General of India </w:t>
      </w:r>
      <w:r w:rsidR="00753FF2">
        <w:rPr>
          <w:lang w:val="en-CA"/>
        </w:rPr>
        <w:t>prepared</w:t>
      </w:r>
      <w:r w:rsidR="00753FF2" w:rsidRPr="00324CF1">
        <w:rPr>
          <w:lang w:val="en-CA"/>
        </w:rPr>
        <w:t xml:space="preserve"> </w:t>
      </w:r>
      <w:r w:rsidRPr="00324CF1">
        <w:rPr>
          <w:lang w:val="en-CA"/>
        </w:rPr>
        <w:t>a</w:t>
      </w:r>
      <w:r w:rsidR="00402F1A">
        <w:rPr>
          <w:lang w:val="en-CA"/>
        </w:rPr>
        <w:t>n internal</w:t>
      </w:r>
      <w:r w:rsidRPr="00324CF1">
        <w:rPr>
          <w:lang w:val="en-CA"/>
        </w:rPr>
        <w:t xml:space="preserve"> memorandum of opinion confirming the lawfulness of the grounds for terminati</w:t>
      </w:r>
      <w:r w:rsidR="00402F1A">
        <w:rPr>
          <w:lang w:val="en-CA"/>
        </w:rPr>
        <w:t>ng</w:t>
      </w:r>
      <w:r w:rsidRPr="00324CF1">
        <w:rPr>
          <w:lang w:val="en-CA"/>
        </w:rPr>
        <w:t xml:space="preserve"> the Devas Agreement, including </w:t>
      </w:r>
      <w:r w:rsidR="008B0952">
        <w:rPr>
          <w:lang w:val="en-CA"/>
        </w:rPr>
        <w:t>applying</w:t>
      </w:r>
      <w:r w:rsidRPr="00324CF1">
        <w:rPr>
          <w:lang w:val="en-CA"/>
        </w:rPr>
        <w:t xml:space="preserve"> the force majeure clause (11 b.). A few days later, the Space Commission of India passed a resolution to terminate the Devas Agreement.</w:t>
      </w:r>
    </w:p>
    <w:p w14:paraId="51EDCF00" w14:textId="3B4FB541" w:rsidR="00DA0E44" w:rsidRPr="00324CF1" w:rsidRDefault="00ED47F8" w:rsidP="00FB5A91">
      <w:pPr>
        <w:pStyle w:val="Paragraphe"/>
        <w:spacing w:line="240" w:lineRule="auto"/>
        <w:rPr>
          <w:lang w:val="en-US"/>
        </w:rPr>
      </w:pPr>
      <w:r w:rsidRPr="00324CF1">
        <w:rPr>
          <w:lang w:val="en-CA"/>
        </w:rPr>
        <w:t>On January 9, 2011, the Secretary of the DOS, mandated by the Space Commission, submitted a report arguing that the spectrum capacity granted to Devas would prevent the</w:t>
      </w:r>
      <w:r w:rsidR="00161CBE">
        <w:rPr>
          <w:lang w:val="en-CA"/>
        </w:rPr>
        <w:t xml:space="preserve"> needs of the</w:t>
      </w:r>
      <w:r w:rsidRPr="00324CF1">
        <w:rPr>
          <w:lang w:val="en-CA"/>
        </w:rPr>
        <w:t xml:space="preserve"> DOS and ISRO from </w:t>
      </w:r>
      <w:r w:rsidR="00161CBE">
        <w:rPr>
          <w:lang w:val="en-CA"/>
        </w:rPr>
        <w:t>being met</w:t>
      </w:r>
      <w:r w:rsidRPr="00324CF1">
        <w:rPr>
          <w:lang w:val="en-CA"/>
        </w:rPr>
        <w:t xml:space="preserve"> and that </w:t>
      </w:r>
      <w:r w:rsidR="00161CBE">
        <w:rPr>
          <w:lang w:val="en-CA"/>
        </w:rPr>
        <w:t xml:space="preserve">a </w:t>
      </w:r>
      <w:r w:rsidRPr="00324CF1">
        <w:rPr>
          <w:lang w:val="en-CA"/>
        </w:rPr>
        <w:t xml:space="preserve">consultation with the Indian Satellite Coordination Committee was necessary before the Devas Agreement </w:t>
      </w:r>
      <w:r w:rsidR="005A370E">
        <w:rPr>
          <w:lang w:val="en-CA"/>
        </w:rPr>
        <w:t>came to an end</w:t>
      </w:r>
      <w:r w:rsidRPr="00324CF1">
        <w:rPr>
          <w:lang w:val="en-CA"/>
        </w:rPr>
        <w:t>.</w:t>
      </w:r>
    </w:p>
    <w:p w14:paraId="2B2B1515" w14:textId="40B9D9E9" w:rsidR="0067625C" w:rsidRPr="00324CF1" w:rsidRDefault="00ED47F8" w:rsidP="00FB5A91">
      <w:pPr>
        <w:pStyle w:val="Paragraphe"/>
        <w:spacing w:line="240" w:lineRule="auto"/>
        <w:rPr>
          <w:lang w:val="en-US"/>
        </w:rPr>
      </w:pPr>
      <w:r w:rsidRPr="00324CF1">
        <w:rPr>
          <w:lang w:val="en-CA"/>
        </w:rPr>
        <w:t>On February 8, 2011, the Space Commission of India announced in a press conference its decision to terminate the Devas Agreement. The following day, India set up a committee to conduct a technical, commercial, procedural and financial review, based on various reports that had already been published. On February 16, 2011, a memo</w:t>
      </w:r>
      <w:r w:rsidR="00161CBE">
        <w:rPr>
          <w:lang w:val="en-CA"/>
        </w:rPr>
        <w:t>randum</w:t>
      </w:r>
      <w:r w:rsidRPr="00324CF1">
        <w:rPr>
          <w:lang w:val="en-CA"/>
        </w:rPr>
        <w:t xml:space="preserve"> was sent to the National Security Council of India, tasking it with prioritizing the country’s strategic needs, including societal needs, highlighting requests from various government entities for </w:t>
      </w:r>
      <w:r w:rsidR="00161CBE">
        <w:rPr>
          <w:lang w:val="en-CA"/>
        </w:rPr>
        <w:t>a share</w:t>
      </w:r>
      <w:r w:rsidR="00161CBE" w:rsidRPr="00324CF1">
        <w:rPr>
          <w:lang w:val="en-CA"/>
        </w:rPr>
        <w:t xml:space="preserve"> </w:t>
      </w:r>
      <w:r w:rsidRPr="00324CF1">
        <w:rPr>
          <w:lang w:val="en-CA"/>
        </w:rPr>
        <w:t xml:space="preserve">of the spectrum. On February 17, 2011, the Council </w:t>
      </w:r>
      <w:r w:rsidR="00161CBE">
        <w:rPr>
          <w:lang w:val="en-CA"/>
        </w:rPr>
        <w:t>published</w:t>
      </w:r>
      <w:r w:rsidR="00161CBE" w:rsidRPr="00324CF1">
        <w:rPr>
          <w:lang w:val="en-CA"/>
        </w:rPr>
        <w:t xml:space="preserve"> </w:t>
      </w:r>
      <w:r w:rsidRPr="00324CF1">
        <w:rPr>
          <w:lang w:val="en-CA"/>
        </w:rPr>
        <w:t>a statement announcing its decision to terminate the Devas Agreement and on February 23, 2011, the DOS directed Antrix to immediately take the necessary steps to terminate it.</w:t>
      </w:r>
    </w:p>
    <w:p w14:paraId="2ED4978E" w14:textId="77777777" w:rsidR="0067625C" w:rsidRPr="00324CF1" w:rsidRDefault="00ED47F8" w:rsidP="00FB5A91">
      <w:pPr>
        <w:pStyle w:val="Paragraphe"/>
        <w:spacing w:line="240" w:lineRule="auto"/>
        <w:rPr>
          <w:lang w:val="en-US"/>
        </w:rPr>
      </w:pPr>
      <w:r w:rsidRPr="00324CF1">
        <w:rPr>
          <w:lang w:val="en-CA"/>
        </w:rPr>
        <w:t>On February 25, 2011, Antrix notified Devas of its decision to terminate the Devas Agreement on the grounds of force majeure, thus leading to the arbitration process provided for in the Devas Agreement between Devas and Antrix (“</w:t>
      </w:r>
      <w:r w:rsidRPr="00324CF1">
        <w:rPr>
          <w:b/>
          <w:bCs/>
          <w:lang w:val="en-CA"/>
        </w:rPr>
        <w:t>Antrix Arbitration</w:t>
      </w:r>
      <w:r w:rsidRPr="00324CF1">
        <w:rPr>
          <w:lang w:val="en-CA"/>
        </w:rPr>
        <w:t>”), as well as the arbitration process between the Devas Investors and Shareholders and India, as the entity responsible for the decision to terminate the agreement (“</w:t>
      </w:r>
      <w:r w:rsidRPr="00324CF1">
        <w:rPr>
          <w:b/>
          <w:bCs/>
          <w:lang w:val="en-CA"/>
        </w:rPr>
        <w:t>India Arbitration</w:t>
      </w:r>
      <w:r w:rsidRPr="00324CF1">
        <w:rPr>
          <w:lang w:val="en-CA"/>
        </w:rPr>
        <w:t xml:space="preserve">”). </w:t>
      </w:r>
    </w:p>
    <w:p w14:paraId="2CC6DCA8" w14:textId="7EF74FA2" w:rsidR="0067625C" w:rsidRPr="00324CF1" w:rsidRDefault="00ED47F8" w:rsidP="00FB5A91">
      <w:pPr>
        <w:pStyle w:val="Paragraphe"/>
        <w:spacing w:line="240" w:lineRule="auto"/>
        <w:rPr>
          <w:lang w:val="en-US"/>
        </w:rPr>
      </w:pPr>
      <w:r w:rsidRPr="00324CF1">
        <w:rPr>
          <w:lang w:val="en-CA"/>
        </w:rPr>
        <w:t xml:space="preserve">On September 14, 2015, an arbitral tribunal constituted under the aegis of the International Chamber of Commerce’s Court of Arbitration rejected the defence of force majeure raised </w:t>
      </w:r>
      <w:r w:rsidR="00E81F10">
        <w:rPr>
          <w:lang w:val="en-CA"/>
        </w:rPr>
        <w:t>in</w:t>
      </w:r>
      <w:r w:rsidR="00E81F10" w:rsidRPr="00324CF1">
        <w:rPr>
          <w:lang w:val="en-CA"/>
        </w:rPr>
        <w:t xml:space="preserve"> </w:t>
      </w:r>
      <w:r w:rsidRPr="00324CF1">
        <w:rPr>
          <w:lang w:val="en-CA"/>
        </w:rPr>
        <w:t>the Antrix Arbitration and ordered Antrix to pay Devas damages of US</w:t>
      </w:r>
      <w:r w:rsidR="00E81F10">
        <w:rPr>
          <w:lang w:val="en-CA"/>
        </w:rPr>
        <w:t>$</w:t>
      </w:r>
      <w:r w:rsidRPr="00324CF1">
        <w:rPr>
          <w:lang w:val="en-CA"/>
        </w:rPr>
        <w:t>562.5 million, with an annual interest rate of 18% (“</w:t>
      </w:r>
      <w:r w:rsidRPr="00324CF1">
        <w:rPr>
          <w:b/>
          <w:bCs/>
          <w:lang w:val="en-CA"/>
        </w:rPr>
        <w:t>ICC Award</w:t>
      </w:r>
      <w:r w:rsidRPr="00324CF1">
        <w:rPr>
          <w:lang w:val="en-CA"/>
        </w:rPr>
        <w:t>”).</w:t>
      </w:r>
      <w:r w:rsidRPr="00324CF1">
        <w:rPr>
          <w:rStyle w:val="Appelnotedebasdep"/>
          <w:lang w:val="en-CA"/>
        </w:rPr>
        <w:footnoteReference w:id="6"/>
      </w:r>
      <w:r w:rsidRPr="00324CF1">
        <w:rPr>
          <w:lang w:val="en-CA"/>
        </w:rPr>
        <w:t xml:space="preserve"> </w:t>
      </w:r>
    </w:p>
    <w:p w14:paraId="640BEA1A" w14:textId="156326F9" w:rsidR="0067625C" w:rsidRPr="00324CF1" w:rsidRDefault="00ED47F8" w:rsidP="00FB5A91">
      <w:pPr>
        <w:pStyle w:val="Paragraphe"/>
        <w:spacing w:line="240" w:lineRule="auto"/>
        <w:rPr>
          <w:lang w:val="en-US"/>
        </w:rPr>
      </w:pPr>
      <w:r w:rsidRPr="00324CF1">
        <w:rPr>
          <w:lang w:val="en-CA"/>
        </w:rPr>
        <w:t>On July 25, 2016, as part of the India Arbitration, a tribunal constituted under the aegis of the PCA (“</w:t>
      </w:r>
      <w:r w:rsidRPr="00324CF1">
        <w:rPr>
          <w:b/>
          <w:bCs/>
          <w:lang w:val="en-CA"/>
        </w:rPr>
        <w:t>PCA Arbitral Tribunal</w:t>
      </w:r>
      <w:r w:rsidRPr="00324CF1">
        <w:rPr>
          <w:lang w:val="en-CA"/>
        </w:rPr>
        <w:t>”) determined that India was liable for illegal</w:t>
      </w:r>
      <w:r w:rsidR="00EF421F">
        <w:rPr>
          <w:lang w:val="en-CA"/>
        </w:rPr>
        <w:t>ly</w:t>
      </w:r>
      <w:r w:rsidRPr="00324CF1">
        <w:rPr>
          <w:lang w:val="en-CA"/>
        </w:rPr>
        <w:t xml:space="preserve"> expropriati</w:t>
      </w:r>
      <w:r w:rsidR="00EF421F">
        <w:rPr>
          <w:lang w:val="en-CA"/>
        </w:rPr>
        <w:t>ng</w:t>
      </w:r>
      <w:r w:rsidRPr="00324CF1">
        <w:rPr>
          <w:lang w:val="en-CA"/>
        </w:rPr>
        <w:t xml:space="preserve"> Devas and </w:t>
      </w:r>
      <w:r w:rsidR="00EF421F">
        <w:rPr>
          <w:lang w:val="en-CA"/>
        </w:rPr>
        <w:t>violating</w:t>
      </w:r>
      <w:r w:rsidRPr="00324CF1">
        <w:rPr>
          <w:lang w:val="en-CA"/>
        </w:rPr>
        <w:t xml:space="preserve"> its obligation </w:t>
      </w:r>
      <w:r w:rsidR="00E42404">
        <w:rPr>
          <w:lang w:val="en-CA"/>
        </w:rPr>
        <w:t>of fair</w:t>
      </w:r>
      <w:r w:rsidRPr="00324CF1">
        <w:rPr>
          <w:lang w:val="en-CA"/>
        </w:rPr>
        <w:t xml:space="preserve"> treatment.</w:t>
      </w:r>
      <w:r w:rsidRPr="00324CF1">
        <w:rPr>
          <w:rStyle w:val="Appelnotedebasdep"/>
          <w:lang w:val="en-CA"/>
        </w:rPr>
        <w:footnoteReference w:id="7"/>
      </w:r>
    </w:p>
    <w:p w14:paraId="3820D5D1" w14:textId="39E5E812" w:rsidR="0067625C" w:rsidRPr="00324CF1" w:rsidRDefault="00ED47F8" w:rsidP="00FB5A91">
      <w:pPr>
        <w:pStyle w:val="Paragraphe"/>
        <w:spacing w:line="240" w:lineRule="auto"/>
        <w:rPr>
          <w:lang w:val="en-US"/>
        </w:rPr>
      </w:pPr>
      <w:r w:rsidRPr="00324CF1">
        <w:rPr>
          <w:lang w:val="en-CA"/>
        </w:rPr>
        <w:lastRenderedPageBreak/>
        <w:t>As of th</w:t>
      </w:r>
      <w:r w:rsidR="00A67978">
        <w:rPr>
          <w:lang w:val="en-CA"/>
        </w:rPr>
        <w:t>at</w:t>
      </w:r>
      <w:r w:rsidRPr="00324CF1">
        <w:rPr>
          <w:lang w:val="en-CA"/>
        </w:rPr>
        <w:t xml:space="preserve"> date, numerous claims </w:t>
      </w:r>
      <w:r w:rsidR="00A67978">
        <w:rPr>
          <w:lang w:val="en-CA"/>
        </w:rPr>
        <w:t>were</w:t>
      </w:r>
      <w:r w:rsidRPr="00324CF1">
        <w:rPr>
          <w:lang w:val="en-CA"/>
        </w:rPr>
        <w:t xml:space="preserve"> made on both sides before the courts of various jurisdictions to contest and/or have this award recognized and enforced. India also undert</w:t>
      </w:r>
      <w:r w:rsidR="00A67978">
        <w:rPr>
          <w:lang w:val="en-CA"/>
        </w:rPr>
        <w:t>ook</w:t>
      </w:r>
      <w:r w:rsidRPr="00324CF1">
        <w:rPr>
          <w:lang w:val="en-CA"/>
        </w:rPr>
        <w:t xml:space="preserve"> criminal proceedings against some Indian government officials and Devas representatives, accusing them of violating </w:t>
      </w:r>
      <w:r w:rsidR="00A67978">
        <w:rPr>
          <w:lang w:val="en-CA"/>
        </w:rPr>
        <w:t xml:space="preserve">some of the </w:t>
      </w:r>
      <w:r w:rsidRPr="00324CF1">
        <w:rPr>
          <w:lang w:val="en-CA"/>
        </w:rPr>
        <w:t>mandatory rules of the Devas Agreement.</w:t>
      </w:r>
    </w:p>
    <w:p w14:paraId="5EB77BC1" w14:textId="08659E23" w:rsidR="0067625C" w:rsidRPr="00324CF1" w:rsidRDefault="00ED47F8" w:rsidP="00FB5A91">
      <w:pPr>
        <w:pStyle w:val="Paragraphe"/>
        <w:spacing w:line="240" w:lineRule="auto"/>
        <w:rPr>
          <w:lang w:val="en-US"/>
        </w:rPr>
      </w:pPr>
      <w:r w:rsidRPr="00324CF1">
        <w:rPr>
          <w:lang w:val="en-CA"/>
        </w:rPr>
        <w:t>On October 27, 2016, India filed an application with The Hague District Court to have the Award</w:t>
      </w:r>
      <w:r w:rsidR="00144D4F">
        <w:rPr>
          <w:lang w:val="en-CA"/>
        </w:rPr>
        <w:t xml:space="preserve"> on the </w:t>
      </w:r>
      <w:r w:rsidR="000C745D">
        <w:rPr>
          <w:lang w:val="en-CA"/>
        </w:rPr>
        <w:t>M</w:t>
      </w:r>
      <w:r w:rsidR="00144D4F">
        <w:rPr>
          <w:lang w:val="en-CA"/>
        </w:rPr>
        <w:t>erits</w:t>
      </w:r>
      <w:r w:rsidRPr="00324CF1">
        <w:rPr>
          <w:lang w:val="en-CA"/>
        </w:rPr>
        <w:t xml:space="preserve"> set aside on the ground</w:t>
      </w:r>
      <w:r w:rsidR="00A67978">
        <w:rPr>
          <w:lang w:val="en-CA"/>
        </w:rPr>
        <w:t>s</w:t>
      </w:r>
      <w:r w:rsidRPr="00324CF1">
        <w:rPr>
          <w:lang w:val="en-CA"/>
        </w:rPr>
        <w:t xml:space="preserve"> that the arbitral tribunal </w:t>
      </w:r>
      <w:r w:rsidR="00A67978">
        <w:rPr>
          <w:lang w:val="en-CA"/>
        </w:rPr>
        <w:t>had no</w:t>
      </w:r>
      <w:r w:rsidRPr="00324CF1">
        <w:rPr>
          <w:lang w:val="en-CA"/>
        </w:rPr>
        <w:t xml:space="preserve"> jurisdiction over it and that it </w:t>
      </w:r>
      <w:r w:rsidR="00A67978">
        <w:rPr>
          <w:lang w:val="en-CA"/>
        </w:rPr>
        <w:t xml:space="preserve">had </w:t>
      </w:r>
      <w:r w:rsidRPr="00324CF1">
        <w:rPr>
          <w:lang w:val="en-CA"/>
        </w:rPr>
        <w:t>violated its right to be heard.</w:t>
      </w:r>
    </w:p>
    <w:p w14:paraId="40138A3B" w14:textId="6F2C9036" w:rsidR="0067625C" w:rsidRPr="00324CF1" w:rsidRDefault="00ED47F8" w:rsidP="00FB5A91">
      <w:pPr>
        <w:pStyle w:val="Paragraphe"/>
        <w:spacing w:line="240" w:lineRule="auto"/>
        <w:rPr>
          <w:lang w:val="en-US"/>
        </w:rPr>
      </w:pPr>
      <w:r w:rsidRPr="00324CF1">
        <w:rPr>
          <w:lang w:val="en-CA"/>
        </w:rPr>
        <w:t>On December 21, 2016, the PCA Arbitral Tribunal dismissed</w:t>
      </w:r>
      <w:r w:rsidR="00EC37C0">
        <w:rPr>
          <w:lang w:val="en-CA"/>
        </w:rPr>
        <w:t>, on an interim basis,</w:t>
      </w:r>
      <w:r w:rsidRPr="00324CF1">
        <w:rPr>
          <w:lang w:val="en-CA"/>
        </w:rPr>
        <w:t xml:space="preserve"> an application from India to suspend the quantum determination process </w:t>
      </w:r>
      <w:r w:rsidR="00EC37C0">
        <w:rPr>
          <w:lang w:val="en-CA"/>
        </w:rPr>
        <w:t>in</w:t>
      </w:r>
      <w:r w:rsidR="00EC37C0" w:rsidRPr="00324CF1">
        <w:rPr>
          <w:lang w:val="en-CA"/>
        </w:rPr>
        <w:t xml:space="preserve"> </w:t>
      </w:r>
      <w:r w:rsidRPr="00324CF1">
        <w:rPr>
          <w:lang w:val="en-CA"/>
        </w:rPr>
        <w:t xml:space="preserve">the India Arbitration because of allegations of fraud </w:t>
      </w:r>
      <w:r w:rsidR="00EC37C0">
        <w:rPr>
          <w:lang w:val="en-CA"/>
        </w:rPr>
        <w:t xml:space="preserve">still to be decided by </w:t>
      </w:r>
      <w:r w:rsidRPr="00324CF1">
        <w:rPr>
          <w:lang w:val="en-CA"/>
        </w:rPr>
        <w:t>the Indian courts</w:t>
      </w:r>
      <w:r w:rsidR="000C745D">
        <w:rPr>
          <w:lang w:val="en-CA"/>
        </w:rPr>
        <w:t>. It</w:t>
      </w:r>
      <w:r w:rsidRPr="00324CF1">
        <w:rPr>
          <w:lang w:val="en-CA"/>
        </w:rPr>
        <w:t xml:space="preserve"> </w:t>
      </w:r>
      <w:r w:rsidR="00EC37C0">
        <w:rPr>
          <w:lang w:val="en-CA"/>
        </w:rPr>
        <w:t>f</w:t>
      </w:r>
      <w:r w:rsidR="000C745D">
        <w:rPr>
          <w:lang w:val="en-CA"/>
        </w:rPr>
        <w:t>ound</w:t>
      </w:r>
      <w:r w:rsidRPr="00324CF1">
        <w:rPr>
          <w:lang w:val="en-CA"/>
        </w:rPr>
        <w:t xml:space="preserve"> that the allegations of fraud were directed at Devas and not its investors and that there was no evidence to support the idea of fraudulent behaviour on the part of the investors.</w:t>
      </w:r>
      <w:bookmarkStart w:id="21" w:name="_Ref182564713"/>
      <w:r w:rsidRPr="00324CF1">
        <w:rPr>
          <w:rStyle w:val="Appelnotedebasdep"/>
          <w:lang w:val="en-CA"/>
        </w:rPr>
        <w:footnoteReference w:id="8"/>
      </w:r>
      <w:bookmarkEnd w:id="21"/>
    </w:p>
    <w:p w14:paraId="48AAE195" w14:textId="34028FA9" w:rsidR="0067625C" w:rsidRPr="00324CF1" w:rsidRDefault="00ED47F8" w:rsidP="00FB5A91">
      <w:pPr>
        <w:pStyle w:val="Paragraphe"/>
        <w:spacing w:line="240" w:lineRule="auto"/>
        <w:rPr>
          <w:lang w:val="en-US"/>
        </w:rPr>
      </w:pPr>
      <w:r w:rsidRPr="00324CF1">
        <w:rPr>
          <w:lang w:val="en-CA"/>
        </w:rPr>
        <w:t>On December 13, 2017, as part of another arbitration, this time between India and Deutsche Telekom AG (“</w:t>
      </w:r>
      <w:r w:rsidRPr="00324CF1">
        <w:rPr>
          <w:b/>
          <w:bCs/>
          <w:lang w:val="en-CA"/>
        </w:rPr>
        <w:t>Telekom Arbitration</w:t>
      </w:r>
      <w:r w:rsidRPr="00324CF1">
        <w:rPr>
          <w:lang w:val="en-CA"/>
        </w:rPr>
        <w:t xml:space="preserve">”) </w:t>
      </w:r>
      <w:r w:rsidR="006A06D8">
        <w:rPr>
          <w:lang w:val="en-CA"/>
        </w:rPr>
        <w:t>concerning</w:t>
      </w:r>
      <w:r w:rsidRPr="00324CF1">
        <w:rPr>
          <w:lang w:val="en-CA"/>
        </w:rPr>
        <w:t xml:space="preserve"> an entirely different transaction, India was found liable of breaching its obligation </w:t>
      </w:r>
      <w:r w:rsidR="006A06D8">
        <w:rPr>
          <w:lang w:val="en-CA"/>
        </w:rPr>
        <w:t>of</w:t>
      </w:r>
      <w:r w:rsidRPr="00324CF1">
        <w:rPr>
          <w:lang w:val="en-CA"/>
        </w:rPr>
        <w:t xml:space="preserve"> fair and equitable treatment under the bilateral investment treaty it had entered into with Germany.</w:t>
      </w:r>
      <w:r w:rsidRPr="00324CF1">
        <w:rPr>
          <w:rStyle w:val="Appelnotedebasdep"/>
          <w:lang w:val="en-CA"/>
        </w:rPr>
        <w:footnoteReference w:id="9"/>
      </w:r>
    </w:p>
    <w:p w14:paraId="5E9CFD66" w14:textId="0AD32B05" w:rsidR="00251CC4" w:rsidRPr="00324CF1" w:rsidRDefault="00ED47F8" w:rsidP="00FB5A91">
      <w:pPr>
        <w:pStyle w:val="Paragraphe"/>
        <w:spacing w:line="240" w:lineRule="auto"/>
        <w:rPr>
          <w:lang w:val="en-US"/>
        </w:rPr>
      </w:pPr>
      <w:r w:rsidRPr="00324CF1">
        <w:rPr>
          <w:lang w:val="en-CA"/>
        </w:rPr>
        <w:t>On November 14, 2018, The Hague District Court dismissed the application to have the Award</w:t>
      </w:r>
      <w:r w:rsidR="00144D4F">
        <w:rPr>
          <w:lang w:val="en-CA"/>
        </w:rPr>
        <w:t xml:space="preserve"> on the </w:t>
      </w:r>
      <w:r w:rsidR="000C745D">
        <w:rPr>
          <w:lang w:val="en-CA"/>
        </w:rPr>
        <w:t>M</w:t>
      </w:r>
      <w:r w:rsidR="00144D4F">
        <w:rPr>
          <w:lang w:val="en-CA"/>
        </w:rPr>
        <w:t>erits</w:t>
      </w:r>
      <w:r w:rsidRPr="00324CF1">
        <w:rPr>
          <w:lang w:val="en-CA"/>
        </w:rPr>
        <w:t xml:space="preserve"> set aside. On February 12, 2019, India appealed before </w:t>
      </w:r>
      <w:r w:rsidR="00331CB3">
        <w:rPr>
          <w:lang w:val="en-CA"/>
        </w:rPr>
        <w:t>T</w:t>
      </w:r>
      <w:r w:rsidRPr="00324CF1">
        <w:rPr>
          <w:lang w:val="en-CA"/>
        </w:rPr>
        <w:t xml:space="preserve">he Hague Court of Appeal, which dismissed </w:t>
      </w:r>
      <w:r w:rsidR="000C745D">
        <w:rPr>
          <w:lang w:val="en-CA"/>
        </w:rPr>
        <w:t>that appeal</w:t>
      </w:r>
      <w:r w:rsidRPr="00324CF1">
        <w:rPr>
          <w:lang w:val="en-CA"/>
        </w:rPr>
        <w:t xml:space="preserve"> in a judgment rendered on February 16, 2021.</w:t>
      </w:r>
      <w:bookmarkStart w:id="23" w:name="_Ref174453408"/>
      <w:r w:rsidRPr="00324CF1">
        <w:rPr>
          <w:rStyle w:val="Appelnotedebasdep"/>
          <w:lang w:val="en-CA"/>
        </w:rPr>
        <w:footnoteReference w:id="10"/>
      </w:r>
      <w:bookmarkEnd w:id="23"/>
    </w:p>
    <w:p w14:paraId="47B21DF4" w14:textId="68D80195" w:rsidR="00CD79F7" w:rsidRPr="00324CF1" w:rsidRDefault="00ED47F8" w:rsidP="00FB5A91">
      <w:pPr>
        <w:pStyle w:val="Paragraphe"/>
        <w:spacing w:line="240" w:lineRule="auto"/>
        <w:rPr>
          <w:lang w:val="en-US"/>
        </w:rPr>
      </w:pPr>
      <w:r w:rsidRPr="00324CF1">
        <w:rPr>
          <w:lang w:val="en-CA"/>
        </w:rPr>
        <w:t>Meanwhile, on May 25, 2020, a</w:t>
      </w:r>
      <w:r w:rsidR="00956C37">
        <w:rPr>
          <w:lang w:val="en-CA"/>
        </w:rPr>
        <w:t>n</w:t>
      </w:r>
      <w:r w:rsidRPr="00324CF1">
        <w:rPr>
          <w:lang w:val="en-CA"/>
        </w:rPr>
        <w:t xml:space="preserve"> award</w:t>
      </w:r>
      <w:r w:rsidR="00956C37">
        <w:rPr>
          <w:lang w:val="en-CA"/>
        </w:rPr>
        <w:t xml:space="preserve"> on the quantum</w:t>
      </w:r>
      <w:r w:rsidRPr="00324CF1">
        <w:rPr>
          <w:lang w:val="en-CA"/>
        </w:rPr>
        <w:t xml:space="preserve"> was rendered in the Telekom Arbitration in Germany. This award ordered India to pay US</w:t>
      </w:r>
      <w:r w:rsidR="00956C37">
        <w:rPr>
          <w:lang w:val="en-CA"/>
        </w:rPr>
        <w:t>$</w:t>
      </w:r>
      <w:r w:rsidRPr="00324CF1">
        <w:rPr>
          <w:lang w:val="en-CA"/>
        </w:rPr>
        <w:t>93.3 million and arbitration costs.</w:t>
      </w:r>
      <w:r w:rsidRPr="00324CF1">
        <w:rPr>
          <w:rStyle w:val="Appelnotedebasdep"/>
          <w:lang w:val="en-CA"/>
        </w:rPr>
        <w:footnoteReference w:id="11"/>
      </w:r>
    </w:p>
    <w:p w14:paraId="1733E2B3" w14:textId="4D8D0D34" w:rsidR="00CD79F7" w:rsidRPr="00324CF1" w:rsidRDefault="00ED47F8" w:rsidP="00FB5A91">
      <w:pPr>
        <w:pStyle w:val="Paragraphe"/>
        <w:spacing w:line="240" w:lineRule="auto"/>
        <w:rPr>
          <w:lang w:val="en-US"/>
        </w:rPr>
      </w:pPr>
      <w:r w:rsidRPr="00324CF1">
        <w:rPr>
          <w:lang w:val="en-CA"/>
        </w:rPr>
        <w:t>On October 13, 2020, India was also ordered to pay the Devas Investors and Shareholders US</w:t>
      </w:r>
      <w:r w:rsidR="00984815">
        <w:rPr>
          <w:lang w:val="en-CA"/>
        </w:rPr>
        <w:t>$</w:t>
      </w:r>
      <w:r w:rsidRPr="00324CF1">
        <w:rPr>
          <w:lang w:val="en-CA"/>
        </w:rPr>
        <w:t xml:space="preserve">111 million in damages to compensate for the </w:t>
      </w:r>
      <w:r w:rsidR="004977CF">
        <w:rPr>
          <w:lang w:val="en-CA"/>
        </w:rPr>
        <w:t>unlawful</w:t>
      </w:r>
      <w:r w:rsidR="004977CF" w:rsidRPr="00324CF1">
        <w:rPr>
          <w:lang w:val="en-CA"/>
        </w:rPr>
        <w:t xml:space="preserve"> </w:t>
      </w:r>
      <w:r w:rsidRPr="00324CF1">
        <w:rPr>
          <w:lang w:val="en-CA"/>
        </w:rPr>
        <w:t>and unjustified expropriation of 40% of their investments in th</w:t>
      </w:r>
      <w:r w:rsidR="004977CF">
        <w:rPr>
          <w:lang w:val="en-CA"/>
        </w:rPr>
        <w:t>at</w:t>
      </w:r>
      <w:r w:rsidRPr="00324CF1">
        <w:rPr>
          <w:lang w:val="en-CA"/>
        </w:rPr>
        <w:t xml:space="preserve"> </w:t>
      </w:r>
      <w:r w:rsidR="000C745D">
        <w:rPr>
          <w:lang w:val="en-CA"/>
        </w:rPr>
        <w:t>s</w:t>
      </w:r>
      <w:r w:rsidRPr="00324CF1">
        <w:rPr>
          <w:lang w:val="en-CA"/>
        </w:rPr>
        <w:t>tate.</w:t>
      </w:r>
      <w:r w:rsidRPr="00324CF1">
        <w:rPr>
          <w:rStyle w:val="Appelnotedebasdep"/>
          <w:lang w:val="en-CA"/>
        </w:rPr>
        <w:footnoteReference w:id="12"/>
      </w:r>
    </w:p>
    <w:p w14:paraId="3C8CA453" w14:textId="374075B5" w:rsidR="002C1600" w:rsidRPr="00324CF1" w:rsidRDefault="00A85618" w:rsidP="00FB5A91">
      <w:pPr>
        <w:pStyle w:val="Paragraphe"/>
        <w:spacing w:line="240" w:lineRule="auto"/>
        <w:rPr>
          <w:lang w:val="en-US"/>
        </w:rPr>
      </w:pPr>
      <w:r>
        <w:rPr>
          <w:lang w:val="en-CA"/>
        </w:rPr>
        <w:lastRenderedPageBreak/>
        <w:t>Contemporaneously</w:t>
      </w:r>
      <w:r w:rsidR="00ED47F8" w:rsidRPr="00324CF1">
        <w:rPr>
          <w:lang w:val="en-CA"/>
        </w:rPr>
        <w:t xml:space="preserve">, Devas and certain members of its board of directors were accused of additional financial crimes and were </w:t>
      </w:r>
      <w:r w:rsidR="004977CF">
        <w:rPr>
          <w:lang w:val="en-CA"/>
        </w:rPr>
        <w:t>condemned</w:t>
      </w:r>
      <w:r w:rsidR="004977CF" w:rsidRPr="00324CF1">
        <w:rPr>
          <w:lang w:val="en-CA"/>
        </w:rPr>
        <w:t xml:space="preserve"> </w:t>
      </w:r>
      <w:r w:rsidR="00ED47F8" w:rsidRPr="00324CF1">
        <w:rPr>
          <w:lang w:val="en-CA"/>
        </w:rPr>
        <w:t xml:space="preserve">to pay significant sums. </w:t>
      </w:r>
    </w:p>
    <w:p w14:paraId="7A88DFF0" w14:textId="78B5B12F" w:rsidR="0067625C" w:rsidRPr="00324CF1" w:rsidRDefault="00ED47F8" w:rsidP="00FB5A91">
      <w:pPr>
        <w:pStyle w:val="Paragraphe"/>
        <w:spacing w:line="240" w:lineRule="auto"/>
        <w:rPr>
          <w:lang w:val="en-US"/>
        </w:rPr>
      </w:pPr>
      <w:r w:rsidRPr="00324CF1">
        <w:rPr>
          <w:lang w:val="en-CA"/>
        </w:rPr>
        <w:t>On November 4, 2020, the Supreme Court of India (“</w:t>
      </w:r>
      <w:r w:rsidRPr="00324CF1">
        <w:rPr>
          <w:b/>
          <w:bCs/>
          <w:lang w:val="en-CA"/>
        </w:rPr>
        <w:t>SCI</w:t>
      </w:r>
      <w:r w:rsidRPr="00324CF1">
        <w:rPr>
          <w:lang w:val="en-CA"/>
        </w:rPr>
        <w:t xml:space="preserve">”) </w:t>
      </w:r>
      <w:r w:rsidR="00572897">
        <w:rPr>
          <w:lang w:val="en-CA"/>
        </w:rPr>
        <w:t>examined</w:t>
      </w:r>
      <w:r w:rsidR="00572897" w:rsidRPr="00324CF1">
        <w:rPr>
          <w:lang w:val="en-CA"/>
        </w:rPr>
        <w:t xml:space="preserve"> </w:t>
      </w:r>
      <w:r w:rsidRPr="00324CF1">
        <w:rPr>
          <w:lang w:val="en-CA"/>
        </w:rPr>
        <w:t xml:space="preserve">the territorial jurisdiction of the Indian courts </w:t>
      </w:r>
      <w:r w:rsidR="00572897">
        <w:rPr>
          <w:lang w:val="en-CA"/>
        </w:rPr>
        <w:t>seized</w:t>
      </w:r>
      <w:r w:rsidRPr="00324CF1">
        <w:rPr>
          <w:lang w:val="en-CA"/>
        </w:rPr>
        <w:t xml:space="preserve"> of the appeals brought by the parties in response to the ICC Award. It suspended the </w:t>
      </w:r>
      <w:r w:rsidR="00572897">
        <w:rPr>
          <w:lang w:val="en-CA"/>
        </w:rPr>
        <w:t>application</w:t>
      </w:r>
      <w:r w:rsidR="00572897" w:rsidRPr="00324CF1">
        <w:rPr>
          <w:lang w:val="en-CA"/>
        </w:rPr>
        <w:t xml:space="preserve"> </w:t>
      </w:r>
      <w:r w:rsidRPr="00324CF1">
        <w:rPr>
          <w:lang w:val="en-CA"/>
        </w:rPr>
        <w:t>of this award pending a judgment on the grounds raised.</w:t>
      </w:r>
      <w:bookmarkStart w:id="24" w:name="_Ref174460936"/>
      <w:r w:rsidRPr="00324CF1">
        <w:rPr>
          <w:rStyle w:val="Appelnotedebasdep"/>
          <w:lang w:val="en-CA"/>
        </w:rPr>
        <w:footnoteReference w:id="13"/>
      </w:r>
      <w:bookmarkEnd w:id="24"/>
      <w:r w:rsidRPr="00324CF1">
        <w:rPr>
          <w:lang w:val="en-CA"/>
        </w:rPr>
        <w:t xml:space="preserve"> Th</w:t>
      </w:r>
      <w:r w:rsidR="00ED36B4">
        <w:rPr>
          <w:lang w:val="en-CA"/>
        </w:rPr>
        <w:t>at</w:t>
      </w:r>
      <w:r w:rsidRPr="00324CF1">
        <w:rPr>
          <w:lang w:val="en-CA"/>
        </w:rPr>
        <w:t xml:space="preserve"> same day,</w:t>
      </w:r>
      <w:r w:rsidR="00572897">
        <w:rPr>
          <w:lang w:val="en-CA"/>
        </w:rPr>
        <w:t xml:space="preserve"> </w:t>
      </w:r>
      <w:r w:rsidR="00017BB6">
        <w:rPr>
          <w:lang w:val="en-CA"/>
        </w:rPr>
        <w:t xml:space="preserve">passed </w:t>
      </w:r>
      <w:r w:rsidR="00572897">
        <w:rPr>
          <w:lang w:val="en-CA"/>
        </w:rPr>
        <w:t>by order</w:t>
      </w:r>
      <w:r w:rsidR="00017BB6">
        <w:rPr>
          <w:lang w:val="en-CA"/>
        </w:rPr>
        <w:t xml:space="preserve"> </w:t>
      </w:r>
      <w:r w:rsidR="00572897">
        <w:rPr>
          <w:lang w:val="en-CA"/>
        </w:rPr>
        <w:t>in</w:t>
      </w:r>
      <w:r w:rsidR="00017BB6">
        <w:rPr>
          <w:lang w:val="en-CA"/>
        </w:rPr>
        <w:t xml:space="preserve"> </w:t>
      </w:r>
      <w:r w:rsidR="00572897">
        <w:rPr>
          <w:lang w:val="en-CA"/>
        </w:rPr>
        <w:t>council,</w:t>
      </w:r>
      <w:r w:rsidRPr="00324CF1">
        <w:rPr>
          <w:lang w:val="en-CA"/>
        </w:rPr>
        <w:t xml:space="preserve"> India amended the </w:t>
      </w:r>
      <w:r w:rsidRPr="00324CF1">
        <w:rPr>
          <w:i/>
          <w:iCs/>
          <w:lang w:val="en-CA"/>
        </w:rPr>
        <w:t>Arbitration and Conciliation Act</w:t>
      </w:r>
      <w:r w:rsidRPr="00324CF1">
        <w:rPr>
          <w:lang w:val="en-CA"/>
        </w:rPr>
        <w:t xml:space="preserve">, </w:t>
      </w:r>
      <w:r w:rsidRPr="00324CF1">
        <w:rPr>
          <w:i/>
          <w:iCs/>
          <w:lang w:val="en-CA"/>
        </w:rPr>
        <w:t>1996</w:t>
      </w:r>
      <w:r w:rsidRPr="00324CF1">
        <w:rPr>
          <w:lang w:val="en-CA"/>
        </w:rPr>
        <w:t xml:space="preserve"> to </w:t>
      </w:r>
      <w:r w:rsidR="00017BB6">
        <w:rPr>
          <w:lang w:val="en-CA"/>
        </w:rPr>
        <w:t>compel</w:t>
      </w:r>
      <w:r w:rsidR="00017BB6" w:rsidRPr="00324CF1">
        <w:rPr>
          <w:lang w:val="en-CA"/>
        </w:rPr>
        <w:t xml:space="preserve"> </w:t>
      </w:r>
      <w:r w:rsidRPr="00324CF1">
        <w:rPr>
          <w:lang w:val="en-CA"/>
        </w:rPr>
        <w:t xml:space="preserve">the court to suspend arbitral awards when it is of the opinion, on a </w:t>
      </w:r>
      <w:r w:rsidRPr="00324CF1">
        <w:rPr>
          <w:i/>
          <w:iCs/>
          <w:lang w:val="en-CA"/>
        </w:rPr>
        <w:t xml:space="preserve">prima facie </w:t>
      </w:r>
      <w:r w:rsidRPr="00324CF1">
        <w:rPr>
          <w:lang w:val="en-CA"/>
        </w:rPr>
        <w:t xml:space="preserve">basis, that the contract that is the subject of the judgment or the decision-making process </w:t>
      </w:r>
      <w:r w:rsidR="00017BB6">
        <w:rPr>
          <w:lang w:val="en-CA"/>
        </w:rPr>
        <w:t>are</w:t>
      </w:r>
      <w:r w:rsidRPr="00324CF1">
        <w:rPr>
          <w:lang w:val="en-CA"/>
        </w:rPr>
        <w:t xml:space="preserve"> tainted by fraud or corruption.</w:t>
      </w:r>
      <w:r w:rsidRPr="00324CF1">
        <w:rPr>
          <w:rStyle w:val="Appelnotedebasdep"/>
          <w:lang w:val="en-CA"/>
        </w:rPr>
        <w:footnoteReference w:id="14"/>
      </w:r>
    </w:p>
    <w:p w14:paraId="7003E795" w14:textId="48B7E379" w:rsidR="0067625C" w:rsidRPr="00324CF1" w:rsidRDefault="00ED47F8" w:rsidP="00FB5A91">
      <w:pPr>
        <w:pStyle w:val="Paragraphe"/>
        <w:spacing w:line="240" w:lineRule="auto"/>
        <w:rPr>
          <w:lang w:val="en-US"/>
        </w:rPr>
      </w:pPr>
      <w:r w:rsidRPr="00324CF1">
        <w:rPr>
          <w:lang w:val="en-CA"/>
        </w:rPr>
        <w:t xml:space="preserve">On January 18, 2021, India’s Ministry of Corporate Affairs authorized Antrix to </w:t>
      </w:r>
      <w:r w:rsidR="007F4501">
        <w:rPr>
          <w:lang w:val="en-CA"/>
        </w:rPr>
        <w:t>begin</w:t>
      </w:r>
      <w:r w:rsidR="007F4501" w:rsidRPr="00324CF1">
        <w:rPr>
          <w:lang w:val="en-CA"/>
        </w:rPr>
        <w:t xml:space="preserve"> </w:t>
      </w:r>
      <w:r w:rsidRPr="00324CF1">
        <w:rPr>
          <w:lang w:val="en-CA"/>
        </w:rPr>
        <w:t>dissolution and liquidation proceedings against Devas. On January 18, 2021, Antrix filed a petition</w:t>
      </w:r>
      <w:r w:rsidR="007F4501">
        <w:rPr>
          <w:lang w:val="en-CA"/>
        </w:rPr>
        <w:t xml:space="preserve"> to </w:t>
      </w:r>
      <w:r w:rsidR="002637EF">
        <w:rPr>
          <w:lang w:val="en-CA"/>
        </w:rPr>
        <w:t>do so</w:t>
      </w:r>
      <w:r w:rsidRPr="00324CF1">
        <w:rPr>
          <w:lang w:val="en-CA"/>
        </w:rPr>
        <w:t xml:space="preserve"> before the National Company Law Tribunal (“</w:t>
      </w:r>
      <w:r w:rsidRPr="00324CF1">
        <w:rPr>
          <w:b/>
          <w:bCs/>
          <w:lang w:val="en-CA"/>
        </w:rPr>
        <w:t>NCLT</w:t>
      </w:r>
      <w:r w:rsidRPr="00324CF1">
        <w:rPr>
          <w:lang w:val="en-CA"/>
        </w:rPr>
        <w:t xml:space="preserve">”), which ordered the suspension of Devas’s executive committee the next day and appointed a provisional liquidator reporting to the </w:t>
      </w:r>
      <w:bookmarkStart w:id="25" w:name="_Ref174461221"/>
      <w:r w:rsidRPr="00324CF1">
        <w:rPr>
          <w:lang w:val="en-CA"/>
        </w:rPr>
        <w:t>Indian Ministry of Corporate Affairs.</w:t>
      </w:r>
      <w:r w:rsidRPr="00324CF1">
        <w:rPr>
          <w:rStyle w:val="Appelnotedebasdep"/>
          <w:lang w:val="en-CA"/>
        </w:rPr>
        <w:footnoteReference w:id="15"/>
      </w:r>
      <w:bookmarkEnd w:id="25"/>
      <w:r w:rsidRPr="00324CF1">
        <w:rPr>
          <w:lang w:val="en-CA"/>
        </w:rPr>
        <w:t xml:space="preserve"> In the following days, th</w:t>
      </w:r>
      <w:r w:rsidR="007F4501">
        <w:rPr>
          <w:lang w:val="en-CA"/>
        </w:rPr>
        <w:t>is</w:t>
      </w:r>
      <w:r w:rsidRPr="00324CF1">
        <w:rPr>
          <w:lang w:val="en-CA"/>
        </w:rPr>
        <w:t xml:space="preserve"> liquidator </w:t>
      </w:r>
      <w:r w:rsidR="007F4501">
        <w:rPr>
          <w:lang w:val="en-CA"/>
        </w:rPr>
        <w:t>withdrew from</w:t>
      </w:r>
      <w:r w:rsidR="007F4501" w:rsidRPr="00324CF1">
        <w:rPr>
          <w:lang w:val="en-CA"/>
        </w:rPr>
        <w:t xml:space="preserve"> </w:t>
      </w:r>
      <w:r w:rsidRPr="00324CF1">
        <w:rPr>
          <w:lang w:val="en-CA"/>
        </w:rPr>
        <w:t xml:space="preserve">all attorneys acting on behalf of Devas their mandate to act in the various international </w:t>
      </w:r>
      <w:r w:rsidR="007F4501">
        <w:rPr>
          <w:lang w:val="en-CA"/>
        </w:rPr>
        <w:t>proceedings for the</w:t>
      </w:r>
      <w:r w:rsidRPr="00324CF1">
        <w:rPr>
          <w:lang w:val="en-CA"/>
        </w:rPr>
        <w:t xml:space="preserve"> recognition and enforcement of</w:t>
      </w:r>
      <w:r w:rsidR="007F4501">
        <w:rPr>
          <w:lang w:val="en-CA"/>
        </w:rPr>
        <w:t xml:space="preserve"> the</w:t>
      </w:r>
      <w:r w:rsidRPr="00324CF1">
        <w:rPr>
          <w:lang w:val="en-CA"/>
        </w:rPr>
        <w:t xml:space="preserve"> arbitral awards. On February 24, 2021, </w:t>
      </w:r>
      <w:r w:rsidR="008860D1">
        <w:rPr>
          <w:lang w:val="en-CA"/>
        </w:rPr>
        <w:t>faced with</w:t>
      </w:r>
      <w:r w:rsidRPr="00324CF1">
        <w:rPr>
          <w:lang w:val="en-CA"/>
        </w:rPr>
        <w:t xml:space="preserve"> the provisional liquidator’s actions and wanting to maintain their legal representation in </w:t>
      </w:r>
      <w:r w:rsidR="008860D1">
        <w:rPr>
          <w:lang w:val="en-CA"/>
        </w:rPr>
        <w:t>American</w:t>
      </w:r>
      <w:r w:rsidRPr="00324CF1">
        <w:rPr>
          <w:lang w:val="en-CA"/>
        </w:rPr>
        <w:t xml:space="preserve"> cases, the Devas Investors and Shareholders asked the </w:t>
      </w:r>
      <w:r w:rsidR="008860D1">
        <w:rPr>
          <w:lang w:val="en-CA"/>
        </w:rPr>
        <w:t>American</w:t>
      </w:r>
      <w:r w:rsidRPr="00324CF1">
        <w:rPr>
          <w:lang w:val="en-CA"/>
        </w:rPr>
        <w:t xml:space="preserve"> courts to order the provisional liquidator to refrain from </w:t>
      </w:r>
      <w:r w:rsidR="008860D1">
        <w:rPr>
          <w:lang w:val="en-CA"/>
        </w:rPr>
        <w:t>settling</w:t>
      </w:r>
      <w:r w:rsidRPr="00324CF1">
        <w:rPr>
          <w:lang w:val="en-CA"/>
        </w:rPr>
        <w:t xml:space="preserve"> with Antrix with regard to the ICC Award.</w:t>
      </w:r>
      <w:r w:rsidRPr="00324CF1">
        <w:rPr>
          <w:rStyle w:val="Appelnotedebasdep"/>
          <w:lang w:val="en-CA"/>
        </w:rPr>
        <w:footnoteReference w:id="16"/>
      </w:r>
    </w:p>
    <w:p w14:paraId="60D82076" w14:textId="111A3553" w:rsidR="00725C2A" w:rsidRPr="00324CF1" w:rsidRDefault="00ED47F8" w:rsidP="00FB5A91">
      <w:pPr>
        <w:pStyle w:val="Paragraphe"/>
        <w:spacing w:line="240" w:lineRule="auto"/>
        <w:rPr>
          <w:lang w:val="en-US"/>
        </w:rPr>
      </w:pPr>
      <w:r w:rsidRPr="00324CF1">
        <w:rPr>
          <w:lang w:val="en-CA"/>
        </w:rPr>
        <w:t xml:space="preserve">On February 5, 2021, India filed an originating application before The Hague District Court to have the </w:t>
      </w:r>
      <w:r w:rsidR="00984815">
        <w:rPr>
          <w:lang w:val="en-CA"/>
        </w:rPr>
        <w:t>Award on the Quantum</w:t>
      </w:r>
      <w:r w:rsidRPr="00324CF1">
        <w:rPr>
          <w:lang w:val="en-CA"/>
        </w:rPr>
        <w:t xml:space="preserve"> set aside; this application was dismissed on February 16, 2021, as was the appeal </w:t>
      </w:r>
      <w:r w:rsidR="00C267E6">
        <w:rPr>
          <w:lang w:val="en-CA"/>
        </w:rPr>
        <w:t>from</w:t>
      </w:r>
      <w:r w:rsidR="00C267E6" w:rsidRPr="00324CF1">
        <w:rPr>
          <w:lang w:val="en-CA"/>
        </w:rPr>
        <w:t xml:space="preserve"> </w:t>
      </w:r>
      <w:r w:rsidRPr="00324CF1">
        <w:rPr>
          <w:lang w:val="en-CA"/>
        </w:rPr>
        <w:t>the Award</w:t>
      </w:r>
      <w:r w:rsidR="00144D4F">
        <w:rPr>
          <w:lang w:val="en-CA"/>
        </w:rPr>
        <w:t xml:space="preserve"> on the </w:t>
      </w:r>
      <w:r w:rsidR="002637EF">
        <w:rPr>
          <w:lang w:val="en-CA"/>
        </w:rPr>
        <w:t>M</w:t>
      </w:r>
      <w:r w:rsidR="00144D4F">
        <w:rPr>
          <w:lang w:val="en-CA"/>
        </w:rPr>
        <w:t>erits</w:t>
      </w:r>
      <w:r w:rsidRPr="00324CF1">
        <w:rPr>
          <w:lang w:val="en-CA"/>
        </w:rPr>
        <w:t>.</w:t>
      </w:r>
      <w:r w:rsidRPr="00324CF1">
        <w:rPr>
          <w:rStyle w:val="Appelnotedebasdep"/>
          <w:lang w:val="en-CA"/>
        </w:rPr>
        <w:footnoteReference w:id="17"/>
      </w:r>
      <w:r w:rsidRPr="00324CF1">
        <w:rPr>
          <w:lang w:val="en-CA"/>
        </w:rPr>
        <w:t xml:space="preserve"> </w:t>
      </w:r>
    </w:p>
    <w:p w14:paraId="5E6226E8" w14:textId="357C6647" w:rsidR="0067625C" w:rsidRPr="00324CF1" w:rsidRDefault="00ED47F8" w:rsidP="00FB5A91">
      <w:pPr>
        <w:pStyle w:val="Paragraphe"/>
        <w:spacing w:line="240" w:lineRule="auto"/>
        <w:rPr>
          <w:lang w:val="en-US"/>
        </w:rPr>
      </w:pPr>
      <w:r w:rsidRPr="00324CF1">
        <w:rPr>
          <w:lang w:val="en-CA"/>
        </w:rPr>
        <w:t xml:space="preserve">On May 25, 2021, the NCLT </w:t>
      </w:r>
      <w:r w:rsidR="00C267E6">
        <w:rPr>
          <w:lang w:val="en-CA"/>
        </w:rPr>
        <w:t>made</w:t>
      </w:r>
      <w:r w:rsidR="00C267E6" w:rsidRPr="00324CF1">
        <w:rPr>
          <w:lang w:val="en-CA"/>
        </w:rPr>
        <w:t xml:space="preserve"> </w:t>
      </w:r>
      <w:r w:rsidRPr="00324CF1">
        <w:rPr>
          <w:lang w:val="en-CA"/>
        </w:rPr>
        <w:t>a final liquidation order against Devas,</w:t>
      </w:r>
      <w:r w:rsidRPr="00324CF1">
        <w:rPr>
          <w:rStyle w:val="Appelnotedebasdep"/>
          <w:lang w:val="en-CA"/>
        </w:rPr>
        <w:footnoteReference w:id="18"/>
      </w:r>
      <w:r w:rsidRPr="00324CF1">
        <w:rPr>
          <w:lang w:val="en-CA"/>
        </w:rPr>
        <w:t xml:space="preserve"> which was subsequently confirmed by the National Company Law Appellate Tribunal on June 7, 2021.</w:t>
      </w:r>
      <w:r w:rsidRPr="00324CF1">
        <w:rPr>
          <w:rStyle w:val="Appelnotedebasdep"/>
          <w:lang w:val="en-CA"/>
        </w:rPr>
        <w:footnoteReference w:id="19"/>
      </w:r>
    </w:p>
    <w:p w14:paraId="767B7C87" w14:textId="65D1CAB8" w:rsidR="002C1600" w:rsidRPr="00324CF1" w:rsidRDefault="00ED47F8" w:rsidP="00FB5A91">
      <w:pPr>
        <w:pStyle w:val="Paragraphe"/>
        <w:spacing w:line="240" w:lineRule="auto"/>
        <w:rPr>
          <w:lang w:val="en-US"/>
        </w:rPr>
      </w:pPr>
      <w:r w:rsidRPr="00324CF1">
        <w:rPr>
          <w:lang w:val="en-CA"/>
        </w:rPr>
        <w:lastRenderedPageBreak/>
        <w:t xml:space="preserve">On January 17, 2022, the SCI dismissed Devas’s appeal </w:t>
      </w:r>
      <w:r w:rsidR="00C267E6">
        <w:rPr>
          <w:lang w:val="en-CA"/>
        </w:rPr>
        <w:t>from</w:t>
      </w:r>
      <w:r w:rsidR="00C267E6" w:rsidRPr="00324CF1">
        <w:rPr>
          <w:lang w:val="en-CA"/>
        </w:rPr>
        <w:t xml:space="preserve"> </w:t>
      </w:r>
      <w:r w:rsidRPr="00324CF1">
        <w:rPr>
          <w:lang w:val="en-CA"/>
        </w:rPr>
        <w:t xml:space="preserve">the liquidation and final dissolution orders </w:t>
      </w:r>
      <w:r w:rsidR="00C267E6">
        <w:rPr>
          <w:lang w:val="en-CA"/>
        </w:rPr>
        <w:t>made</w:t>
      </w:r>
      <w:r w:rsidR="00C267E6" w:rsidRPr="00324CF1">
        <w:rPr>
          <w:lang w:val="en-CA"/>
        </w:rPr>
        <w:t xml:space="preserve"> </w:t>
      </w:r>
      <w:r w:rsidRPr="00324CF1">
        <w:rPr>
          <w:lang w:val="en-CA"/>
        </w:rPr>
        <w:t xml:space="preserve">by the NCLT, confirming that its liquidation was justified since it </w:t>
      </w:r>
      <w:r w:rsidR="00C267E6">
        <w:rPr>
          <w:lang w:val="en-CA"/>
        </w:rPr>
        <w:t>had been</w:t>
      </w:r>
      <w:r w:rsidR="00C267E6" w:rsidRPr="00324CF1">
        <w:rPr>
          <w:lang w:val="en-CA"/>
        </w:rPr>
        <w:t xml:space="preserve"> </w:t>
      </w:r>
      <w:r w:rsidRPr="00324CF1">
        <w:rPr>
          <w:lang w:val="en-CA"/>
        </w:rPr>
        <w:t>constituted fraudulently and for unlawful purpose</w:t>
      </w:r>
      <w:r w:rsidR="00C267E6">
        <w:rPr>
          <w:lang w:val="en-CA"/>
        </w:rPr>
        <w:t>s</w:t>
      </w:r>
      <w:r w:rsidRPr="00324CF1">
        <w:rPr>
          <w:lang w:val="en-CA"/>
        </w:rPr>
        <w:t xml:space="preserve"> (“</w:t>
      </w:r>
      <w:r w:rsidRPr="00324CF1">
        <w:rPr>
          <w:b/>
          <w:bCs/>
          <w:lang w:val="en-CA"/>
        </w:rPr>
        <w:t>SCI Judgment</w:t>
      </w:r>
      <w:r w:rsidRPr="00324CF1">
        <w:rPr>
          <w:lang w:val="en-CA"/>
        </w:rPr>
        <w:t>”).</w:t>
      </w:r>
      <w:bookmarkStart w:id="26" w:name="_Ref174439640"/>
      <w:r w:rsidRPr="00324CF1">
        <w:rPr>
          <w:rStyle w:val="Appelnotedebasdep"/>
          <w:lang w:val="en-CA"/>
        </w:rPr>
        <w:footnoteReference w:id="20"/>
      </w:r>
      <w:bookmarkEnd w:id="26"/>
      <w:r w:rsidRPr="00324CF1">
        <w:rPr>
          <w:lang w:val="en-CA"/>
        </w:rPr>
        <w:t xml:space="preserve"> </w:t>
      </w:r>
    </w:p>
    <w:p w14:paraId="7A65369C" w14:textId="25A6E8F2" w:rsidR="0067625C" w:rsidRPr="005E6EB3" w:rsidRDefault="00ED47F8" w:rsidP="009C1940">
      <w:pPr>
        <w:pStyle w:val="Paragraphe"/>
        <w:tabs>
          <w:tab w:val="left" w:pos="2127"/>
        </w:tabs>
        <w:spacing w:line="240" w:lineRule="auto"/>
        <w:rPr>
          <w:lang w:val="en-CA"/>
        </w:rPr>
      </w:pPr>
      <w:r w:rsidRPr="00324CF1">
        <w:rPr>
          <w:lang w:val="en-CA"/>
        </w:rPr>
        <w:t xml:space="preserve">On April 14, 2022, </w:t>
      </w:r>
      <w:r w:rsidR="00F47F94">
        <w:rPr>
          <w:lang w:val="en-CA"/>
        </w:rPr>
        <w:t xml:space="preserve">based on </w:t>
      </w:r>
      <w:r w:rsidR="00F47F94" w:rsidRPr="00324CF1">
        <w:rPr>
          <w:lang w:val="en-CA"/>
        </w:rPr>
        <w:t>the SCI Judgment</w:t>
      </w:r>
      <w:r w:rsidR="00F47F94">
        <w:rPr>
          <w:lang w:val="en-CA"/>
        </w:rPr>
        <w:t>,</w:t>
      </w:r>
      <w:r w:rsidR="00F47F94" w:rsidRPr="00324CF1">
        <w:rPr>
          <w:lang w:val="en-CA"/>
        </w:rPr>
        <w:t xml:space="preserve"> </w:t>
      </w:r>
      <w:r w:rsidRPr="00324CF1">
        <w:rPr>
          <w:lang w:val="en-CA"/>
        </w:rPr>
        <w:t xml:space="preserve">India filed an application </w:t>
      </w:r>
      <w:r w:rsidR="00F47F94">
        <w:rPr>
          <w:lang w:val="en-CA"/>
        </w:rPr>
        <w:t>with</w:t>
      </w:r>
      <w:r w:rsidR="00F47F94" w:rsidRPr="00324CF1">
        <w:rPr>
          <w:lang w:val="en-CA"/>
        </w:rPr>
        <w:t xml:space="preserve"> </w:t>
      </w:r>
      <w:r w:rsidR="00F47F94">
        <w:rPr>
          <w:lang w:val="en-CA"/>
        </w:rPr>
        <w:t>T</w:t>
      </w:r>
      <w:r w:rsidRPr="00324CF1">
        <w:rPr>
          <w:lang w:val="en-CA"/>
        </w:rPr>
        <w:t>he Hague Court of Appeal requesting that</w:t>
      </w:r>
      <w:r w:rsidR="00F47F94">
        <w:rPr>
          <w:lang w:val="en-CA"/>
        </w:rPr>
        <w:t xml:space="preserve"> the</w:t>
      </w:r>
      <w:r w:rsidRPr="00324CF1">
        <w:rPr>
          <w:lang w:val="en-CA"/>
        </w:rPr>
        <w:t xml:space="preserve"> arbitral awards rendered against India be set aside. This application was dismissed on February 6, 2023.</w:t>
      </w:r>
    </w:p>
    <w:p w14:paraId="17ECEA59" w14:textId="24FE17D6" w:rsidR="00A643AB" w:rsidRPr="00324CF1" w:rsidRDefault="00ED47F8" w:rsidP="00FB5A91">
      <w:pPr>
        <w:pStyle w:val="Paragraphe"/>
        <w:spacing w:line="240" w:lineRule="auto"/>
        <w:rPr>
          <w:lang w:val="en-US"/>
        </w:rPr>
      </w:pPr>
      <w:r w:rsidRPr="00324CF1">
        <w:rPr>
          <w:lang w:val="en-CA"/>
        </w:rPr>
        <w:t xml:space="preserve">Meanwhile, on November 15, 2021, the Devas Investors and Shareholders filed an application for recognition and enforcement of foreign </w:t>
      </w:r>
      <w:r w:rsidR="008A4905">
        <w:rPr>
          <w:lang w:val="en-CA"/>
        </w:rPr>
        <w:t>arbitration</w:t>
      </w:r>
      <w:r w:rsidRPr="00324CF1">
        <w:rPr>
          <w:lang w:val="en-CA"/>
        </w:rPr>
        <w:t xml:space="preserve"> awards (Award</w:t>
      </w:r>
      <w:r w:rsidR="00144D4F">
        <w:rPr>
          <w:lang w:val="en-CA"/>
        </w:rPr>
        <w:t xml:space="preserve"> on the </w:t>
      </w:r>
      <w:r w:rsidR="009C1940">
        <w:rPr>
          <w:lang w:val="en-CA"/>
        </w:rPr>
        <w:t>M</w:t>
      </w:r>
      <w:r w:rsidR="00144D4F">
        <w:rPr>
          <w:lang w:val="en-CA"/>
        </w:rPr>
        <w:t>erits</w:t>
      </w:r>
      <w:r w:rsidRPr="00324CF1">
        <w:rPr>
          <w:lang w:val="en-CA"/>
        </w:rPr>
        <w:t xml:space="preserve"> and </w:t>
      </w:r>
      <w:r w:rsidR="00984815">
        <w:rPr>
          <w:lang w:val="en-CA"/>
        </w:rPr>
        <w:t>Award on the Quantum</w:t>
      </w:r>
      <w:r w:rsidRPr="00324CF1">
        <w:rPr>
          <w:lang w:val="en-CA"/>
        </w:rPr>
        <w:t>) before the</w:t>
      </w:r>
      <w:r w:rsidR="009C1940">
        <w:rPr>
          <w:lang w:val="en-CA"/>
        </w:rPr>
        <w:t xml:space="preserve"> Quebec</w:t>
      </w:r>
      <w:r w:rsidRPr="00324CF1">
        <w:rPr>
          <w:lang w:val="en-CA"/>
        </w:rPr>
        <w:t xml:space="preserve"> Superior Court as well as a first </w:t>
      </w:r>
      <w:r w:rsidRPr="00324CF1">
        <w:rPr>
          <w:kern w:val="0"/>
          <w:lang w:val="en-CA"/>
        </w:rPr>
        <w:t xml:space="preserve">application for seizure before judgment by garnishment </w:t>
      </w:r>
      <w:r w:rsidRPr="00324CF1">
        <w:rPr>
          <w:lang w:val="en-CA"/>
        </w:rPr>
        <w:t xml:space="preserve">for the sums </w:t>
      </w:r>
      <w:r w:rsidRPr="00324CF1">
        <w:rPr>
          <w:kern w:val="0"/>
          <w:lang w:val="en-CA"/>
        </w:rPr>
        <w:t xml:space="preserve">held by IATA belonging to AAI. This last step gave rise to a statement by IATA confirming that it held a </w:t>
      </w:r>
      <w:r w:rsidRPr="00324CF1">
        <w:rPr>
          <w:lang w:val="en-CA"/>
        </w:rPr>
        <w:t>sum of US</w:t>
      </w:r>
      <w:r w:rsidR="00CE4FEF">
        <w:rPr>
          <w:lang w:val="en-CA"/>
        </w:rPr>
        <w:t>$</w:t>
      </w:r>
      <w:r w:rsidRPr="00324CF1">
        <w:rPr>
          <w:lang w:val="en-CA"/>
        </w:rPr>
        <w:t xml:space="preserve">6,819,613 belonging to AAI. </w:t>
      </w:r>
    </w:p>
    <w:p w14:paraId="76E70C8E" w14:textId="2078FD45" w:rsidR="004D7995" w:rsidRPr="00324CF1" w:rsidRDefault="00ED47F8" w:rsidP="00FB5A91">
      <w:pPr>
        <w:pStyle w:val="Paragraphe"/>
        <w:spacing w:line="240" w:lineRule="auto"/>
        <w:rPr>
          <w:lang w:val="en-US"/>
        </w:rPr>
      </w:pPr>
      <w:r w:rsidRPr="00324CF1">
        <w:rPr>
          <w:lang w:val="en-CA"/>
        </w:rPr>
        <w:t xml:space="preserve">On November 24, 2021, the Devas Investors and Shareholders were authorized </w:t>
      </w:r>
      <w:r w:rsidRPr="00324CF1">
        <w:rPr>
          <w:i/>
          <w:iCs/>
          <w:lang w:val="en-CA"/>
        </w:rPr>
        <w:t>ex parte</w:t>
      </w:r>
      <w:r w:rsidRPr="00324CF1">
        <w:rPr>
          <w:lang w:val="en-CA"/>
        </w:rPr>
        <w:t xml:space="preserve"> to proceed with</w:t>
      </w:r>
      <w:r w:rsidR="006E5A42">
        <w:rPr>
          <w:lang w:val="en-CA"/>
        </w:rPr>
        <w:t xml:space="preserve"> a</w:t>
      </w:r>
      <w:r w:rsidRPr="00324CF1">
        <w:rPr>
          <w:lang w:val="en-CA"/>
        </w:rPr>
        <w:t xml:space="preserve"> seizure before judgment by garnishment of the funds held by IATA for AAI (“</w:t>
      </w:r>
      <w:r w:rsidRPr="00324CF1">
        <w:rPr>
          <w:b/>
          <w:bCs/>
          <w:lang w:val="en-CA"/>
        </w:rPr>
        <w:t>Granosik Judgment</w:t>
      </w:r>
      <w:r w:rsidRPr="00324CF1">
        <w:rPr>
          <w:lang w:val="en-CA"/>
        </w:rPr>
        <w:t>”).</w:t>
      </w:r>
      <w:bookmarkStart w:id="27" w:name="_Ref174460418"/>
      <w:r w:rsidRPr="00324CF1">
        <w:rPr>
          <w:rStyle w:val="Appelnotedebasdep"/>
          <w:lang w:val="en-CA"/>
        </w:rPr>
        <w:footnoteReference w:id="21"/>
      </w:r>
      <w:bookmarkEnd w:id="27"/>
      <w:r w:rsidRPr="00324CF1">
        <w:rPr>
          <w:lang w:val="en-CA"/>
        </w:rPr>
        <w:t xml:space="preserve"> This seizure was followed by a second application for seizure before judgment by garnishment, also granted </w:t>
      </w:r>
      <w:r w:rsidRPr="00324CF1">
        <w:rPr>
          <w:i/>
          <w:iCs/>
          <w:lang w:val="en-CA"/>
        </w:rPr>
        <w:t>ex parte</w:t>
      </w:r>
      <w:r w:rsidRPr="00324CF1">
        <w:rPr>
          <w:lang w:val="en-CA"/>
        </w:rPr>
        <w:t xml:space="preserve"> on December 21, 2021, this time targeting funds held by IATA </w:t>
      </w:r>
      <w:r w:rsidR="006E5A42">
        <w:rPr>
          <w:lang w:val="en-CA"/>
        </w:rPr>
        <w:t xml:space="preserve">but </w:t>
      </w:r>
      <w:r w:rsidRPr="00324CF1">
        <w:rPr>
          <w:lang w:val="en-CA"/>
        </w:rPr>
        <w:t>belonging to Air India (“</w:t>
      </w:r>
      <w:r w:rsidRPr="00324CF1">
        <w:rPr>
          <w:b/>
          <w:bCs/>
          <w:lang w:val="en-CA"/>
        </w:rPr>
        <w:t>Buchholz Judgment</w:t>
      </w:r>
      <w:r w:rsidRPr="00324CF1">
        <w:rPr>
          <w:lang w:val="en-CA"/>
        </w:rPr>
        <w:t>”)</w:t>
      </w:r>
      <w:r w:rsidR="006E5A42">
        <w:rPr>
          <w:lang w:val="en-CA"/>
        </w:rPr>
        <w:t>.</w:t>
      </w:r>
      <w:r w:rsidRPr="00324CF1">
        <w:rPr>
          <w:rStyle w:val="Appelnotedebasdep"/>
          <w:lang w:val="en-CA"/>
        </w:rPr>
        <w:footnoteReference w:id="22"/>
      </w:r>
      <w:r w:rsidRPr="00324CF1">
        <w:rPr>
          <w:lang w:val="en-CA"/>
        </w:rPr>
        <w:t xml:space="preserve"> </w:t>
      </w:r>
      <w:r w:rsidR="006E5A42">
        <w:rPr>
          <w:lang w:val="en-CA"/>
        </w:rPr>
        <w:t>This led</w:t>
      </w:r>
      <w:r w:rsidRPr="00324CF1">
        <w:rPr>
          <w:lang w:val="en-CA"/>
        </w:rPr>
        <w:t xml:space="preserve"> to a new affidavit from IATA in which it </w:t>
      </w:r>
      <w:r w:rsidR="006E5A42">
        <w:rPr>
          <w:lang w:val="en-CA"/>
        </w:rPr>
        <w:t>claimed</w:t>
      </w:r>
      <w:r w:rsidR="006E5A42" w:rsidRPr="00324CF1">
        <w:rPr>
          <w:lang w:val="en-CA"/>
        </w:rPr>
        <w:t xml:space="preserve"> </w:t>
      </w:r>
      <w:r w:rsidRPr="00324CF1">
        <w:rPr>
          <w:lang w:val="en-CA"/>
        </w:rPr>
        <w:t>that on December 21, 2021, it held US</w:t>
      </w:r>
      <w:r w:rsidR="006E5A42">
        <w:rPr>
          <w:lang w:val="en-CA"/>
        </w:rPr>
        <w:t>$</w:t>
      </w:r>
      <w:r w:rsidRPr="00324CF1">
        <w:rPr>
          <w:lang w:val="en-CA"/>
        </w:rPr>
        <w:t>17,306,658 on behalf of Air India and US</w:t>
      </w:r>
      <w:r w:rsidR="006E5A42">
        <w:rPr>
          <w:lang w:val="en-CA"/>
        </w:rPr>
        <w:t>$</w:t>
      </w:r>
      <w:r w:rsidRPr="00324CF1">
        <w:rPr>
          <w:lang w:val="en-CA"/>
        </w:rPr>
        <w:t>12,767,745 on behalf of AAI.</w:t>
      </w:r>
    </w:p>
    <w:p w14:paraId="18D99495" w14:textId="76356017" w:rsidR="00564AE8" w:rsidRPr="00324CF1" w:rsidRDefault="00ED47F8" w:rsidP="00FB5A91">
      <w:pPr>
        <w:pStyle w:val="Paragraphe"/>
        <w:spacing w:line="240" w:lineRule="auto"/>
        <w:rPr>
          <w:lang w:val="en-US"/>
        </w:rPr>
      </w:pPr>
      <w:r w:rsidRPr="00324CF1">
        <w:rPr>
          <w:lang w:val="en-CA"/>
        </w:rPr>
        <w:t xml:space="preserve">This was followed by applications from AAI, Air India and IATA to quash the seizures and notification by CCDM/Devas of a notice of </w:t>
      </w:r>
      <w:r w:rsidR="00913673">
        <w:rPr>
          <w:lang w:val="en-CA"/>
        </w:rPr>
        <w:t>continuance</w:t>
      </w:r>
      <w:r w:rsidR="00913673" w:rsidRPr="00324CF1">
        <w:rPr>
          <w:lang w:val="en-CA"/>
        </w:rPr>
        <w:t xml:space="preserve"> </w:t>
      </w:r>
      <w:r w:rsidR="00720CFC">
        <w:rPr>
          <w:lang w:val="en-CA"/>
        </w:rPr>
        <w:t>regarding</w:t>
      </w:r>
      <w:r w:rsidR="003A13B3" w:rsidRPr="00324CF1">
        <w:rPr>
          <w:lang w:val="en-CA"/>
        </w:rPr>
        <w:t xml:space="preserve"> </w:t>
      </w:r>
      <w:r w:rsidR="00913673">
        <w:rPr>
          <w:lang w:val="en-CA"/>
        </w:rPr>
        <w:t xml:space="preserve">the </w:t>
      </w:r>
      <w:r w:rsidRPr="00324CF1">
        <w:rPr>
          <w:lang w:val="en-CA"/>
        </w:rPr>
        <w:t>proceeding of the Devas Investors and Shareholders. The</w:t>
      </w:r>
      <w:r w:rsidR="003A13B3">
        <w:rPr>
          <w:lang w:val="en-CA"/>
        </w:rPr>
        <w:t>se</w:t>
      </w:r>
      <w:r w:rsidRPr="00324CF1">
        <w:rPr>
          <w:lang w:val="en-CA"/>
        </w:rPr>
        <w:t xml:space="preserve"> applications</w:t>
      </w:r>
      <w:r w:rsidR="003A13B3">
        <w:rPr>
          <w:lang w:val="en-CA"/>
        </w:rPr>
        <w:t xml:space="preserve"> were heard</w:t>
      </w:r>
      <w:r w:rsidRPr="00324CF1">
        <w:rPr>
          <w:lang w:val="en-CA"/>
        </w:rPr>
        <w:t xml:space="preserve"> on January 4 and 5, 2022, </w:t>
      </w:r>
      <w:r w:rsidR="00F11F81">
        <w:rPr>
          <w:lang w:val="en-CA"/>
        </w:rPr>
        <w:t>leading</w:t>
      </w:r>
      <w:r w:rsidRPr="00324CF1">
        <w:rPr>
          <w:lang w:val="en-CA"/>
        </w:rPr>
        <w:t xml:space="preserve"> to the judgment rendered by Pinsonnault</w:t>
      </w:r>
      <w:r w:rsidR="00720CFC">
        <w:rPr>
          <w:lang w:val="en-CA"/>
        </w:rPr>
        <w:t>,</w:t>
      </w:r>
      <w:r w:rsidRPr="00324CF1">
        <w:rPr>
          <w:lang w:val="en-CA"/>
        </w:rPr>
        <w:t xml:space="preserve"> J. on January 8, 2022 (“</w:t>
      </w:r>
      <w:r w:rsidRPr="00324CF1">
        <w:rPr>
          <w:b/>
          <w:bCs/>
          <w:lang w:val="en-CA"/>
        </w:rPr>
        <w:t>Judgment Quashing the Seizure</w:t>
      </w:r>
      <w:r w:rsidRPr="00324CF1">
        <w:rPr>
          <w:lang w:val="en-CA"/>
        </w:rPr>
        <w:t>”),</w:t>
      </w:r>
      <w:bookmarkStart w:id="28" w:name="_Ref174460498"/>
      <w:r w:rsidRPr="00324CF1">
        <w:rPr>
          <w:rStyle w:val="Appelnotedebasdep"/>
          <w:lang w:val="en-CA"/>
        </w:rPr>
        <w:footnoteReference w:id="23"/>
      </w:r>
      <w:bookmarkEnd w:id="28"/>
      <w:r w:rsidRPr="00324CF1">
        <w:rPr>
          <w:lang w:val="en-CA"/>
        </w:rPr>
        <w:t xml:space="preserve"> dismiss</w:t>
      </w:r>
      <w:r w:rsidR="00F11F81">
        <w:rPr>
          <w:lang w:val="en-CA"/>
        </w:rPr>
        <w:t>ing</w:t>
      </w:r>
      <w:r w:rsidRPr="00324CF1">
        <w:rPr>
          <w:lang w:val="en-CA"/>
        </w:rPr>
        <w:t xml:space="preserve"> Air India’s application to quash the seizure before judgment by garnishment ordered with regard</w:t>
      </w:r>
      <w:r w:rsidR="00720CFC">
        <w:rPr>
          <w:lang w:val="en-CA"/>
        </w:rPr>
        <w:t xml:space="preserve"> to</w:t>
      </w:r>
      <w:r w:rsidRPr="00324CF1">
        <w:rPr>
          <w:lang w:val="en-CA"/>
        </w:rPr>
        <w:t xml:space="preserve"> </w:t>
      </w:r>
      <w:r w:rsidR="00F11F81">
        <w:rPr>
          <w:lang w:val="en-CA"/>
        </w:rPr>
        <w:t>its</w:t>
      </w:r>
      <w:r w:rsidR="00F11F81" w:rsidRPr="00324CF1">
        <w:rPr>
          <w:lang w:val="en-CA"/>
        </w:rPr>
        <w:t xml:space="preserve"> </w:t>
      </w:r>
      <w:r w:rsidRPr="00324CF1">
        <w:rPr>
          <w:lang w:val="en-CA"/>
        </w:rPr>
        <w:t xml:space="preserve">property </w:t>
      </w:r>
      <w:r w:rsidR="00F11F81">
        <w:rPr>
          <w:lang w:val="en-CA"/>
        </w:rPr>
        <w:t>held</w:t>
      </w:r>
      <w:r w:rsidRPr="00324CF1">
        <w:rPr>
          <w:lang w:val="en-CA"/>
        </w:rPr>
        <w:t xml:space="preserve"> by IATA but reduc</w:t>
      </w:r>
      <w:r w:rsidR="00720CFC">
        <w:rPr>
          <w:lang w:val="en-CA"/>
        </w:rPr>
        <w:t>ing</w:t>
      </w:r>
      <w:r w:rsidRPr="00324CF1">
        <w:rPr>
          <w:lang w:val="en-CA"/>
        </w:rPr>
        <w:t xml:space="preserve"> its scope </w:t>
      </w:r>
      <w:r w:rsidR="00F11F81">
        <w:rPr>
          <w:lang w:val="en-CA"/>
        </w:rPr>
        <w:t>by</w:t>
      </w:r>
      <w:r w:rsidR="00F11F81" w:rsidRPr="00324CF1">
        <w:rPr>
          <w:lang w:val="en-CA"/>
        </w:rPr>
        <w:t xml:space="preserve"> </w:t>
      </w:r>
      <w:r w:rsidRPr="00324CF1">
        <w:rPr>
          <w:lang w:val="en-CA"/>
        </w:rPr>
        <w:t>50%, and quash</w:t>
      </w:r>
      <w:r w:rsidR="00F11F81">
        <w:rPr>
          <w:lang w:val="en-CA"/>
        </w:rPr>
        <w:t>ing</w:t>
      </w:r>
      <w:r w:rsidRPr="00324CF1">
        <w:rPr>
          <w:lang w:val="en-CA"/>
        </w:rPr>
        <w:t xml:space="preserve"> the seizure by garnishment ordered on November 24, 2021, with regard to AAI</w:t>
      </w:r>
      <w:r w:rsidR="00F11F81">
        <w:rPr>
          <w:lang w:val="en-CA"/>
        </w:rPr>
        <w:t>’s</w:t>
      </w:r>
      <w:r w:rsidRPr="00324CF1">
        <w:rPr>
          <w:lang w:val="en-CA"/>
        </w:rPr>
        <w:t xml:space="preserve"> assets. The Judgment Quashing the Seizure </w:t>
      </w:r>
      <w:r w:rsidR="00F11F81">
        <w:rPr>
          <w:lang w:val="en-CA"/>
        </w:rPr>
        <w:t>is included in</w:t>
      </w:r>
      <w:r w:rsidRPr="00324CF1">
        <w:rPr>
          <w:lang w:val="en-CA"/>
        </w:rPr>
        <w:t xml:space="preserve"> the second appeal: leave to appeal was granted to CCDM/Devas</w:t>
      </w:r>
      <w:r w:rsidR="00F11F81">
        <w:rPr>
          <w:lang w:val="en-CA"/>
        </w:rPr>
        <w:t>, with</w:t>
      </w:r>
      <w:r w:rsidRPr="00324CF1">
        <w:rPr>
          <w:lang w:val="en-CA"/>
        </w:rPr>
        <w:t xml:space="preserve"> an order stay</w:t>
      </w:r>
      <w:r w:rsidR="00F11F81">
        <w:rPr>
          <w:lang w:val="en-CA"/>
        </w:rPr>
        <w:t>ing</w:t>
      </w:r>
      <w:r w:rsidRPr="00324CF1">
        <w:rPr>
          <w:lang w:val="en-CA"/>
        </w:rPr>
        <w:t xml:space="preserve"> the provisional </w:t>
      </w:r>
      <w:r w:rsidR="00770BF6">
        <w:rPr>
          <w:lang w:val="en-CA"/>
        </w:rPr>
        <w:t>execution</w:t>
      </w:r>
      <w:r w:rsidRPr="00324CF1">
        <w:rPr>
          <w:lang w:val="en-CA"/>
        </w:rPr>
        <w:t xml:space="preserve"> notwithstanding appeal </w:t>
      </w:r>
      <w:r w:rsidR="00993328">
        <w:rPr>
          <w:lang w:val="en-CA"/>
        </w:rPr>
        <w:t>ordered</w:t>
      </w:r>
      <w:r w:rsidRPr="00324CF1">
        <w:rPr>
          <w:lang w:val="en-CA"/>
        </w:rPr>
        <w:t xml:space="preserve"> by the judge.</w:t>
      </w:r>
      <w:bookmarkStart w:id="29" w:name="_Ref174517330"/>
      <w:r w:rsidRPr="00324CF1">
        <w:rPr>
          <w:rStyle w:val="Appelnotedebasdep"/>
          <w:lang w:val="en-CA"/>
        </w:rPr>
        <w:footnoteReference w:id="24"/>
      </w:r>
      <w:bookmarkEnd w:id="29"/>
      <w:r w:rsidRPr="00324CF1">
        <w:rPr>
          <w:lang w:val="en-CA"/>
        </w:rPr>
        <w:t xml:space="preserve"> It should be noted that, as part of a separate case, Air India and CCDM/Devas obtained leave to appeal this same judgment regarding the outcome of the second </w:t>
      </w:r>
      <w:r w:rsidRPr="00324CF1">
        <w:rPr>
          <w:lang w:val="en-CA"/>
        </w:rPr>
        <w:lastRenderedPageBreak/>
        <w:t>seizure.</w:t>
      </w:r>
      <w:r w:rsidRPr="00324CF1">
        <w:rPr>
          <w:rStyle w:val="Appelnotedebasdep"/>
          <w:lang w:val="en-CA"/>
        </w:rPr>
        <w:footnoteReference w:id="25"/>
      </w:r>
      <w:r w:rsidRPr="00324CF1">
        <w:rPr>
          <w:lang w:val="en-CA"/>
        </w:rPr>
        <w:t xml:space="preserve"> Th</w:t>
      </w:r>
      <w:r w:rsidR="00993328">
        <w:rPr>
          <w:lang w:val="en-CA"/>
        </w:rPr>
        <w:t>at</w:t>
      </w:r>
      <w:r w:rsidRPr="00324CF1">
        <w:rPr>
          <w:lang w:val="en-CA"/>
        </w:rPr>
        <w:t xml:space="preserve"> appeal has already been decided and the order to seize Air India property has been quashed (“</w:t>
      </w:r>
      <w:r w:rsidRPr="00324CF1">
        <w:rPr>
          <w:b/>
          <w:bCs/>
          <w:lang w:val="en-CA"/>
        </w:rPr>
        <w:t>Air India Judgment</w:t>
      </w:r>
      <w:r w:rsidRPr="00324CF1">
        <w:rPr>
          <w:lang w:val="en-CA"/>
        </w:rPr>
        <w:t>”).</w:t>
      </w:r>
      <w:bookmarkStart w:id="30" w:name="_Ref182564655"/>
      <w:r w:rsidRPr="00324CF1">
        <w:rPr>
          <w:rStyle w:val="Appelnotedebasdep"/>
          <w:lang w:val="en-CA"/>
        </w:rPr>
        <w:footnoteReference w:id="26"/>
      </w:r>
      <w:bookmarkEnd w:id="30"/>
    </w:p>
    <w:p w14:paraId="6E25C84E" w14:textId="39430486" w:rsidR="00564AE8" w:rsidRPr="00324CF1" w:rsidRDefault="00ED47F8" w:rsidP="00FB5A91">
      <w:pPr>
        <w:pStyle w:val="Paragraphe"/>
        <w:spacing w:line="240" w:lineRule="auto"/>
        <w:rPr>
          <w:lang w:val="en-US"/>
        </w:rPr>
      </w:pPr>
      <w:r w:rsidRPr="00324CF1">
        <w:rPr>
          <w:lang w:val="en-CA"/>
        </w:rPr>
        <w:t xml:space="preserve">On May 5, 2022, in response to the seizures before judgment by garnishment ordered in the </w:t>
      </w:r>
      <w:r w:rsidR="00B74F2A">
        <w:rPr>
          <w:lang w:val="en-CA"/>
        </w:rPr>
        <w:t>file</w:t>
      </w:r>
      <w:r w:rsidRPr="00324CF1">
        <w:rPr>
          <w:lang w:val="en-CA"/>
        </w:rPr>
        <w:t xml:space="preserve">, a bill was tabled at the National Assembly of Québec </w:t>
      </w:r>
      <w:r w:rsidR="00B74F2A">
        <w:rPr>
          <w:lang w:val="en-CA"/>
        </w:rPr>
        <w:t>that</w:t>
      </w:r>
      <w:r w:rsidR="00B74F2A" w:rsidRPr="00324CF1">
        <w:rPr>
          <w:lang w:val="en-CA"/>
        </w:rPr>
        <w:t xml:space="preserve"> </w:t>
      </w:r>
      <w:r w:rsidRPr="00324CF1">
        <w:rPr>
          <w:lang w:val="en-CA"/>
        </w:rPr>
        <w:t xml:space="preserve">led to the adoption of Bill 206, </w:t>
      </w:r>
      <w:r w:rsidRPr="00324CF1">
        <w:rPr>
          <w:i/>
          <w:iCs/>
          <w:lang w:val="en-CA"/>
        </w:rPr>
        <w:t>An Act respecting the International Air Transport Association</w:t>
      </w:r>
      <w:r w:rsidRPr="00324CF1">
        <w:rPr>
          <w:lang w:val="en-CA"/>
        </w:rPr>
        <w:t xml:space="preserve"> (“</w:t>
      </w:r>
      <w:r w:rsidRPr="00324CF1">
        <w:rPr>
          <w:b/>
          <w:bCs/>
          <w:i/>
          <w:iCs/>
          <w:lang w:val="en-CA"/>
        </w:rPr>
        <w:t>IATA Act</w:t>
      </w:r>
      <w:r w:rsidRPr="00324CF1">
        <w:rPr>
          <w:lang w:val="en-CA"/>
        </w:rPr>
        <w:t>”</w:t>
      </w:r>
      <w:r w:rsidRPr="00324CF1">
        <w:rPr>
          <w:i/>
          <w:iCs/>
          <w:lang w:val="en-CA"/>
        </w:rPr>
        <w:t xml:space="preserve">), </w:t>
      </w:r>
      <w:r w:rsidRPr="00324CF1">
        <w:rPr>
          <w:lang w:val="en-CA"/>
        </w:rPr>
        <w:t>the following month, i.e.</w:t>
      </w:r>
      <w:r w:rsidR="00B74F2A">
        <w:rPr>
          <w:lang w:val="en-CA"/>
        </w:rPr>
        <w:t>, on</w:t>
      </w:r>
      <w:r w:rsidRPr="00324CF1">
        <w:rPr>
          <w:lang w:val="en-CA"/>
        </w:rPr>
        <w:t xml:space="preserve"> June 1, 2022. The </w:t>
      </w:r>
      <w:r w:rsidRPr="00324CF1">
        <w:rPr>
          <w:i/>
          <w:iCs/>
          <w:lang w:val="en-CA"/>
        </w:rPr>
        <w:t>Act</w:t>
      </w:r>
      <w:r w:rsidRPr="00324CF1">
        <w:rPr>
          <w:lang w:val="en-CA"/>
        </w:rPr>
        <w:t xml:space="preserve"> states that “[t]his Act has effect from May 5, 2022” and that the sums held by IATA for the benefit of foreign governments or organizations of foreign governments </w:t>
      </w:r>
      <w:r w:rsidR="00A86FC3">
        <w:rPr>
          <w:lang w:val="en-CA"/>
        </w:rPr>
        <w:t>are</w:t>
      </w:r>
      <w:r w:rsidRPr="00324CF1">
        <w:rPr>
          <w:lang w:val="en-CA"/>
        </w:rPr>
        <w:t xml:space="preserve"> exempt from seizure.</w:t>
      </w:r>
      <w:r w:rsidRPr="00324CF1">
        <w:rPr>
          <w:rStyle w:val="Appelnotedebasdep"/>
          <w:lang w:val="en-CA"/>
        </w:rPr>
        <w:footnoteReference w:id="27"/>
      </w:r>
    </w:p>
    <w:p w14:paraId="3A8250AC" w14:textId="7EE22744" w:rsidR="00564AE8" w:rsidRPr="00324CF1" w:rsidRDefault="00ED47F8" w:rsidP="00FB5A91">
      <w:pPr>
        <w:pStyle w:val="Paragraphe"/>
        <w:spacing w:line="240" w:lineRule="auto"/>
        <w:rPr>
          <w:lang w:val="en-US"/>
        </w:rPr>
      </w:pPr>
      <w:r w:rsidRPr="00324CF1">
        <w:rPr>
          <w:lang w:val="en-CA"/>
        </w:rPr>
        <w:t xml:space="preserve">On June 27, 2022, AAI filed a new application to quash the seizure before judgment by garnishment dated November 24, 2021, </w:t>
      </w:r>
      <w:r w:rsidR="00BD1976">
        <w:rPr>
          <w:lang w:val="en-CA"/>
        </w:rPr>
        <w:t>stating</w:t>
      </w:r>
      <w:r w:rsidRPr="00324CF1">
        <w:rPr>
          <w:lang w:val="en-CA"/>
        </w:rPr>
        <w:t xml:space="preserve"> that the</w:t>
      </w:r>
      <w:r w:rsidRPr="00324CF1">
        <w:rPr>
          <w:i/>
          <w:iCs/>
          <w:lang w:val="en-CA"/>
        </w:rPr>
        <w:t xml:space="preserve"> IATA Act </w:t>
      </w:r>
      <w:r w:rsidRPr="00324CF1">
        <w:rPr>
          <w:lang w:val="en-CA"/>
        </w:rPr>
        <w:t>had the effect of retroactively exempting from seizure any money held by IATA in relation to a “participant in its financial services”,</w:t>
      </w:r>
      <w:r w:rsidRPr="00324CF1">
        <w:rPr>
          <w:rStyle w:val="Appelnotedebasdep"/>
          <w:lang w:val="en-CA"/>
        </w:rPr>
        <w:t xml:space="preserve"> </w:t>
      </w:r>
      <w:r w:rsidRPr="00324CF1">
        <w:rPr>
          <w:lang w:val="en-CA"/>
        </w:rPr>
        <w:t>including the sums held and seized in November 2021.</w:t>
      </w:r>
    </w:p>
    <w:p w14:paraId="345DA589" w14:textId="1281B529" w:rsidR="00B94D11" w:rsidRPr="00324CF1" w:rsidRDefault="00ED47F8" w:rsidP="00FB5A91">
      <w:pPr>
        <w:pStyle w:val="Paragraphe"/>
        <w:spacing w:line="240" w:lineRule="auto"/>
        <w:rPr>
          <w:lang w:val="en-US"/>
        </w:rPr>
      </w:pPr>
      <w:r w:rsidRPr="00324CF1">
        <w:rPr>
          <w:lang w:val="en-CA"/>
        </w:rPr>
        <w:t>On September 6, 2022, Pinsonnault</w:t>
      </w:r>
      <w:r w:rsidR="00A92438">
        <w:rPr>
          <w:lang w:val="en-CA"/>
        </w:rPr>
        <w:t>,</w:t>
      </w:r>
      <w:r w:rsidRPr="00324CF1">
        <w:rPr>
          <w:lang w:val="en-CA"/>
        </w:rPr>
        <w:t xml:space="preserve"> J. rendered a judgment on the scope of the</w:t>
      </w:r>
      <w:r w:rsidRPr="00324CF1">
        <w:rPr>
          <w:i/>
          <w:iCs/>
          <w:lang w:val="en-CA"/>
        </w:rPr>
        <w:t xml:space="preserve"> IATA Act</w:t>
      </w:r>
      <w:r w:rsidRPr="00324CF1">
        <w:rPr>
          <w:lang w:val="en-CA"/>
        </w:rPr>
        <w:t xml:space="preserve"> (“</w:t>
      </w:r>
      <w:r w:rsidRPr="00324CF1">
        <w:rPr>
          <w:b/>
          <w:bCs/>
          <w:lang w:val="en-CA"/>
        </w:rPr>
        <w:t xml:space="preserve">Judgment on the </w:t>
      </w:r>
      <w:r w:rsidR="00A92438">
        <w:rPr>
          <w:b/>
          <w:bCs/>
          <w:lang w:val="en-CA"/>
        </w:rPr>
        <w:t>a</w:t>
      </w:r>
      <w:r w:rsidRPr="00324CF1">
        <w:rPr>
          <w:b/>
          <w:bCs/>
          <w:lang w:val="en-CA"/>
        </w:rPr>
        <w:t>pplication of the IATA Act</w:t>
      </w:r>
      <w:r w:rsidRPr="00324CF1">
        <w:rPr>
          <w:lang w:val="en-CA"/>
        </w:rPr>
        <w:t>”).</w:t>
      </w:r>
      <w:bookmarkStart w:id="31" w:name="_Ref182567696"/>
      <w:r w:rsidRPr="00324CF1">
        <w:rPr>
          <w:vertAlign w:val="superscript"/>
          <w:lang w:val="en-CA"/>
        </w:rPr>
        <w:footnoteReference w:id="28"/>
      </w:r>
      <w:bookmarkEnd w:id="31"/>
      <w:r w:rsidRPr="00324CF1">
        <w:rPr>
          <w:lang w:val="en-CA"/>
        </w:rPr>
        <w:t xml:space="preserve"> He concluded that it was up to the Court of Appeal to rule on the validity of the seizures before judgment by garnishment ordered in November and December 2021, insofar as two appeals were already before that Court in connection with these seizures, in regards to which he considered himself to be </w:t>
      </w:r>
      <w:r w:rsidRPr="00324CF1">
        <w:rPr>
          <w:i/>
          <w:iCs/>
          <w:lang w:val="en-CA"/>
        </w:rPr>
        <w:t>functus ex officio</w:t>
      </w:r>
      <w:r w:rsidRPr="00324CF1">
        <w:rPr>
          <w:lang w:val="en-CA"/>
        </w:rPr>
        <w:t xml:space="preserve">. </w:t>
      </w:r>
      <w:r w:rsidR="00270523">
        <w:rPr>
          <w:lang w:val="en-CA"/>
        </w:rPr>
        <w:t>H</w:t>
      </w:r>
      <w:r w:rsidRPr="00324CF1">
        <w:rPr>
          <w:lang w:val="en-CA"/>
        </w:rPr>
        <w:t>e acknowledged</w:t>
      </w:r>
      <w:r w:rsidR="00270523">
        <w:rPr>
          <w:lang w:val="en-CA"/>
        </w:rPr>
        <w:t>, however,</w:t>
      </w:r>
      <w:r w:rsidRPr="00324CF1">
        <w:rPr>
          <w:lang w:val="en-CA"/>
        </w:rPr>
        <w:t xml:space="preserve"> that he would have to rule on the </w:t>
      </w:r>
      <w:r w:rsidR="00270523">
        <w:rPr>
          <w:lang w:val="en-CA"/>
        </w:rPr>
        <w:t>alternative</w:t>
      </w:r>
      <w:r w:rsidR="00270523" w:rsidRPr="00324CF1">
        <w:rPr>
          <w:lang w:val="en-CA"/>
        </w:rPr>
        <w:t xml:space="preserve"> </w:t>
      </w:r>
      <w:r w:rsidRPr="00324CF1">
        <w:rPr>
          <w:lang w:val="en-CA"/>
        </w:rPr>
        <w:t xml:space="preserve">declaratory conclusion relating to the sums received after the </w:t>
      </w:r>
      <w:r w:rsidRPr="00324CF1">
        <w:rPr>
          <w:i/>
          <w:iCs/>
          <w:lang w:val="en-CA"/>
        </w:rPr>
        <w:t>IATA Act</w:t>
      </w:r>
      <w:r w:rsidRPr="00324CF1">
        <w:rPr>
          <w:lang w:val="en-CA"/>
        </w:rPr>
        <w:t xml:space="preserve"> came into </w:t>
      </w:r>
      <w:r w:rsidR="00AB61AD">
        <w:rPr>
          <w:lang w:val="en-CA"/>
        </w:rPr>
        <w:t>force</w:t>
      </w:r>
      <w:r w:rsidRPr="00324CF1">
        <w:rPr>
          <w:lang w:val="en-CA"/>
        </w:rPr>
        <w:t xml:space="preserve"> on May 5, 2022, since that issue had not been decided.</w:t>
      </w:r>
      <w:r w:rsidRPr="00324CF1">
        <w:rPr>
          <w:vertAlign w:val="superscript"/>
          <w:lang w:val="en-CA"/>
        </w:rPr>
        <w:footnoteReference w:id="29"/>
      </w:r>
      <w:r w:rsidRPr="00324CF1">
        <w:rPr>
          <w:lang w:val="en-CA"/>
        </w:rPr>
        <w:t xml:space="preserve"> He concluded that the sums </w:t>
      </w:r>
      <w:r w:rsidR="00AB61AD">
        <w:rPr>
          <w:lang w:val="en-CA"/>
        </w:rPr>
        <w:t>paid</w:t>
      </w:r>
      <w:r w:rsidR="00AB61AD" w:rsidRPr="00324CF1">
        <w:rPr>
          <w:lang w:val="en-CA"/>
        </w:rPr>
        <w:t xml:space="preserve"> </w:t>
      </w:r>
      <w:r w:rsidRPr="00324CF1">
        <w:rPr>
          <w:lang w:val="en-CA"/>
        </w:rPr>
        <w:t xml:space="preserve">to IATA after May 5, 2022, were exempt from seizure, notwithstanding the orders of November 24, 2021, and that, </w:t>
      </w:r>
      <w:r w:rsidR="00AB61AD">
        <w:rPr>
          <w:lang w:val="en-CA"/>
        </w:rPr>
        <w:t>because</w:t>
      </w:r>
      <w:r w:rsidR="00AB61AD" w:rsidRPr="00324CF1">
        <w:rPr>
          <w:lang w:val="en-CA"/>
        </w:rPr>
        <w:t xml:space="preserve"> </w:t>
      </w:r>
      <w:r w:rsidR="000F67FC">
        <w:rPr>
          <w:lang w:val="en-CA"/>
        </w:rPr>
        <w:t>that seizure</w:t>
      </w:r>
      <w:r w:rsidRPr="00324CF1">
        <w:rPr>
          <w:lang w:val="en-CA"/>
        </w:rPr>
        <w:t xml:space="preserve"> </w:t>
      </w:r>
      <w:r w:rsidR="00AB61AD">
        <w:rPr>
          <w:lang w:val="en-CA"/>
        </w:rPr>
        <w:t>consisted of successive seizures</w:t>
      </w:r>
      <w:r w:rsidRPr="00324CF1">
        <w:rPr>
          <w:lang w:val="en-CA"/>
        </w:rPr>
        <w:t xml:space="preserve">, the clear wording of the </w:t>
      </w:r>
      <w:r w:rsidRPr="00324CF1">
        <w:rPr>
          <w:i/>
          <w:iCs/>
          <w:lang w:val="en-CA"/>
        </w:rPr>
        <w:t>IATA Act</w:t>
      </w:r>
      <w:r w:rsidRPr="00324CF1">
        <w:rPr>
          <w:lang w:val="en-CA"/>
        </w:rPr>
        <w:t xml:space="preserve"> </w:t>
      </w:r>
      <w:r w:rsidR="00AB61AD">
        <w:rPr>
          <w:lang w:val="en-CA"/>
        </w:rPr>
        <w:t>precluded any enforcement</w:t>
      </w:r>
      <w:r w:rsidRPr="00324CF1">
        <w:rPr>
          <w:lang w:val="en-CA"/>
        </w:rPr>
        <w:t xml:space="preserve"> after May 5, 2022.</w:t>
      </w:r>
      <w:r w:rsidRPr="00324CF1">
        <w:rPr>
          <w:vertAlign w:val="superscript"/>
          <w:lang w:val="en-CA"/>
        </w:rPr>
        <w:footnoteReference w:id="30"/>
      </w:r>
      <w:r w:rsidRPr="00324CF1">
        <w:rPr>
          <w:lang w:val="en-CA"/>
        </w:rPr>
        <w:t xml:space="preserve"> </w:t>
      </w:r>
      <w:r w:rsidR="00383860" w:rsidRPr="00324CF1">
        <w:rPr>
          <w:lang w:val="en-CA"/>
        </w:rPr>
        <w:t>Th</w:t>
      </w:r>
      <w:r w:rsidR="00383860">
        <w:rPr>
          <w:lang w:val="en-CA"/>
        </w:rPr>
        <w:t>at</w:t>
      </w:r>
      <w:r w:rsidR="00383860" w:rsidRPr="00324CF1">
        <w:rPr>
          <w:lang w:val="en-CA"/>
        </w:rPr>
        <w:t xml:space="preserve"> </w:t>
      </w:r>
      <w:r w:rsidRPr="00324CF1">
        <w:rPr>
          <w:lang w:val="en-CA"/>
        </w:rPr>
        <w:t>judgment is the subject of the third and final appeal.</w:t>
      </w:r>
    </w:p>
    <w:p w14:paraId="07A44473" w14:textId="78FC63AA" w:rsidR="00047B6C" w:rsidRPr="00324CF1" w:rsidRDefault="00ED47F8" w:rsidP="00FB5A91">
      <w:pPr>
        <w:pStyle w:val="Paragraphe"/>
        <w:spacing w:line="240" w:lineRule="auto"/>
        <w:rPr>
          <w:lang w:val="en-US"/>
        </w:rPr>
      </w:pPr>
      <w:r w:rsidRPr="00324CF1">
        <w:rPr>
          <w:lang w:val="en-CA"/>
        </w:rPr>
        <w:t xml:space="preserve">The filing of the application for recognition and enforcement of the two arbitral awards in November 2021 was followed, in January 2022, by the filing of a letter and certificate from the Deputy Director of Global Affairs Canada certifying that India is a foreign state within the meaning of section 14 of the </w:t>
      </w:r>
      <w:r w:rsidRPr="00324CF1">
        <w:rPr>
          <w:i/>
          <w:iCs/>
          <w:lang w:val="en-CA"/>
        </w:rPr>
        <w:t xml:space="preserve">State Immunity Act </w:t>
      </w:r>
      <w:r w:rsidRPr="00324CF1">
        <w:rPr>
          <w:lang w:val="en-CA"/>
        </w:rPr>
        <w:t>(“</w:t>
      </w:r>
      <w:r w:rsidRPr="00324CF1">
        <w:rPr>
          <w:b/>
          <w:bCs/>
          <w:i/>
          <w:iCs/>
          <w:lang w:val="en-CA"/>
        </w:rPr>
        <w:t>SIA</w:t>
      </w:r>
      <w:r w:rsidRPr="00324CF1">
        <w:rPr>
          <w:lang w:val="en-CA"/>
        </w:rPr>
        <w:t>”).</w:t>
      </w:r>
      <w:r w:rsidRPr="00324CF1">
        <w:rPr>
          <w:rStyle w:val="Appelnotedebasdep"/>
          <w:lang w:val="en-CA"/>
        </w:rPr>
        <w:footnoteReference w:id="31"/>
      </w:r>
    </w:p>
    <w:p w14:paraId="43E2B4C9" w14:textId="65BE6335" w:rsidR="00047B6C" w:rsidRPr="00324CF1" w:rsidRDefault="00ED47F8" w:rsidP="00FB5A91">
      <w:pPr>
        <w:pStyle w:val="Paragraphe"/>
        <w:spacing w:line="240" w:lineRule="auto"/>
        <w:rPr>
          <w:lang w:val="en-US"/>
        </w:rPr>
      </w:pPr>
      <w:r w:rsidRPr="00324CF1">
        <w:rPr>
          <w:lang w:val="en-CA"/>
        </w:rPr>
        <w:lastRenderedPageBreak/>
        <w:t xml:space="preserve">On March 16, 2022, India filed an application </w:t>
      </w:r>
      <w:r w:rsidRPr="00324CF1">
        <w:rPr>
          <w:i/>
          <w:iCs/>
          <w:lang w:val="en-CA"/>
        </w:rPr>
        <w:t>de bene esse</w:t>
      </w:r>
      <w:r w:rsidRPr="00324CF1">
        <w:rPr>
          <w:lang w:val="en-CA"/>
        </w:rPr>
        <w:t xml:space="preserve"> to dismiss the application for recognition and enforcement of arbitral awards, on the grounds that it </w:t>
      </w:r>
      <w:r w:rsidR="007C25FA">
        <w:rPr>
          <w:lang w:val="en-CA"/>
        </w:rPr>
        <w:t>benefits from</w:t>
      </w:r>
      <w:r w:rsidR="007C25FA" w:rsidRPr="00324CF1">
        <w:rPr>
          <w:lang w:val="en-CA"/>
        </w:rPr>
        <w:t xml:space="preserve"> </w:t>
      </w:r>
      <w:r w:rsidRPr="00324CF1">
        <w:rPr>
          <w:lang w:val="en-CA"/>
        </w:rPr>
        <w:t xml:space="preserve">a strong presumption of immunity under sections 3 and 6 of the </w:t>
      </w:r>
      <w:r w:rsidRPr="00324CF1">
        <w:rPr>
          <w:i/>
          <w:iCs/>
          <w:lang w:val="en-CA"/>
        </w:rPr>
        <w:t>SIA</w:t>
      </w:r>
      <w:r w:rsidRPr="00324CF1">
        <w:rPr>
          <w:lang w:val="en-CA"/>
        </w:rPr>
        <w:t>. In a judgment rendered on December 23, 2022, Pinsonnault</w:t>
      </w:r>
      <w:r w:rsidR="00907BCE">
        <w:rPr>
          <w:lang w:val="en-CA"/>
        </w:rPr>
        <w:t>,</w:t>
      </w:r>
      <w:r w:rsidRPr="00324CF1">
        <w:rPr>
          <w:lang w:val="en-CA"/>
        </w:rPr>
        <w:t xml:space="preserve"> J. dismissed this application and stated that India does not benefit from immunity </w:t>
      </w:r>
      <w:r w:rsidR="00907BCE">
        <w:rPr>
          <w:lang w:val="en-CA"/>
        </w:rPr>
        <w:t>under</w:t>
      </w:r>
      <w:r w:rsidRPr="00324CF1">
        <w:rPr>
          <w:lang w:val="en-CA"/>
        </w:rPr>
        <w:t xml:space="preserve"> the </w:t>
      </w:r>
      <w:r w:rsidRPr="00324CF1">
        <w:rPr>
          <w:i/>
          <w:iCs/>
          <w:lang w:val="en-CA"/>
        </w:rPr>
        <w:t>SIA</w:t>
      </w:r>
      <w:r w:rsidRPr="00324CF1">
        <w:rPr>
          <w:lang w:val="en-CA"/>
        </w:rPr>
        <w:t xml:space="preserve"> </w:t>
      </w:r>
      <w:r w:rsidR="00931D20">
        <w:rPr>
          <w:lang w:val="en-CA"/>
        </w:rPr>
        <w:t>by virtue of</w:t>
      </w:r>
      <w:r w:rsidRPr="00324CF1">
        <w:rPr>
          <w:lang w:val="en-CA"/>
        </w:rPr>
        <w:t xml:space="preserve"> the application of the commercial activity exception and the waiver exception (“</w:t>
      </w:r>
      <w:r w:rsidRPr="00324CF1">
        <w:rPr>
          <w:b/>
          <w:bCs/>
          <w:lang w:val="en-CA"/>
        </w:rPr>
        <w:t>Judgment on Immunity</w:t>
      </w:r>
      <w:r w:rsidRPr="00324CF1">
        <w:rPr>
          <w:lang w:val="en-CA"/>
        </w:rPr>
        <w:t>”).</w:t>
      </w:r>
      <w:bookmarkStart w:id="33" w:name="_Ref182565008"/>
      <w:r w:rsidRPr="00324CF1">
        <w:rPr>
          <w:vertAlign w:val="superscript"/>
          <w:lang w:val="en-CA"/>
        </w:rPr>
        <w:footnoteReference w:id="32"/>
      </w:r>
      <w:bookmarkEnd w:id="33"/>
      <w:r w:rsidRPr="00324CF1">
        <w:rPr>
          <w:lang w:val="en-CA"/>
        </w:rPr>
        <w:t xml:space="preserve"> This judgment </w:t>
      </w:r>
      <w:r w:rsidR="00907BCE">
        <w:rPr>
          <w:lang w:val="en-CA"/>
        </w:rPr>
        <w:t>is</w:t>
      </w:r>
      <w:r w:rsidRPr="00324CF1">
        <w:rPr>
          <w:lang w:val="en-CA"/>
        </w:rPr>
        <w:t xml:space="preserve"> the subject of the first appeal</w:t>
      </w:r>
      <w:r w:rsidR="00BF1DE4">
        <w:rPr>
          <w:lang w:val="en-CA"/>
        </w:rPr>
        <w:t>.</w:t>
      </w:r>
      <w:r w:rsidRPr="00324CF1">
        <w:rPr>
          <w:lang w:val="en-CA"/>
        </w:rPr>
        <w:t xml:space="preserve"> </w:t>
      </w:r>
      <w:r w:rsidR="00BF1DE4">
        <w:rPr>
          <w:lang w:val="en-CA"/>
        </w:rPr>
        <w:t>Leave to appeal from that judgment was granted by</w:t>
      </w:r>
      <w:r w:rsidRPr="00324CF1">
        <w:rPr>
          <w:lang w:val="en-CA"/>
        </w:rPr>
        <w:t xml:space="preserve"> a judge of </w:t>
      </w:r>
      <w:r w:rsidR="00BF1DE4">
        <w:rPr>
          <w:lang w:val="en-CA"/>
        </w:rPr>
        <w:t>this</w:t>
      </w:r>
      <w:r w:rsidRPr="00324CF1">
        <w:rPr>
          <w:lang w:val="en-CA"/>
        </w:rPr>
        <w:t xml:space="preserve"> Court</w:t>
      </w:r>
      <w:r w:rsidR="00907BCE">
        <w:rPr>
          <w:lang w:val="en-CA"/>
        </w:rPr>
        <w:t xml:space="preserve"> </w:t>
      </w:r>
      <w:r w:rsidR="00BF1DE4">
        <w:rPr>
          <w:lang w:val="en-CA"/>
        </w:rPr>
        <w:t>with</w:t>
      </w:r>
      <w:r w:rsidRPr="00324CF1">
        <w:rPr>
          <w:lang w:val="en-CA"/>
        </w:rPr>
        <w:t xml:space="preserve"> a suretyship of $20,000 to guarantee </w:t>
      </w:r>
      <w:r w:rsidR="00907BCE">
        <w:rPr>
          <w:lang w:val="en-CA"/>
        </w:rPr>
        <w:t xml:space="preserve">the </w:t>
      </w:r>
      <w:r w:rsidRPr="00324CF1">
        <w:rPr>
          <w:lang w:val="en-CA"/>
        </w:rPr>
        <w:t>payment of the legal costs.</w:t>
      </w:r>
      <w:bookmarkStart w:id="34" w:name="_Ref174457065"/>
      <w:r w:rsidRPr="00324CF1">
        <w:rPr>
          <w:rStyle w:val="Appelnotedebasdep"/>
          <w:lang w:val="en-CA"/>
        </w:rPr>
        <w:footnoteReference w:id="33"/>
      </w:r>
      <w:bookmarkEnd w:id="34"/>
    </w:p>
    <w:p w14:paraId="6B3E6805" w14:textId="4F39DF52" w:rsidR="00047B6C" w:rsidRPr="00324CF1" w:rsidRDefault="00ED47F8" w:rsidP="00FB5A91">
      <w:pPr>
        <w:pStyle w:val="Paragraphe"/>
        <w:spacing w:line="240" w:lineRule="auto"/>
        <w:rPr>
          <w:lang w:val="en-US"/>
        </w:rPr>
      </w:pPr>
      <w:r w:rsidRPr="00324CF1">
        <w:rPr>
          <w:lang w:val="en-CA"/>
        </w:rPr>
        <w:t xml:space="preserve">The three appeals should </w:t>
      </w:r>
      <w:r w:rsidR="00BF1DE4">
        <w:rPr>
          <w:lang w:val="en-CA"/>
        </w:rPr>
        <w:t xml:space="preserve">therefore </w:t>
      </w:r>
      <w:r w:rsidRPr="00324CF1">
        <w:rPr>
          <w:lang w:val="en-CA"/>
        </w:rPr>
        <w:t xml:space="preserve">be addressed in the order designated in the proceedings and arguments rather than in the chronological order of the judgments </w:t>
      </w:r>
      <w:r w:rsidR="00BF1DE4">
        <w:rPr>
          <w:lang w:val="en-CA"/>
        </w:rPr>
        <w:t>under appeal. According</w:t>
      </w:r>
      <w:r w:rsidR="00E33132">
        <w:rPr>
          <w:lang w:val="en-CA"/>
        </w:rPr>
        <w:t>ly</w:t>
      </w:r>
      <w:r w:rsidR="00BF1DE4">
        <w:rPr>
          <w:lang w:val="en-CA"/>
        </w:rPr>
        <w:t>, this Court will examine</w:t>
      </w:r>
      <w:r w:rsidRPr="00324CF1">
        <w:rPr>
          <w:lang w:val="en-CA"/>
        </w:rPr>
        <w:t xml:space="preserve"> the grounds raised with regard to the Judgment on Immunity, </w:t>
      </w:r>
      <w:r w:rsidR="00BF1DE4">
        <w:rPr>
          <w:lang w:val="en-CA"/>
        </w:rPr>
        <w:t xml:space="preserve">then </w:t>
      </w:r>
      <w:r w:rsidRPr="00324CF1">
        <w:rPr>
          <w:lang w:val="en-CA"/>
        </w:rPr>
        <w:t xml:space="preserve">the appeal </w:t>
      </w:r>
      <w:r w:rsidR="00BF1DE4">
        <w:rPr>
          <w:lang w:val="en-CA"/>
        </w:rPr>
        <w:t>from</w:t>
      </w:r>
      <w:r w:rsidR="00BF1DE4" w:rsidRPr="00324CF1">
        <w:rPr>
          <w:lang w:val="en-CA"/>
        </w:rPr>
        <w:t xml:space="preserve"> </w:t>
      </w:r>
      <w:r w:rsidRPr="00324CF1">
        <w:rPr>
          <w:lang w:val="en-CA"/>
        </w:rPr>
        <w:t xml:space="preserve">the Judgment Quashing the Seizure, and lastly the appeal </w:t>
      </w:r>
      <w:r w:rsidR="00BF1DE4">
        <w:rPr>
          <w:lang w:val="en-CA"/>
        </w:rPr>
        <w:t>from</w:t>
      </w:r>
      <w:r w:rsidR="00BF1DE4" w:rsidRPr="00324CF1">
        <w:rPr>
          <w:lang w:val="en-CA"/>
        </w:rPr>
        <w:t xml:space="preserve"> </w:t>
      </w:r>
      <w:r w:rsidRPr="00324CF1">
        <w:rPr>
          <w:lang w:val="en-CA"/>
        </w:rPr>
        <w:t xml:space="preserve">the Judgment on the </w:t>
      </w:r>
      <w:r w:rsidR="00A92438">
        <w:rPr>
          <w:lang w:val="en-CA"/>
        </w:rPr>
        <w:t>a</w:t>
      </w:r>
      <w:r w:rsidRPr="00324CF1">
        <w:rPr>
          <w:lang w:val="en-CA"/>
        </w:rPr>
        <w:t xml:space="preserve">pplication of the </w:t>
      </w:r>
      <w:r w:rsidRPr="00324CF1">
        <w:rPr>
          <w:i/>
          <w:iCs/>
          <w:lang w:val="en-CA"/>
        </w:rPr>
        <w:t>IATA Act</w:t>
      </w:r>
      <w:r w:rsidRPr="00324CF1">
        <w:rPr>
          <w:lang w:val="en-CA"/>
        </w:rPr>
        <w:t>.</w:t>
      </w:r>
    </w:p>
    <w:p w14:paraId="54298253" w14:textId="77777777" w:rsidR="00BC160A" w:rsidRPr="00324CF1" w:rsidRDefault="00ED47F8" w:rsidP="00FB5A91">
      <w:pPr>
        <w:pStyle w:val="Titre1"/>
        <w:numPr>
          <w:ilvl w:val="0"/>
          <w:numId w:val="15"/>
        </w:numPr>
        <w:spacing w:line="240" w:lineRule="auto"/>
        <w:jc w:val="both"/>
        <w:rPr>
          <w:sz w:val="24"/>
          <w:szCs w:val="24"/>
        </w:rPr>
      </w:pPr>
      <w:bookmarkStart w:id="35" w:name="_Toc184205606"/>
      <w:bookmarkStart w:id="36" w:name="_Toc256000001"/>
      <w:r w:rsidRPr="00324CF1">
        <w:rPr>
          <w:bCs/>
          <w:sz w:val="24"/>
          <w:szCs w:val="24"/>
          <w:lang w:val="en-CA"/>
        </w:rPr>
        <w:t>The Republic of India c. CCDM Holdings LLC. et al. (500-09-030393-235)</w:t>
      </w:r>
      <w:bookmarkEnd w:id="35"/>
      <w:bookmarkEnd w:id="36"/>
    </w:p>
    <w:p w14:paraId="57798364" w14:textId="1E223F73" w:rsidR="00BC160A" w:rsidRPr="00324CF1" w:rsidRDefault="00ED47F8" w:rsidP="00FB5A91">
      <w:pPr>
        <w:pStyle w:val="Paragraphe"/>
        <w:spacing w:line="240" w:lineRule="auto"/>
        <w:rPr>
          <w:lang w:val="en-US"/>
        </w:rPr>
      </w:pPr>
      <w:r w:rsidRPr="00324CF1">
        <w:rPr>
          <w:lang w:val="en-CA"/>
        </w:rPr>
        <w:t xml:space="preserve">In the first case, India appealed </w:t>
      </w:r>
      <w:r w:rsidR="00B6735C">
        <w:rPr>
          <w:lang w:val="en-CA"/>
        </w:rPr>
        <w:t xml:space="preserve">from </w:t>
      </w:r>
      <w:r w:rsidRPr="00324CF1">
        <w:rPr>
          <w:lang w:val="en-CA"/>
        </w:rPr>
        <w:t>the judgment</w:t>
      </w:r>
      <w:r w:rsidRPr="00324CF1">
        <w:rPr>
          <w:rStyle w:val="Appelnotedebasdep"/>
          <w:lang w:val="en-CA"/>
        </w:rPr>
        <w:footnoteReference w:id="34"/>
      </w:r>
      <w:r w:rsidRPr="00324CF1">
        <w:rPr>
          <w:lang w:val="en-CA"/>
        </w:rPr>
        <w:t xml:space="preserve"> dismiss</w:t>
      </w:r>
      <w:r w:rsidR="00B6735C">
        <w:rPr>
          <w:lang w:val="en-CA"/>
        </w:rPr>
        <w:t>ing</w:t>
      </w:r>
      <w:r w:rsidRPr="00324CF1">
        <w:rPr>
          <w:lang w:val="en-CA"/>
        </w:rPr>
        <w:t xml:space="preserve"> its application to dismiss on the basis of state immunity, which </w:t>
      </w:r>
      <w:r w:rsidR="00B6735C">
        <w:rPr>
          <w:lang w:val="en-CA"/>
        </w:rPr>
        <w:t>was intended</w:t>
      </w:r>
      <w:r w:rsidR="00B6735C" w:rsidRPr="00324CF1">
        <w:rPr>
          <w:lang w:val="en-CA"/>
        </w:rPr>
        <w:t xml:space="preserve"> </w:t>
      </w:r>
      <w:r w:rsidR="00E33132">
        <w:rPr>
          <w:lang w:val="en-CA"/>
        </w:rPr>
        <w:t>as a bar</w:t>
      </w:r>
      <w:r w:rsidRPr="00324CF1">
        <w:rPr>
          <w:lang w:val="en-CA"/>
        </w:rPr>
        <w:t xml:space="preserve"> to the application for recognition and enforcement of the two arbitral awards.</w:t>
      </w:r>
      <w:r w:rsidRPr="00324CF1">
        <w:rPr>
          <w:rStyle w:val="Appelnotedebasdep"/>
          <w:lang w:val="en-CA"/>
        </w:rPr>
        <w:footnoteReference w:id="35"/>
      </w:r>
    </w:p>
    <w:p w14:paraId="6BB279FA" w14:textId="77777777" w:rsidR="00BC160A" w:rsidRPr="00324CF1" w:rsidRDefault="00ED47F8" w:rsidP="00FB5A91">
      <w:pPr>
        <w:pStyle w:val="Titre2"/>
        <w:spacing w:line="240" w:lineRule="auto"/>
      </w:pPr>
      <w:bookmarkStart w:id="37" w:name="_Toc184205607"/>
      <w:bookmarkStart w:id="38" w:name="_Toc256000002"/>
      <w:r w:rsidRPr="00324CF1">
        <w:rPr>
          <w:bCs/>
          <w:iCs/>
          <w:lang w:val="en-CA"/>
        </w:rPr>
        <w:t xml:space="preserve">1. </w:t>
      </w:r>
      <w:r w:rsidRPr="00324CF1">
        <w:rPr>
          <w:b w:val="0"/>
          <w:i w:val="0"/>
          <w:lang w:val="en-CA"/>
        </w:rPr>
        <w:tab/>
      </w:r>
      <w:r w:rsidRPr="00324CF1">
        <w:rPr>
          <w:bCs/>
          <w:iCs/>
          <w:lang w:val="en-CA"/>
        </w:rPr>
        <w:t>Judgment on Immunity</w:t>
      </w:r>
      <w:bookmarkEnd w:id="37"/>
      <w:bookmarkEnd w:id="38"/>
    </w:p>
    <w:p w14:paraId="38FE662E" w14:textId="44532B3F" w:rsidR="00BF3D9D" w:rsidRPr="005E6EB3" w:rsidRDefault="00ED47F8" w:rsidP="00FB5A91">
      <w:pPr>
        <w:pStyle w:val="Paragraphe"/>
        <w:spacing w:line="240" w:lineRule="auto"/>
        <w:rPr>
          <w:lang w:val="en-CA"/>
        </w:rPr>
      </w:pPr>
      <w:r w:rsidRPr="00324CF1">
        <w:rPr>
          <w:lang w:val="en-CA"/>
        </w:rPr>
        <w:t>On December 23, 2022, Pinsonnault</w:t>
      </w:r>
      <w:r w:rsidR="00B16B21">
        <w:rPr>
          <w:lang w:val="en-CA"/>
        </w:rPr>
        <w:t>,</w:t>
      </w:r>
      <w:r w:rsidRPr="00324CF1">
        <w:rPr>
          <w:lang w:val="en-CA"/>
        </w:rPr>
        <w:t xml:space="preserve"> J. dismissed India’s application to dismiss. </w:t>
      </w:r>
      <w:r w:rsidRPr="00324CF1">
        <w:rPr>
          <w:color w:val="000000"/>
          <w:szCs w:val="24"/>
          <w:lang w:val="en-CA"/>
        </w:rPr>
        <w:t>As a foreign state</w:t>
      </w:r>
      <w:r w:rsidRPr="00324CF1">
        <w:rPr>
          <w:lang w:val="en-CA"/>
        </w:rPr>
        <w:t xml:space="preserve"> within the meaning of section 2 of </w:t>
      </w:r>
      <w:r w:rsidRPr="00324CF1">
        <w:rPr>
          <w:i/>
          <w:iCs/>
          <w:lang w:val="en-CA"/>
        </w:rPr>
        <w:t>the SIA</w:t>
      </w:r>
      <w:r w:rsidRPr="00324CF1">
        <w:rPr>
          <w:lang w:val="en-CA"/>
        </w:rPr>
        <w:t>, India benefits</w:t>
      </w:r>
      <w:r w:rsidRPr="00324CF1">
        <w:rPr>
          <w:color w:val="000000"/>
          <w:szCs w:val="24"/>
          <w:lang w:val="en-CA"/>
        </w:rPr>
        <w:t xml:space="preserve"> from the</w:t>
      </w:r>
      <w:r w:rsidRPr="00324CF1">
        <w:rPr>
          <w:rFonts w:ascii="Times New Roman" w:hAnsi="Times New Roman"/>
          <w:color w:val="000000"/>
          <w:szCs w:val="24"/>
          <w:lang w:val="en-CA"/>
        </w:rPr>
        <w:t xml:space="preserve"> </w:t>
      </w:r>
      <w:r w:rsidRPr="00324CF1">
        <w:rPr>
          <w:lang w:val="en-CA"/>
        </w:rPr>
        <w:t xml:space="preserve">strong presumption of immunity </w:t>
      </w:r>
      <w:r w:rsidR="007C25FA">
        <w:rPr>
          <w:lang w:val="en-CA"/>
        </w:rPr>
        <w:t>set out under</w:t>
      </w:r>
      <w:r w:rsidRPr="00324CF1">
        <w:rPr>
          <w:lang w:val="en-CA"/>
        </w:rPr>
        <w:t xml:space="preserve"> section 3(1) of the</w:t>
      </w:r>
      <w:r w:rsidRPr="00324CF1">
        <w:rPr>
          <w:i/>
          <w:iCs/>
          <w:lang w:val="en-CA"/>
        </w:rPr>
        <w:t xml:space="preserve"> SIA</w:t>
      </w:r>
      <w:r w:rsidRPr="00324CF1">
        <w:rPr>
          <w:lang w:val="en-CA"/>
        </w:rPr>
        <w:t>. Pinsonnault</w:t>
      </w:r>
      <w:r w:rsidR="00B16B21">
        <w:rPr>
          <w:lang w:val="en-CA"/>
        </w:rPr>
        <w:t>,</w:t>
      </w:r>
      <w:r w:rsidRPr="00324CF1">
        <w:rPr>
          <w:lang w:val="en-CA"/>
        </w:rPr>
        <w:t xml:space="preserve"> J. determined that it was</w:t>
      </w:r>
      <w:r w:rsidR="007C25FA">
        <w:rPr>
          <w:lang w:val="en-CA"/>
        </w:rPr>
        <w:t xml:space="preserve"> incumbent upon</w:t>
      </w:r>
      <w:r w:rsidRPr="00324CF1">
        <w:rPr>
          <w:lang w:val="en-CA"/>
        </w:rPr>
        <w:t xml:space="preserve"> CCDM/Devas to rebut this presumption and that they </w:t>
      </w:r>
      <w:r w:rsidR="00B16B21">
        <w:rPr>
          <w:lang w:val="en-CA"/>
        </w:rPr>
        <w:t xml:space="preserve">had </w:t>
      </w:r>
      <w:r w:rsidRPr="00324CF1">
        <w:rPr>
          <w:lang w:val="en-CA"/>
        </w:rPr>
        <w:t xml:space="preserve">succeeded in doing so by rightly relying on the commercial activity exception and the waiver exception. He noted that the Treaty includes the following obligations: </w:t>
      </w:r>
    </w:p>
    <w:p w14:paraId="12A2BE04" w14:textId="77777777" w:rsidR="00BF3D9D" w:rsidRPr="00324CF1" w:rsidRDefault="00ED47F8" w:rsidP="00FB5A91">
      <w:pPr>
        <w:pStyle w:val="Paragraphe"/>
        <w:numPr>
          <w:ilvl w:val="0"/>
          <w:numId w:val="10"/>
        </w:numPr>
        <w:spacing w:line="240" w:lineRule="auto"/>
        <w:rPr>
          <w:lang w:val="en-US"/>
        </w:rPr>
      </w:pPr>
      <w:r w:rsidRPr="00324CF1">
        <w:rPr>
          <w:lang w:val="en-CA"/>
        </w:rPr>
        <w:t xml:space="preserve">4(1): obligation of fair and equitable treatment; </w:t>
      </w:r>
    </w:p>
    <w:p w14:paraId="086067FD" w14:textId="77777777" w:rsidR="00BF3D9D" w:rsidRPr="00324CF1" w:rsidRDefault="00ED47F8" w:rsidP="00FB5A91">
      <w:pPr>
        <w:pStyle w:val="Paragraphe"/>
        <w:numPr>
          <w:ilvl w:val="0"/>
          <w:numId w:val="10"/>
        </w:numPr>
        <w:spacing w:line="240" w:lineRule="auto"/>
        <w:rPr>
          <w:lang w:val="en-US"/>
        </w:rPr>
      </w:pPr>
      <w:r w:rsidRPr="00324CF1">
        <w:rPr>
          <w:lang w:val="en-CA"/>
        </w:rPr>
        <w:t>6(1): obligation not to expropriate or nationalize investments;</w:t>
      </w:r>
    </w:p>
    <w:p w14:paraId="758201CA" w14:textId="77777777" w:rsidR="00BF3D9D" w:rsidRPr="00324CF1" w:rsidRDefault="00ED47F8" w:rsidP="00FB5A91">
      <w:pPr>
        <w:pStyle w:val="Paragraphe"/>
        <w:numPr>
          <w:ilvl w:val="0"/>
          <w:numId w:val="10"/>
        </w:numPr>
        <w:spacing w:line="240" w:lineRule="auto"/>
        <w:rPr>
          <w:lang w:val="en-US"/>
        </w:rPr>
      </w:pPr>
      <w:r w:rsidRPr="00324CF1">
        <w:rPr>
          <w:lang w:val="en-CA"/>
        </w:rPr>
        <w:t>6(3): positive obligation to compensate investors to ensure fair and equitable compensation;</w:t>
      </w:r>
    </w:p>
    <w:p w14:paraId="178B9B05" w14:textId="45AEE202" w:rsidR="00BC160A" w:rsidRPr="00324CF1" w:rsidRDefault="00ED47F8" w:rsidP="00FB5A91">
      <w:pPr>
        <w:pStyle w:val="Paragraphe"/>
        <w:numPr>
          <w:ilvl w:val="0"/>
          <w:numId w:val="10"/>
        </w:numPr>
        <w:spacing w:line="240" w:lineRule="auto"/>
        <w:rPr>
          <w:lang w:val="en-US"/>
        </w:rPr>
      </w:pPr>
      <w:r w:rsidRPr="00324CF1">
        <w:rPr>
          <w:lang w:val="en-CA"/>
        </w:rPr>
        <w:lastRenderedPageBreak/>
        <w:t xml:space="preserve">8(1) and (2): obligation to use the alternative dispute </w:t>
      </w:r>
      <w:r w:rsidR="002148A0">
        <w:rPr>
          <w:lang w:val="en-CA"/>
        </w:rPr>
        <w:t>settlement</w:t>
      </w:r>
      <w:r w:rsidRPr="00324CF1">
        <w:rPr>
          <w:lang w:val="en-CA"/>
        </w:rPr>
        <w:t xml:space="preserve"> mechanism that was </w:t>
      </w:r>
      <w:r w:rsidR="007C25FA">
        <w:rPr>
          <w:lang w:val="en-CA"/>
        </w:rPr>
        <w:t>implemented</w:t>
      </w:r>
      <w:r w:rsidRPr="00324CF1">
        <w:rPr>
          <w:lang w:val="en-CA"/>
        </w:rPr>
        <w:t>.</w:t>
      </w:r>
      <w:r w:rsidRPr="00324CF1">
        <w:rPr>
          <w:rStyle w:val="Appelnotedebasdep"/>
          <w:lang w:val="en-CA"/>
        </w:rPr>
        <w:footnoteReference w:id="36"/>
      </w:r>
    </w:p>
    <w:p w14:paraId="61C6D360" w14:textId="61CAD759" w:rsidR="00BC160A" w:rsidRPr="00324CF1" w:rsidRDefault="00ED47F8" w:rsidP="00FB5A91">
      <w:pPr>
        <w:pStyle w:val="Paragraphe"/>
        <w:spacing w:line="240" w:lineRule="auto"/>
        <w:rPr>
          <w:lang w:val="en-US"/>
        </w:rPr>
      </w:pPr>
      <w:r w:rsidRPr="00324CF1">
        <w:rPr>
          <w:lang w:val="en-CA"/>
        </w:rPr>
        <w:t xml:space="preserve">He </w:t>
      </w:r>
      <w:r w:rsidR="007C25FA">
        <w:rPr>
          <w:lang w:val="en-CA"/>
        </w:rPr>
        <w:t xml:space="preserve">then </w:t>
      </w:r>
      <w:r w:rsidRPr="00324CF1">
        <w:rPr>
          <w:lang w:val="en-CA"/>
        </w:rPr>
        <w:t>concluded that the commercial activity exception applie</w:t>
      </w:r>
      <w:r w:rsidR="007C25FA">
        <w:rPr>
          <w:lang w:val="en-CA"/>
        </w:rPr>
        <w:t>d</w:t>
      </w:r>
      <w:r w:rsidRPr="00324CF1">
        <w:rPr>
          <w:lang w:val="en-CA"/>
        </w:rPr>
        <w:t xml:space="preserve"> in this case and that India </w:t>
      </w:r>
      <w:r w:rsidR="007C25FA">
        <w:rPr>
          <w:lang w:val="en-CA"/>
        </w:rPr>
        <w:t>did</w:t>
      </w:r>
      <w:r w:rsidR="007C25FA" w:rsidRPr="00324CF1">
        <w:rPr>
          <w:lang w:val="en-CA"/>
        </w:rPr>
        <w:t xml:space="preserve"> </w:t>
      </w:r>
      <w:r w:rsidRPr="00324CF1">
        <w:rPr>
          <w:lang w:val="en-CA"/>
        </w:rPr>
        <w:t>not benefit from any immunity since its activities are commercial in nature when analyzed in context:</w:t>
      </w:r>
      <w:r w:rsidRPr="00324CF1">
        <w:rPr>
          <w:rStyle w:val="Appelnotedebasdep"/>
          <w:lang w:val="en-CA"/>
        </w:rPr>
        <w:footnoteReference w:id="37"/>
      </w:r>
      <w:r w:rsidRPr="00324CF1">
        <w:rPr>
          <w:lang w:val="en-CA"/>
        </w:rPr>
        <w:t xml:space="preserve"> </w:t>
      </w:r>
    </w:p>
    <w:p w14:paraId="23A7EB6F" w14:textId="77777777" w:rsidR="00BC160A" w:rsidRPr="00324CF1" w:rsidRDefault="00ED47F8" w:rsidP="00FB5A91">
      <w:pPr>
        <w:pStyle w:val="Paragraphe"/>
        <w:numPr>
          <w:ilvl w:val="0"/>
          <w:numId w:val="11"/>
        </w:numPr>
        <w:spacing w:line="240" w:lineRule="auto"/>
        <w:rPr>
          <w:lang w:val="en-US"/>
        </w:rPr>
      </w:pPr>
      <w:r w:rsidRPr="00324CF1">
        <w:rPr>
          <w:lang w:val="en-CA"/>
        </w:rPr>
        <w:t>Antrix is the marketing arm of India;</w:t>
      </w:r>
    </w:p>
    <w:p w14:paraId="7BFFC7D4" w14:textId="493602D6" w:rsidR="00BC160A" w:rsidRPr="00324CF1" w:rsidRDefault="00ED47F8" w:rsidP="00FB5A91">
      <w:pPr>
        <w:pStyle w:val="Paragraphe"/>
        <w:numPr>
          <w:ilvl w:val="0"/>
          <w:numId w:val="11"/>
        </w:numPr>
        <w:spacing w:line="240" w:lineRule="auto"/>
        <w:rPr>
          <w:lang w:val="en-US"/>
        </w:rPr>
      </w:pPr>
      <w:r w:rsidRPr="00324CF1">
        <w:rPr>
          <w:lang w:val="en-CA"/>
        </w:rPr>
        <w:t xml:space="preserve">The arbitral awards are directly </w:t>
      </w:r>
      <w:r w:rsidR="003779AA">
        <w:rPr>
          <w:lang w:val="en-CA"/>
        </w:rPr>
        <w:t>related</w:t>
      </w:r>
      <w:r w:rsidR="003779AA" w:rsidRPr="00324CF1">
        <w:rPr>
          <w:lang w:val="en-CA"/>
        </w:rPr>
        <w:t xml:space="preserve"> </w:t>
      </w:r>
      <w:r w:rsidRPr="00324CF1">
        <w:rPr>
          <w:lang w:val="en-CA"/>
        </w:rPr>
        <w:t xml:space="preserve">to a decision India made not to </w:t>
      </w:r>
      <w:r w:rsidR="003779AA">
        <w:rPr>
          <w:lang w:val="en-CA"/>
        </w:rPr>
        <w:t>fulfil</w:t>
      </w:r>
      <w:r w:rsidR="003779AA" w:rsidRPr="00324CF1">
        <w:rPr>
          <w:lang w:val="en-CA"/>
        </w:rPr>
        <w:t xml:space="preserve"> </w:t>
      </w:r>
      <w:r w:rsidRPr="00324CF1">
        <w:rPr>
          <w:lang w:val="en-CA"/>
        </w:rPr>
        <w:t xml:space="preserve">its commitments under the Treaty, which aims to encourage foreign investment and is clearly a trade agreement; </w:t>
      </w:r>
    </w:p>
    <w:p w14:paraId="1EA20D4C" w14:textId="77777777" w:rsidR="00BC160A" w:rsidRPr="00324CF1" w:rsidRDefault="00ED47F8" w:rsidP="00FB5A91">
      <w:pPr>
        <w:pStyle w:val="Paragraphe"/>
        <w:numPr>
          <w:ilvl w:val="0"/>
          <w:numId w:val="11"/>
        </w:numPr>
        <w:spacing w:line="240" w:lineRule="auto"/>
        <w:rPr>
          <w:lang w:val="en-US"/>
        </w:rPr>
      </w:pPr>
      <w:r w:rsidRPr="00324CF1">
        <w:rPr>
          <w:lang w:val="en-CA"/>
        </w:rPr>
        <w:t>The Devas Agreement allows for Antrix to lease part of the spectrum capacity that India was granted by the United Nations;</w:t>
      </w:r>
    </w:p>
    <w:p w14:paraId="49E4EB0F" w14:textId="77777777" w:rsidR="00BC160A" w:rsidRPr="00324CF1" w:rsidRDefault="00ED47F8" w:rsidP="00FB5A91">
      <w:pPr>
        <w:pStyle w:val="Paragraphe"/>
        <w:numPr>
          <w:ilvl w:val="0"/>
          <w:numId w:val="11"/>
        </w:numPr>
        <w:spacing w:line="240" w:lineRule="auto"/>
        <w:rPr>
          <w:lang w:val="en-US"/>
        </w:rPr>
      </w:pPr>
      <w:r w:rsidRPr="00324CF1">
        <w:rPr>
          <w:lang w:val="en-CA"/>
        </w:rPr>
        <w:t xml:space="preserve">The Devas Agreement is undeniably commercial in scope; </w:t>
      </w:r>
    </w:p>
    <w:p w14:paraId="6E1A7F1B" w14:textId="77777777" w:rsidR="00BC160A" w:rsidRPr="00324CF1" w:rsidRDefault="00ED47F8" w:rsidP="00FB5A91">
      <w:pPr>
        <w:pStyle w:val="Paragraphe"/>
        <w:numPr>
          <w:ilvl w:val="0"/>
          <w:numId w:val="11"/>
        </w:numPr>
        <w:spacing w:line="240" w:lineRule="auto"/>
        <w:rPr>
          <w:lang w:val="en-US"/>
        </w:rPr>
      </w:pPr>
      <w:r w:rsidRPr="00324CF1">
        <w:rPr>
          <w:lang w:val="en-CA"/>
        </w:rPr>
        <w:t>By investing in Devas, the Devas Investors and Shareholders financed Indian trade activities;</w:t>
      </w:r>
    </w:p>
    <w:p w14:paraId="098B14CA" w14:textId="77777777" w:rsidR="00BC160A" w:rsidRPr="00324CF1" w:rsidRDefault="00ED47F8" w:rsidP="00FB5A91">
      <w:pPr>
        <w:pStyle w:val="Paragraphe"/>
        <w:numPr>
          <w:ilvl w:val="0"/>
          <w:numId w:val="11"/>
        </w:numPr>
        <w:spacing w:line="240" w:lineRule="auto"/>
        <w:rPr>
          <w:lang w:val="en-US"/>
        </w:rPr>
      </w:pPr>
      <w:r w:rsidRPr="00324CF1">
        <w:rPr>
          <w:lang w:val="en-CA"/>
        </w:rPr>
        <w:t>India’s decisions led to the termination of the Devas Agreement, a commercial contract.</w:t>
      </w:r>
      <w:r w:rsidRPr="00324CF1">
        <w:rPr>
          <w:rStyle w:val="Appelnotedebasdep"/>
          <w:lang w:val="en-CA"/>
        </w:rPr>
        <w:footnoteReference w:id="38"/>
      </w:r>
    </w:p>
    <w:p w14:paraId="37A9451A" w14:textId="77777777" w:rsidR="00BC160A" w:rsidRPr="00324CF1" w:rsidRDefault="00ED47F8" w:rsidP="00FB5A91">
      <w:pPr>
        <w:pStyle w:val="Paragraphe"/>
        <w:spacing w:line="240" w:lineRule="auto"/>
        <w:rPr>
          <w:lang w:val="en-US"/>
        </w:rPr>
      </w:pPr>
      <w:r w:rsidRPr="00324CF1">
        <w:rPr>
          <w:lang w:val="en-CA"/>
        </w:rPr>
        <w:t xml:space="preserve">The judge also relied on specific findings of the PCA Arbitral Tribunal to conclude that the relationship between Devas and India was strictly commercial, specifically that: </w:t>
      </w:r>
    </w:p>
    <w:p w14:paraId="73CCC75D" w14:textId="77777777" w:rsidR="00BC160A" w:rsidRPr="00324CF1" w:rsidRDefault="00ED47F8" w:rsidP="00FB5A91">
      <w:pPr>
        <w:pStyle w:val="Paragraphe"/>
        <w:numPr>
          <w:ilvl w:val="0"/>
          <w:numId w:val="12"/>
        </w:numPr>
        <w:spacing w:line="240" w:lineRule="auto"/>
        <w:rPr>
          <w:lang w:val="en-US"/>
        </w:rPr>
      </w:pPr>
      <w:r w:rsidRPr="00324CF1">
        <w:rPr>
          <w:lang w:val="en-CA"/>
        </w:rPr>
        <w:t xml:space="preserve">India </w:t>
      </w:r>
      <w:r w:rsidRPr="00587D5C">
        <w:rPr>
          <w:lang w:val="en-CA"/>
        </w:rPr>
        <w:t>decided to unilaterally terminate the</w:t>
      </w:r>
      <w:r w:rsidRPr="00324CF1">
        <w:rPr>
          <w:lang w:val="en-CA"/>
        </w:rPr>
        <w:t xml:space="preserve"> Devas Agreement; </w:t>
      </w:r>
    </w:p>
    <w:p w14:paraId="12094196" w14:textId="77777777" w:rsidR="00BC160A" w:rsidRPr="00324CF1" w:rsidRDefault="00ED47F8" w:rsidP="00FB5A91">
      <w:pPr>
        <w:pStyle w:val="Paragraphe"/>
        <w:numPr>
          <w:ilvl w:val="0"/>
          <w:numId w:val="12"/>
        </w:numPr>
        <w:spacing w:line="240" w:lineRule="auto"/>
        <w:rPr>
          <w:lang w:val="en-US"/>
        </w:rPr>
      </w:pPr>
      <w:r w:rsidRPr="00324CF1">
        <w:rPr>
          <w:lang w:val="en-CA"/>
        </w:rPr>
        <w:t>The court seized of the Antrix Arbitration dismissed Antrix’s argument that it terminated the Devas Agreement on the ground of force majeure;</w:t>
      </w:r>
    </w:p>
    <w:p w14:paraId="0825C248" w14:textId="77777777" w:rsidR="00BC160A" w:rsidRPr="00324CF1" w:rsidRDefault="00ED47F8" w:rsidP="00FB5A91">
      <w:pPr>
        <w:pStyle w:val="Paragraphe"/>
        <w:numPr>
          <w:ilvl w:val="0"/>
          <w:numId w:val="12"/>
        </w:numPr>
        <w:spacing w:line="240" w:lineRule="auto"/>
        <w:rPr>
          <w:lang w:val="en-US"/>
        </w:rPr>
      </w:pPr>
      <w:r w:rsidRPr="00324CF1">
        <w:rPr>
          <w:lang w:val="en-CA"/>
        </w:rPr>
        <w:t>India’s decision, having led to termination by Antrix, prevented a trade agreement from being carried out;</w:t>
      </w:r>
    </w:p>
    <w:p w14:paraId="2B9AECC5" w14:textId="7F1B2C95" w:rsidR="00BC160A" w:rsidRPr="00324CF1" w:rsidRDefault="008B22CF" w:rsidP="00FB5A91">
      <w:pPr>
        <w:pStyle w:val="Paragraphe"/>
        <w:numPr>
          <w:ilvl w:val="0"/>
          <w:numId w:val="12"/>
        </w:numPr>
        <w:spacing w:line="240" w:lineRule="auto"/>
        <w:rPr>
          <w:lang w:val="en-US"/>
        </w:rPr>
      </w:pPr>
      <w:r>
        <w:rPr>
          <w:lang w:val="en-CA"/>
        </w:rPr>
        <w:t>While</w:t>
      </w:r>
      <w:r w:rsidRPr="00324CF1">
        <w:rPr>
          <w:lang w:val="en-CA"/>
        </w:rPr>
        <w:t xml:space="preserve"> </w:t>
      </w:r>
      <w:r w:rsidR="00ED47F8" w:rsidRPr="00324CF1">
        <w:rPr>
          <w:lang w:val="en-CA"/>
        </w:rPr>
        <w:t>60% of the spectrum capacity was expropriated for purposes in the public interest, 40% was expropriated without such purpose;</w:t>
      </w:r>
    </w:p>
    <w:p w14:paraId="717A0646" w14:textId="77777777" w:rsidR="00BC160A" w:rsidRPr="00324CF1" w:rsidRDefault="00ED47F8" w:rsidP="00FB5A91">
      <w:pPr>
        <w:pStyle w:val="Paragraphe"/>
        <w:numPr>
          <w:ilvl w:val="0"/>
          <w:numId w:val="12"/>
        </w:numPr>
        <w:spacing w:line="240" w:lineRule="auto"/>
        <w:rPr>
          <w:lang w:val="en-US"/>
        </w:rPr>
      </w:pPr>
      <w:r w:rsidRPr="00324CF1">
        <w:rPr>
          <w:lang w:val="en-CA"/>
        </w:rPr>
        <w:t>The estimated fair and equitable compensation for the expropriation of 40% was estimated at $111 million.</w:t>
      </w:r>
      <w:r w:rsidRPr="00324CF1">
        <w:rPr>
          <w:rStyle w:val="Appelnotedebasdep"/>
          <w:lang w:val="en-CA"/>
        </w:rPr>
        <w:footnoteReference w:id="39"/>
      </w:r>
    </w:p>
    <w:p w14:paraId="714F9AEC" w14:textId="60AE518E" w:rsidR="00BC160A" w:rsidRPr="00324CF1" w:rsidRDefault="00ED47F8" w:rsidP="00FB5A91">
      <w:pPr>
        <w:pStyle w:val="Paragraphe"/>
        <w:spacing w:line="240" w:lineRule="auto"/>
        <w:rPr>
          <w:lang w:val="en-US"/>
        </w:rPr>
      </w:pPr>
      <w:r w:rsidRPr="00324CF1">
        <w:rPr>
          <w:lang w:val="en-CA"/>
        </w:rPr>
        <w:lastRenderedPageBreak/>
        <w:t>Pinsonnault</w:t>
      </w:r>
      <w:r w:rsidR="00B16B21">
        <w:rPr>
          <w:lang w:val="en-CA"/>
        </w:rPr>
        <w:t>,</w:t>
      </w:r>
      <w:r w:rsidRPr="00324CF1">
        <w:rPr>
          <w:lang w:val="en-CA"/>
        </w:rPr>
        <w:t xml:space="preserve"> J. </w:t>
      </w:r>
      <w:r w:rsidR="00CF3E37">
        <w:rPr>
          <w:lang w:val="en-CA"/>
        </w:rPr>
        <w:t xml:space="preserve">accordingly </w:t>
      </w:r>
      <w:r w:rsidRPr="00324CF1">
        <w:rPr>
          <w:lang w:val="en-CA"/>
        </w:rPr>
        <w:t xml:space="preserve">dismissed the argument that the termination of the Devas Agreement was merely India exercising its sovereign power. In his opinion, by entering into the Treaty, India agreed to conduct commercial activities. Since the Devas Agreement is the mechanism </w:t>
      </w:r>
      <w:r w:rsidR="00CF3E37">
        <w:rPr>
          <w:lang w:val="en-CA"/>
        </w:rPr>
        <w:t>by which</w:t>
      </w:r>
      <w:r w:rsidR="00CF3E37" w:rsidRPr="00324CF1">
        <w:rPr>
          <w:lang w:val="en-CA"/>
        </w:rPr>
        <w:t xml:space="preserve"> </w:t>
      </w:r>
      <w:r w:rsidRPr="00324CF1">
        <w:rPr>
          <w:lang w:val="en-CA"/>
        </w:rPr>
        <w:t>Devas Investors and Shareholders make their investments within the meaning of the Treaty, India’s actions</w:t>
      </w:r>
      <w:r w:rsidR="00CF3E37">
        <w:rPr>
          <w:lang w:val="en-CA"/>
        </w:rPr>
        <w:t xml:space="preserve"> thereupon</w:t>
      </w:r>
      <w:r w:rsidRPr="00324CF1">
        <w:rPr>
          <w:lang w:val="en-CA"/>
        </w:rPr>
        <w:t xml:space="preserve"> took place within a commercial context. Consequently, the commercial activity exception </w:t>
      </w:r>
      <w:r w:rsidR="00CF3E37">
        <w:rPr>
          <w:lang w:val="en-CA"/>
        </w:rPr>
        <w:t>had to</w:t>
      </w:r>
      <w:r w:rsidR="00CF3E37" w:rsidRPr="00324CF1">
        <w:rPr>
          <w:lang w:val="en-CA"/>
        </w:rPr>
        <w:t xml:space="preserve"> </w:t>
      </w:r>
      <w:r w:rsidRPr="00324CF1">
        <w:rPr>
          <w:lang w:val="en-CA"/>
        </w:rPr>
        <w:t xml:space="preserve">be applied and India </w:t>
      </w:r>
      <w:r w:rsidR="00CF3E37">
        <w:rPr>
          <w:lang w:val="en-CA"/>
        </w:rPr>
        <w:t>could not</w:t>
      </w:r>
      <w:r w:rsidR="00CF3E37" w:rsidRPr="00324CF1">
        <w:rPr>
          <w:lang w:val="en-CA"/>
        </w:rPr>
        <w:t xml:space="preserve"> </w:t>
      </w:r>
      <w:r w:rsidRPr="00324CF1">
        <w:rPr>
          <w:lang w:val="en-CA"/>
        </w:rPr>
        <w:t>benefit from immunity as a sovereign state within the meaning of the</w:t>
      </w:r>
      <w:r w:rsidRPr="00324CF1">
        <w:rPr>
          <w:i/>
          <w:iCs/>
          <w:lang w:val="en-CA"/>
        </w:rPr>
        <w:t xml:space="preserve"> SIA.</w:t>
      </w:r>
      <w:r w:rsidRPr="00324CF1">
        <w:rPr>
          <w:rStyle w:val="Appelnotedebasdep"/>
          <w:lang w:val="en-CA"/>
        </w:rPr>
        <w:footnoteReference w:id="40"/>
      </w:r>
    </w:p>
    <w:p w14:paraId="15F7345E" w14:textId="1152FA6D" w:rsidR="00BC160A" w:rsidRPr="00324CF1" w:rsidRDefault="00ED47F8" w:rsidP="00FB5A91">
      <w:pPr>
        <w:pStyle w:val="Paragraphe"/>
        <w:spacing w:line="240" w:lineRule="auto"/>
        <w:rPr>
          <w:lang w:val="en-US"/>
        </w:rPr>
      </w:pPr>
      <w:r w:rsidRPr="00324CF1">
        <w:rPr>
          <w:lang w:val="en-CA"/>
        </w:rPr>
        <w:t xml:space="preserve">Although he </w:t>
      </w:r>
      <w:r w:rsidR="003C0E56">
        <w:rPr>
          <w:lang w:val="en-CA"/>
        </w:rPr>
        <w:t>found that</w:t>
      </w:r>
      <w:r w:rsidRPr="00324CF1">
        <w:rPr>
          <w:lang w:val="en-CA"/>
        </w:rPr>
        <w:t xml:space="preserve"> the commercial activity exception</w:t>
      </w:r>
      <w:r w:rsidR="003C0E56">
        <w:rPr>
          <w:lang w:val="en-CA"/>
        </w:rPr>
        <w:t xml:space="preserve"> applied</w:t>
      </w:r>
      <w:r w:rsidRPr="00324CF1">
        <w:rPr>
          <w:lang w:val="en-CA"/>
        </w:rPr>
        <w:t>, which</w:t>
      </w:r>
      <w:r w:rsidR="003C0E56">
        <w:rPr>
          <w:lang w:val="en-CA"/>
        </w:rPr>
        <w:t>,</w:t>
      </w:r>
      <w:r w:rsidRPr="00324CF1">
        <w:rPr>
          <w:lang w:val="en-CA"/>
        </w:rPr>
        <w:t xml:space="preserve"> in his opinion</w:t>
      </w:r>
      <w:r w:rsidR="003C0E56">
        <w:rPr>
          <w:lang w:val="en-CA"/>
        </w:rPr>
        <w:t>,</w:t>
      </w:r>
      <w:r w:rsidRPr="00324CF1">
        <w:rPr>
          <w:lang w:val="en-CA"/>
        </w:rPr>
        <w:t xml:space="preserve"> was sufficient to declare that India </w:t>
      </w:r>
      <w:r w:rsidR="003C0E56">
        <w:rPr>
          <w:lang w:val="en-CA"/>
        </w:rPr>
        <w:t>did</w:t>
      </w:r>
      <w:r w:rsidR="003C0E56" w:rsidRPr="00324CF1">
        <w:rPr>
          <w:lang w:val="en-CA"/>
        </w:rPr>
        <w:t xml:space="preserve"> </w:t>
      </w:r>
      <w:r w:rsidRPr="00324CF1">
        <w:rPr>
          <w:lang w:val="en-CA"/>
        </w:rPr>
        <w:t>not have</w:t>
      </w:r>
      <w:r w:rsidR="003C0E56">
        <w:rPr>
          <w:lang w:val="en-CA"/>
        </w:rPr>
        <w:t xml:space="preserve"> State</w:t>
      </w:r>
      <w:r w:rsidRPr="00324CF1">
        <w:rPr>
          <w:lang w:val="en-CA"/>
        </w:rPr>
        <w:t xml:space="preserve"> immunity, the judge nevertheless examined the waiver exception.</w:t>
      </w:r>
    </w:p>
    <w:p w14:paraId="47A0AB87" w14:textId="1406044B" w:rsidR="00BC160A" w:rsidRPr="00324CF1" w:rsidRDefault="00ED47F8" w:rsidP="00FB5A91">
      <w:pPr>
        <w:pStyle w:val="Paragraphe"/>
        <w:spacing w:line="240" w:lineRule="auto"/>
        <w:rPr>
          <w:lang w:val="en-US"/>
        </w:rPr>
      </w:pPr>
      <w:r w:rsidRPr="00324CF1">
        <w:rPr>
          <w:lang w:val="en-CA"/>
        </w:rPr>
        <w:t>He concluded that this exception appl</w:t>
      </w:r>
      <w:r w:rsidR="00AA26D1">
        <w:rPr>
          <w:lang w:val="en-CA"/>
        </w:rPr>
        <w:t>ied</w:t>
      </w:r>
      <w:r w:rsidRPr="00324CF1">
        <w:rPr>
          <w:lang w:val="en-CA"/>
        </w:rPr>
        <w:t xml:space="preserve"> since by agreeing to submit to the arbitration process and to an award of the PCA Arbitral Tribunal, India also agreed that said award could be enforced. He based this conclusion on his interpretation of the </w:t>
      </w:r>
      <w:r w:rsidR="0051685F">
        <w:rPr>
          <w:lang w:val="en-CA"/>
        </w:rPr>
        <w:t>wording</w:t>
      </w:r>
      <w:r w:rsidR="0051685F" w:rsidRPr="00324CF1">
        <w:rPr>
          <w:lang w:val="en-CA"/>
        </w:rPr>
        <w:t xml:space="preserve"> </w:t>
      </w:r>
      <w:r w:rsidRPr="00324CF1">
        <w:rPr>
          <w:lang w:val="en-CA"/>
        </w:rPr>
        <w:t xml:space="preserve">of </w:t>
      </w:r>
      <w:r w:rsidR="0051685F">
        <w:rPr>
          <w:lang w:val="en-CA"/>
        </w:rPr>
        <w:t>section</w:t>
      </w:r>
      <w:r w:rsidR="0051685F" w:rsidRPr="00324CF1">
        <w:rPr>
          <w:lang w:val="en-CA"/>
        </w:rPr>
        <w:t xml:space="preserve"> </w:t>
      </w:r>
      <w:r w:rsidRPr="00324CF1">
        <w:rPr>
          <w:lang w:val="en-CA"/>
        </w:rPr>
        <w:t>4(2)(a) of the</w:t>
      </w:r>
      <w:r w:rsidRPr="00324CF1">
        <w:rPr>
          <w:i/>
          <w:iCs/>
          <w:lang w:val="en-CA"/>
        </w:rPr>
        <w:t xml:space="preserve"> SIA</w:t>
      </w:r>
      <w:r w:rsidRPr="00324CF1">
        <w:rPr>
          <w:lang w:val="en-CA"/>
        </w:rPr>
        <w:t xml:space="preserve">, comparing it in particular with the </w:t>
      </w:r>
      <w:r w:rsidR="0051685F">
        <w:rPr>
          <w:lang w:val="en-CA"/>
        </w:rPr>
        <w:t>wording</w:t>
      </w:r>
      <w:r w:rsidR="0051685F" w:rsidRPr="00324CF1">
        <w:rPr>
          <w:lang w:val="en-CA"/>
        </w:rPr>
        <w:t xml:space="preserve"> </w:t>
      </w:r>
      <w:r w:rsidRPr="00324CF1">
        <w:rPr>
          <w:lang w:val="en-CA"/>
        </w:rPr>
        <w:t>of other provisions of the</w:t>
      </w:r>
      <w:r w:rsidRPr="00324CF1">
        <w:rPr>
          <w:i/>
          <w:iCs/>
          <w:lang w:val="en-CA"/>
        </w:rPr>
        <w:t xml:space="preserve"> SIA</w:t>
      </w:r>
      <w:r w:rsidRPr="00324CF1">
        <w:rPr>
          <w:lang w:val="en-CA"/>
        </w:rPr>
        <w:t>. He considered that an explicit waiver was not required any more than a</w:t>
      </w:r>
      <w:r w:rsidR="0051685F">
        <w:rPr>
          <w:lang w:val="en-CA"/>
        </w:rPr>
        <w:t xml:space="preserve"> written</w:t>
      </w:r>
      <w:r w:rsidRPr="00324CF1">
        <w:rPr>
          <w:lang w:val="en-CA"/>
        </w:rPr>
        <w:t xml:space="preserve"> waiver, </w:t>
      </w:r>
      <w:r w:rsidR="0051685F">
        <w:rPr>
          <w:lang w:val="en-CA"/>
        </w:rPr>
        <w:t>since</w:t>
      </w:r>
      <w:r w:rsidR="0051685F" w:rsidRPr="00324CF1">
        <w:rPr>
          <w:lang w:val="en-CA"/>
        </w:rPr>
        <w:t xml:space="preserve"> </w:t>
      </w:r>
      <w:r w:rsidRPr="00324CF1">
        <w:rPr>
          <w:lang w:val="en-CA"/>
        </w:rPr>
        <w:t>the legislator expressly considered other forms of waiver.</w:t>
      </w:r>
      <w:r w:rsidRPr="00324CF1">
        <w:rPr>
          <w:rStyle w:val="Appelnotedebasdep"/>
          <w:lang w:val="en-CA"/>
        </w:rPr>
        <w:footnoteReference w:id="41"/>
      </w:r>
    </w:p>
    <w:p w14:paraId="79E1286A" w14:textId="5BA3D2AD" w:rsidR="00BC160A" w:rsidRPr="00324CF1" w:rsidRDefault="00ED47F8" w:rsidP="00FB5A91">
      <w:pPr>
        <w:pStyle w:val="Paragraphe"/>
        <w:spacing w:line="240" w:lineRule="auto"/>
        <w:rPr>
          <w:lang w:val="en-US"/>
        </w:rPr>
      </w:pPr>
      <w:r w:rsidRPr="00324CF1">
        <w:rPr>
          <w:lang w:val="en-CA"/>
        </w:rPr>
        <w:t xml:space="preserve">According to the judge, India </w:t>
      </w:r>
      <w:r w:rsidR="00BC3E76">
        <w:rPr>
          <w:lang w:val="en-CA"/>
        </w:rPr>
        <w:t>committing</w:t>
      </w:r>
      <w:r w:rsidR="00BC3E76" w:rsidRPr="00324CF1">
        <w:rPr>
          <w:lang w:val="en-CA"/>
        </w:rPr>
        <w:t xml:space="preserve"> </w:t>
      </w:r>
      <w:r w:rsidRPr="00324CF1">
        <w:rPr>
          <w:lang w:val="en-CA"/>
        </w:rPr>
        <w:t xml:space="preserve">to an arbitration process was a clear and unequivocal waiver of its immunity. He noted that </w:t>
      </w:r>
      <w:r w:rsidR="00AA26D1" w:rsidRPr="00324CF1">
        <w:rPr>
          <w:lang w:val="en-CA"/>
        </w:rPr>
        <w:t>Canadian case law</w:t>
      </w:r>
      <w:r w:rsidR="00AA26D1">
        <w:rPr>
          <w:lang w:val="en-CA"/>
        </w:rPr>
        <w:t xml:space="preserve"> recognizes that </w:t>
      </w:r>
      <w:r w:rsidR="00164B92">
        <w:rPr>
          <w:lang w:val="en-CA"/>
        </w:rPr>
        <w:t>ratifying</w:t>
      </w:r>
      <w:r w:rsidRPr="00324CF1">
        <w:rPr>
          <w:lang w:val="en-CA"/>
        </w:rPr>
        <w:t xml:space="preserve"> bilateral treaties that provide for arbitration and agreeing to participate in the arbitration process </w:t>
      </w:r>
      <w:r w:rsidR="00AA26D1">
        <w:rPr>
          <w:lang w:val="en-CA"/>
        </w:rPr>
        <w:t>are</w:t>
      </w:r>
      <w:r w:rsidRPr="00324CF1">
        <w:rPr>
          <w:lang w:val="en-CA"/>
        </w:rPr>
        <w:t xml:space="preserve"> form</w:t>
      </w:r>
      <w:r w:rsidR="00AA26D1">
        <w:rPr>
          <w:lang w:val="en-CA"/>
        </w:rPr>
        <w:t>s</w:t>
      </w:r>
      <w:r w:rsidRPr="00324CF1">
        <w:rPr>
          <w:lang w:val="en-CA"/>
        </w:rPr>
        <w:t xml:space="preserve"> of waiv</w:t>
      </w:r>
      <w:r w:rsidR="00AA26D1">
        <w:rPr>
          <w:lang w:val="en-CA"/>
        </w:rPr>
        <w:t>ing</w:t>
      </w:r>
      <w:r w:rsidRPr="00324CF1">
        <w:rPr>
          <w:lang w:val="en-CA"/>
        </w:rPr>
        <w:t xml:space="preserve"> immunity.</w:t>
      </w:r>
      <w:r w:rsidRPr="00324CF1">
        <w:rPr>
          <w:rStyle w:val="Appelnotedebasdep"/>
          <w:lang w:val="en-CA"/>
        </w:rPr>
        <w:footnoteReference w:id="42"/>
      </w:r>
    </w:p>
    <w:p w14:paraId="4DD86A8F" w14:textId="43ED973C" w:rsidR="00BC160A" w:rsidRPr="00324CF1" w:rsidRDefault="00ED47F8" w:rsidP="00FB5A91">
      <w:pPr>
        <w:pStyle w:val="Paragraphe"/>
        <w:spacing w:line="240" w:lineRule="auto"/>
        <w:rPr>
          <w:lang w:val="en-US"/>
        </w:rPr>
      </w:pPr>
      <w:r w:rsidRPr="00324CF1">
        <w:rPr>
          <w:lang w:val="en-CA"/>
        </w:rPr>
        <w:t xml:space="preserve">He considered that this conclusion </w:t>
      </w:r>
      <w:r w:rsidR="00AA26D1">
        <w:rPr>
          <w:lang w:val="en-CA"/>
        </w:rPr>
        <w:t xml:space="preserve">was </w:t>
      </w:r>
      <w:r w:rsidRPr="00324CF1">
        <w:rPr>
          <w:lang w:val="en-CA"/>
        </w:rPr>
        <w:t xml:space="preserve">not only </w:t>
      </w:r>
      <w:r w:rsidR="009618F2">
        <w:rPr>
          <w:lang w:val="en-CA"/>
        </w:rPr>
        <w:t>consistent</w:t>
      </w:r>
      <w:r w:rsidRPr="00324CF1">
        <w:rPr>
          <w:lang w:val="en-CA"/>
        </w:rPr>
        <w:t xml:space="preserve"> with the </w:t>
      </w:r>
      <w:r w:rsidRPr="00324CF1">
        <w:rPr>
          <w:i/>
          <w:iCs/>
          <w:lang w:val="en-CA"/>
        </w:rPr>
        <w:t>Convention on the Recognition and Enforcement of Foreign Arbitral Awards</w:t>
      </w:r>
      <w:r w:rsidRPr="00324CF1">
        <w:rPr>
          <w:lang w:val="en-CA"/>
        </w:rPr>
        <w:t xml:space="preserve"> (“</w:t>
      </w:r>
      <w:r w:rsidRPr="00324CF1">
        <w:rPr>
          <w:b/>
          <w:bCs/>
          <w:i/>
          <w:iCs/>
          <w:lang w:val="en-CA"/>
        </w:rPr>
        <w:t>New York Convention</w:t>
      </w:r>
      <w:r w:rsidRPr="00324CF1">
        <w:rPr>
          <w:lang w:val="en-CA"/>
        </w:rPr>
        <w:t>”)</w:t>
      </w:r>
      <w:bookmarkStart w:id="39" w:name="_Ref174440186"/>
      <w:r w:rsidR="00AA26D1">
        <w:rPr>
          <w:lang w:val="en-CA"/>
        </w:rPr>
        <w:t>,</w:t>
      </w:r>
      <w:r w:rsidRPr="00324CF1">
        <w:rPr>
          <w:rStyle w:val="Appelnotedebasdep"/>
          <w:lang w:val="en-CA"/>
        </w:rPr>
        <w:footnoteReference w:id="43"/>
      </w:r>
      <w:bookmarkEnd w:id="39"/>
      <w:r w:rsidRPr="00324CF1">
        <w:rPr>
          <w:lang w:val="en-CA"/>
        </w:rPr>
        <w:t xml:space="preserve"> which is incorporated in</w:t>
      </w:r>
      <w:r w:rsidR="009618F2">
        <w:rPr>
          <w:lang w:val="en-CA"/>
        </w:rPr>
        <w:t>to</w:t>
      </w:r>
      <w:r w:rsidRPr="00324CF1">
        <w:rPr>
          <w:lang w:val="en-CA"/>
        </w:rPr>
        <w:t xml:space="preserve"> Canadian</w:t>
      </w:r>
      <w:r w:rsidRPr="00324CF1">
        <w:rPr>
          <w:rStyle w:val="Appelnotedebasdep"/>
          <w:lang w:val="en-CA"/>
        </w:rPr>
        <w:footnoteReference w:id="44"/>
      </w:r>
      <w:r w:rsidRPr="00324CF1">
        <w:rPr>
          <w:lang w:val="en-CA"/>
        </w:rPr>
        <w:t xml:space="preserve"> and Quebec law</w:t>
      </w:r>
      <w:bookmarkStart w:id="40" w:name="_Ref174444002"/>
      <w:r w:rsidRPr="00324CF1">
        <w:rPr>
          <w:rStyle w:val="Appelnotedebasdep"/>
          <w:lang w:val="en-CA"/>
        </w:rPr>
        <w:footnoteReference w:id="45"/>
      </w:r>
      <w:bookmarkEnd w:id="40"/>
      <w:r w:rsidRPr="00324CF1">
        <w:rPr>
          <w:lang w:val="en-CA"/>
        </w:rPr>
        <w:t xml:space="preserve"> and ratified by India,</w:t>
      </w:r>
      <w:r w:rsidRPr="00324CF1">
        <w:rPr>
          <w:rStyle w:val="Appelnotedebasdep"/>
          <w:lang w:val="en-CA"/>
        </w:rPr>
        <w:footnoteReference w:id="46"/>
      </w:r>
      <w:r w:rsidRPr="00324CF1">
        <w:rPr>
          <w:lang w:val="en-CA"/>
        </w:rPr>
        <w:t xml:space="preserve"> but also with the case law of other common law states, such as the United States and Australia, and even</w:t>
      </w:r>
      <w:r w:rsidR="009618F2">
        <w:rPr>
          <w:lang w:val="en-CA"/>
        </w:rPr>
        <w:t xml:space="preserve"> that of the Indian</w:t>
      </w:r>
      <w:r w:rsidRPr="00324CF1">
        <w:rPr>
          <w:lang w:val="en-CA"/>
        </w:rPr>
        <w:t xml:space="preserve"> courts. Thus, in its capacity as a signatory to the </w:t>
      </w:r>
      <w:r w:rsidRPr="00324CF1">
        <w:rPr>
          <w:i/>
          <w:iCs/>
          <w:lang w:val="en-CA"/>
        </w:rPr>
        <w:t xml:space="preserve">New York </w:t>
      </w:r>
      <w:r w:rsidRPr="00324CF1">
        <w:rPr>
          <w:i/>
          <w:iCs/>
          <w:lang w:val="en-CA"/>
        </w:rPr>
        <w:lastRenderedPageBreak/>
        <w:t>Convention</w:t>
      </w:r>
      <w:r w:rsidRPr="00324CF1">
        <w:rPr>
          <w:lang w:val="en-CA"/>
        </w:rPr>
        <w:t>, India could not consider that it had immunity from the arbitration process to which it knowingly agreed to submit.</w:t>
      </w:r>
      <w:r w:rsidRPr="00324CF1">
        <w:rPr>
          <w:rStyle w:val="Appelnotedebasdep"/>
          <w:lang w:val="en-CA"/>
        </w:rPr>
        <w:footnoteReference w:id="47"/>
      </w:r>
      <w:r w:rsidRPr="00324CF1">
        <w:rPr>
          <w:lang w:val="en-CA"/>
        </w:rPr>
        <w:t xml:space="preserve"> </w:t>
      </w:r>
    </w:p>
    <w:p w14:paraId="027CDA20" w14:textId="25037009" w:rsidR="00BC160A" w:rsidRPr="00324CF1" w:rsidRDefault="00ED47F8" w:rsidP="00FB5A91">
      <w:pPr>
        <w:pStyle w:val="Paragraphe"/>
        <w:spacing w:line="240" w:lineRule="auto"/>
        <w:rPr>
          <w:lang w:val="en-US"/>
        </w:rPr>
      </w:pPr>
      <w:r w:rsidRPr="00324CF1">
        <w:rPr>
          <w:lang w:val="en-CA"/>
        </w:rPr>
        <w:t xml:space="preserve">The judge then examined India’s </w:t>
      </w:r>
      <w:r w:rsidR="003033E8">
        <w:rPr>
          <w:lang w:val="en-CA"/>
        </w:rPr>
        <w:t>alternative</w:t>
      </w:r>
      <w:r w:rsidR="003033E8" w:rsidRPr="00324CF1">
        <w:rPr>
          <w:lang w:val="en-CA"/>
        </w:rPr>
        <w:t xml:space="preserve"> </w:t>
      </w:r>
      <w:r w:rsidRPr="00324CF1">
        <w:rPr>
          <w:lang w:val="en-CA"/>
        </w:rPr>
        <w:t>argument, based on the SCI Judgment. He partially rejected CCDM/Devas’s objection to the filing and use of the SCI Judgment to establish that the Devas Agreement was tainted by fraud and th</w:t>
      </w:r>
      <w:r w:rsidR="00CB4824">
        <w:rPr>
          <w:lang w:val="en-CA"/>
        </w:rPr>
        <w:t>ereby</w:t>
      </w:r>
      <w:r w:rsidRPr="00324CF1">
        <w:rPr>
          <w:lang w:val="en-CA"/>
        </w:rPr>
        <w:t xml:space="preserve"> rebut the waiver exception </w:t>
      </w:r>
      <w:r w:rsidR="00CB4824">
        <w:rPr>
          <w:lang w:val="en-CA"/>
        </w:rPr>
        <w:t>raised</w:t>
      </w:r>
      <w:r w:rsidR="00CB4824" w:rsidRPr="00324CF1">
        <w:rPr>
          <w:lang w:val="en-CA"/>
        </w:rPr>
        <w:t xml:space="preserve"> </w:t>
      </w:r>
      <w:r w:rsidRPr="00324CF1">
        <w:rPr>
          <w:lang w:val="en-CA"/>
        </w:rPr>
        <w:t xml:space="preserve">by CCDM/Devas. He </w:t>
      </w:r>
      <w:r w:rsidR="00CB4824">
        <w:rPr>
          <w:lang w:val="en-CA"/>
        </w:rPr>
        <w:t>authorized the filing</w:t>
      </w:r>
      <w:r w:rsidRPr="00324CF1">
        <w:rPr>
          <w:lang w:val="en-CA"/>
        </w:rPr>
        <w:t xml:space="preserve"> of the judgment, but solely to </w:t>
      </w:r>
      <w:r w:rsidR="00CB4824">
        <w:rPr>
          <w:lang w:val="en-CA"/>
        </w:rPr>
        <w:t>prove</w:t>
      </w:r>
      <w:r w:rsidR="00CB4824" w:rsidRPr="00324CF1">
        <w:rPr>
          <w:lang w:val="en-CA"/>
        </w:rPr>
        <w:t xml:space="preserve"> </w:t>
      </w:r>
      <w:r w:rsidRPr="00324CF1">
        <w:rPr>
          <w:lang w:val="en-CA"/>
        </w:rPr>
        <w:t xml:space="preserve">the fact that the SCI affirmed the legality of the Devas liquidation process in India in the circumstances more fully set out in that judgment. The judge also pointed out that the SCI Judgment could </w:t>
      </w:r>
      <w:r w:rsidR="00CB4824">
        <w:rPr>
          <w:lang w:val="en-CA"/>
        </w:rPr>
        <w:t>be of</w:t>
      </w:r>
      <w:r w:rsidR="00CB4824" w:rsidRPr="00324CF1">
        <w:rPr>
          <w:lang w:val="en-CA"/>
        </w:rPr>
        <w:t xml:space="preserve"> </w:t>
      </w:r>
      <w:r w:rsidRPr="00324CF1">
        <w:rPr>
          <w:lang w:val="en-CA"/>
        </w:rPr>
        <w:t xml:space="preserve">some relevance in the context of </w:t>
      </w:r>
      <w:r w:rsidR="00CB4824">
        <w:rPr>
          <w:lang w:val="en-CA"/>
        </w:rPr>
        <w:t xml:space="preserve">an eventual </w:t>
      </w:r>
      <w:r w:rsidRPr="00324CF1">
        <w:rPr>
          <w:lang w:val="en-CA"/>
        </w:rPr>
        <w:t>hearing on the merits.</w:t>
      </w:r>
      <w:r w:rsidRPr="00324CF1">
        <w:rPr>
          <w:vertAlign w:val="superscript"/>
          <w:lang w:val="en-CA"/>
        </w:rPr>
        <w:footnoteReference w:id="48"/>
      </w:r>
      <w:r w:rsidRPr="00324CF1">
        <w:rPr>
          <w:lang w:val="en-CA"/>
        </w:rPr>
        <w:t xml:space="preserve"> </w:t>
      </w:r>
    </w:p>
    <w:p w14:paraId="0AC8BFDD" w14:textId="050E081C" w:rsidR="00BC160A" w:rsidRPr="00324CF1" w:rsidRDefault="004B3075" w:rsidP="00FB5A91">
      <w:pPr>
        <w:pStyle w:val="Paragraphe"/>
        <w:spacing w:line="240" w:lineRule="auto"/>
        <w:rPr>
          <w:lang w:val="en-US"/>
        </w:rPr>
      </w:pPr>
      <w:bookmarkStart w:id="41" w:name="_Hlk174365355"/>
      <w:r>
        <w:rPr>
          <w:lang w:val="en-CA"/>
        </w:rPr>
        <w:t>At the same time, t</w:t>
      </w:r>
      <w:r w:rsidR="00ED47F8" w:rsidRPr="00324CF1">
        <w:rPr>
          <w:lang w:val="en-CA"/>
        </w:rPr>
        <w:t xml:space="preserve">he judge dismissed India’s claims based on the SCI Judgment </w:t>
      </w:r>
      <w:r>
        <w:rPr>
          <w:lang w:val="en-CA"/>
        </w:rPr>
        <w:t>stating that</w:t>
      </w:r>
      <w:r w:rsidR="00ED47F8" w:rsidRPr="00324CF1">
        <w:rPr>
          <w:lang w:val="en-CA"/>
        </w:rPr>
        <w:t xml:space="preserve"> the Devas Agreement was tainted by fraud and consent to the arbitration process was </w:t>
      </w:r>
      <w:r>
        <w:rPr>
          <w:lang w:val="en-CA"/>
        </w:rPr>
        <w:t>thereby</w:t>
      </w:r>
      <w:r w:rsidRPr="00324CF1" w:rsidDel="004B3075">
        <w:rPr>
          <w:lang w:val="en-CA"/>
        </w:rPr>
        <w:t xml:space="preserve"> </w:t>
      </w:r>
      <w:r>
        <w:rPr>
          <w:lang w:val="en-CA"/>
        </w:rPr>
        <w:t>vitiated</w:t>
      </w:r>
      <w:r w:rsidR="00ED47F8" w:rsidRPr="00324CF1">
        <w:rPr>
          <w:lang w:val="en-CA"/>
        </w:rPr>
        <w:t xml:space="preserve">, which would </w:t>
      </w:r>
      <w:r>
        <w:rPr>
          <w:lang w:val="en-CA"/>
        </w:rPr>
        <w:t>preclude</w:t>
      </w:r>
      <w:r w:rsidRPr="00324CF1">
        <w:rPr>
          <w:lang w:val="en-CA"/>
        </w:rPr>
        <w:t xml:space="preserve"> </w:t>
      </w:r>
      <w:r w:rsidR="00ED47F8" w:rsidRPr="00324CF1">
        <w:rPr>
          <w:lang w:val="en-CA"/>
        </w:rPr>
        <w:t xml:space="preserve">the application of the </w:t>
      </w:r>
      <w:r>
        <w:rPr>
          <w:lang w:val="en-CA"/>
        </w:rPr>
        <w:t xml:space="preserve">immunity </w:t>
      </w:r>
      <w:r w:rsidR="00ED47F8" w:rsidRPr="00324CF1">
        <w:rPr>
          <w:lang w:val="en-CA"/>
        </w:rPr>
        <w:t xml:space="preserve">waiver exception. In his opinion, the SCI Judgment does not have the authority of </w:t>
      </w:r>
      <w:r w:rsidR="00ED47F8" w:rsidRPr="00324CF1">
        <w:rPr>
          <w:i/>
          <w:iCs/>
          <w:lang w:val="en-CA"/>
        </w:rPr>
        <w:t>res judicata</w:t>
      </w:r>
      <w:r w:rsidR="00ED47F8" w:rsidRPr="00324CF1">
        <w:rPr>
          <w:lang w:val="en-CA"/>
        </w:rPr>
        <w:t xml:space="preserve"> in Quebec. He explained that both the parties and the cause of action are different from those in the arbitral awards, and that the SCI Judgment is irrelevant in this case insofar as the issues addressed therein are unrelated to the issue of immunity. In his opinion, India </w:t>
      </w:r>
      <w:r w:rsidR="00F97E17">
        <w:rPr>
          <w:lang w:val="en-CA"/>
        </w:rPr>
        <w:t>was</w:t>
      </w:r>
      <w:r w:rsidR="00ED47F8" w:rsidRPr="00324CF1">
        <w:rPr>
          <w:lang w:val="en-CA"/>
        </w:rPr>
        <w:t xml:space="preserve"> seeking to </w:t>
      </w:r>
      <w:r>
        <w:rPr>
          <w:lang w:val="en-CA"/>
        </w:rPr>
        <w:t>contradict</w:t>
      </w:r>
      <w:r w:rsidRPr="00324CF1">
        <w:rPr>
          <w:lang w:val="en-CA"/>
        </w:rPr>
        <w:t xml:space="preserve"> </w:t>
      </w:r>
      <w:r w:rsidR="00ED47F8" w:rsidRPr="00324CF1">
        <w:rPr>
          <w:lang w:val="en-CA"/>
        </w:rPr>
        <w:t xml:space="preserve">the arbitral awards </w:t>
      </w:r>
      <w:r w:rsidR="00ED47F8" w:rsidRPr="00324CF1">
        <w:rPr>
          <w:i/>
          <w:iCs/>
          <w:lang w:val="en-CA"/>
        </w:rPr>
        <w:t>ex post facto</w:t>
      </w:r>
      <w:r w:rsidR="00ED47F8" w:rsidRPr="00324CF1">
        <w:rPr>
          <w:lang w:val="en-CA"/>
        </w:rPr>
        <w:t xml:space="preserve">, notwithstanding the fact that the PCA Arbitral Tribunal ruled out both the inadmissibility raised and the effect of the </w:t>
      </w:r>
      <w:r w:rsidRPr="00324CF1">
        <w:rPr>
          <w:lang w:val="en-CA"/>
        </w:rPr>
        <w:t>allegations</w:t>
      </w:r>
      <w:r>
        <w:rPr>
          <w:lang w:val="en-CA"/>
        </w:rPr>
        <w:t xml:space="preserve"> of</w:t>
      </w:r>
      <w:r w:rsidRPr="00324CF1">
        <w:rPr>
          <w:lang w:val="en-CA"/>
        </w:rPr>
        <w:t xml:space="preserve"> </w:t>
      </w:r>
      <w:r w:rsidR="00ED47F8" w:rsidRPr="00324CF1">
        <w:rPr>
          <w:lang w:val="en-CA"/>
        </w:rPr>
        <w:t>fraud arising from the SCI Judgment, by refusing to suspend arbitration pending the SCI Judgment.</w:t>
      </w:r>
      <w:r w:rsidR="00ED47F8" w:rsidRPr="00324CF1">
        <w:rPr>
          <w:vertAlign w:val="superscript"/>
          <w:lang w:val="en-CA"/>
        </w:rPr>
        <w:footnoteReference w:id="49"/>
      </w:r>
      <w:r w:rsidR="00ED47F8" w:rsidRPr="00324CF1">
        <w:rPr>
          <w:lang w:val="en-CA"/>
        </w:rPr>
        <w:t xml:space="preserve"> He added that India never raised the argument of fraud in arbitration, asserting it only before the SCI.</w:t>
      </w:r>
    </w:p>
    <w:p w14:paraId="52754AA4" w14:textId="7CAC023E" w:rsidR="007C78E5" w:rsidRPr="00324CF1" w:rsidRDefault="00ED47F8" w:rsidP="00FB5A91">
      <w:pPr>
        <w:pStyle w:val="Paragraphe"/>
        <w:spacing w:line="240" w:lineRule="auto"/>
        <w:rPr>
          <w:lang w:val="en-US"/>
        </w:rPr>
      </w:pPr>
      <w:r w:rsidRPr="00324CF1">
        <w:rPr>
          <w:lang w:val="en-CA"/>
        </w:rPr>
        <w:t>In the end, Pinsonnault</w:t>
      </w:r>
      <w:r w:rsidR="00F97E17">
        <w:rPr>
          <w:lang w:val="en-CA"/>
        </w:rPr>
        <w:t>,</w:t>
      </w:r>
      <w:r w:rsidRPr="00324CF1">
        <w:rPr>
          <w:lang w:val="en-CA"/>
        </w:rPr>
        <w:t xml:space="preserve"> J. concluded that the argument of the rebuttable presumption of </w:t>
      </w:r>
      <w:r w:rsidR="00F97E17" w:rsidRPr="00324CF1">
        <w:rPr>
          <w:lang w:val="en-CA"/>
        </w:rPr>
        <w:t xml:space="preserve">validity </w:t>
      </w:r>
      <w:r w:rsidR="00F97E17">
        <w:rPr>
          <w:lang w:val="en-CA"/>
        </w:rPr>
        <w:t xml:space="preserve">of </w:t>
      </w:r>
      <w:r w:rsidRPr="00324CF1">
        <w:rPr>
          <w:lang w:val="en-CA"/>
        </w:rPr>
        <w:t>the SCI Judgmen</w:t>
      </w:r>
      <w:r w:rsidR="00F97E17">
        <w:rPr>
          <w:lang w:val="en-CA"/>
        </w:rPr>
        <w:t>t</w:t>
      </w:r>
      <w:r w:rsidRPr="00324CF1">
        <w:rPr>
          <w:lang w:val="en-CA"/>
        </w:rPr>
        <w:t xml:space="preserve"> was of no use in this case, insofar as India invoked th</w:t>
      </w:r>
      <w:r w:rsidR="00F97E17">
        <w:rPr>
          <w:lang w:val="en-CA"/>
        </w:rPr>
        <w:t>at</w:t>
      </w:r>
      <w:r w:rsidRPr="00324CF1">
        <w:rPr>
          <w:lang w:val="en-CA"/>
        </w:rPr>
        <w:t xml:space="preserve"> decision as evidence without requesting that </w:t>
      </w:r>
      <w:r w:rsidR="00F97E17">
        <w:rPr>
          <w:lang w:val="en-CA"/>
        </w:rPr>
        <w:t>it</w:t>
      </w:r>
      <w:r w:rsidRPr="00324CF1">
        <w:rPr>
          <w:lang w:val="en-CA"/>
        </w:rPr>
        <w:t xml:space="preserve"> be recognized in Quebec. </w:t>
      </w:r>
    </w:p>
    <w:p w14:paraId="78BD5FBD" w14:textId="0659D48B" w:rsidR="00DC4CA3" w:rsidRPr="00324CF1" w:rsidRDefault="00ED47F8" w:rsidP="00FB5A91">
      <w:pPr>
        <w:pStyle w:val="Paragraphe"/>
        <w:spacing w:line="240" w:lineRule="auto"/>
        <w:rPr>
          <w:lang w:val="en-US"/>
        </w:rPr>
      </w:pPr>
      <w:r w:rsidRPr="00324CF1">
        <w:rPr>
          <w:lang w:val="en-CA"/>
        </w:rPr>
        <w:t>Lastly, with regard to the semi-authentic nature of the certified SCI Judgment, he specified that the facts set out in a semi-authentic act are not binding on Quebec courts and that India could not therefore rely on the SCI Judgment to rule out the application of the waiver exception or of the Treaty itself.</w:t>
      </w:r>
      <w:r w:rsidRPr="00324CF1">
        <w:rPr>
          <w:vertAlign w:val="superscript"/>
          <w:lang w:val="en-CA"/>
        </w:rPr>
        <w:footnoteReference w:id="50"/>
      </w:r>
    </w:p>
    <w:p w14:paraId="140ED557" w14:textId="77777777" w:rsidR="00DC4CA3" w:rsidRPr="00324CF1" w:rsidRDefault="00ED47F8" w:rsidP="00FB5A91">
      <w:pPr>
        <w:pStyle w:val="Titre2"/>
        <w:spacing w:line="240" w:lineRule="auto"/>
      </w:pPr>
      <w:bookmarkStart w:id="42" w:name="_Toc184205608"/>
      <w:bookmarkStart w:id="43" w:name="_Toc256000003"/>
      <w:r w:rsidRPr="00324CF1">
        <w:rPr>
          <w:bCs/>
          <w:iCs/>
          <w:lang w:val="en-CA"/>
        </w:rPr>
        <w:t xml:space="preserve">2. </w:t>
      </w:r>
      <w:r w:rsidRPr="00324CF1">
        <w:rPr>
          <w:b w:val="0"/>
          <w:i w:val="0"/>
          <w:lang w:val="en-CA"/>
        </w:rPr>
        <w:tab/>
      </w:r>
      <w:r w:rsidRPr="00324CF1">
        <w:rPr>
          <w:bCs/>
          <w:iCs/>
          <w:lang w:val="en-CA"/>
        </w:rPr>
        <w:t>Grounds of appeal</w:t>
      </w:r>
      <w:bookmarkEnd w:id="42"/>
      <w:bookmarkEnd w:id="43"/>
      <w:r w:rsidRPr="00324CF1">
        <w:rPr>
          <w:bCs/>
          <w:iCs/>
          <w:lang w:val="en-CA"/>
        </w:rPr>
        <w:t xml:space="preserve"> </w:t>
      </w:r>
    </w:p>
    <w:p w14:paraId="181B31DD" w14:textId="6AF0632B" w:rsidR="00452BDB" w:rsidRPr="00324CF1" w:rsidRDefault="00ED47F8" w:rsidP="00FB5A91">
      <w:pPr>
        <w:pStyle w:val="Paragraphe"/>
        <w:spacing w:line="240" w:lineRule="auto"/>
        <w:rPr>
          <w:lang w:val="en-US"/>
        </w:rPr>
      </w:pPr>
      <w:r w:rsidRPr="00324CF1">
        <w:rPr>
          <w:lang w:val="en-CA"/>
        </w:rPr>
        <w:t xml:space="preserve">On appeal, India argued that the judge made a palpable and overriding error in concluding that the commercial activity exception was applicable in this case. This error resulted from </w:t>
      </w:r>
      <w:r w:rsidR="002D716A">
        <w:rPr>
          <w:lang w:val="en-CA"/>
        </w:rPr>
        <w:t>his overly broad</w:t>
      </w:r>
      <w:r w:rsidRPr="00324CF1">
        <w:rPr>
          <w:lang w:val="en-CA"/>
        </w:rPr>
        <w:t xml:space="preserve"> examination of the context </w:t>
      </w:r>
      <w:r w:rsidR="00DF0901">
        <w:rPr>
          <w:lang w:val="en-CA"/>
        </w:rPr>
        <w:t>for</w:t>
      </w:r>
      <w:r w:rsidRPr="00324CF1">
        <w:rPr>
          <w:lang w:val="en-CA"/>
        </w:rPr>
        <w:t xml:space="preserve"> the decision to terminate the Devas Agreement. The heart of the matter, India argued, was th</w:t>
      </w:r>
      <w:r w:rsidR="002D716A">
        <w:rPr>
          <w:lang w:val="en-CA"/>
        </w:rPr>
        <w:t>is</w:t>
      </w:r>
      <w:r w:rsidRPr="00324CF1">
        <w:rPr>
          <w:lang w:val="en-CA"/>
        </w:rPr>
        <w:t xml:space="preserve"> decision to terminate </w:t>
      </w:r>
      <w:r w:rsidRPr="00324CF1">
        <w:rPr>
          <w:lang w:val="en-CA"/>
        </w:rPr>
        <w:lastRenderedPageBreak/>
        <w:t xml:space="preserve">the Agreement, and it </w:t>
      </w:r>
      <w:r w:rsidR="00DF0901">
        <w:rPr>
          <w:lang w:val="en-CA"/>
        </w:rPr>
        <w:t>was</w:t>
      </w:r>
      <w:r w:rsidRPr="00324CF1">
        <w:rPr>
          <w:lang w:val="en-CA"/>
        </w:rPr>
        <w:t xml:space="preserve"> on the basis of this decision alone, taken separately, that the commercial activity exception should </w:t>
      </w:r>
      <w:r w:rsidR="00DF0901">
        <w:rPr>
          <w:lang w:val="en-CA"/>
        </w:rPr>
        <w:t xml:space="preserve">have </w:t>
      </w:r>
      <w:r w:rsidRPr="00324CF1">
        <w:rPr>
          <w:lang w:val="en-CA"/>
        </w:rPr>
        <w:t>be</w:t>
      </w:r>
      <w:r w:rsidR="00DF0901">
        <w:rPr>
          <w:lang w:val="en-CA"/>
        </w:rPr>
        <w:t>en</w:t>
      </w:r>
      <w:r w:rsidRPr="00324CF1">
        <w:rPr>
          <w:lang w:val="en-CA"/>
        </w:rPr>
        <w:t xml:space="preserve"> examined. Consequently, since the decision to terminate the Devas Agreement was based on national interest considerations, as acknowledged by the PCA Arbitral Tribunal, this would justify </w:t>
      </w:r>
      <w:r w:rsidR="002D716A">
        <w:rPr>
          <w:lang w:val="en-CA"/>
        </w:rPr>
        <w:t>excluding</w:t>
      </w:r>
      <w:r w:rsidRPr="00324CF1">
        <w:rPr>
          <w:lang w:val="en-CA"/>
        </w:rPr>
        <w:t xml:space="preserve"> </w:t>
      </w:r>
      <w:r w:rsidR="002D716A">
        <w:rPr>
          <w:lang w:val="en-CA"/>
        </w:rPr>
        <w:t xml:space="preserve">the </w:t>
      </w:r>
      <w:r w:rsidRPr="00324CF1">
        <w:rPr>
          <w:lang w:val="en-CA"/>
        </w:rPr>
        <w:t>application of the commercial activity exception.</w:t>
      </w:r>
    </w:p>
    <w:p w14:paraId="6654BB28" w14:textId="786C2AB0" w:rsidR="0048205F" w:rsidRPr="00324CF1" w:rsidRDefault="00ED47F8" w:rsidP="00FB5A91">
      <w:pPr>
        <w:pStyle w:val="Paragraphe"/>
        <w:spacing w:line="240" w:lineRule="auto"/>
        <w:rPr>
          <w:lang w:val="en-US"/>
        </w:rPr>
      </w:pPr>
      <w:r w:rsidRPr="00324CF1">
        <w:rPr>
          <w:lang w:val="en-CA"/>
        </w:rPr>
        <w:t xml:space="preserve"> India also argued that the judge erred in concluding that agreeing to submit to arbitration, in accordance with its international commitments under the </w:t>
      </w:r>
      <w:r w:rsidRPr="00324CF1">
        <w:rPr>
          <w:i/>
          <w:iCs/>
          <w:lang w:val="en-CA"/>
        </w:rPr>
        <w:t>New York Convention</w:t>
      </w:r>
      <w:r w:rsidRPr="00324CF1">
        <w:rPr>
          <w:lang w:val="en-CA"/>
        </w:rPr>
        <w:t>, constituted an express waiver of its immunity within the meaning of the</w:t>
      </w:r>
      <w:r w:rsidRPr="00324CF1">
        <w:rPr>
          <w:i/>
          <w:iCs/>
          <w:lang w:val="en-CA"/>
        </w:rPr>
        <w:t xml:space="preserve"> SIA</w:t>
      </w:r>
      <w:r w:rsidRPr="00324CF1">
        <w:rPr>
          <w:lang w:val="en-CA"/>
        </w:rPr>
        <w:t xml:space="preserve">. According to India, the legislator specifies in section 4(2)(a) that an explicit waiver is required, whereas section 12 of the same </w:t>
      </w:r>
      <w:r w:rsidRPr="00324CF1">
        <w:rPr>
          <w:i/>
          <w:iCs/>
          <w:lang w:val="en-CA"/>
        </w:rPr>
        <w:t>Act</w:t>
      </w:r>
      <w:r w:rsidRPr="00324CF1">
        <w:rPr>
          <w:lang w:val="en-CA"/>
        </w:rPr>
        <w:t xml:space="preserve"> states that a waiver may be implied. It follows that the mere fact of submitting to a court cannot be </w:t>
      </w:r>
      <w:r w:rsidR="002D716A">
        <w:rPr>
          <w:lang w:val="en-CA"/>
        </w:rPr>
        <w:t>characterized</w:t>
      </w:r>
      <w:r w:rsidR="002D716A" w:rsidRPr="00324CF1">
        <w:rPr>
          <w:lang w:val="en-CA"/>
        </w:rPr>
        <w:t xml:space="preserve"> </w:t>
      </w:r>
      <w:r w:rsidRPr="00324CF1">
        <w:rPr>
          <w:lang w:val="en-CA"/>
        </w:rPr>
        <w:t>as an explicit waiver.</w:t>
      </w:r>
    </w:p>
    <w:p w14:paraId="5B9CDF7F" w14:textId="44828CC0" w:rsidR="0048205F" w:rsidRPr="00324CF1" w:rsidRDefault="00ED47F8" w:rsidP="00FB5A91">
      <w:pPr>
        <w:pStyle w:val="Paragraphe"/>
        <w:spacing w:line="240" w:lineRule="auto"/>
        <w:rPr>
          <w:lang w:val="en-US"/>
        </w:rPr>
      </w:pPr>
      <w:bookmarkStart w:id="44" w:name="_Ref183097821"/>
      <w:r w:rsidRPr="00324CF1">
        <w:rPr>
          <w:lang w:val="en-CA"/>
        </w:rPr>
        <w:t>Finally, India argue</w:t>
      </w:r>
      <w:r w:rsidR="00753832">
        <w:rPr>
          <w:lang w:val="en-CA"/>
        </w:rPr>
        <w:t>d</w:t>
      </w:r>
      <w:r w:rsidRPr="00324CF1">
        <w:rPr>
          <w:lang w:val="en-CA"/>
        </w:rPr>
        <w:t xml:space="preserve"> on a</w:t>
      </w:r>
      <w:r w:rsidR="00E759AF">
        <w:rPr>
          <w:lang w:val="en-CA"/>
        </w:rPr>
        <w:t>n</w:t>
      </w:r>
      <w:r w:rsidRPr="00324CF1">
        <w:rPr>
          <w:lang w:val="en-CA"/>
        </w:rPr>
        <w:t xml:space="preserve"> </w:t>
      </w:r>
      <w:r w:rsidR="00E759AF">
        <w:rPr>
          <w:lang w:val="en-CA"/>
        </w:rPr>
        <w:t>alternative</w:t>
      </w:r>
      <w:r w:rsidR="00E759AF" w:rsidRPr="00324CF1">
        <w:rPr>
          <w:lang w:val="en-CA"/>
        </w:rPr>
        <w:t xml:space="preserve"> </w:t>
      </w:r>
      <w:r w:rsidRPr="00324CF1">
        <w:rPr>
          <w:lang w:val="en-CA"/>
        </w:rPr>
        <w:t xml:space="preserve">basis that even if the waiver exception were to be </w:t>
      </w:r>
      <w:r w:rsidR="00E759AF">
        <w:rPr>
          <w:lang w:val="en-CA"/>
        </w:rPr>
        <w:t>accepted</w:t>
      </w:r>
      <w:r w:rsidRPr="00324CF1">
        <w:rPr>
          <w:lang w:val="en-CA"/>
        </w:rPr>
        <w:t>, the waiver must be considered null since the SCI concluded that the Devas Agreement</w:t>
      </w:r>
      <w:r w:rsidR="00E52F6F">
        <w:rPr>
          <w:lang w:val="en-CA"/>
        </w:rPr>
        <w:t>—</w:t>
      </w:r>
      <w:r w:rsidRPr="00324CF1">
        <w:rPr>
          <w:lang w:val="en-CA"/>
        </w:rPr>
        <w:t xml:space="preserve">which </w:t>
      </w:r>
      <w:r w:rsidR="00753832">
        <w:rPr>
          <w:lang w:val="en-CA"/>
        </w:rPr>
        <w:t>was</w:t>
      </w:r>
      <w:r w:rsidRPr="00324CF1">
        <w:rPr>
          <w:lang w:val="en-CA"/>
        </w:rPr>
        <w:t xml:space="preserve"> the basis for the two arbitral awards that CCDM/Devas were seeking to have recognized and enforced </w:t>
      </w:r>
      <w:r w:rsidR="00E52F6F">
        <w:rPr>
          <w:lang w:val="en-CA"/>
        </w:rPr>
        <w:t>before</w:t>
      </w:r>
      <w:r w:rsidR="00E52F6F" w:rsidRPr="00324CF1">
        <w:rPr>
          <w:lang w:val="en-CA"/>
        </w:rPr>
        <w:t xml:space="preserve"> </w:t>
      </w:r>
      <w:r w:rsidRPr="00324CF1">
        <w:rPr>
          <w:lang w:val="en-CA"/>
        </w:rPr>
        <w:t>the Quebec courts</w:t>
      </w:r>
      <w:r w:rsidR="00E52F6F">
        <w:rPr>
          <w:lang w:val="en-CA"/>
        </w:rPr>
        <w:t>—</w:t>
      </w:r>
      <w:r w:rsidRPr="00324CF1">
        <w:rPr>
          <w:lang w:val="en-CA"/>
        </w:rPr>
        <w:t>was entered into fraudulently.</w:t>
      </w:r>
      <w:bookmarkEnd w:id="44"/>
    </w:p>
    <w:p w14:paraId="2C36EF8B" w14:textId="47485F56" w:rsidR="000D53F4" w:rsidRPr="00324CF1" w:rsidRDefault="00ED47F8" w:rsidP="00FB5A91">
      <w:pPr>
        <w:pStyle w:val="Paragraphe"/>
        <w:spacing w:line="240" w:lineRule="auto"/>
        <w:rPr>
          <w:lang w:val="en-US"/>
        </w:rPr>
      </w:pPr>
      <w:r w:rsidRPr="00324CF1">
        <w:rPr>
          <w:lang w:val="en-CA"/>
        </w:rPr>
        <w:t>CCDM/Devas argue</w:t>
      </w:r>
      <w:r w:rsidR="00753832">
        <w:rPr>
          <w:lang w:val="en-CA"/>
        </w:rPr>
        <w:t>d</w:t>
      </w:r>
      <w:r w:rsidR="0029162F">
        <w:rPr>
          <w:lang w:val="en-CA"/>
        </w:rPr>
        <w:t xml:space="preserve"> </w:t>
      </w:r>
      <w:r w:rsidRPr="00324CF1">
        <w:rPr>
          <w:lang w:val="en-CA"/>
        </w:rPr>
        <w:t xml:space="preserve">that the judge was </w:t>
      </w:r>
      <w:r w:rsidR="0029162F">
        <w:rPr>
          <w:lang w:val="en-CA"/>
        </w:rPr>
        <w:t>right to recognize</w:t>
      </w:r>
      <w:r w:rsidRPr="00324CF1">
        <w:rPr>
          <w:lang w:val="en-CA"/>
        </w:rPr>
        <w:t xml:space="preserve"> the applicability of the commercial activity exception (section 5 of the</w:t>
      </w:r>
      <w:r w:rsidRPr="00324CF1">
        <w:rPr>
          <w:i/>
          <w:iCs/>
          <w:lang w:val="en-CA"/>
        </w:rPr>
        <w:t xml:space="preserve"> SIA</w:t>
      </w:r>
      <w:r w:rsidRPr="00324CF1">
        <w:rPr>
          <w:lang w:val="en-CA"/>
        </w:rPr>
        <w:t xml:space="preserve">). According to CCDM/Devas, the judge followed the </w:t>
      </w:r>
      <w:r w:rsidR="0029162F">
        <w:rPr>
          <w:lang w:val="en-CA"/>
        </w:rPr>
        <w:t xml:space="preserve">analytical </w:t>
      </w:r>
      <w:r w:rsidRPr="00324CF1">
        <w:rPr>
          <w:lang w:val="en-CA"/>
        </w:rPr>
        <w:t>framework proposed by La Forest</w:t>
      </w:r>
      <w:r w:rsidR="00753832">
        <w:rPr>
          <w:lang w:val="en-CA"/>
        </w:rPr>
        <w:t>,</w:t>
      </w:r>
      <w:r w:rsidRPr="00324CF1">
        <w:rPr>
          <w:lang w:val="en-CA"/>
        </w:rPr>
        <w:t xml:space="preserve"> J. in </w:t>
      </w:r>
      <w:r w:rsidRPr="00324CF1">
        <w:rPr>
          <w:i/>
          <w:iCs/>
          <w:lang w:val="en-CA"/>
        </w:rPr>
        <w:t>Re Canada Labour Code,</w:t>
      </w:r>
      <w:bookmarkStart w:id="45" w:name="_Ref174537180"/>
      <w:r w:rsidRPr="00324CF1">
        <w:rPr>
          <w:vertAlign w:val="superscript"/>
          <w:lang w:val="en-CA"/>
        </w:rPr>
        <w:footnoteReference w:id="51"/>
      </w:r>
      <w:bookmarkEnd w:id="45"/>
      <w:r w:rsidRPr="00324CF1">
        <w:rPr>
          <w:lang w:val="en-CA"/>
        </w:rPr>
        <w:t xml:space="preserve"> in accordance with the contextual </w:t>
      </w:r>
      <w:r w:rsidR="003B2E66">
        <w:rPr>
          <w:lang w:val="en-CA"/>
        </w:rPr>
        <w:t>approach</w:t>
      </w:r>
      <w:r w:rsidR="003B2E66" w:rsidRPr="00324CF1">
        <w:rPr>
          <w:lang w:val="en-CA"/>
        </w:rPr>
        <w:t xml:space="preserve"> </w:t>
      </w:r>
      <w:r w:rsidRPr="00324CF1">
        <w:rPr>
          <w:lang w:val="en-CA"/>
        </w:rPr>
        <w:t xml:space="preserve">recommended therein, which requires </w:t>
      </w:r>
      <w:r w:rsidR="003B2E66">
        <w:rPr>
          <w:lang w:val="en-CA"/>
        </w:rPr>
        <w:t>that</w:t>
      </w:r>
      <w:r w:rsidRPr="00324CF1">
        <w:rPr>
          <w:lang w:val="en-CA"/>
        </w:rPr>
        <w:t xml:space="preserve"> the activity</w:t>
      </w:r>
      <w:r w:rsidR="003B2E66">
        <w:rPr>
          <w:lang w:val="en-CA"/>
        </w:rPr>
        <w:t xml:space="preserve"> as a whole</w:t>
      </w:r>
      <w:r w:rsidRPr="00324CF1">
        <w:rPr>
          <w:lang w:val="en-CA"/>
        </w:rPr>
        <w:t xml:space="preserve"> and its context</w:t>
      </w:r>
      <w:r w:rsidR="003B2E66">
        <w:rPr>
          <w:lang w:val="en-CA"/>
        </w:rPr>
        <w:t xml:space="preserve"> be considered</w:t>
      </w:r>
      <w:r w:rsidRPr="00324CF1">
        <w:rPr>
          <w:lang w:val="en-CA"/>
        </w:rPr>
        <w:t xml:space="preserve">. The judge was justified in analyzing the entire decision-making process that led to the conclusion of the Devas Agreement and even the actions </w:t>
      </w:r>
      <w:r w:rsidR="00F525EF">
        <w:rPr>
          <w:lang w:val="en-CA"/>
        </w:rPr>
        <w:t xml:space="preserve">subsequent </w:t>
      </w:r>
      <w:r w:rsidR="00753832">
        <w:rPr>
          <w:lang w:val="en-CA"/>
        </w:rPr>
        <w:t>there</w:t>
      </w:r>
      <w:r w:rsidR="00F525EF">
        <w:rPr>
          <w:lang w:val="en-CA"/>
        </w:rPr>
        <w:t>to</w:t>
      </w:r>
      <w:r w:rsidRPr="00324CF1">
        <w:rPr>
          <w:lang w:val="en-CA"/>
        </w:rPr>
        <w:t>.</w:t>
      </w:r>
    </w:p>
    <w:p w14:paraId="52906A42" w14:textId="0E6160CD" w:rsidR="00B02680" w:rsidRPr="00324CF1" w:rsidRDefault="00ED47F8" w:rsidP="00DA1646">
      <w:pPr>
        <w:pStyle w:val="Paragraphe"/>
        <w:spacing w:before="80" w:after="80" w:line="240" w:lineRule="auto"/>
        <w:rPr>
          <w:lang w:val="en-US"/>
        </w:rPr>
      </w:pPr>
      <w:r w:rsidRPr="00324CF1">
        <w:rPr>
          <w:lang w:val="en-CA"/>
        </w:rPr>
        <w:t xml:space="preserve">CCDM/Devas also argued that the judge was correct in concluding that the </w:t>
      </w:r>
      <w:r w:rsidR="00C0650B">
        <w:rPr>
          <w:lang w:val="en-CA"/>
        </w:rPr>
        <w:t xml:space="preserve">immunity </w:t>
      </w:r>
      <w:r w:rsidRPr="00324CF1">
        <w:rPr>
          <w:lang w:val="en-CA"/>
        </w:rPr>
        <w:t xml:space="preserve">waiver exception (section 4(2)(a) </w:t>
      </w:r>
      <w:r w:rsidRPr="00324CF1">
        <w:rPr>
          <w:i/>
          <w:iCs/>
          <w:lang w:val="en-CA"/>
        </w:rPr>
        <w:t>SIA</w:t>
      </w:r>
      <w:r w:rsidRPr="00324CF1">
        <w:rPr>
          <w:lang w:val="en-CA"/>
        </w:rPr>
        <w:t>) applie</w:t>
      </w:r>
      <w:r w:rsidR="00753832">
        <w:rPr>
          <w:lang w:val="en-CA"/>
        </w:rPr>
        <w:t>d</w:t>
      </w:r>
      <w:r w:rsidRPr="00324CF1">
        <w:rPr>
          <w:lang w:val="en-CA"/>
        </w:rPr>
        <w:t xml:space="preserve">. </w:t>
      </w:r>
      <w:r w:rsidR="00C0650B">
        <w:rPr>
          <w:lang w:val="en-CA"/>
        </w:rPr>
        <w:t>Indeed</w:t>
      </w:r>
      <w:r w:rsidRPr="00324CF1">
        <w:rPr>
          <w:lang w:val="en-CA"/>
        </w:rPr>
        <w:t xml:space="preserve">, two elements taken together, namely India’s ratification of the </w:t>
      </w:r>
      <w:r w:rsidRPr="00324CF1">
        <w:rPr>
          <w:i/>
          <w:iCs/>
          <w:lang w:val="en-CA"/>
        </w:rPr>
        <w:t>New York Convention</w:t>
      </w:r>
      <w:r w:rsidRPr="00324CF1">
        <w:rPr>
          <w:lang w:val="en-CA"/>
        </w:rPr>
        <w:t xml:space="preserve"> and India’s acceptance that the dispute be arbitrated under the Treaty in accordance with the rules of the United Nations Commission on International Trade Law (“</w:t>
      </w:r>
      <w:r w:rsidRPr="00324CF1">
        <w:rPr>
          <w:b/>
          <w:bCs/>
          <w:lang w:val="en-CA"/>
        </w:rPr>
        <w:t>UNCITRAL</w:t>
      </w:r>
      <w:r w:rsidRPr="00324CF1">
        <w:rPr>
          <w:lang w:val="en-CA"/>
        </w:rPr>
        <w:t>”), amounted to an explicit waiver.</w:t>
      </w:r>
    </w:p>
    <w:p w14:paraId="094939C0" w14:textId="08142E2C" w:rsidR="00DC4CA3" w:rsidRPr="00324CF1" w:rsidRDefault="00ED47F8" w:rsidP="00DA1646">
      <w:pPr>
        <w:pStyle w:val="Paragraphe"/>
        <w:spacing w:before="80" w:after="80" w:line="240" w:lineRule="auto"/>
        <w:rPr>
          <w:lang w:val="en-US"/>
        </w:rPr>
      </w:pPr>
      <w:r w:rsidRPr="00324CF1">
        <w:rPr>
          <w:lang w:val="en-CA"/>
        </w:rPr>
        <w:t xml:space="preserve">As </w:t>
      </w:r>
      <w:r w:rsidR="00417A82">
        <w:rPr>
          <w:lang w:val="en-CA"/>
        </w:rPr>
        <w:t>stated</w:t>
      </w:r>
      <w:r w:rsidR="00417A82" w:rsidRPr="00324CF1">
        <w:rPr>
          <w:lang w:val="en-CA"/>
        </w:rPr>
        <w:t xml:space="preserve"> </w:t>
      </w:r>
      <w:r w:rsidRPr="00324CF1">
        <w:rPr>
          <w:lang w:val="en-CA"/>
        </w:rPr>
        <w:t>above, India maintain</w:t>
      </w:r>
      <w:r w:rsidR="00753832">
        <w:rPr>
          <w:lang w:val="en-CA"/>
        </w:rPr>
        <w:t>ed</w:t>
      </w:r>
      <w:r w:rsidRPr="00324CF1">
        <w:rPr>
          <w:lang w:val="en-CA"/>
        </w:rPr>
        <w:t xml:space="preserve"> that the judge erred in concluding that these two exceptions apply. It first addressed the commercial activity exception, then the explicit waiver exception, in the same order as the </w:t>
      </w:r>
      <w:r w:rsidR="00417A82">
        <w:rPr>
          <w:lang w:val="en-CA"/>
        </w:rPr>
        <w:t>trial</w:t>
      </w:r>
      <w:r w:rsidRPr="00324CF1">
        <w:rPr>
          <w:lang w:val="en-CA"/>
        </w:rPr>
        <w:t xml:space="preserve"> judge. However, this Court is of the opinion that it is better to first consider whether the file shows that India has expressly waived its immunity under subsection 4(2)(a) </w:t>
      </w:r>
      <w:r w:rsidRPr="00324CF1">
        <w:rPr>
          <w:i/>
          <w:iCs/>
          <w:lang w:val="en-CA"/>
        </w:rPr>
        <w:t>SIA</w:t>
      </w:r>
      <w:r w:rsidRPr="00324CF1">
        <w:rPr>
          <w:lang w:val="en-CA"/>
        </w:rPr>
        <w:t xml:space="preserve">. </w:t>
      </w:r>
      <w:r w:rsidR="00753832">
        <w:rPr>
          <w:lang w:val="en-CA"/>
        </w:rPr>
        <w:t>A positive</w:t>
      </w:r>
      <w:r w:rsidRPr="00324CF1">
        <w:rPr>
          <w:lang w:val="en-CA"/>
        </w:rPr>
        <w:t xml:space="preserve"> response would make it possible to </w:t>
      </w:r>
      <w:r w:rsidR="00417A82">
        <w:rPr>
          <w:lang w:val="en-CA"/>
        </w:rPr>
        <w:t>find that</w:t>
      </w:r>
      <w:r w:rsidRPr="00324CF1">
        <w:rPr>
          <w:lang w:val="en-CA"/>
        </w:rPr>
        <w:t xml:space="preserve"> the exception provided for in subsection 4(2)(a)</w:t>
      </w:r>
      <w:r w:rsidR="00417A82">
        <w:rPr>
          <w:lang w:val="en-CA"/>
        </w:rPr>
        <w:t xml:space="preserve"> applies</w:t>
      </w:r>
      <w:r w:rsidRPr="00324CF1">
        <w:rPr>
          <w:lang w:val="en-CA"/>
        </w:rPr>
        <w:t xml:space="preserve">, without having to </w:t>
      </w:r>
      <w:r w:rsidRPr="00324CF1">
        <w:rPr>
          <w:lang w:val="en-CA"/>
        </w:rPr>
        <w:lastRenderedPageBreak/>
        <w:t xml:space="preserve">examine the commercial activity exception </w:t>
      </w:r>
      <w:r w:rsidR="00753832">
        <w:rPr>
          <w:lang w:val="en-CA"/>
        </w:rPr>
        <w:t>set out under</w:t>
      </w:r>
      <w:r w:rsidRPr="00324CF1">
        <w:rPr>
          <w:lang w:val="en-CA"/>
        </w:rPr>
        <w:t xml:space="preserve"> section 5 of the</w:t>
      </w:r>
      <w:r w:rsidRPr="00324CF1">
        <w:rPr>
          <w:i/>
          <w:iCs/>
          <w:lang w:val="en-CA"/>
        </w:rPr>
        <w:t xml:space="preserve"> SIA</w:t>
      </w:r>
      <w:r w:rsidRPr="00324CF1">
        <w:rPr>
          <w:lang w:val="en-CA"/>
        </w:rPr>
        <w:t xml:space="preserve">. In any event, it should be noted that the commercial activity exception </w:t>
      </w:r>
      <w:r w:rsidR="00753832">
        <w:rPr>
          <w:lang w:val="en-CA"/>
        </w:rPr>
        <w:t>under</w:t>
      </w:r>
      <w:r w:rsidRPr="00324CF1">
        <w:rPr>
          <w:lang w:val="en-CA"/>
        </w:rPr>
        <w:t xml:space="preserve"> section 5 of the </w:t>
      </w:r>
      <w:r w:rsidRPr="00324CF1">
        <w:rPr>
          <w:i/>
          <w:iCs/>
          <w:lang w:val="en-CA"/>
        </w:rPr>
        <w:t xml:space="preserve">SIA </w:t>
      </w:r>
      <w:r w:rsidRPr="00324CF1">
        <w:rPr>
          <w:lang w:val="en-CA"/>
        </w:rPr>
        <w:t>may be conceptually considered</w:t>
      </w:r>
      <w:r w:rsidR="001449FC">
        <w:rPr>
          <w:lang w:val="en-CA"/>
        </w:rPr>
        <w:t xml:space="preserve"> as</w:t>
      </w:r>
      <w:r w:rsidRPr="00324CF1">
        <w:rPr>
          <w:lang w:val="en-CA"/>
        </w:rPr>
        <w:t xml:space="preserve"> a form of implicit waiver of immunity, as suggested by Fox and Webb:</w:t>
      </w:r>
      <w:bookmarkStart w:id="46" w:name="_Ref174549237"/>
      <w:r w:rsidRPr="00324CF1">
        <w:rPr>
          <w:rStyle w:val="Appelnotedebasdep"/>
          <w:lang w:val="en-CA"/>
        </w:rPr>
        <w:footnoteReference w:id="52"/>
      </w:r>
      <w:bookmarkEnd w:id="46"/>
    </w:p>
    <w:p w14:paraId="59393112" w14:textId="76112C66" w:rsidR="00DC4CA3" w:rsidRPr="00324CF1" w:rsidRDefault="00324CF1" w:rsidP="00DA1646">
      <w:pPr>
        <w:pStyle w:val="Citationenretrait"/>
        <w:spacing w:before="80" w:after="80" w:line="240" w:lineRule="auto"/>
        <w:rPr>
          <w:lang w:val="en-CA"/>
        </w:rPr>
      </w:pPr>
      <w:r w:rsidRPr="00753832">
        <w:rPr>
          <w:lang w:val="en-CA"/>
        </w:rPr>
        <w:t>Even express consent as waiver of immunity by the foreign State when reduced to legislative form by appearance in court or the taking of a step in the proceedings involves some extension beyond a statement in words that the national court may proceed. A bolder use of implied waiver was developed so as to result in loss of immunity from the State’s voluntary undertaking of a business of the same kind as carried on by a private person. Here, three legal techniques are combined: consent of the State to the local jurisdiction construed by its engaging in a transaction on that basis; conduct of a business whose commerciality distinguishes it from the more usual activity of a State for the public benefit; and engaging in that business with and in the manner of a private person, the private law nature of the transaction engaged in supplying additional evidence that the State voluntarily intended to subject itself to the national court. Thus introduced by way of implied waiver, we find the two tests most frequently employed to determine the non-immunity of a transaction: private law character and commerciality.</w:t>
      </w:r>
    </w:p>
    <w:p w14:paraId="021C73D5" w14:textId="77777777" w:rsidR="00DC4CA3" w:rsidRPr="00324CF1" w:rsidRDefault="00ED47F8" w:rsidP="00DA1646">
      <w:pPr>
        <w:pStyle w:val="Citationenretrait"/>
        <w:spacing w:before="80" w:after="80" w:line="240" w:lineRule="auto"/>
        <w:jc w:val="right"/>
      </w:pPr>
      <w:r w:rsidRPr="00324CF1">
        <w:rPr>
          <w:lang w:val="en-CA"/>
        </w:rPr>
        <w:t>[References omitted]</w:t>
      </w:r>
    </w:p>
    <w:p w14:paraId="18946243" w14:textId="5C3972BF" w:rsidR="009900C6" w:rsidRPr="00324CF1" w:rsidRDefault="00ED47F8" w:rsidP="00FB5A91">
      <w:pPr>
        <w:pStyle w:val="Paragraphe"/>
        <w:spacing w:line="240" w:lineRule="auto"/>
        <w:rPr>
          <w:lang w:val="en-US"/>
        </w:rPr>
      </w:pPr>
      <w:r w:rsidRPr="00324CF1">
        <w:rPr>
          <w:lang w:val="en-CA"/>
        </w:rPr>
        <w:t>Moreover, as our colleague Bachand</w:t>
      </w:r>
      <w:r w:rsidR="00753832">
        <w:rPr>
          <w:lang w:val="en-CA"/>
        </w:rPr>
        <w:t>,</w:t>
      </w:r>
      <w:r w:rsidRPr="00324CF1">
        <w:rPr>
          <w:lang w:val="en-CA"/>
        </w:rPr>
        <w:t xml:space="preserve"> J.</w:t>
      </w:r>
      <w:r w:rsidR="001449FC">
        <w:rPr>
          <w:lang w:val="en-CA"/>
        </w:rPr>
        <w:t>A.</w:t>
      </w:r>
      <w:r w:rsidRPr="00324CF1">
        <w:rPr>
          <w:lang w:val="en-CA"/>
        </w:rPr>
        <w:t xml:space="preserve"> pointed out when he was a professor, since the commercial activity exception is likely to make the outcome of international arbitration dependent on purely political considerations,</w:t>
      </w:r>
      <w:bookmarkStart w:id="47" w:name="_Ref179974854"/>
      <w:r w:rsidRPr="00324CF1">
        <w:rPr>
          <w:vertAlign w:val="superscript"/>
          <w:lang w:val="en-CA"/>
        </w:rPr>
        <w:footnoteReference w:id="53"/>
      </w:r>
      <w:bookmarkEnd w:id="47"/>
      <w:r w:rsidRPr="00324CF1">
        <w:rPr>
          <w:lang w:val="en-CA"/>
        </w:rPr>
        <w:t xml:space="preserve"> the waiver exception is the most promising avenue for </w:t>
      </w:r>
      <w:r w:rsidR="001449FC">
        <w:rPr>
          <w:lang w:val="en-CA"/>
        </w:rPr>
        <w:t>rebutting</w:t>
      </w:r>
      <w:r w:rsidR="001449FC" w:rsidRPr="00324CF1">
        <w:rPr>
          <w:lang w:val="en-CA"/>
        </w:rPr>
        <w:t xml:space="preserve"> </w:t>
      </w:r>
      <w:r w:rsidRPr="00324CF1">
        <w:rPr>
          <w:lang w:val="en-CA"/>
        </w:rPr>
        <w:t xml:space="preserve">the presumption of immunity. He noted that the very essence of international arbitration </w:t>
      </w:r>
      <w:r w:rsidR="001449FC">
        <w:rPr>
          <w:lang w:val="en-CA"/>
        </w:rPr>
        <w:t>entails</w:t>
      </w:r>
      <w:r w:rsidR="001449FC" w:rsidRPr="00324CF1">
        <w:rPr>
          <w:lang w:val="en-CA"/>
        </w:rPr>
        <w:t xml:space="preserve"> </w:t>
      </w:r>
      <w:r w:rsidRPr="00324CF1">
        <w:rPr>
          <w:lang w:val="en-CA"/>
        </w:rPr>
        <w:t xml:space="preserve">that arbitral and national courts act in tandem to give full effect to arbitral awards: </w:t>
      </w:r>
    </w:p>
    <w:p w14:paraId="0F8A5A72" w14:textId="764BDD3F" w:rsidR="009900C6" w:rsidRPr="00324CF1" w:rsidRDefault="00324CF1" w:rsidP="00FB5A91">
      <w:pPr>
        <w:pStyle w:val="Citationenretrait"/>
        <w:spacing w:line="240" w:lineRule="auto"/>
        <w:rPr>
          <w:lang w:val="en-CA"/>
        </w:rPr>
      </w:pPr>
      <w:r w:rsidRPr="00753832">
        <w:rPr>
          <w:lang w:val="en-CA"/>
        </w:rPr>
        <w:t xml:space="preserve">Consent to final and binding arbitration constitutes, first and foremost, an explicit submission to the jurisdiction of a private tribunal – an explicit submission which, in the case of a foreign state, necessarily amounts to a waiver of jurisdictional immunity in connection with the arbitral proceedings themselves. But by consenting to arbitration, a sovereign state does not only submit to the tribunal’s jurisdiction, because what it truly </w:t>
      </w:r>
      <w:r w:rsidRPr="00753832">
        <w:rPr>
          <w:i/>
          <w:iCs/>
          <w:lang w:val="en-CA"/>
        </w:rPr>
        <w:t>submits</w:t>
      </w:r>
      <w:r w:rsidRPr="00753832">
        <w:rPr>
          <w:lang w:val="en-CA"/>
        </w:rPr>
        <w:t xml:space="preserve"> to in an </w:t>
      </w:r>
      <w:r w:rsidRPr="00753832">
        <w:rPr>
          <w:i/>
          <w:iCs/>
          <w:lang w:val="en-CA"/>
        </w:rPr>
        <w:t>explicit</w:t>
      </w:r>
      <w:r w:rsidRPr="00753832">
        <w:rPr>
          <w:lang w:val="en-CA"/>
        </w:rPr>
        <w:t xml:space="preserve"> manner is an “international system of justice” in which </w:t>
      </w:r>
      <w:r w:rsidRPr="00753832">
        <w:rPr>
          <w:i/>
          <w:iCs/>
          <w:lang w:val="en-CA"/>
        </w:rPr>
        <w:t>courts</w:t>
      </w:r>
      <w:r w:rsidRPr="00753832">
        <w:rPr>
          <w:lang w:val="en-CA"/>
        </w:rPr>
        <w:t xml:space="preserve"> also have an essential and integral role to play. Indeed, arbitration, both domestic and international, is best characterized as a hybrid process in which adjudicative power is shared between arbitrators and judges: while arbitral tribunals are given an exclusive power to decide the merits as well as extensive powers over procedural issues and the management of arbitral proceedings, courts exercise crucial functions aimed at either assisting the arbitral process to ensure its effectiveness, or controlling the legality of the process. Conceiving consent to arbitration as an explicit submission </w:t>
      </w:r>
      <w:r w:rsidRPr="00753832">
        <w:rPr>
          <w:lang w:val="en-CA"/>
        </w:rPr>
        <w:lastRenderedPageBreak/>
        <w:t>to nothing more than the tribunal’s power fundamentally misconceives the nature and inherent characteristics of the process</w:t>
      </w:r>
      <w:r w:rsidR="00ED47F8" w:rsidRPr="00324CF1">
        <w:rPr>
          <w:lang w:val="en-CA"/>
        </w:rPr>
        <w:t>.</w:t>
      </w:r>
      <w:r w:rsidR="00ED47F8" w:rsidRPr="00324CF1">
        <w:rPr>
          <w:vertAlign w:val="superscript"/>
        </w:rPr>
        <w:footnoteReference w:id="54"/>
      </w:r>
    </w:p>
    <w:p w14:paraId="49BC7113" w14:textId="77777777" w:rsidR="009900C6" w:rsidRPr="00324CF1" w:rsidRDefault="00ED47F8" w:rsidP="00FB5A91">
      <w:pPr>
        <w:pStyle w:val="Citationenretrait"/>
        <w:spacing w:line="240" w:lineRule="auto"/>
        <w:jc w:val="right"/>
        <w:rPr>
          <w:lang w:val="en-US"/>
        </w:rPr>
      </w:pPr>
      <w:r w:rsidRPr="00324CF1">
        <w:rPr>
          <w:lang w:val="en-CA"/>
        </w:rPr>
        <w:t>[References omitted; italics in the original]</w:t>
      </w:r>
    </w:p>
    <w:p w14:paraId="5D4ABF71" w14:textId="44E1F370" w:rsidR="00751E23" w:rsidRPr="00324CF1" w:rsidRDefault="00ED47F8" w:rsidP="00FB5A91">
      <w:pPr>
        <w:pStyle w:val="Paragraphe"/>
        <w:spacing w:line="240" w:lineRule="auto"/>
        <w:rPr>
          <w:lang w:val="en-US"/>
        </w:rPr>
      </w:pPr>
      <w:r w:rsidRPr="00324CF1">
        <w:rPr>
          <w:lang w:val="en-CA"/>
        </w:rPr>
        <w:t xml:space="preserve">This Court is therefore of the opinion that </w:t>
      </w:r>
      <w:r w:rsidR="00A83F34">
        <w:rPr>
          <w:lang w:val="en-CA"/>
        </w:rPr>
        <w:t>it is appropriate to consider</w:t>
      </w:r>
      <w:r w:rsidRPr="00324CF1">
        <w:rPr>
          <w:lang w:val="en-CA"/>
        </w:rPr>
        <w:t xml:space="preserve"> whether the waiver exception </w:t>
      </w:r>
      <w:r w:rsidR="00A83F34">
        <w:rPr>
          <w:lang w:val="en-CA"/>
        </w:rPr>
        <w:t>under</w:t>
      </w:r>
      <w:r w:rsidRPr="00324CF1">
        <w:rPr>
          <w:lang w:val="en-CA"/>
        </w:rPr>
        <w:t xml:space="preserve"> section 4(2)(a) of the </w:t>
      </w:r>
      <w:r w:rsidRPr="00324CF1">
        <w:rPr>
          <w:i/>
          <w:iCs/>
          <w:lang w:val="en-CA"/>
        </w:rPr>
        <w:t>SIA</w:t>
      </w:r>
      <w:r w:rsidRPr="00324CF1">
        <w:rPr>
          <w:lang w:val="en-CA"/>
        </w:rPr>
        <w:t xml:space="preserve"> applies as the </w:t>
      </w:r>
      <w:r w:rsidR="00A83F34">
        <w:rPr>
          <w:lang w:val="en-CA"/>
        </w:rPr>
        <w:t>trial</w:t>
      </w:r>
      <w:r w:rsidRPr="00324CF1">
        <w:rPr>
          <w:lang w:val="en-CA"/>
        </w:rPr>
        <w:t xml:space="preserve"> judge concluded, which would </w:t>
      </w:r>
      <w:r w:rsidR="00A83F34">
        <w:rPr>
          <w:lang w:val="en-CA"/>
        </w:rPr>
        <w:t>suffice</w:t>
      </w:r>
      <w:r w:rsidRPr="00324CF1">
        <w:rPr>
          <w:lang w:val="en-CA"/>
        </w:rPr>
        <w:t>, if applicable, to dismiss India’s claim that it benefits from state immunity.</w:t>
      </w:r>
    </w:p>
    <w:p w14:paraId="179F2E37" w14:textId="77777777" w:rsidR="00BC160A" w:rsidRPr="00324CF1" w:rsidRDefault="00ED47F8" w:rsidP="00FB5A91">
      <w:pPr>
        <w:pStyle w:val="Titre2"/>
        <w:spacing w:line="240" w:lineRule="auto"/>
        <w:rPr>
          <w:lang w:val="en-CA"/>
        </w:rPr>
      </w:pPr>
      <w:bookmarkStart w:id="48" w:name="_Toc184205609"/>
      <w:bookmarkStart w:id="49" w:name="_Toc256000004"/>
      <w:bookmarkStart w:id="50" w:name="_Hlk174364722"/>
      <w:bookmarkEnd w:id="41"/>
      <w:r w:rsidRPr="00324CF1">
        <w:rPr>
          <w:bCs/>
          <w:iCs/>
          <w:lang w:val="en-CA"/>
        </w:rPr>
        <w:t xml:space="preserve">3. </w:t>
      </w:r>
      <w:r w:rsidRPr="00324CF1">
        <w:rPr>
          <w:b w:val="0"/>
          <w:i w:val="0"/>
          <w:lang w:val="en-CA"/>
        </w:rPr>
        <w:tab/>
      </w:r>
      <w:r w:rsidRPr="00324CF1">
        <w:rPr>
          <w:bCs/>
          <w:iCs/>
          <w:lang w:val="en-CA"/>
        </w:rPr>
        <w:t>Applicable legal principles</w:t>
      </w:r>
      <w:bookmarkEnd w:id="48"/>
      <w:bookmarkEnd w:id="49"/>
    </w:p>
    <w:p w14:paraId="50BCB77D" w14:textId="77777777" w:rsidR="00BC160A" w:rsidRPr="00324CF1" w:rsidRDefault="00ED47F8" w:rsidP="00FB5A91">
      <w:pPr>
        <w:pStyle w:val="Titre3"/>
        <w:spacing w:line="240" w:lineRule="auto"/>
        <w:ind w:firstLine="720"/>
        <w:rPr>
          <w:b/>
          <w:bCs/>
          <w:lang w:val="en-CA"/>
        </w:rPr>
      </w:pPr>
      <w:bookmarkStart w:id="51" w:name="_Toc256000005"/>
      <w:bookmarkStart w:id="52" w:name="_Toc184205610"/>
      <w:r w:rsidRPr="00324CF1">
        <w:rPr>
          <w:b/>
          <w:bCs/>
          <w:lang w:val="en-CA"/>
        </w:rPr>
        <w:t>3.1 Relevant provisions of the</w:t>
      </w:r>
      <w:r w:rsidRPr="00324CF1">
        <w:rPr>
          <w:b/>
          <w:bCs/>
          <w:i/>
          <w:iCs/>
          <w:lang w:val="en-CA"/>
        </w:rPr>
        <w:t xml:space="preserve"> SIA</w:t>
      </w:r>
      <w:bookmarkEnd w:id="51"/>
      <w:bookmarkEnd w:id="52"/>
    </w:p>
    <w:p w14:paraId="72D8297F" w14:textId="2B44EEB3" w:rsidR="00BC160A" w:rsidRPr="00324CF1" w:rsidRDefault="00ED47F8" w:rsidP="00FB5A91">
      <w:pPr>
        <w:pStyle w:val="Paragraphe"/>
        <w:spacing w:line="240" w:lineRule="auto"/>
        <w:rPr>
          <w:lang w:val="en-US"/>
        </w:rPr>
      </w:pPr>
      <w:bookmarkStart w:id="53" w:name="_Ref183590789"/>
      <w:bookmarkEnd w:id="50"/>
      <w:r w:rsidRPr="00324CF1">
        <w:rPr>
          <w:lang w:val="en-CA"/>
        </w:rPr>
        <w:t xml:space="preserve">Under section 3(1) of the </w:t>
      </w:r>
      <w:r w:rsidRPr="00324CF1">
        <w:rPr>
          <w:i/>
          <w:iCs/>
          <w:lang w:val="en-CA"/>
        </w:rPr>
        <w:t>SIA</w:t>
      </w:r>
      <w:r w:rsidRPr="00324CF1">
        <w:rPr>
          <w:lang w:val="en-CA"/>
        </w:rPr>
        <w:t>, foreign states enjoy immunity from the jurisdiction of any court in Canada. Section 4 sets out both the circumstances under which states waive immunity and the exceptions to this rule:</w:t>
      </w:r>
      <w:bookmarkEnd w:id="53"/>
    </w:p>
    <w:p w14:paraId="69BCED56" w14:textId="77777777" w:rsidR="002642C7" w:rsidRPr="00324CF1" w:rsidRDefault="002642C7" w:rsidP="002642C7">
      <w:pPr>
        <w:pStyle w:val="Paragraphe"/>
        <w:numPr>
          <w:ilvl w:val="0"/>
          <w:numId w:val="0"/>
        </w:numPr>
        <w:spacing w:line="240" w:lineRule="auto"/>
        <w:rPr>
          <w:lang w:val="en-US"/>
        </w:rPr>
      </w:pPr>
    </w:p>
    <w:tbl>
      <w:tblPr>
        <w:tblW w:w="0" w:type="auto"/>
        <w:tblCellMar>
          <w:left w:w="70" w:type="dxa"/>
          <w:right w:w="70" w:type="dxa"/>
        </w:tblCellMar>
        <w:tblLook w:val="0000" w:firstRow="0" w:lastRow="0" w:firstColumn="0" w:lastColumn="0" w:noHBand="0" w:noVBand="0"/>
      </w:tblPr>
      <w:tblGrid>
        <w:gridCol w:w="4681"/>
        <w:gridCol w:w="4681"/>
      </w:tblGrid>
      <w:tr w:rsidR="00324CF1" w:rsidRPr="00A83F34" w14:paraId="4DE8A9DF" w14:textId="77777777" w:rsidTr="002642C7">
        <w:trPr>
          <w:trHeight w:val="877"/>
        </w:trPr>
        <w:tc>
          <w:tcPr>
            <w:tcW w:w="4681" w:type="dxa"/>
          </w:tcPr>
          <w:p w14:paraId="47BDB426" w14:textId="77777777" w:rsidR="00324CF1" w:rsidRPr="005E6EB3" w:rsidRDefault="00324CF1" w:rsidP="00324CF1">
            <w:pPr>
              <w:spacing w:line="240" w:lineRule="auto"/>
              <w:ind w:left="720" w:right="144"/>
              <w:jc w:val="both"/>
              <w:rPr>
                <w:b/>
                <w:bCs/>
                <w:sz w:val="22"/>
                <w:lang w:val="en-CA"/>
              </w:rPr>
            </w:pPr>
            <w:bookmarkStart w:id="54" w:name="_Hlk173847321"/>
          </w:p>
          <w:p w14:paraId="606DFBE4" w14:textId="77777777" w:rsidR="00A83F34" w:rsidRPr="00491612" w:rsidRDefault="00A83F34" w:rsidP="00A83F34">
            <w:pPr>
              <w:spacing w:line="240" w:lineRule="auto"/>
              <w:ind w:left="144" w:right="720"/>
              <w:jc w:val="both"/>
              <w:rPr>
                <w:b/>
                <w:bCs/>
                <w:sz w:val="22"/>
                <w:lang w:val="en-CA"/>
              </w:rPr>
            </w:pPr>
            <w:r w:rsidRPr="00491612">
              <w:rPr>
                <w:b/>
                <w:bCs/>
                <w:sz w:val="22"/>
                <w:lang w:val="en-CA"/>
              </w:rPr>
              <w:t>State immunity</w:t>
            </w:r>
          </w:p>
          <w:p w14:paraId="76653C35" w14:textId="77777777" w:rsidR="00A83F34" w:rsidRPr="00491612" w:rsidRDefault="00A83F34" w:rsidP="00A83F34">
            <w:pPr>
              <w:spacing w:line="240" w:lineRule="auto"/>
              <w:ind w:left="144" w:right="720"/>
              <w:jc w:val="both"/>
              <w:rPr>
                <w:sz w:val="22"/>
                <w:lang w:val="en-CA"/>
              </w:rPr>
            </w:pPr>
          </w:p>
          <w:p w14:paraId="24C3AA0D" w14:textId="77777777" w:rsidR="00A83F34" w:rsidRPr="00491612" w:rsidRDefault="00A83F34" w:rsidP="00A83F34">
            <w:pPr>
              <w:spacing w:line="240" w:lineRule="auto"/>
              <w:ind w:left="144" w:right="720"/>
              <w:jc w:val="both"/>
              <w:rPr>
                <w:sz w:val="22"/>
                <w:lang w:val="en-CA"/>
              </w:rPr>
            </w:pPr>
            <w:r w:rsidRPr="00491612">
              <w:rPr>
                <w:b/>
                <w:bCs/>
                <w:sz w:val="22"/>
                <w:lang w:val="en-CA"/>
              </w:rPr>
              <w:t>3 (1)</w:t>
            </w:r>
            <w:r w:rsidRPr="00491612">
              <w:rPr>
                <w:sz w:val="22"/>
                <w:lang w:val="en-CA"/>
              </w:rPr>
              <w:t xml:space="preserve"> Except as provided by this Act, a foreign state is immune from the jurisdiction of any court in Canada.</w:t>
            </w:r>
          </w:p>
          <w:p w14:paraId="015F84AD" w14:textId="77777777" w:rsidR="00A83F34" w:rsidRPr="00491612" w:rsidRDefault="00A83F34" w:rsidP="00A83F34">
            <w:pPr>
              <w:spacing w:line="240" w:lineRule="auto"/>
              <w:ind w:right="720"/>
              <w:jc w:val="both"/>
              <w:rPr>
                <w:sz w:val="22"/>
                <w:lang w:val="en-CA"/>
              </w:rPr>
            </w:pPr>
          </w:p>
          <w:p w14:paraId="48718D0E" w14:textId="77777777" w:rsidR="00A83F34" w:rsidRPr="00491612" w:rsidRDefault="00A83F34" w:rsidP="00A83F34">
            <w:pPr>
              <w:spacing w:line="240" w:lineRule="auto"/>
              <w:ind w:left="144" w:right="720"/>
              <w:jc w:val="both"/>
              <w:rPr>
                <w:b/>
                <w:bCs/>
                <w:sz w:val="22"/>
                <w:lang w:val="en-CA"/>
              </w:rPr>
            </w:pPr>
          </w:p>
          <w:p w14:paraId="473D325F" w14:textId="77777777" w:rsidR="00A83F34" w:rsidRPr="00491612" w:rsidRDefault="00A83F34" w:rsidP="00A83F34">
            <w:pPr>
              <w:spacing w:line="240" w:lineRule="auto"/>
              <w:ind w:left="144" w:right="720"/>
              <w:jc w:val="both"/>
              <w:rPr>
                <w:b/>
                <w:bCs/>
                <w:sz w:val="22"/>
                <w:lang w:val="en-CA"/>
              </w:rPr>
            </w:pPr>
            <w:r w:rsidRPr="00491612">
              <w:rPr>
                <w:b/>
                <w:bCs/>
                <w:sz w:val="22"/>
                <w:lang w:val="en-CA"/>
              </w:rPr>
              <w:t>Court to give effect to immunity</w:t>
            </w:r>
          </w:p>
          <w:p w14:paraId="11C2351D" w14:textId="77777777" w:rsidR="00A83F34" w:rsidRPr="00491612" w:rsidRDefault="00A83F34" w:rsidP="00A83F34">
            <w:pPr>
              <w:spacing w:line="240" w:lineRule="auto"/>
              <w:ind w:left="144" w:right="720"/>
              <w:jc w:val="both"/>
              <w:rPr>
                <w:sz w:val="22"/>
                <w:lang w:val="en-CA"/>
              </w:rPr>
            </w:pPr>
          </w:p>
          <w:p w14:paraId="627C61C4" w14:textId="77777777" w:rsidR="00A83F34" w:rsidRPr="00491612" w:rsidRDefault="00A83F34" w:rsidP="00A83F34">
            <w:pPr>
              <w:spacing w:line="240" w:lineRule="auto"/>
              <w:ind w:left="144" w:right="720"/>
              <w:jc w:val="both"/>
              <w:rPr>
                <w:sz w:val="22"/>
                <w:lang w:val="en-CA"/>
              </w:rPr>
            </w:pPr>
            <w:r w:rsidRPr="00491612">
              <w:rPr>
                <w:b/>
                <w:bCs/>
                <w:sz w:val="22"/>
                <w:lang w:val="en-CA"/>
              </w:rPr>
              <w:t>(2)</w:t>
            </w:r>
            <w:r w:rsidRPr="00491612">
              <w:rPr>
                <w:sz w:val="22"/>
                <w:lang w:val="en-CA"/>
              </w:rPr>
              <w:t xml:space="preserve"> In any proceedings before a court, the court shall give effect to the immunity conferred on a foreign state by subsection (1) notwithstanding that the state has failed to take any step in the proceedings.</w:t>
            </w:r>
          </w:p>
          <w:p w14:paraId="58BF79F0" w14:textId="77777777" w:rsidR="00A83F34" w:rsidRPr="00491612" w:rsidRDefault="00A83F34" w:rsidP="00A83F34">
            <w:pPr>
              <w:spacing w:line="240" w:lineRule="auto"/>
              <w:ind w:left="144" w:right="720"/>
              <w:jc w:val="both"/>
              <w:rPr>
                <w:b/>
                <w:bCs/>
                <w:sz w:val="22"/>
                <w:lang w:val="en-CA"/>
              </w:rPr>
            </w:pPr>
          </w:p>
          <w:p w14:paraId="44B5CEF1" w14:textId="77777777" w:rsidR="00A83F34" w:rsidRPr="00491612" w:rsidRDefault="00A83F34" w:rsidP="00A83F34">
            <w:pPr>
              <w:spacing w:line="240" w:lineRule="auto"/>
              <w:ind w:left="144" w:right="720"/>
              <w:jc w:val="both"/>
              <w:rPr>
                <w:b/>
                <w:bCs/>
                <w:sz w:val="22"/>
                <w:lang w:val="en-CA"/>
              </w:rPr>
            </w:pPr>
            <w:r w:rsidRPr="00491612">
              <w:rPr>
                <w:b/>
                <w:bCs/>
                <w:sz w:val="22"/>
                <w:lang w:val="en-CA"/>
              </w:rPr>
              <w:t>Immunity waived</w:t>
            </w:r>
          </w:p>
          <w:p w14:paraId="0DD0DCD4" w14:textId="77777777" w:rsidR="00A83F34" w:rsidRPr="00491612" w:rsidRDefault="00A83F34" w:rsidP="00A83F34">
            <w:pPr>
              <w:spacing w:line="240" w:lineRule="auto"/>
              <w:ind w:left="144" w:right="720"/>
              <w:jc w:val="both"/>
              <w:rPr>
                <w:sz w:val="22"/>
                <w:lang w:val="en-CA"/>
              </w:rPr>
            </w:pPr>
          </w:p>
          <w:p w14:paraId="20B46C5C" w14:textId="77777777" w:rsidR="00A83F34" w:rsidRPr="00491612" w:rsidRDefault="00A83F34" w:rsidP="00A83F34">
            <w:pPr>
              <w:spacing w:line="240" w:lineRule="auto"/>
              <w:ind w:left="144" w:right="720"/>
              <w:jc w:val="both"/>
              <w:rPr>
                <w:sz w:val="22"/>
                <w:lang w:val="en-CA"/>
              </w:rPr>
            </w:pPr>
            <w:r w:rsidRPr="00491612">
              <w:rPr>
                <w:b/>
                <w:bCs/>
                <w:sz w:val="22"/>
                <w:lang w:val="en-CA"/>
              </w:rPr>
              <w:t>4 (1)</w:t>
            </w:r>
            <w:r w:rsidRPr="00491612">
              <w:rPr>
                <w:sz w:val="22"/>
                <w:lang w:val="en-CA"/>
              </w:rPr>
              <w:t xml:space="preserve"> A foreign state is not immune from the jurisdiction of a court if the state waives the immunity conferred by subsection 3(1) by submitting to the jurisdiction of the court in accordance with subsection (2) or (4).</w:t>
            </w:r>
          </w:p>
          <w:p w14:paraId="44ADD9DE" w14:textId="77777777" w:rsidR="00A83F34" w:rsidRPr="00491612" w:rsidRDefault="00A83F34" w:rsidP="00A83F34">
            <w:pPr>
              <w:spacing w:line="240" w:lineRule="auto"/>
              <w:ind w:left="144" w:right="720"/>
              <w:jc w:val="both"/>
              <w:rPr>
                <w:sz w:val="22"/>
                <w:lang w:val="en-CA"/>
              </w:rPr>
            </w:pPr>
          </w:p>
          <w:p w14:paraId="5C8BE852" w14:textId="77777777" w:rsidR="00A83F34" w:rsidRPr="00491612" w:rsidRDefault="00A83F34" w:rsidP="00A83F34">
            <w:pPr>
              <w:spacing w:line="240" w:lineRule="auto"/>
              <w:ind w:left="144" w:right="720"/>
              <w:jc w:val="both"/>
              <w:rPr>
                <w:b/>
                <w:bCs/>
                <w:sz w:val="22"/>
                <w:lang w:val="en-CA"/>
              </w:rPr>
            </w:pPr>
            <w:r w:rsidRPr="00491612">
              <w:rPr>
                <w:b/>
                <w:bCs/>
                <w:sz w:val="22"/>
                <w:lang w:val="en-CA"/>
              </w:rPr>
              <w:t>State submits to jurisdiction</w:t>
            </w:r>
          </w:p>
          <w:p w14:paraId="7E5C8759" w14:textId="77777777" w:rsidR="00A83F34" w:rsidRPr="00491612" w:rsidRDefault="00A83F34" w:rsidP="00A83F34">
            <w:pPr>
              <w:spacing w:line="240" w:lineRule="auto"/>
              <w:ind w:left="144" w:right="720"/>
              <w:jc w:val="both"/>
              <w:rPr>
                <w:sz w:val="22"/>
                <w:lang w:val="en-CA"/>
              </w:rPr>
            </w:pPr>
          </w:p>
          <w:p w14:paraId="3EC1614F" w14:textId="77777777" w:rsidR="00A83F34" w:rsidRPr="00491612" w:rsidRDefault="00A83F34" w:rsidP="00A83F34">
            <w:pPr>
              <w:spacing w:line="240" w:lineRule="auto"/>
              <w:ind w:left="144" w:right="720"/>
              <w:jc w:val="both"/>
              <w:rPr>
                <w:sz w:val="22"/>
                <w:lang w:val="en-CA"/>
              </w:rPr>
            </w:pPr>
          </w:p>
          <w:p w14:paraId="1BBEF6D5" w14:textId="77777777" w:rsidR="00A83F34" w:rsidRPr="00491612" w:rsidRDefault="00A83F34" w:rsidP="00A83F34">
            <w:pPr>
              <w:spacing w:line="240" w:lineRule="auto"/>
              <w:ind w:left="144" w:right="720"/>
              <w:jc w:val="both"/>
              <w:rPr>
                <w:sz w:val="22"/>
                <w:lang w:val="en-CA"/>
              </w:rPr>
            </w:pPr>
            <w:r w:rsidRPr="00491612">
              <w:rPr>
                <w:b/>
                <w:bCs/>
                <w:sz w:val="22"/>
                <w:lang w:val="en-CA"/>
              </w:rPr>
              <w:t>(2)</w:t>
            </w:r>
            <w:r w:rsidRPr="00491612">
              <w:rPr>
                <w:sz w:val="22"/>
                <w:lang w:val="en-CA"/>
              </w:rPr>
              <w:t xml:space="preserve"> In any proceedings before a court, a foreign state submits to the jurisdiction of the court where it</w:t>
            </w:r>
          </w:p>
          <w:p w14:paraId="081008C6" w14:textId="77777777" w:rsidR="00A83F34" w:rsidRPr="00491612" w:rsidRDefault="00A83F34" w:rsidP="00A83F34">
            <w:pPr>
              <w:spacing w:line="240" w:lineRule="auto"/>
              <w:ind w:left="144" w:right="720"/>
              <w:jc w:val="both"/>
              <w:rPr>
                <w:sz w:val="22"/>
                <w:lang w:val="en-CA"/>
              </w:rPr>
            </w:pPr>
          </w:p>
          <w:p w14:paraId="6A2D3AAA" w14:textId="77777777" w:rsidR="00A83F34" w:rsidRPr="00491612" w:rsidRDefault="00A83F34" w:rsidP="00A83F34">
            <w:pPr>
              <w:spacing w:line="240" w:lineRule="auto"/>
              <w:ind w:left="144" w:right="720"/>
              <w:jc w:val="both"/>
              <w:rPr>
                <w:sz w:val="22"/>
                <w:lang w:val="en-CA"/>
              </w:rPr>
            </w:pPr>
            <w:r w:rsidRPr="00491612">
              <w:rPr>
                <w:b/>
                <w:bCs/>
                <w:sz w:val="22"/>
                <w:lang w:val="en-CA"/>
              </w:rPr>
              <w:t>(a)</w:t>
            </w:r>
            <w:r w:rsidRPr="00491612">
              <w:rPr>
                <w:sz w:val="22"/>
                <w:lang w:val="en-CA"/>
              </w:rPr>
              <w:t xml:space="preserve"> </w:t>
            </w:r>
            <w:r w:rsidRPr="00491612">
              <w:rPr>
                <w:sz w:val="22"/>
                <w:u w:val="single"/>
                <w:lang w:val="en-CA"/>
              </w:rPr>
              <w:t>explicitly submits to the jurisdiction of the court by written agreement or otherwise</w:t>
            </w:r>
            <w:r w:rsidRPr="00491612">
              <w:rPr>
                <w:sz w:val="22"/>
                <w:lang w:val="en-CA"/>
              </w:rPr>
              <w:t xml:space="preserve"> either before or after the proceedings commence;</w:t>
            </w:r>
          </w:p>
          <w:p w14:paraId="64308870" w14:textId="77777777" w:rsidR="00A83F34" w:rsidRPr="00491612" w:rsidRDefault="00A83F34" w:rsidP="00A83F34">
            <w:pPr>
              <w:spacing w:line="240" w:lineRule="auto"/>
              <w:ind w:left="144" w:right="720"/>
              <w:jc w:val="both"/>
              <w:rPr>
                <w:sz w:val="22"/>
                <w:lang w:val="en-CA"/>
              </w:rPr>
            </w:pPr>
          </w:p>
          <w:p w14:paraId="34EF141E" w14:textId="77777777" w:rsidR="00A83F34" w:rsidRPr="00491612" w:rsidRDefault="00A83F34" w:rsidP="00A83F34">
            <w:pPr>
              <w:spacing w:line="240" w:lineRule="auto"/>
              <w:ind w:left="144" w:right="720"/>
              <w:jc w:val="both"/>
              <w:rPr>
                <w:sz w:val="22"/>
                <w:lang w:val="en-CA"/>
              </w:rPr>
            </w:pPr>
            <w:r w:rsidRPr="00491612">
              <w:rPr>
                <w:b/>
                <w:bCs/>
                <w:sz w:val="22"/>
                <w:lang w:val="en-CA"/>
              </w:rPr>
              <w:t>(b)</w:t>
            </w:r>
            <w:r w:rsidRPr="00491612">
              <w:rPr>
                <w:sz w:val="22"/>
                <w:lang w:val="en-CA"/>
              </w:rPr>
              <w:t xml:space="preserve"> initiates the proceedings in the court; or</w:t>
            </w:r>
          </w:p>
          <w:p w14:paraId="52E39E29" w14:textId="77777777" w:rsidR="00A83F34" w:rsidRPr="00491612" w:rsidRDefault="00A83F34" w:rsidP="00A83F34">
            <w:pPr>
              <w:spacing w:line="240" w:lineRule="auto"/>
              <w:ind w:left="144" w:right="720"/>
              <w:jc w:val="both"/>
              <w:rPr>
                <w:sz w:val="22"/>
                <w:lang w:val="en-CA"/>
              </w:rPr>
            </w:pPr>
          </w:p>
          <w:p w14:paraId="01376DE1" w14:textId="77777777" w:rsidR="00A83F34" w:rsidRPr="00491612" w:rsidRDefault="00A83F34" w:rsidP="00A83F34">
            <w:pPr>
              <w:spacing w:line="240" w:lineRule="auto"/>
              <w:ind w:left="144" w:right="720"/>
              <w:jc w:val="both"/>
              <w:rPr>
                <w:sz w:val="22"/>
                <w:lang w:val="en-CA"/>
              </w:rPr>
            </w:pPr>
            <w:r w:rsidRPr="00491612">
              <w:rPr>
                <w:b/>
                <w:bCs/>
                <w:sz w:val="22"/>
                <w:lang w:val="en-CA"/>
              </w:rPr>
              <w:t>(c)</w:t>
            </w:r>
            <w:r w:rsidRPr="00491612">
              <w:rPr>
                <w:sz w:val="22"/>
                <w:lang w:val="en-CA"/>
              </w:rPr>
              <w:t xml:space="preserve"> intervenes or takes any step in the proceedings before the court.</w:t>
            </w:r>
          </w:p>
          <w:p w14:paraId="467F0231" w14:textId="77777777" w:rsidR="00A83F34" w:rsidRPr="00491612" w:rsidRDefault="00A83F34" w:rsidP="00A83F34">
            <w:pPr>
              <w:spacing w:line="240" w:lineRule="auto"/>
              <w:ind w:left="144" w:right="720"/>
              <w:jc w:val="both"/>
              <w:rPr>
                <w:sz w:val="22"/>
                <w:lang w:val="en-CA"/>
              </w:rPr>
            </w:pPr>
          </w:p>
          <w:p w14:paraId="1183E726" w14:textId="77777777" w:rsidR="00A83F34" w:rsidRPr="00491612" w:rsidRDefault="00A83F34" w:rsidP="00A83F34">
            <w:pPr>
              <w:spacing w:line="240" w:lineRule="auto"/>
              <w:ind w:left="144" w:right="720"/>
              <w:jc w:val="both"/>
              <w:rPr>
                <w:b/>
                <w:bCs/>
                <w:sz w:val="22"/>
                <w:lang w:val="en-CA"/>
              </w:rPr>
            </w:pPr>
          </w:p>
          <w:p w14:paraId="0C47577A" w14:textId="77777777" w:rsidR="00A83F34" w:rsidRPr="00491612" w:rsidRDefault="00A83F34" w:rsidP="00A83F34">
            <w:pPr>
              <w:spacing w:line="240" w:lineRule="auto"/>
              <w:ind w:left="144" w:right="720"/>
              <w:jc w:val="both"/>
              <w:rPr>
                <w:b/>
                <w:bCs/>
                <w:sz w:val="22"/>
                <w:lang w:val="en-CA"/>
              </w:rPr>
            </w:pPr>
          </w:p>
          <w:p w14:paraId="27F39F6A" w14:textId="77777777" w:rsidR="00A83F34" w:rsidRPr="00491612" w:rsidRDefault="00A83F34" w:rsidP="00A83F34">
            <w:pPr>
              <w:spacing w:line="240" w:lineRule="auto"/>
              <w:ind w:left="144" w:right="720"/>
              <w:jc w:val="both"/>
              <w:rPr>
                <w:b/>
                <w:bCs/>
                <w:sz w:val="22"/>
                <w:lang w:val="en-CA"/>
              </w:rPr>
            </w:pPr>
          </w:p>
          <w:p w14:paraId="483772E9" w14:textId="77777777" w:rsidR="00A83F34" w:rsidRPr="00491612" w:rsidRDefault="00A83F34" w:rsidP="00A83F34">
            <w:pPr>
              <w:spacing w:line="240" w:lineRule="auto"/>
              <w:ind w:left="144" w:right="720"/>
              <w:jc w:val="both"/>
              <w:rPr>
                <w:b/>
                <w:bCs/>
                <w:sz w:val="22"/>
                <w:lang w:val="en-CA"/>
              </w:rPr>
            </w:pPr>
            <w:r w:rsidRPr="00491612">
              <w:rPr>
                <w:b/>
                <w:bCs/>
                <w:sz w:val="22"/>
                <w:lang w:val="en-CA"/>
              </w:rPr>
              <w:t>Exception</w:t>
            </w:r>
          </w:p>
          <w:p w14:paraId="1240207A" w14:textId="77777777" w:rsidR="00A83F34" w:rsidRPr="00491612" w:rsidRDefault="00A83F34" w:rsidP="00A83F34">
            <w:pPr>
              <w:spacing w:line="240" w:lineRule="auto"/>
              <w:ind w:left="144" w:right="720"/>
              <w:jc w:val="both"/>
              <w:rPr>
                <w:sz w:val="22"/>
                <w:lang w:val="en-CA"/>
              </w:rPr>
            </w:pPr>
          </w:p>
          <w:p w14:paraId="412A94E7" w14:textId="77777777" w:rsidR="00A83F34" w:rsidRPr="00491612" w:rsidRDefault="00A83F34" w:rsidP="00A83F34">
            <w:pPr>
              <w:spacing w:line="240" w:lineRule="auto"/>
              <w:ind w:left="144" w:right="720"/>
              <w:jc w:val="both"/>
              <w:rPr>
                <w:sz w:val="22"/>
                <w:lang w:val="en-CA"/>
              </w:rPr>
            </w:pPr>
            <w:r w:rsidRPr="00491612">
              <w:rPr>
                <w:b/>
                <w:bCs/>
                <w:sz w:val="22"/>
                <w:lang w:val="en-CA"/>
              </w:rPr>
              <w:t>(3)</w:t>
            </w:r>
            <w:r w:rsidRPr="00491612">
              <w:rPr>
                <w:sz w:val="22"/>
                <w:lang w:val="en-CA"/>
              </w:rPr>
              <w:t xml:space="preserve"> Paragraph (2)(c) does not apply to</w:t>
            </w:r>
          </w:p>
          <w:p w14:paraId="199F3EAF" w14:textId="77777777" w:rsidR="00A83F34" w:rsidRPr="00491612" w:rsidRDefault="00A83F34" w:rsidP="00A83F34">
            <w:pPr>
              <w:spacing w:line="240" w:lineRule="auto"/>
              <w:ind w:left="144" w:right="720"/>
              <w:jc w:val="both"/>
              <w:rPr>
                <w:sz w:val="22"/>
                <w:lang w:val="en-CA"/>
              </w:rPr>
            </w:pPr>
          </w:p>
          <w:p w14:paraId="0D346E1C" w14:textId="77777777" w:rsidR="00A83F34" w:rsidRPr="00491612" w:rsidRDefault="00A83F34" w:rsidP="00A83F34">
            <w:pPr>
              <w:spacing w:line="240" w:lineRule="auto"/>
              <w:ind w:left="144" w:right="720"/>
              <w:jc w:val="both"/>
              <w:rPr>
                <w:sz w:val="22"/>
                <w:lang w:val="en-CA"/>
              </w:rPr>
            </w:pPr>
            <w:r w:rsidRPr="00491612">
              <w:rPr>
                <w:b/>
                <w:bCs/>
                <w:sz w:val="22"/>
                <w:lang w:val="en-CA"/>
              </w:rPr>
              <w:t>(a)</w:t>
            </w:r>
            <w:r w:rsidRPr="00491612">
              <w:rPr>
                <w:sz w:val="22"/>
                <w:lang w:val="en-CA"/>
              </w:rPr>
              <w:t xml:space="preserve"> any intervention or step taken by a foreign state in proceedings before a court for the purpose of claiming immunity from the jurisdiction of the court; or</w:t>
            </w:r>
          </w:p>
          <w:p w14:paraId="2F70D3EE" w14:textId="77777777" w:rsidR="00A83F34" w:rsidRPr="00491612" w:rsidRDefault="00A83F34" w:rsidP="00A83F34">
            <w:pPr>
              <w:spacing w:line="240" w:lineRule="auto"/>
              <w:ind w:left="144" w:right="720"/>
              <w:jc w:val="both"/>
              <w:rPr>
                <w:sz w:val="22"/>
                <w:lang w:val="en-CA"/>
              </w:rPr>
            </w:pPr>
          </w:p>
          <w:p w14:paraId="167F2E4D" w14:textId="77777777" w:rsidR="00A83F34" w:rsidRPr="00491612" w:rsidRDefault="00A83F34" w:rsidP="00A83F34">
            <w:pPr>
              <w:spacing w:line="240" w:lineRule="auto"/>
              <w:ind w:left="144" w:right="720"/>
              <w:jc w:val="both"/>
              <w:rPr>
                <w:b/>
                <w:bCs/>
                <w:sz w:val="22"/>
                <w:lang w:val="en-CA"/>
              </w:rPr>
            </w:pPr>
          </w:p>
          <w:p w14:paraId="281FF579" w14:textId="77777777" w:rsidR="00A83F34" w:rsidRPr="00491612" w:rsidRDefault="00A83F34" w:rsidP="00A83F34">
            <w:pPr>
              <w:spacing w:line="240" w:lineRule="auto"/>
              <w:ind w:left="144" w:right="720"/>
              <w:jc w:val="both"/>
              <w:rPr>
                <w:sz w:val="22"/>
                <w:lang w:val="en-CA"/>
              </w:rPr>
            </w:pPr>
            <w:r w:rsidRPr="00491612">
              <w:rPr>
                <w:b/>
                <w:bCs/>
                <w:sz w:val="22"/>
                <w:lang w:val="en-CA"/>
              </w:rPr>
              <w:t>(b)</w:t>
            </w:r>
            <w:r w:rsidRPr="00491612">
              <w:rPr>
                <w:sz w:val="22"/>
                <w:lang w:val="en-CA"/>
              </w:rPr>
              <w:t xml:space="preserve"> any step taken by a foreign state in ignorance of facts entitling it to immunity if those facts could not reasonably have been ascertained before the step was taken and immunity is claimed as soon as reasonably practicable after they are ascertained.</w:t>
            </w:r>
          </w:p>
          <w:p w14:paraId="6D18F0F4" w14:textId="77777777" w:rsidR="00A83F34" w:rsidRPr="00491612" w:rsidRDefault="00A83F34" w:rsidP="00A83F34">
            <w:pPr>
              <w:spacing w:line="240" w:lineRule="auto"/>
              <w:ind w:left="144" w:right="720"/>
              <w:jc w:val="both"/>
              <w:rPr>
                <w:sz w:val="22"/>
                <w:lang w:val="en-CA"/>
              </w:rPr>
            </w:pPr>
          </w:p>
          <w:p w14:paraId="70E0C436" w14:textId="77777777" w:rsidR="00A83F34" w:rsidRPr="00491612" w:rsidRDefault="00A83F34" w:rsidP="00A83F34">
            <w:pPr>
              <w:spacing w:line="240" w:lineRule="auto"/>
              <w:ind w:left="144" w:right="720"/>
              <w:jc w:val="both"/>
              <w:rPr>
                <w:b/>
                <w:bCs/>
                <w:sz w:val="22"/>
                <w:lang w:val="en-CA"/>
              </w:rPr>
            </w:pPr>
            <w:r w:rsidRPr="00491612">
              <w:rPr>
                <w:b/>
                <w:bCs/>
                <w:sz w:val="22"/>
                <w:lang w:val="en-CA"/>
              </w:rPr>
              <w:t>Third party proceedings and counter-claims</w:t>
            </w:r>
          </w:p>
          <w:p w14:paraId="79D44A51" w14:textId="77777777" w:rsidR="00A83F34" w:rsidRPr="00491612" w:rsidRDefault="00A83F34" w:rsidP="00A83F34">
            <w:pPr>
              <w:spacing w:line="240" w:lineRule="auto"/>
              <w:ind w:left="144" w:right="720"/>
              <w:jc w:val="both"/>
              <w:rPr>
                <w:sz w:val="22"/>
                <w:lang w:val="en-CA"/>
              </w:rPr>
            </w:pPr>
          </w:p>
          <w:p w14:paraId="60340B9F" w14:textId="77777777" w:rsidR="00A83F34" w:rsidRPr="00491612" w:rsidRDefault="00A83F34" w:rsidP="00A83F34">
            <w:pPr>
              <w:spacing w:line="240" w:lineRule="auto"/>
              <w:ind w:left="144" w:right="720"/>
              <w:jc w:val="both"/>
              <w:rPr>
                <w:sz w:val="22"/>
                <w:lang w:val="en-CA"/>
              </w:rPr>
            </w:pPr>
            <w:r w:rsidRPr="00491612">
              <w:rPr>
                <w:b/>
                <w:bCs/>
                <w:sz w:val="22"/>
                <w:lang w:val="en-CA"/>
              </w:rPr>
              <w:t>(4)</w:t>
            </w:r>
            <w:r w:rsidRPr="00491612">
              <w:rPr>
                <w:sz w:val="22"/>
                <w:lang w:val="en-CA"/>
              </w:rPr>
              <w:t xml:space="preserve"> A foreign state that initiates proceedings in a court or that </w:t>
            </w:r>
            <w:r w:rsidRPr="00491612">
              <w:rPr>
                <w:sz w:val="22"/>
                <w:lang w:val="en-CA"/>
              </w:rPr>
              <w:lastRenderedPageBreak/>
              <w:t>intervenes or takes any step in proceedings before a court, other than an intervention or step to which paragraph (2)(c) does not apply, submits to the jurisdiction of the court in respect of any third party proceedings that arise, or counter-claim that arises, out of the subject-matter of the proceedings initiated by the state or in which the state has so intervened or taken a step.</w:t>
            </w:r>
          </w:p>
          <w:p w14:paraId="47AEB8E4" w14:textId="77777777" w:rsidR="00A83F34" w:rsidRPr="00491612" w:rsidRDefault="00A83F34" w:rsidP="00A83F34">
            <w:pPr>
              <w:spacing w:line="240" w:lineRule="auto"/>
              <w:ind w:left="144" w:right="720"/>
              <w:jc w:val="both"/>
              <w:rPr>
                <w:sz w:val="22"/>
                <w:lang w:val="en-CA"/>
              </w:rPr>
            </w:pPr>
          </w:p>
          <w:p w14:paraId="14F7CC69" w14:textId="77777777" w:rsidR="00A83F34" w:rsidRPr="00491612" w:rsidRDefault="00A83F34" w:rsidP="00A83F34">
            <w:pPr>
              <w:spacing w:line="240" w:lineRule="auto"/>
              <w:ind w:left="144" w:right="720"/>
              <w:jc w:val="both"/>
              <w:rPr>
                <w:b/>
                <w:bCs/>
                <w:sz w:val="22"/>
                <w:lang w:val="en-CA"/>
              </w:rPr>
            </w:pPr>
            <w:r w:rsidRPr="00491612">
              <w:rPr>
                <w:b/>
                <w:bCs/>
                <w:sz w:val="22"/>
                <w:lang w:val="en-CA"/>
              </w:rPr>
              <w:t>Appeal and review</w:t>
            </w:r>
          </w:p>
          <w:p w14:paraId="016999DC" w14:textId="77777777" w:rsidR="00A83F34" w:rsidRPr="00491612" w:rsidRDefault="00A83F34" w:rsidP="00A83F34">
            <w:pPr>
              <w:spacing w:line="240" w:lineRule="auto"/>
              <w:ind w:left="144" w:right="720"/>
              <w:jc w:val="both"/>
              <w:rPr>
                <w:sz w:val="22"/>
                <w:lang w:val="en-CA"/>
              </w:rPr>
            </w:pPr>
          </w:p>
          <w:p w14:paraId="4B404BDC" w14:textId="77777777" w:rsidR="00A83F34" w:rsidRPr="00491612" w:rsidRDefault="00A83F34" w:rsidP="00A83F34">
            <w:pPr>
              <w:spacing w:line="240" w:lineRule="auto"/>
              <w:ind w:left="144" w:right="720"/>
              <w:jc w:val="both"/>
              <w:rPr>
                <w:sz w:val="22"/>
                <w:lang w:val="en-CA"/>
              </w:rPr>
            </w:pPr>
            <w:r w:rsidRPr="00491612">
              <w:rPr>
                <w:b/>
                <w:bCs/>
                <w:sz w:val="22"/>
                <w:lang w:val="en-CA"/>
              </w:rPr>
              <w:t>(5)</w:t>
            </w:r>
            <w:r w:rsidRPr="00491612">
              <w:rPr>
                <w:sz w:val="22"/>
                <w:lang w:val="en-CA"/>
              </w:rPr>
              <w:t xml:space="preserve"> Where, in any proceedings before a court, a foreign state submits to the jurisdiction of the court in accordance with subsection (2) or (4), that submission is deemed to be a submission by the state to the jurisdiction of such one or more courts by which those proceedings may, in whole or in part, subsequently be considered on appeal or in the exercise of supervisory jurisdiction.</w:t>
            </w:r>
          </w:p>
          <w:p w14:paraId="3A48B60B" w14:textId="77777777" w:rsidR="00324CF1" w:rsidRPr="005E6EB3" w:rsidRDefault="00324CF1" w:rsidP="00A83F34">
            <w:pPr>
              <w:spacing w:line="240" w:lineRule="auto"/>
              <w:ind w:left="720" w:right="144"/>
              <w:jc w:val="both"/>
              <w:rPr>
                <w:sz w:val="22"/>
                <w:lang w:val="en-CA"/>
              </w:rPr>
            </w:pPr>
          </w:p>
        </w:tc>
        <w:tc>
          <w:tcPr>
            <w:tcW w:w="4681" w:type="dxa"/>
          </w:tcPr>
          <w:p w14:paraId="336CFDD5" w14:textId="77777777" w:rsidR="00324CF1" w:rsidRPr="005E6EB3" w:rsidRDefault="00324CF1" w:rsidP="00324CF1">
            <w:pPr>
              <w:spacing w:line="240" w:lineRule="auto"/>
              <w:ind w:left="144" w:right="720"/>
              <w:jc w:val="both"/>
              <w:rPr>
                <w:b/>
                <w:bCs/>
                <w:sz w:val="22"/>
                <w:lang w:val="en-CA"/>
              </w:rPr>
            </w:pPr>
          </w:p>
          <w:p w14:paraId="760AB0B4" w14:textId="77777777" w:rsidR="00A83F34" w:rsidRPr="00491612" w:rsidRDefault="00A83F34" w:rsidP="00A83F34">
            <w:pPr>
              <w:spacing w:line="240" w:lineRule="auto"/>
              <w:ind w:left="720" w:right="144"/>
              <w:jc w:val="both"/>
              <w:rPr>
                <w:b/>
                <w:bCs/>
                <w:sz w:val="22"/>
              </w:rPr>
            </w:pPr>
            <w:r w:rsidRPr="00491612">
              <w:rPr>
                <w:b/>
                <w:bCs/>
                <w:sz w:val="22"/>
              </w:rPr>
              <w:t>Immunité de juridiction</w:t>
            </w:r>
          </w:p>
          <w:p w14:paraId="1329F057" w14:textId="77777777" w:rsidR="00A83F34" w:rsidRPr="00491612" w:rsidRDefault="00A83F34" w:rsidP="00A83F34">
            <w:pPr>
              <w:spacing w:line="240" w:lineRule="auto"/>
              <w:ind w:left="720" w:right="144"/>
              <w:jc w:val="both"/>
              <w:rPr>
                <w:sz w:val="22"/>
              </w:rPr>
            </w:pPr>
          </w:p>
          <w:p w14:paraId="4AF5F253" w14:textId="77777777" w:rsidR="00A83F34" w:rsidRPr="00491612" w:rsidRDefault="00A83F34" w:rsidP="00A83F34">
            <w:pPr>
              <w:spacing w:line="240" w:lineRule="auto"/>
              <w:ind w:left="720" w:right="144"/>
              <w:jc w:val="both"/>
              <w:rPr>
                <w:sz w:val="22"/>
              </w:rPr>
            </w:pPr>
            <w:r w:rsidRPr="00491612">
              <w:rPr>
                <w:b/>
                <w:bCs/>
                <w:sz w:val="22"/>
              </w:rPr>
              <w:t>3 (1)</w:t>
            </w:r>
            <w:r w:rsidRPr="00491612">
              <w:rPr>
                <w:sz w:val="22"/>
              </w:rPr>
              <w:t xml:space="preserve"> Sauf exceptions prévues dans la présente loi, l’État étranger bénéficie de l’immunité de juridiction devant tout tribunal au Canada.</w:t>
            </w:r>
          </w:p>
          <w:p w14:paraId="585E473F" w14:textId="77777777" w:rsidR="00A83F34" w:rsidRPr="00491612" w:rsidRDefault="00A83F34" w:rsidP="00A83F34">
            <w:pPr>
              <w:spacing w:line="240" w:lineRule="auto"/>
              <w:ind w:left="720" w:right="144"/>
              <w:jc w:val="both"/>
              <w:rPr>
                <w:sz w:val="22"/>
              </w:rPr>
            </w:pPr>
          </w:p>
          <w:p w14:paraId="33E027B6" w14:textId="77777777" w:rsidR="00A83F34" w:rsidRPr="00491612" w:rsidRDefault="00A83F34" w:rsidP="00A83F34">
            <w:pPr>
              <w:spacing w:line="240" w:lineRule="auto"/>
              <w:ind w:left="720" w:right="144"/>
              <w:jc w:val="both"/>
              <w:rPr>
                <w:b/>
                <w:bCs/>
                <w:sz w:val="22"/>
              </w:rPr>
            </w:pPr>
            <w:r w:rsidRPr="00491612">
              <w:rPr>
                <w:b/>
                <w:bCs/>
                <w:sz w:val="22"/>
              </w:rPr>
              <w:t>Immunité reconnue d’office</w:t>
            </w:r>
          </w:p>
          <w:p w14:paraId="39603334" w14:textId="77777777" w:rsidR="00A83F34" w:rsidRPr="00491612" w:rsidRDefault="00A83F34" w:rsidP="00A83F34">
            <w:pPr>
              <w:spacing w:line="240" w:lineRule="auto"/>
              <w:ind w:left="720" w:right="144"/>
              <w:jc w:val="both"/>
              <w:rPr>
                <w:sz w:val="22"/>
              </w:rPr>
            </w:pPr>
          </w:p>
          <w:p w14:paraId="3A9933AC" w14:textId="77777777" w:rsidR="00A83F34" w:rsidRPr="00491612" w:rsidRDefault="00A83F34" w:rsidP="00A83F34">
            <w:pPr>
              <w:spacing w:line="240" w:lineRule="auto"/>
              <w:ind w:left="720" w:right="144"/>
              <w:jc w:val="both"/>
              <w:rPr>
                <w:sz w:val="22"/>
              </w:rPr>
            </w:pPr>
            <w:r w:rsidRPr="00491612">
              <w:rPr>
                <w:b/>
                <w:bCs/>
                <w:sz w:val="22"/>
              </w:rPr>
              <w:t>(2)</w:t>
            </w:r>
            <w:r w:rsidRPr="00491612">
              <w:rPr>
                <w:sz w:val="22"/>
              </w:rPr>
              <w:t xml:space="preserve"> Le tribunal reconnaît d’office l’immunité visée au paragraphe (1) même si l’État étranger s’est abstenu d’agir dans l’instance.</w:t>
            </w:r>
          </w:p>
          <w:p w14:paraId="226028E6" w14:textId="77777777" w:rsidR="00A83F34" w:rsidRPr="00491612" w:rsidRDefault="00A83F34" w:rsidP="00A83F34">
            <w:pPr>
              <w:spacing w:line="240" w:lineRule="auto"/>
              <w:ind w:left="720" w:right="144"/>
              <w:jc w:val="both"/>
              <w:rPr>
                <w:b/>
                <w:bCs/>
                <w:sz w:val="22"/>
              </w:rPr>
            </w:pPr>
          </w:p>
          <w:p w14:paraId="5E0DCA1B" w14:textId="77777777" w:rsidR="00A83F34" w:rsidRPr="00491612" w:rsidRDefault="00A83F34" w:rsidP="00A83F34">
            <w:pPr>
              <w:spacing w:line="240" w:lineRule="auto"/>
              <w:ind w:left="720" w:right="144"/>
              <w:jc w:val="both"/>
              <w:rPr>
                <w:b/>
                <w:bCs/>
                <w:sz w:val="22"/>
              </w:rPr>
            </w:pPr>
          </w:p>
          <w:p w14:paraId="520F63BF" w14:textId="77777777" w:rsidR="00A83F34" w:rsidRPr="00491612" w:rsidRDefault="00A83F34" w:rsidP="00A83F34">
            <w:pPr>
              <w:spacing w:line="240" w:lineRule="auto"/>
              <w:ind w:left="720" w:right="144"/>
              <w:jc w:val="both"/>
              <w:rPr>
                <w:b/>
                <w:bCs/>
                <w:sz w:val="22"/>
              </w:rPr>
            </w:pPr>
          </w:p>
          <w:p w14:paraId="33726C7B" w14:textId="77777777" w:rsidR="00A83F34" w:rsidRPr="00491612" w:rsidRDefault="00A83F34" w:rsidP="00A83F34">
            <w:pPr>
              <w:spacing w:line="240" w:lineRule="auto"/>
              <w:ind w:left="720" w:right="144"/>
              <w:jc w:val="both"/>
              <w:rPr>
                <w:b/>
                <w:bCs/>
                <w:sz w:val="22"/>
              </w:rPr>
            </w:pPr>
            <w:r w:rsidRPr="00491612">
              <w:rPr>
                <w:b/>
                <w:bCs/>
                <w:sz w:val="22"/>
              </w:rPr>
              <w:t>Renonciation à l’immunité</w:t>
            </w:r>
          </w:p>
          <w:p w14:paraId="47B87935" w14:textId="77777777" w:rsidR="00A83F34" w:rsidRPr="00491612" w:rsidRDefault="00A83F34" w:rsidP="00A83F34">
            <w:pPr>
              <w:spacing w:line="240" w:lineRule="auto"/>
              <w:ind w:left="720" w:right="144"/>
              <w:jc w:val="both"/>
              <w:rPr>
                <w:sz w:val="22"/>
              </w:rPr>
            </w:pPr>
          </w:p>
          <w:p w14:paraId="0B0ECDE2" w14:textId="77777777" w:rsidR="00A83F34" w:rsidRPr="00491612" w:rsidRDefault="00A83F34" w:rsidP="00A83F34">
            <w:pPr>
              <w:spacing w:line="240" w:lineRule="auto"/>
              <w:ind w:left="720" w:right="144"/>
              <w:jc w:val="both"/>
              <w:rPr>
                <w:sz w:val="22"/>
              </w:rPr>
            </w:pPr>
            <w:r w:rsidRPr="00491612">
              <w:rPr>
                <w:b/>
                <w:bCs/>
                <w:sz w:val="22"/>
              </w:rPr>
              <w:t>4 (1)</w:t>
            </w:r>
            <w:r w:rsidRPr="00491612">
              <w:rPr>
                <w:sz w:val="22"/>
              </w:rPr>
              <w:t xml:space="preserve"> L’État étranger qui se soumet à la juridiction du tribunal selon les modalités prévues aux paragraphes (2) ou (4), renonce à l’immunité de juridiction visée au paragraphe 3(1).</w:t>
            </w:r>
          </w:p>
          <w:p w14:paraId="51FD1298" w14:textId="77777777" w:rsidR="00A83F34" w:rsidRPr="00491612" w:rsidRDefault="00A83F34" w:rsidP="00A83F34">
            <w:pPr>
              <w:spacing w:line="240" w:lineRule="auto"/>
              <w:ind w:left="720" w:right="144"/>
              <w:jc w:val="both"/>
              <w:rPr>
                <w:sz w:val="22"/>
              </w:rPr>
            </w:pPr>
          </w:p>
          <w:p w14:paraId="74BF3399" w14:textId="77777777" w:rsidR="00A83F34" w:rsidRPr="00491612" w:rsidRDefault="00A83F34" w:rsidP="00A83F34">
            <w:pPr>
              <w:spacing w:line="240" w:lineRule="auto"/>
              <w:ind w:left="720" w:right="144"/>
              <w:jc w:val="both"/>
              <w:rPr>
                <w:sz w:val="22"/>
              </w:rPr>
            </w:pPr>
          </w:p>
          <w:p w14:paraId="662B6160" w14:textId="77777777" w:rsidR="00A83F34" w:rsidRPr="00491612" w:rsidRDefault="00A83F34" w:rsidP="00A83F34">
            <w:pPr>
              <w:spacing w:line="240" w:lineRule="auto"/>
              <w:ind w:left="720" w:right="144"/>
              <w:jc w:val="both"/>
              <w:rPr>
                <w:b/>
                <w:bCs/>
                <w:sz w:val="22"/>
              </w:rPr>
            </w:pPr>
            <w:r w:rsidRPr="00491612">
              <w:rPr>
                <w:b/>
                <w:bCs/>
                <w:sz w:val="22"/>
              </w:rPr>
              <w:t>Soumission à la juridiction du tribunal</w:t>
            </w:r>
          </w:p>
          <w:p w14:paraId="29439630" w14:textId="77777777" w:rsidR="00A83F34" w:rsidRPr="00491612" w:rsidRDefault="00A83F34" w:rsidP="00A83F34">
            <w:pPr>
              <w:spacing w:line="240" w:lineRule="auto"/>
              <w:ind w:left="720" w:right="144"/>
              <w:jc w:val="both"/>
              <w:rPr>
                <w:sz w:val="22"/>
              </w:rPr>
            </w:pPr>
          </w:p>
          <w:p w14:paraId="20E58203" w14:textId="77777777" w:rsidR="00A83F34" w:rsidRPr="00491612" w:rsidRDefault="00A83F34" w:rsidP="00A83F34">
            <w:pPr>
              <w:spacing w:line="240" w:lineRule="auto"/>
              <w:ind w:left="720" w:right="144"/>
              <w:jc w:val="both"/>
              <w:rPr>
                <w:sz w:val="22"/>
              </w:rPr>
            </w:pPr>
            <w:r w:rsidRPr="00491612">
              <w:rPr>
                <w:b/>
                <w:bCs/>
                <w:sz w:val="22"/>
              </w:rPr>
              <w:t>(2)</w:t>
            </w:r>
            <w:r w:rsidRPr="00491612">
              <w:rPr>
                <w:sz w:val="22"/>
              </w:rPr>
              <w:t xml:space="preserve"> Se soumet à la juridiction du tribunal l’État étranger qui :</w:t>
            </w:r>
          </w:p>
          <w:p w14:paraId="1FB96703" w14:textId="77777777" w:rsidR="00A83F34" w:rsidRPr="00491612" w:rsidRDefault="00A83F34" w:rsidP="00A83F34">
            <w:pPr>
              <w:spacing w:line="240" w:lineRule="auto"/>
              <w:ind w:left="720" w:right="144"/>
              <w:jc w:val="both"/>
              <w:rPr>
                <w:sz w:val="22"/>
              </w:rPr>
            </w:pPr>
          </w:p>
          <w:p w14:paraId="26B1A13A" w14:textId="77777777" w:rsidR="00A83F34" w:rsidRPr="00491612" w:rsidRDefault="00A83F34" w:rsidP="00A83F34">
            <w:pPr>
              <w:spacing w:line="240" w:lineRule="auto"/>
              <w:ind w:left="720" w:right="144"/>
              <w:jc w:val="both"/>
              <w:rPr>
                <w:sz w:val="22"/>
              </w:rPr>
            </w:pPr>
          </w:p>
          <w:p w14:paraId="0782FE53" w14:textId="77777777" w:rsidR="00A83F34" w:rsidRPr="00491612" w:rsidRDefault="00A83F34" w:rsidP="00A83F34">
            <w:pPr>
              <w:spacing w:line="240" w:lineRule="auto"/>
              <w:ind w:left="720" w:right="144"/>
              <w:jc w:val="both"/>
              <w:rPr>
                <w:sz w:val="22"/>
              </w:rPr>
            </w:pPr>
            <w:r w:rsidRPr="00491612">
              <w:rPr>
                <w:b/>
                <w:bCs/>
                <w:sz w:val="22"/>
              </w:rPr>
              <w:t>a)</w:t>
            </w:r>
            <w:r w:rsidRPr="00491612">
              <w:rPr>
                <w:sz w:val="22"/>
              </w:rPr>
              <w:t xml:space="preserve"> </w:t>
            </w:r>
            <w:r w:rsidRPr="00491612">
              <w:rPr>
                <w:sz w:val="22"/>
                <w:u w:val="single"/>
              </w:rPr>
              <w:t>le fait de manière expresse par écrit ou autrement</w:t>
            </w:r>
            <w:r w:rsidRPr="00491612">
              <w:rPr>
                <w:sz w:val="22"/>
              </w:rPr>
              <w:t>, avant l’introduction de l’instance ou en cours d’instance;</w:t>
            </w:r>
          </w:p>
          <w:p w14:paraId="476357DF" w14:textId="77777777" w:rsidR="00A83F34" w:rsidRPr="00491612" w:rsidRDefault="00A83F34" w:rsidP="00A83F34">
            <w:pPr>
              <w:spacing w:line="240" w:lineRule="auto"/>
              <w:ind w:left="720" w:right="144"/>
              <w:jc w:val="both"/>
              <w:rPr>
                <w:sz w:val="22"/>
              </w:rPr>
            </w:pPr>
          </w:p>
          <w:p w14:paraId="492ED5CF" w14:textId="77777777" w:rsidR="00A83F34" w:rsidRPr="00491612" w:rsidRDefault="00A83F34" w:rsidP="00A83F34">
            <w:pPr>
              <w:spacing w:line="240" w:lineRule="auto"/>
              <w:ind w:left="720" w:right="144"/>
              <w:jc w:val="both"/>
              <w:rPr>
                <w:sz w:val="22"/>
              </w:rPr>
            </w:pPr>
          </w:p>
          <w:p w14:paraId="24CD5133" w14:textId="77777777" w:rsidR="00A83F34" w:rsidRPr="00491612" w:rsidRDefault="00A83F34" w:rsidP="00A83F34">
            <w:pPr>
              <w:spacing w:line="240" w:lineRule="auto"/>
              <w:ind w:left="720" w:right="144"/>
              <w:jc w:val="both"/>
              <w:rPr>
                <w:sz w:val="22"/>
              </w:rPr>
            </w:pPr>
            <w:r w:rsidRPr="00491612">
              <w:rPr>
                <w:b/>
                <w:bCs/>
                <w:sz w:val="22"/>
              </w:rPr>
              <w:t>b)</w:t>
            </w:r>
            <w:r w:rsidRPr="00491612">
              <w:rPr>
                <w:sz w:val="22"/>
              </w:rPr>
              <w:t xml:space="preserve"> introduit une instance devant le tribunal;</w:t>
            </w:r>
          </w:p>
          <w:p w14:paraId="73B0D3B0" w14:textId="77777777" w:rsidR="00A83F34" w:rsidRPr="00491612" w:rsidRDefault="00A83F34" w:rsidP="00A83F34">
            <w:pPr>
              <w:spacing w:line="240" w:lineRule="auto"/>
              <w:ind w:left="720" w:right="144"/>
              <w:jc w:val="both"/>
              <w:rPr>
                <w:sz w:val="22"/>
              </w:rPr>
            </w:pPr>
          </w:p>
          <w:p w14:paraId="61B5EFAF" w14:textId="77777777" w:rsidR="00A83F34" w:rsidRPr="00491612" w:rsidRDefault="00A83F34" w:rsidP="00A83F34">
            <w:pPr>
              <w:spacing w:line="240" w:lineRule="auto"/>
              <w:ind w:left="720" w:right="144"/>
              <w:jc w:val="both"/>
              <w:rPr>
                <w:sz w:val="22"/>
              </w:rPr>
            </w:pPr>
            <w:r w:rsidRPr="00491612">
              <w:rPr>
                <w:b/>
                <w:bCs/>
                <w:sz w:val="22"/>
              </w:rPr>
              <w:t>c)</w:t>
            </w:r>
            <w:r w:rsidRPr="00491612">
              <w:rPr>
                <w:sz w:val="22"/>
              </w:rPr>
              <w:t xml:space="preserve"> intervient ou fait un acte de procédure dans l’instance.</w:t>
            </w:r>
          </w:p>
          <w:p w14:paraId="1BB90A62" w14:textId="77777777" w:rsidR="00A83F34" w:rsidRPr="00491612" w:rsidRDefault="00A83F34" w:rsidP="00A83F34">
            <w:pPr>
              <w:spacing w:line="240" w:lineRule="auto"/>
              <w:ind w:left="720" w:right="144"/>
              <w:jc w:val="both"/>
              <w:rPr>
                <w:b/>
                <w:bCs/>
                <w:sz w:val="22"/>
              </w:rPr>
            </w:pPr>
          </w:p>
          <w:p w14:paraId="24D0041B" w14:textId="77777777" w:rsidR="00A83F34" w:rsidRPr="00491612" w:rsidRDefault="00A83F34" w:rsidP="00A83F34">
            <w:pPr>
              <w:spacing w:line="240" w:lineRule="auto"/>
              <w:ind w:left="720" w:right="144"/>
              <w:jc w:val="both"/>
              <w:rPr>
                <w:b/>
                <w:bCs/>
                <w:sz w:val="22"/>
              </w:rPr>
            </w:pPr>
          </w:p>
          <w:p w14:paraId="5B3A439E" w14:textId="77777777" w:rsidR="00A83F34" w:rsidRPr="00491612" w:rsidRDefault="00A83F34" w:rsidP="00A83F34">
            <w:pPr>
              <w:spacing w:line="240" w:lineRule="auto"/>
              <w:ind w:left="720" w:right="144"/>
              <w:jc w:val="both"/>
              <w:rPr>
                <w:b/>
                <w:bCs/>
                <w:sz w:val="22"/>
              </w:rPr>
            </w:pPr>
          </w:p>
          <w:p w14:paraId="6540ECFF" w14:textId="77777777" w:rsidR="00A83F34" w:rsidRPr="00491612" w:rsidRDefault="00A83F34" w:rsidP="00A83F34">
            <w:pPr>
              <w:spacing w:line="240" w:lineRule="auto"/>
              <w:ind w:left="720" w:right="144"/>
              <w:jc w:val="both"/>
              <w:rPr>
                <w:b/>
                <w:bCs/>
                <w:sz w:val="22"/>
              </w:rPr>
            </w:pPr>
          </w:p>
          <w:p w14:paraId="06D0E25C" w14:textId="77777777" w:rsidR="00A83F34" w:rsidRPr="00491612" w:rsidRDefault="00A83F34" w:rsidP="00A83F34">
            <w:pPr>
              <w:spacing w:line="240" w:lineRule="auto"/>
              <w:ind w:left="720" w:right="144"/>
              <w:jc w:val="both"/>
              <w:rPr>
                <w:b/>
                <w:bCs/>
                <w:sz w:val="22"/>
              </w:rPr>
            </w:pPr>
            <w:r w:rsidRPr="00491612">
              <w:rPr>
                <w:b/>
                <w:bCs/>
                <w:sz w:val="22"/>
              </w:rPr>
              <w:t>Exception</w:t>
            </w:r>
          </w:p>
          <w:p w14:paraId="1688903B" w14:textId="77777777" w:rsidR="00A83F34" w:rsidRPr="00491612" w:rsidRDefault="00A83F34" w:rsidP="00A83F34">
            <w:pPr>
              <w:spacing w:line="240" w:lineRule="auto"/>
              <w:ind w:left="720" w:right="144"/>
              <w:jc w:val="both"/>
              <w:rPr>
                <w:b/>
                <w:bCs/>
                <w:sz w:val="22"/>
              </w:rPr>
            </w:pPr>
          </w:p>
          <w:p w14:paraId="1011F2BD" w14:textId="77777777" w:rsidR="00A83F34" w:rsidRPr="00491612" w:rsidRDefault="00A83F34" w:rsidP="00A83F34">
            <w:pPr>
              <w:spacing w:line="240" w:lineRule="auto"/>
              <w:ind w:left="720" w:right="144"/>
              <w:jc w:val="both"/>
              <w:rPr>
                <w:sz w:val="22"/>
              </w:rPr>
            </w:pPr>
            <w:r w:rsidRPr="00491612">
              <w:rPr>
                <w:b/>
                <w:bCs/>
                <w:sz w:val="22"/>
              </w:rPr>
              <w:t>(3)</w:t>
            </w:r>
            <w:r w:rsidRPr="00491612">
              <w:rPr>
                <w:sz w:val="22"/>
              </w:rPr>
              <w:t xml:space="preserve"> L’alinéa (2)c) ne s’applique pas dans les cas où :</w:t>
            </w:r>
          </w:p>
          <w:p w14:paraId="1B9A0531" w14:textId="77777777" w:rsidR="00A83F34" w:rsidRPr="00491612" w:rsidRDefault="00A83F34" w:rsidP="00A83F34">
            <w:pPr>
              <w:spacing w:line="240" w:lineRule="auto"/>
              <w:ind w:left="720" w:right="144"/>
              <w:jc w:val="both"/>
              <w:rPr>
                <w:sz w:val="22"/>
              </w:rPr>
            </w:pPr>
          </w:p>
          <w:p w14:paraId="7EC5FC0B" w14:textId="77777777" w:rsidR="00A83F34" w:rsidRPr="00491612" w:rsidRDefault="00A83F34" w:rsidP="00A83F34">
            <w:pPr>
              <w:spacing w:line="240" w:lineRule="auto"/>
              <w:ind w:left="720" w:right="144"/>
              <w:jc w:val="both"/>
              <w:rPr>
                <w:sz w:val="22"/>
              </w:rPr>
            </w:pPr>
            <w:r w:rsidRPr="00491612">
              <w:rPr>
                <w:b/>
                <w:bCs/>
                <w:sz w:val="22"/>
              </w:rPr>
              <w:t>a)</w:t>
            </w:r>
            <w:r w:rsidRPr="00491612">
              <w:rPr>
                <w:sz w:val="22"/>
              </w:rPr>
              <w:t xml:space="preserve"> l’intervention ou l’acte de procédure a pour objet d’invoquer l’immunité de juridiction;</w:t>
            </w:r>
          </w:p>
          <w:p w14:paraId="0C632AA2" w14:textId="77777777" w:rsidR="00A83F34" w:rsidRPr="00491612" w:rsidRDefault="00A83F34" w:rsidP="00A83F34">
            <w:pPr>
              <w:spacing w:line="240" w:lineRule="auto"/>
              <w:ind w:left="720" w:right="144"/>
              <w:jc w:val="both"/>
              <w:rPr>
                <w:sz w:val="22"/>
              </w:rPr>
            </w:pPr>
          </w:p>
          <w:p w14:paraId="53674D69" w14:textId="77777777" w:rsidR="00A83F34" w:rsidRPr="00491612" w:rsidRDefault="00A83F34" w:rsidP="00A83F34">
            <w:pPr>
              <w:spacing w:line="240" w:lineRule="auto"/>
              <w:ind w:left="720" w:right="144"/>
              <w:jc w:val="both"/>
              <w:rPr>
                <w:b/>
                <w:bCs/>
                <w:sz w:val="22"/>
              </w:rPr>
            </w:pPr>
          </w:p>
          <w:p w14:paraId="3D1196B4" w14:textId="77777777" w:rsidR="00A83F34" w:rsidRPr="00491612" w:rsidRDefault="00A83F34" w:rsidP="00A83F34">
            <w:pPr>
              <w:spacing w:line="240" w:lineRule="auto"/>
              <w:ind w:left="720" w:right="144"/>
              <w:jc w:val="both"/>
              <w:rPr>
                <w:b/>
                <w:bCs/>
                <w:sz w:val="22"/>
              </w:rPr>
            </w:pPr>
          </w:p>
          <w:p w14:paraId="66CF3DE5" w14:textId="77777777" w:rsidR="00A83F34" w:rsidRPr="00491612" w:rsidRDefault="00A83F34" w:rsidP="00A83F34">
            <w:pPr>
              <w:spacing w:line="240" w:lineRule="auto"/>
              <w:ind w:left="720" w:right="144"/>
              <w:jc w:val="both"/>
              <w:rPr>
                <w:sz w:val="22"/>
              </w:rPr>
            </w:pPr>
            <w:r w:rsidRPr="00491612">
              <w:rPr>
                <w:b/>
                <w:bCs/>
                <w:sz w:val="22"/>
              </w:rPr>
              <w:t>b)</w:t>
            </w:r>
            <w:r w:rsidRPr="00491612">
              <w:rPr>
                <w:sz w:val="22"/>
              </w:rPr>
              <w:t xml:space="preserve"> l’État étranger a agi dans l’instance sans connaître les faits qui lui donnaient droit à l’immunité de juridiction, ces faits n’ayant pu être suffisamment établis auparavant, et il a invoqué l’immunité aussitôt que possible après l’établissement des faits.</w:t>
            </w:r>
          </w:p>
          <w:p w14:paraId="37867779" w14:textId="77777777" w:rsidR="00A83F34" w:rsidRPr="00491612" w:rsidRDefault="00A83F34" w:rsidP="00A83F34">
            <w:pPr>
              <w:spacing w:line="240" w:lineRule="auto"/>
              <w:ind w:left="720" w:right="144"/>
              <w:jc w:val="both"/>
              <w:rPr>
                <w:sz w:val="22"/>
              </w:rPr>
            </w:pPr>
          </w:p>
          <w:p w14:paraId="3CA22B68" w14:textId="77777777" w:rsidR="00A83F34" w:rsidRPr="00491612" w:rsidRDefault="00A83F34" w:rsidP="00A83F34">
            <w:pPr>
              <w:spacing w:line="240" w:lineRule="auto"/>
              <w:ind w:left="720" w:right="144"/>
              <w:jc w:val="both"/>
              <w:rPr>
                <w:b/>
                <w:bCs/>
                <w:sz w:val="22"/>
              </w:rPr>
            </w:pPr>
            <w:r w:rsidRPr="00491612">
              <w:rPr>
                <w:b/>
                <w:bCs/>
                <w:sz w:val="22"/>
              </w:rPr>
              <w:t>Demandes incidentes</w:t>
            </w:r>
          </w:p>
          <w:p w14:paraId="34681571" w14:textId="77777777" w:rsidR="00A83F34" w:rsidRPr="00491612" w:rsidRDefault="00A83F34" w:rsidP="00A83F34">
            <w:pPr>
              <w:spacing w:line="240" w:lineRule="auto"/>
              <w:ind w:left="720" w:right="144"/>
              <w:jc w:val="both"/>
              <w:rPr>
                <w:sz w:val="22"/>
              </w:rPr>
            </w:pPr>
          </w:p>
          <w:p w14:paraId="180B4FAB" w14:textId="77777777" w:rsidR="00A83F34" w:rsidRPr="00491612" w:rsidRDefault="00A83F34" w:rsidP="00A83F34">
            <w:pPr>
              <w:spacing w:line="240" w:lineRule="auto"/>
              <w:ind w:left="720" w:right="144"/>
              <w:jc w:val="both"/>
              <w:rPr>
                <w:sz w:val="22"/>
              </w:rPr>
            </w:pPr>
          </w:p>
          <w:p w14:paraId="04FC0EC5" w14:textId="77777777" w:rsidR="00A83F34" w:rsidRPr="00491612" w:rsidRDefault="00A83F34" w:rsidP="00A83F34">
            <w:pPr>
              <w:spacing w:line="240" w:lineRule="auto"/>
              <w:ind w:left="720" w:right="144"/>
              <w:jc w:val="both"/>
              <w:rPr>
                <w:sz w:val="22"/>
              </w:rPr>
            </w:pPr>
            <w:r w:rsidRPr="00491612">
              <w:rPr>
                <w:b/>
                <w:bCs/>
                <w:sz w:val="22"/>
              </w:rPr>
              <w:t>(4)</w:t>
            </w:r>
            <w:r w:rsidRPr="00491612">
              <w:rPr>
                <w:sz w:val="22"/>
              </w:rPr>
              <w:t xml:space="preserve"> La soumission à la juridiction d’un tribunal qui s’opère soit par </w:t>
            </w:r>
            <w:r w:rsidRPr="00491612">
              <w:rPr>
                <w:sz w:val="22"/>
              </w:rPr>
              <w:lastRenderedPageBreak/>
              <w:t>l’introduction d’une instance soit par l’intervention ou l’acte de procédure qui ne sont pas soustraits à l’application de l’alinéa (2)c), vaut pour les interventions de tiers et les demandes reconventionnelles découlant de l’objet de cette instance.</w:t>
            </w:r>
          </w:p>
          <w:p w14:paraId="54CF3F28" w14:textId="77777777" w:rsidR="00A83F34" w:rsidRPr="00491612" w:rsidRDefault="00A83F34" w:rsidP="00A83F34">
            <w:pPr>
              <w:spacing w:line="240" w:lineRule="auto"/>
              <w:ind w:left="720" w:right="144"/>
              <w:jc w:val="both"/>
              <w:rPr>
                <w:sz w:val="22"/>
              </w:rPr>
            </w:pPr>
          </w:p>
          <w:p w14:paraId="2DB6C616" w14:textId="77777777" w:rsidR="00A83F34" w:rsidRPr="00491612" w:rsidRDefault="00A83F34" w:rsidP="00A83F34">
            <w:pPr>
              <w:spacing w:line="240" w:lineRule="auto"/>
              <w:ind w:left="720" w:right="144"/>
              <w:jc w:val="both"/>
              <w:rPr>
                <w:sz w:val="22"/>
              </w:rPr>
            </w:pPr>
          </w:p>
          <w:p w14:paraId="57DA0AB0" w14:textId="77777777" w:rsidR="00A83F34" w:rsidRPr="00491612" w:rsidRDefault="00A83F34" w:rsidP="00A83F34">
            <w:pPr>
              <w:spacing w:line="240" w:lineRule="auto"/>
              <w:ind w:left="720" w:right="144"/>
              <w:jc w:val="both"/>
              <w:rPr>
                <w:sz w:val="22"/>
              </w:rPr>
            </w:pPr>
          </w:p>
          <w:p w14:paraId="62D8F3D4" w14:textId="77777777" w:rsidR="00A83F34" w:rsidRPr="00491612" w:rsidRDefault="00A83F34" w:rsidP="00A83F34">
            <w:pPr>
              <w:spacing w:line="240" w:lineRule="auto"/>
              <w:ind w:left="720" w:right="144"/>
              <w:jc w:val="both"/>
              <w:rPr>
                <w:sz w:val="22"/>
              </w:rPr>
            </w:pPr>
          </w:p>
          <w:p w14:paraId="380EE974" w14:textId="77777777" w:rsidR="00A83F34" w:rsidRPr="00491612" w:rsidRDefault="00A83F34" w:rsidP="00A83F34">
            <w:pPr>
              <w:spacing w:line="240" w:lineRule="auto"/>
              <w:ind w:left="720" w:right="144"/>
              <w:jc w:val="both"/>
              <w:rPr>
                <w:sz w:val="22"/>
              </w:rPr>
            </w:pPr>
          </w:p>
          <w:p w14:paraId="2F1ECE06" w14:textId="77777777" w:rsidR="00A83F34" w:rsidRPr="00491612" w:rsidRDefault="00A83F34" w:rsidP="00A83F34">
            <w:pPr>
              <w:spacing w:line="240" w:lineRule="auto"/>
              <w:ind w:left="720" w:right="144"/>
              <w:jc w:val="both"/>
              <w:rPr>
                <w:b/>
                <w:bCs/>
                <w:sz w:val="22"/>
              </w:rPr>
            </w:pPr>
            <w:r w:rsidRPr="00491612">
              <w:rPr>
                <w:b/>
                <w:bCs/>
                <w:sz w:val="22"/>
              </w:rPr>
              <w:t>Appels</w:t>
            </w:r>
          </w:p>
          <w:p w14:paraId="4BD28F93" w14:textId="77777777" w:rsidR="00A83F34" w:rsidRPr="00491612" w:rsidRDefault="00A83F34" w:rsidP="00A83F34">
            <w:pPr>
              <w:spacing w:line="240" w:lineRule="auto"/>
              <w:ind w:left="720" w:right="144"/>
              <w:jc w:val="both"/>
              <w:rPr>
                <w:sz w:val="22"/>
              </w:rPr>
            </w:pPr>
          </w:p>
          <w:p w14:paraId="67DADA9C" w14:textId="77777777" w:rsidR="00A83F34" w:rsidRPr="00491612" w:rsidRDefault="00A83F34" w:rsidP="00A83F34">
            <w:pPr>
              <w:spacing w:line="240" w:lineRule="auto"/>
              <w:ind w:left="720" w:right="144"/>
              <w:jc w:val="both"/>
              <w:rPr>
                <w:sz w:val="22"/>
              </w:rPr>
            </w:pPr>
            <w:r w:rsidRPr="00491612">
              <w:rPr>
                <w:b/>
                <w:bCs/>
                <w:sz w:val="22"/>
              </w:rPr>
              <w:t>(5)</w:t>
            </w:r>
            <w:r w:rsidRPr="00491612">
              <w:rPr>
                <w:sz w:val="22"/>
              </w:rPr>
              <w:t xml:space="preserve"> La soumission à la juridiction d’un tribunal intervenue selon les modalités prévues aux paragraphes (2) ou (4) vaut également pour les tribunaux supérieurs devant lesquels l’instance pourra être portée en totalité ou en partie par voie d’appel ou d’exercice du pouvoir de contrôle.</w:t>
            </w:r>
          </w:p>
          <w:p w14:paraId="0AD2A3F5" w14:textId="77777777" w:rsidR="00324CF1" w:rsidRPr="005E6EB3" w:rsidRDefault="00324CF1" w:rsidP="005E6EB3">
            <w:pPr>
              <w:spacing w:line="240" w:lineRule="auto"/>
              <w:ind w:left="144" w:right="720"/>
              <w:jc w:val="both"/>
              <w:rPr>
                <w:sz w:val="22"/>
              </w:rPr>
            </w:pPr>
          </w:p>
        </w:tc>
      </w:tr>
    </w:tbl>
    <w:p w14:paraId="71C9AEDE" w14:textId="77777777" w:rsidR="00BC160A" w:rsidRPr="00324CF1" w:rsidRDefault="00ED47F8" w:rsidP="00FB5A91">
      <w:pPr>
        <w:pStyle w:val="Titre3"/>
        <w:spacing w:line="240" w:lineRule="auto"/>
        <w:ind w:firstLine="720"/>
        <w:rPr>
          <w:b/>
          <w:bCs/>
          <w:lang w:val="en-US"/>
        </w:rPr>
      </w:pPr>
      <w:bookmarkStart w:id="55" w:name="_Toc256000006"/>
      <w:bookmarkStart w:id="56" w:name="_Toc184205611"/>
      <w:bookmarkEnd w:id="54"/>
      <w:r w:rsidRPr="00324CF1">
        <w:rPr>
          <w:b/>
          <w:bCs/>
          <w:lang w:val="en-CA"/>
        </w:rPr>
        <w:lastRenderedPageBreak/>
        <w:t xml:space="preserve">3.2 The </w:t>
      </w:r>
      <w:r w:rsidRPr="00324CF1">
        <w:rPr>
          <w:b/>
          <w:bCs/>
          <w:i/>
          <w:iCs/>
          <w:lang w:val="en-CA"/>
        </w:rPr>
        <w:t>New York Convention</w:t>
      </w:r>
      <w:r w:rsidRPr="00324CF1">
        <w:rPr>
          <w:b/>
          <w:bCs/>
          <w:lang w:val="en-CA"/>
        </w:rPr>
        <w:t xml:space="preserve"> and the Treaty</w:t>
      </w:r>
      <w:bookmarkEnd w:id="55"/>
      <w:bookmarkEnd w:id="56"/>
    </w:p>
    <w:p w14:paraId="61467933" w14:textId="36CDE13B" w:rsidR="00BD781D" w:rsidRPr="00324CF1" w:rsidRDefault="00ED47F8" w:rsidP="00FB5A91">
      <w:pPr>
        <w:pStyle w:val="Paragraphe"/>
        <w:spacing w:line="240" w:lineRule="auto"/>
        <w:rPr>
          <w:lang w:val="en-US"/>
        </w:rPr>
      </w:pPr>
      <w:r w:rsidRPr="00324CF1">
        <w:rPr>
          <w:lang w:val="en-CA"/>
        </w:rPr>
        <w:t xml:space="preserve">The </w:t>
      </w:r>
      <w:r w:rsidRPr="00324CF1">
        <w:rPr>
          <w:i/>
          <w:iCs/>
          <w:lang w:val="en-CA"/>
        </w:rPr>
        <w:t>New York Convention</w:t>
      </w:r>
      <w:r w:rsidRPr="00324CF1">
        <w:rPr>
          <w:lang w:val="en-CA"/>
        </w:rPr>
        <w:t xml:space="preserve"> was concluded in New York on June 10, 1958, and </w:t>
      </w:r>
      <w:r w:rsidR="00E766D6">
        <w:rPr>
          <w:lang w:val="en-CA"/>
        </w:rPr>
        <w:t>came</w:t>
      </w:r>
      <w:r w:rsidR="00E766D6" w:rsidRPr="00324CF1">
        <w:rPr>
          <w:lang w:val="en-CA"/>
        </w:rPr>
        <w:t xml:space="preserve"> </w:t>
      </w:r>
      <w:r w:rsidRPr="00324CF1">
        <w:rPr>
          <w:lang w:val="en-CA"/>
        </w:rPr>
        <w:t xml:space="preserve">into force on June 7, 1959. Its purpose is to give full effect to arbitration </w:t>
      </w:r>
      <w:r w:rsidR="00E766D6">
        <w:rPr>
          <w:lang w:val="en-CA"/>
        </w:rPr>
        <w:t>agreements</w:t>
      </w:r>
      <w:r w:rsidR="00E766D6" w:rsidRPr="00324CF1">
        <w:rPr>
          <w:lang w:val="en-CA"/>
        </w:rPr>
        <w:t xml:space="preserve"> </w:t>
      </w:r>
      <w:r w:rsidRPr="00324CF1">
        <w:rPr>
          <w:lang w:val="en-CA"/>
        </w:rPr>
        <w:t>(article II</w:t>
      </w:r>
      <w:r w:rsidR="002148A0">
        <w:rPr>
          <w:lang w:val="en-CA"/>
        </w:rPr>
        <w:t xml:space="preserve"> </w:t>
      </w:r>
      <w:r w:rsidRPr="00324CF1">
        <w:rPr>
          <w:lang w:val="en-CA"/>
        </w:rPr>
        <w:t xml:space="preserve">(3) of the </w:t>
      </w:r>
      <w:r w:rsidRPr="00324CF1">
        <w:rPr>
          <w:i/>
          <w:iCs/>
          <w:lang w:val="en-CA"/>
        </w:rPr>
        <w:t>New York Convention</w:t>
      </w:r>
      <w:r w:rsidRPr="00324CF1">
        <w:rPr>
          <w:lang w:val="en-CA"/>
        </w:rPr>
        <w:t xml:space="preserve">). </w:t>
      </w:r>
    </w:p>
    <w:p w14:paraId="67A491C9" w14:textId="13465360" w:rsidR="00BC160A" w:rsidRPr="005E6EB3" w:rsidRDefault="00ED47F8" w:rsidP="00FB5A91">
      <w:pPr>
        <w:pStyle w:val="Paragraphe"/>
        <w:spacing w:line="240" w:lineRule="auto"/>
        <w:rPr>
          <w:lang w:val="en-CA"/>
        </w:rPr>
      </w:pPr>
      <w:r w:rsidRPr="00324CF1">
        <w:rPr>
          <w:lang w:val="en-CA"/>
        </w:rPr>
        <w:t xml:space="preserve">India ratified it on July 13, 1960, and Canada </w:t>
      </w:r>
      <w:r w:rsidR="00E766D6">
        <w:rPr>
          <w:lang w:val="en-CA"/>
        </w:rPr>
        <w:t>acceded to</w:t>
      </w:r>
      <w:r w:rsidR="00E766D6" w:rsidRPr="00324CF1">
        <w:rPr>
          <w:lang w:val="en-CA"/>
        </w:rPr>
        <w:t xml:space="preserve"> </w:t>
      </w:r>
      <w:r w:rsidRPr="00324CF1">
        <w:rPr>
          <w:lang w:val="en-CA"/>
        </w:rPr>
        <w:t>it on May 12, 1986. The relevant provisions are worded as follows:</w:t>
      </w:r>
    </w:p>
    <w:tbl>
      <w:tblPr>
        <w:tblW w:w="0" w:type="auto"/>
        <w:tblCellMar>
          <w:left w:w="70" w:type="dxa"/>
          <w:right w:w="70" w:type="dxa"/>
        </w:tblCellMar>
        <w:tblLook w:val="0000" w:firstRow="0" w:lastRow="0" w:firstColumn="0" w:lastColumn="0" w:noHBand="0" w:noVBand="0"/>
      </w:tblPr>
      <w:tblGrid>
        <w:gridCol w:w="4448"/>
        <w:gridCol w:w="4299"/>
      </w:tblGrid>
      <w:tr w:rsidR="00324CF1" w:rsidRPr="00E766D6" w14:paraId="170EBFD8" w14:textId="77777777" w:rsidTr="00E658C3">
        <w:tc>
          <w:tcPr>
            <w:tcW w:w="4448" w:type="dxa"/>
          </w:tcPr>
          <w:p w14:paraId="2CBFE73F" w14:textId="5C848327" w:rsidR="00E766D6" w:rsidRPr="002148A0" w:rsidRDefault="00E766D6" w:rsidP="00E766D6">
            <w:pPr>
              <w:spacing w:line="240" w:lineRule="auto"/>
              <w:ind w:left="144" w:right="720"/>
              <w:jc w:val="both"/>
              <w:rPr>
                <w:b/>
                <w:bCs/>
                <w:sz w:val="22"/>
                <w:lang w:val="en-CA"/>
              </w:rPr>
            </w:pPr>
            <w:r w:rsidRPr="002148A0">
              <w:rPr>
                <w:b/>
                <w:bCs/>
                <w:sz w:val="22"/>
                <w:lang w:val="en-CA"/>
              </w:rPr>
              <w:t>Article I</w:t>
            </w:r>
          </w:p>
          <w:p w14:paraId="59172983" w14:textId="77777777" w:rsidR="00E766D6" w:rsidRPr="002148A0" w:rsidRDefault="00E766D6" w:rsidP="00E766D6">
            <w:pPr>
              <w:spacing w:line="240" w:lineRule="auto"/>
              <w:ind w:left="144" w:right="720"/>
              <w:jc w:val="both"/>
              <w:rPr>
                <w:sz w:val="22"/>
                <w:lang w:val="en-CA"/>
              </w:rPr>
            </w:pPr>
            <w:r w:rsidRPr="002148A0">
              <w:rPr>
                <w:b/>
                <w:bCs/>
                <w:sz w:val="22"/>
                <w:lang w:val="en-CA"/>
              </w:rPr>
              <w:t>1.</w:t>
            </w:r>
            <w:r w:rsidRPr="002148A0">
              <w:rPr>
                <w:sz w:val="22"/>
                <w:lang w:val="en-CA"/>
              </w:rPr>
              <w:t xml:space="preserve"> This Convention shall apply to the recognition and enforcement of arbitral awards made in the territory of a State other than the State where the recognition and enforcement of such awards are sought, and arising out of differences between persons, whether physical or legal. It shall also apply to arbitral awards not considered as domestic awards in </w:t>
            </w:r>
            <w:r w:rsidRPr="002148A0">
              <w:rPr>
                <w:sz w:val="22"/>
                <w:lang w:val="en-CA"/>
              </w:rPr>
              <w:lastRenderedPageBreak/>
              <w:t>the State where their recognition and enforcement are sought.</w:t>
            </w:r>
          </w:p>
          <w:p w14:paraId="68A06752" w14:textId="77777777" w:rsidR="00E766D6" w:rsidRPr="002148A0" w:rsidRDefault="00E766D6" w:rsidP="00E766D6">
            <w:pPr>
              <w:spacing w:line="240" w:lineRule="auto"/>
              <w:ind w:left="144" w:right="720"/>
              <w:jc w:val="both"/>
              <w:rPr>
                <w:sz w:val="22"/>
                <w:lang w:val="en-CA"/>
              </w:rPr>
            </w:pPr>
          </w:p>
          <w:p w14:paraId="6CA8A1BB" w14:textId="77777777" w:rsidR="00E766D6" w:rsidRPr="002148A0" w:rsidRDefault="00E766D6" w:rsidP="00E766D6">
            <w:pPr>
              <w:spacing w:line="240" w:lineRule="auto"/>
              <w:ind w:left="144" w:right="720"/>
              <w:jc w:val="both"/>
              <w:rPr>
                <w:sz w:val="22"/>
                <w:lang w:val="en-CA"/>
              </w:rPr>
            </w:pPr>
          </w:p>
          <w:p w14:paraId="1C51872F" w14:textId="77777777" w:rsidR="00E766D6" w:rsidRPr="002148A0" w:rsidRDefault="00E766D6" w:rsidP="00E766D6">
            <w:pPr>
              <w:spacing w:line="240" w:lineRule="auto"/>
              <w:ind w:left="144" w:right="720"/>
              <w:jc w:val="both"/>
              <w:rPr>
                <w:sz w:val="22"/>
                <w:lang w:val="en-CA"/>
              </w:rPr>
            </w:pPr>
          </w:p>
          <w:p w14:paraId="7EBBE079" w14:textId="77777777" w:rsidR="00E766D6" w:rsidRPr="002148A0" w:rsidRDefault="00E766D6" w:rsidP="00E766D6">
            <w:pPr>
              <w:spacing w:line="240" w:lineRule="auto"/>
              <w:ind w:left="144" w:right="720"/>
              <w:jc w:val="both"/>
              <w:rPr>
                <w:sz w:val="22"/>
                <w:lang w:val="en-CA"/>
              </w:rPr>
            </w:pPr>
            <w:r w:rsidRPr="002148A0">
              <w:rPr>
                <w:b/>
                <w:bCs/>
                <w:sz w:val="22"/>
                <w:lang w:val="en-CA"/>
              </w:rPr>
              <w:t>2.</w:t>
            </w:r>
            <w:r w:rsidRPr="002148A0">
              <w:rPr>
                <w:sz w:val="22"/>
                <w:lang w:val="en-CA"/>
              </w:rPr>
              <w:t xml:space="preserve"> The term “arbitral awards” shall include not only awards made by arbitrators appointed for each case but also those made by permanent arbitral bodies to which the parties have submitted.</w:t>
            </w:r>
          </w:p>
          <w:p w14:paraId="089F9053" w14:textId="77777777" w:rsidR="00E766D6" w:rsidRPr="002148A0" w:rsidRDefault="00E766D6" w:rsidP="00E766D6">
            <w:pPr>
              <w:spacing w:line="240" w:lineRule="auto"/>
              <w:ind w:left="144" w:right="720"/>
              <w:jc w:val="both"/>
              <w:rPr>
                <w:sz w:val="22"/>
                <w:lang w:val="en-CA"/>
              </w:rPr>
            </w:pPr>
          </w:p>
          <w:p w14:paraId="6C70781F" w14:textId="77777777" w:rsidR="00E766D6" w:rsidRPr="002148A0" w:rsidRDefault="00E766D6" w:rsidP="00E766D6">
            <w:pPr>
              <w:spacing w:line="240" w:lineRule="auto"/>
              <w:ind w:left="144" w:right="720"/>
              <w:jc w:val="both"/>
              <w:rPr>
                <w:sz w:val="22"/>
                <w:lang w:val="en-CA"/>
              </w:rPr>
            </w:pPr>
          </w:p>
          <w:p w14:paraId="31BD3167" w14:textId="77777777" w:rsidR="00E766D6" w:rsidRPr="002148A0" w:rsidRDefault="00E766D6" w:rsidP="00E766D6">
            <w:pPr>
              <w:spacing w:line="240" w:lineRule="auto"/>
              <w:ind w:left="144" w:right="720"/>
              <w:jc w:val="both"/>
              <w:rPr>
                <w:sz w:val="22"/>
                <w:lang w:val="en-CA"/>
              </w:rPr>
            </w:pPr>
          </w:p>
          <w:p w14:paraId="421D04E0" w14:textId="77777777" w:rsidR="00E766D6" w:rsidRPr="002148A0" w:rsidRDefault="00E766D6" w:rsidP="00E766D6">
            <w:pPr>
              <w:spacing w:line="240" w:lineRule="auto"/>
              <w:ind w:left="144" w:right="720"/>
              <w:jc w:val="both"/>
              <w:rPr>
                <w:sz w:val="22"/>
                <w:lang w:val="en-CA"/>
              </w:rPr>
            </w:pPr>
            <w:r w:rsidRPr="002148A0">
              <w:rPr>
                <w:b/>
                <w:bCs/>
                <w:sz w:val="22"/>
                <w:lang w:val="en-CA"/>
              </w:rPr>
              <w:t>3.</w:t>
            </w:r>
            <w:r w:rsidRPr="002148A0">
              <w:rPr>
                <w:sz w:val="22"/>
                <w:lang w:val="en-CA"/>
              </w:rPr>
              <w:t xml:space="preserve"> When signing, ratifying or acceding to this Convention, or notifying extension under article X hereof, any State may on the basis of reciprocity declare that it will apply the Convention to the recognition and enforcement of awards made only in the territory of another Contracting State. It may also declare that it will apply the Convention only to differences arising out of legal relationships, whether contractual or not, which are considered as commercial under the national law of the State making such declaration.</w:t>
            </w:r>
          </w:p>
          <w:p w14:paraId="6E50D1A6" w14:textId="77777777" w:rsidR="00E766D6" w:rsidRPr="002148A0" w:rsidRDefault="00E766D6" w:rsidP="00E766D6">
            <w:pPr>
              <w:spacing w:line="240" w:lineRule="auto"/>
              <w:ind w:left="144" w:right="720"/>
              <w:jc w:val="both"/>
              <w:rPr>
                <w:sz w:val="22"/>
                <w:lang w:val="en-CA"/>
              </w:rPr>
            </w:pPr>
          </w:p>
          <w:p w14:paraId="2D87CA10" w14:textId="77777777" w:rsidR="00E766D6" w:rsidRPr="002148A0" w:rsidRDefault="00E766D6" w:rsidP="00E766D6">
            <w:pPr>
              <w:spacing w:line="240" w:lineRule="auto"/>
              <w:ind w:right="720"/>
              <w:jc w:val="both"/>
              <w:rPr>
                <w:sz w:val="22"/>
                <w:lang w:val="en-CA"/>
              </w:rPr>
            </w:pPr>
          </w:p>
          <w:p w14:paraId="4D5F8BEC" w14:textId="77777777" w:rsidR="00E766D6" w:rsidRPr="002148A0" w:rsidRDefault="00E766D6" w:rsidP="00E766D6">
            <w:pPr>
              <w:spacing w:line="240" w:lineRule="auto"/>
              <w:ind w:left="144" w:right="720"/>
              <w:jc w:val="both"/>
              <w:rPr>
                <w:b/>
                <w:bCs/>
                <w:sz w:val="22"/>
                <w:lang w:val="en-CA"/>
              </w:rPr>
            </w:pPr>
            <w:r w:rsidRPr="002148A0">
              <w:rPr>
                <w:b/>
                <w:bCs/>
                <w:sz w:val="22"/>
                <w:lang w:val="en-CA"/>
              </w:rPr>
              <w:t>Article II</w:t>
            </w:r>
          </w:p>
          <w:p w14:paraId="6587BAD8" w14:textId="77777777" w:rsidR="00E766D6" w:rsidRPr="002148A0" w:rsidRDefault="00E766D6" w:rsidP="00E766D6">
            <w:pPr>
              <w:spacing w:line="240" w:lineRule="auto"/>
              <w:ind w:left="144" w:right="720"/>
              <w:jc w:val="both"/>
              <w:rPr>
                <w:sz w:val="22"/>
                <w:lang w:val="en-CA"/>
              </w:rPr>
            </w:pPr>
            <w:r w:rsidRPr="002148A0">
              <w:rPr>
                <w:b/>
                <w:bCs/>
                <w:sz w:val="22"/>
                <w:lang w:val="en-CA"/>
              </w:rPr>
              <w:t>1.</w:t>
            </w:r>
            <w:r w:rsidRPr="002148A0">
              <w:rPr>
                <w:sz w:val="22"/>
                <w:lang w:val="en-CA"/>
              </w:rPr>
              <w:t xml:space="preserve"> Each Contracting State shall recognize an agreement in writing under which the parties undertake to submit to arbitration all or any differences which have arisen or which may arise between them in respect of a defined legal relationship, whether contractual or not, concerning a subject matter capable of settlement by arbitration.</w:t>
            </w:r>
          </w:p>
          <w:p w14:paraId="2317CFB4" w14:textId="77777777" w:rsidR="00E766D6" w:rsidRPr="002148A0" w:rsidRDefault="00E766D6" w:rsidP="00E766D6">
            <w:pPr>
              <w:spacing w:line="240" w:lineRule="auto"/>
              <w:ind w:left="144" w:right="720"/>
              <w:jc w:val="both"/>
              <w:rPr>
                <w:sz w:val="22"/>
                <w:lang w:val="en-CA"/>
              </w:rPr>
            </w:pPr>
          </w:p>
          <w:p w14:paraId="6388010F" w14:textId="77777777" w:rsidR="00E766D6" w:rsidRPr="002148A0" w:rsidRDefault="00E766D6" w:rsidP="00E766D6">
            <w:pPr>
              <w:spacing w:line="240" w:lineRule="auto"/>
              <w:ind w:left="144" w:right="720"/>
              <w:jc w:val="both"/>
              <w:rPr>
                <w:sz w:val="22"/>
                <w:lang w:val="en-CA"/>
              </w:rPr>
            </w:pPr>
          </w:p>
          <w:p w14:paraId="739D8007" w14:textId="77777777" w:rsidR="00E766D6" w:rsidRPr="002148A0" w:rsidRDefault="00E766D6" w:rsidP="00E766D6">
            <w:pPr>
              <w:spacing w:line="240" w:lineRule="auto"/>
              <w:ind w:left="144" w:right="720"/>
              <w:jc w:val="both"/>
              <w:rPr>
                <w:sz w:val="22"/>
                <w:lang w:val="en-CA"/>
              </w:rPr>
            </w:pPr>
            <w:r w:rsidRPr="002148A0">
              <w:rPr>
                <w:b/>
                <w:bCs/>
                <w:sz w:val="22"/>
                <w:lang w:val="en-CA"/>
              </w:rPr>
              <w:t>2.</w:t>
            </w:r>
            <w:r w:rsidRPr="002148A0">
              <w:rPr>
                <w:sz w:val="22"/>
                <w:lang w:val="en-CA"/>
              </w:rPr>
              <w:t xml:space="preserve"> The term “agreement in writing” shall include an arbitral clause in a </w:t>
            </w:r>
            <w:r w:rsidRPr="002148A0">
              <w:rPr>
                <w:sz w:val="22"/>
                <w:lang w:val="en-CA"/>
              </w:rPr>
              <w:lastRenderedPageBreak/>
              <w:t>contract or an arbitration agreement, signed by the parties or contained in an exchange of letters or telegrams.</w:t>
            </w:r>
          </w:p>
          <w:p w14:paraId="7C4575BD" w14:textId="77777777" w:rsidR="00E766D6" w:rsidRPr="002148A0" w:rsidRDefault="00E766D6" w:rsidP="00E766D6">
            <w:pPr>
              <w:spacing w:line="240" w:lineRule="auto"/>
              <w:ind w:left="144" w:right="720"/>
              <w:jc w:val="both"/>
              <w:rPr>
                <w:b/>
                <w:bCs/>
                <w:sz w:val="22"/>
                <w:lang w:val="en-CA"/>
              </w:rPr>
            </w:pPr>
          </w:p>
          <w:p w14:paraId="0FC2D4C4" w14:textId="77777777" w:rsidR="00E766D6" w:rsidRPr="002148A0" w:rsidRDefault="00E766D6" w:rsidP="00E766D6">
            <w:pPr>
              <w:spacing w:line="240" w:lineRule="auto"/>
              <w:ind w:left="144" w:right="720"/>
              <w:jc w:val="both"/>
              <w:rPr>
                <w:sz w:val="22"/>
                <w:lang w:val="en-CA"/>
              </w:rPr>
            </w:pPr>
            <w:r w:rsidRPr="002148A0">
              <w:rPr>
                <w:b/>
                <w:bCs/>
                <w:sz w:val="22"/>
                <w:lang w:val="en-CA"/>
              </w:rPr>
              <w:t>3.</w:t>
            </w:r>
            <w:r w:rsidRPr="002148A0">
              <w:rPr>
                <w:sz w:val="22"/>
                <w:lang w:val="en-CA"/>
              </w:rPr>
              <w:t xml:space="preserve"> The court of a Contracting State, when seized of an action in a matter in respect of which the parties have made an agreement within the meaning of this article, shall, at the request of one of the parties, refer the parties to arbitration, unless it finds that the said agreement is null and void, inoperative or incapable of being performed.</w:t>
            </w:r>
          </w:p>
          <w:p w14:paraId="4069157B" w14:textId="77777777" w:rsidR="00E766D6" w:rsidRPr="002148A0" w:rsidRDefault="00E766D6" w:rsidP="00E766D6">
            <w:pPr>
              <w:spacing w:line="240" w:lineRule="auto"/>
              <w:ind w:left="144" w:right="720"/>
              <w:jc w:val="both"/>
              <w:rPr>
                <w:sz w:val="22"/>
                <w:lang w:val="en-CA"/>
              </w:rPr>
            </w:pPr>
          </w:p>
          <w:p w14:paraId="1A69E4F4" w14:textId="77777777" w:rsidR="00E766D6" w:rsidRPr="002148A0" w:rsidRDefault="00E766D6" w:rsidP="00E766D6">
            <w:pPr>
              <w:spacing w:line="240" w:lineRule="auto"/>
              <w:ind w:left="144" w:right="720"/>
              <w:jc w:val="both"/>
              <w:rPr>
                <w:b/>
                <w:bCs/>
                <w:sz w:val="22"/>
                <w:lang w:val="en-CA"/>
              </w:rPr>
            </w:pPr>
            <w:r w:rsidRPr="002148A0">
              <w:rPr>
                <w:b/>
                <w:bCs/>
                <w:sz w:val="22"/>
                <w:lang w:val="en-CA"/>
              </w:rPr>
              <w:t>Article III</w:t>
            </w:r>
          </w:p>
          <w:p w14:paraId="6B81333D" w14:textId="77777777" w:rsidR="00E766D6" w:rsidRPr="002148A0" w:rsidRDefault="00E766D6" w:rsidP="00E766D6">
            <w:pPr>
              <w:spacing w:line="240" w:lineRule="auto"/>
              <w:ind w:left="144" w:right="720"/>
              <w:jc w:val="both"/>
              <w:rPr>
                <w:sz w:val="22"/>
                <w:lang w:val="en-CA"/>
              </w:rPr>
            </w:pPr>
            <w:r w:rsidRPr="002148A0">
              <w:rPr>
                <w:sz w:val="22"/>
                <w:lang w:val="en-CA"/>
              </w:rPr>
              <w:t>Each Contracting State shall recognize arbitral awards as binding and enforce them in accordance with the rules of procedure of the territory where the award is relied upon, under the conditions laid down in the following articles. There shall not be imposed substantially more onerous conditions or higher fees or charges on the recognition or enforcement of arbitral awards to which this Convention applies than are imposed on the recognition or enforcement of domestic arbitral awards.</w:t>
            </w:r>
          </w:p>
          <w:p w14:paraId="01F3E304" w14:textId="569799C1" w:rsidR="00324CF1" w:rsidRPr="005E6EB3" w:rsidRDefault="00324CF1" w:rsidP="00324CF1">
            <w:pPr>
              <w:spacing w:line="240" w:lineRule="auto"/>
              <w:ind w:left="720" w:right="144"/>
              <w:jc w:val="both"/>
              <w:rPr>
                <w:b/>
                <w:bCs/>
                <w:sz w:val="22"/>
                <w:lang w:val="en-CA"/>
              </w:rPr>
            </w:pPr>
          </w:p>
          <w:p w14:paraId="52FABF9A" w14:textId="77777777" w:rsidR="00324CF1" w:rsidRPr="005E6EB3" w:rsidRDefault="00324CF1" w:rsidP="00E766D6">
            <w:pPr>
              <w:spacing w:line="240" w:lineRule="auto"/>
              <w:ind w:left="720" w:right="144"/>
              <w:jc w:val="both"/>
              <w:rPr>
                <w:sz w:val="22"/>
                <w:lang w:val="en-CA"/>
              </w:rPr>
            </w:pPr>
          </w:p>
        </w:tc>
        <w:tc>
          <w:tcPr>
            <w:tcW w:w="4299" w:type="dxa"/>
          </w:tcPr>
          <w:p w14:paraId="7E4CAD21" w14:textId="2BEA3036" w:rsidR="00E766D6" w:rsidRPr="002148A0" w:rsidRDefault="00E766D6" w:rsidP="00E766D6">
            <w:pPr>
              <w:spacing w:line="240" w:lineRule="auto"/>
              <w:ind w:left="720" w:right="144"/>
              <w:jc w:val="both"/>
              <w:rPr>
                <w:sz w:val="22"/>
              </w:rPr>
            </w:pPr>
            <w:r w:rsidRPr="005E6EB3">
              <w:rPr>
                <w:b/>
                <w:bCs/>
                <w:sz w:val="22"/>
              </w:rPr>
              <w:lastRenderedPageBreak/>
              <w:t>Article premier</w:t>
            </w:r>
            <w:r w:rsidRPr="002148A0">
              <w:rPr>
                <w:sz w:val="22"/>
              </w:rPr>
              <w:t xml:space="preserve"> La présente Convention s’applique à la reconnaissance et à l’exécution des sentences arbitrales rendues sur le territoire d’un État autre que celui où la reconnaissance et l’exécution des sentences sont demandées, et issues de différends entre personnes physiques ou morales. Elle s’applique également aux sentences arbitrales qui ne sont </w:t>
            </w:r>
            <w:r w:rsidRPr="002148A0">
              <w:rPr>
                <w:sz w:val="22"/>
              </w:rPr>
              <w:lastRenderedPageBreak/>
              <w:t>pas considérées comme sentences nationales dans l’État où leur reconnaissance et leur exécution sont demandées.</w:t>
            </w:r>
          </w:p>
          <w:p w14:paraId="5E9AB5FC" w14:textId="77777777" w:rsidR="00E766D6" w:rsidRPr="002148A0" w:rsidRDefault="00E766D6" w:rsidP="00E766D6">
            <w:pPr>
              <w:spacing w:line="240" w:lineRule="auto"/>
              <w:ind w:left="720" w:right="144"/>
              <w:jc w:val="both"/>
              <w:rPr>
                <w:sz w:val="22"/>
              </w:rPr>
            </w:pPr>
          </w:p>
          <w:p w14:paraId="70446D12" w14:textId="77777777" w:rsidR="00E766D6" w:rsidRPr="002148A0" w:rsidRDefault="00E766D6" w:rsidP="00E766D6">
            <w:pPr>
              <w:spacing w:line="240" w:lineRule="auto"/>
              <w:ind w:left="720" w:right="144"/>
              <w:jc w:val="both"/>
              <w:rPr>
                <w:sz w:val="22"/>
              </w:rPr>
            </w:pPr>
            <w:r w:rsidRPr="002148A0">
              <w:rPr>
                <w:b/>
                <w:bCs/>
                <w:sz w:val="22"/>
              </w:rPr>
              <w:t xml:space="preserve">2. </w:t>
            </w:r>
            <w:r w:rsidRPr="002148A0">
              <w:rPr>
                <w:sz w:val="22"/>
              </w:rPr>
              <w:t>On entend par « sentences arbitrales » non seulement les sentences rendues par des arbitres nommés pour des cas déterminés, mais également celles qui sont rendues par des organes d’arbitrage permanents auxquels les parties se sont soumises.</w:t>
            </w:r>
          </w:p>
          <w:p w14:paraId="0C19344B" w14:textId="77777777" w:rsidR="00E766D6" w:rsidRPr="002148A0" w:rsidRDefault="00E766D6" w:rsidP="00E766D6">
            <w:pPr>
              <w:spacing w:line="240" w:lineRule="auto"/>
              <w:ind w:left="720" w:right="144"/>
              <w:jc w:val="both"/>
              <w:rPr>
                <w:sz w:val="22"/>
              </w:rPr>
            </w:pPr>
          </w:p>
          <w:p w14:paraId="3DF7D253" w14:textId="77777777" w:rsidR="00E766D6" w:rsidRPr="002148A0" w:rsidRDefault="00E766D6" w:rsidP="00E766D6">
            <w:pPr>
              <w:spacing w:line="240" w:lineRule="auto"/>
              <w:ind w:left="720" w:right="144"/>
              <w:jc w:val="both"/>
              <w:rPr>
                <w:sz w:val="22"/>
              </w:rPr>
            </w:pPr>
            <w:r w:rsidRPr="002148A0">
              <w:rPr>
                <w:b/>
                <w:bCs/>
                <w:sz w:val="22"/>
              </w:rPr>
              <w:t xml:space="preserve">3. </w:t>
            </w:r>
            <w:r w:rsidRPr="002148A0">
              <w:rPr>
                <w:sz w:val="22"/>
              </w:rPr>
              <w:t>Au moment de signer ou de ratifier la présente Convention, d’y adhérer ou de faire la notification d’extension prévue à l’article X, tout État pourra, sur la base de la réciprocité, déclarer qu’il appliquera la Convention à la reconnaissance et à l’exécution des seules sentences rendues sur le territoire d’un autre État contractant. Il pourra également déclarer qu’il appliquera la Convention uniquement aux différends issus de rapports de droit, contractuels ou non contractuels, qui sont considérés comme commerciaux par sa loi nationale.</w:t>
            </w:r>
          </w:p>
          <w:p w14:paraId="674C9304" w14:textId="77777777" w:rsidR="00E766D6" w:rsidRPr="002148A0" w:rsidRDefault="00E766D6" w:rsidP="00E766D6">
            <w:pPr>
              <w:spacing w:line="240" w:lineRule="auto"/>
              <w:ind w:left="720" w:right="144"/>
              <w:jc w:val="both"/>
              <w:rPr>
                <w:sz w:val="22"/>
              </w:rPr>
            </w:pPr>
          </w:p>
          <w:p w14:paraId="7FB0EA9F" w14:textId="77777777" w:rsidR="00E766D6" w:rsidRPr="002148A0" w:rsidRDefault="00E766D6" w:rsidP="00E766D6">
            <w:pPr>
              <w:spacing w:line="240" w:lineRule="auto"/>
              <w:ind w:left="720" w:right="144"/>
              <w:jc w:val="both"/>
              <w:rPr>
                <w:b/>
                <w:bCs/>
                <w:sz w:val="22"/>
              </w:rPr>
            </w:pPr>
            <w:r w:rsidRPr="002148A0">
              <w:rPr>
                <w:b/>
                <w:bCs/>
                <w:sz w:val="22"/>
              </w:rPr>
              <w:t>Article II</w:t>
            </w:r>
          </w:p>
          <w:p w14:paraId="4125E4BA" w14:textId="77777777" w:rsidR="00E766D6" w:rsidRPr="002148A0" w:rsidRDefault="00E766D6" w:rsidP="00E766D6">
            <w:pPr>
              <w:spacing w:line="240" w:lineRule="auto"/>
              <w:ind w:left="720" w:right="144"/>
              <w:jc w:val="both"/>
              <w:rPr>
                <w:sz w:val="22"/>
              </w:rPr>
            </w:pPr>
            <w:r w:rsidRPr="002148A0">
              <w:rPr>
                <w:b/>
                <w:bCs/>
                <w:sz w:val="22"/>
              </w:rPr>
              <w:t>1.</w:t>
            </w:r>
            <w:r w:rsidRPr="002148A0">
              <w:rPr>
                <w:sz w:val="22"/>
              </w:rPr>
              <w:t xml:space="preserve"> Chacun des États contractants reconnaît la convention écrite par laquelle les parties s'obligent à soumettre à un arbitrage tous les différends ou certains des différends qui se sont élevés ou pourraient s'élever entre elles au sujet d'un rapport de droit déterminé, contractuel ou non contractuel, portant sur une question susceptible d'être réglée par voie d'arbitrage.</w:t>
            </w:r>
          </w:p>
          <w:p w14:paraId="65C47CEC" w14:textId="77777777" w:rsidR="00E766D6" w:rsidRPr="002148A0" w:rsidRDefault="00E766D6" w:rsidP="00E766D6">
            <w:pPr>
              <w:spacing w:line="240" w:lineRule="auto"/>
              <w:ind w:left="720" w:right="144"/>
              <w:jc w:val="both"/>
              <w:rPr>
                <w:sz w:val="22"/>
              </w:rPr>
            </w:pPr>
          </w:p>
          <w:p w14:paraId="3DF96345" w14:textId="77777777" w:rsidR="00E766D6" w:rsidRPr="002148A0" w:rsidRDefault="00E766D6" w:rsidP="00E766D6">
            <w:pPr>
              <w:spacing w:line="240" w:lineRule="auto"/>
              <w:ind w:left="720" w:right="144"/>
              <w:jc w:val="both"/>
              <w:rPr>
                <w:sz w:val="22"/>
              </w:rPr>
            </w:pPr>
            <w:r w:rsidRPr="002148A0">
              <w:rPr>
                <w:b/>
                <w:bCs/>
                <w:sz w:val="22"/>
              </w:rPr>
              <w:t>2.</w:t>
            </w:r>
            <w:r w:rsidRPr="002148A0">
              <w:rPr>
                <w:sz w:val="22"/>
              </w:rPr>
              <w:t xml:space="preserve"> On entend par « convention écrite » une clause compromissoire insérée dans un contrat, ou un compromis, signés par les parties ou contenus dans un échange de lettres ou de télégrammes.</w:t>
            </w:r>
          </w:p>
          <w:p w14:paraId="2362195F" w14:textId="77777777" w:rsidR="00E766D6" w:rsidRPr="002148A0" w:rsidRDefault="00E766D6" w:rsidP="00E766D6">
            <w:pPr>
              <w:spacing w:line="240" w:lineRule="auto"/>
              <w:ind w:left="720" w:right="144"/>
              <w:jc w:val="both"/>
              <w:rPr>
                <w:sz w:val="22"/>
              </w:rPr>
            </w:pPr>
          </w:p>
          <w:p w14:paraId="05741A0C" w14:textId="77777777" w:rsidR="00E766D6" w:rsidRPr="002148A0" w:rsidRDefault="00E766D6" w:rsidP="00E766D6">
            <w:pPr>
              <w:spacing w:line="240" w:lineRule="auto"/>
              <w:ind w:left="720" w:right="144"/>
              <w:jc w:val="both"/>
              <w:rPr>
                <w:sz w:val="22"/>
              </w:rPr>
            </w:pPr>
            <w:r w:rsidRPr="002148A0">
              <w:rPr>
                <w:b/>
                <w:bCs/>
                <w:sz w:val="22"/>
              </w:rPr>
              <w:t>3.</w:t>
            </w:r>
            <w:r w:rsidRPr="002148A0">
              <w:rPr>
                <w:sz w:val="22"/>
              </w:rPr>
              <w:t xml:space="preserve"> Le tribunal d'un État contractant, saisi d'un litige sur une question au sujet de laquelle les parties ont conclu une convention au sens du présent article, renverra les parties à l'arbitrage, à la demande de l'une d'elles, à moins qu'il ne constate que ladite convention est caduque, inopérante ou non susceptible d'être appliquée.</w:t>
            </w:r>
          </w:p>
          <w:p w14:paraId="5217EB3E" w14:textId="77777777" w:rsidR="00E766D6" w:rsidRPr="002148A0" w:rsidRDefault="00E766D6" w:rsidP="00E766D6">
            <w:pPr>
              <w:spacing w:line="240" w:lineRule="auto"/>
              <w:ind w:left="720" w:right="144"/>
              <w:jc w:val="both"/>
              <w:rPr>
                <w:b/>
                <w:bCs/>
                <w:sz w:val="22"/>
              </w:rPr>
            </w:pPr>
          </w:p>
          <w:p w14:paraId="7AA87BCB" w14:textId="77777777" w:rsidR="00E766D6" w:rsidRPr="002148A0" w:rsidRDefault="00E766D6" w:rsidP="00E766D6">
            <w:pPr>
              <w:spacing w:line="240" w:lineRule="auto"/>
              <w:ind w:left="720" w:right="144"/>
              <w:jc w:val="both"/>
              <w:rPr>
                <w:b/>
                <w:bCs/>
                <w:sz w:val="22"/>
              </w:rPr>
            </w:pPr>
          </w:p>
          <w:p w14:paraId="2CA20585" w14:textId="77777777" w:rsidR="00E766D6" w:rsidRPr="002148A0" w:rsidRDefault="00E766D6" w:rsidP="00E766D6">
            <w:pPr>
              <w:spacing w:line="240" w:lineRule="auto"/>
              <w:ind w:left="720" w:right="144"/>
              <w:jc w:val="both"/>
              <w:rPr>
                <w:b/>
                <w:bCs/>
                <w:sz w:val="22"/>
              </w:rPr>
            </w:pPr>
            <w:r w:rsidRPr="002148A0">
              <w:rPr>
                <w:b/>
                <w:bCs/>
                <w:sz w:val="22"/>
              </w:rPr>
              <w:t>Article III</w:t>
            </w:r>
          </w:p>
          <w:p w14:paraId="5EBA9302" w14:textId="77777777" w:rsidR="00E766D6" w:rsidRPr="002148A0" w:rsidRDefault="00E766D6" w:rsidP="00E766D6">
            <w:pPr>
              <w:spacing w:line="240" w:lineRule="auto"/>
              <w:ind w:left="720" w:right="144"/>
              <w:jc w:val="both"/>
              <w:rPr>
                <w:sz w:val="22"/>
              </w:rPr>
            </w:pPr>
            <w:r w:rsidRPr="002148A0">
              <w:rPr>
                <w:sz w:val="22"/>
              </w:rPr>
              <w:t>Chacun des États contractants reconnaîtra l’autorité d’une sentence arbitrale et accordera l’exécution de cette sentence conformément aux règles de procédure suivies dans le territoire où la sentence est invoquée, aux conditions établies dans les articles suivants. Il ne sera pas imposé, pour la reconnaissance ou l’exécution des sentences arbitrales auxquelles s’applique la présente Convention, de conditions sensiblement plus rigoureuses, ni de frais de justice sensiblement plus élevés, que ceux qui sont imposés pour la reconnaissance ou l’exécution des sentences arbitrales nationales.</w:t>
            </w:r>
          </w:p>
          <w:p w14:paraId="0265D0FA" w14:textId="36A6AFCF" w:rsidR="00324CF1" w:rsidRPr="005E6EB3" w:rsidRDefault="00324CF1" w:rsidP="00E766D6">
            <w:pPr>
              <w:spacing w:line="240" w:lineRule="auto"/>
              <w:ind w:left="144" w:right="720"/>
              <w:jc w:val="both"/>
              <w:rPr>
                <w:sz w:val="22"/>
              </w:rPr>
            </w:pPr>
          </w:p>
        </w:tc>
      </w:tr>
    </w:tbl>
    <w:p w14:paraId="2BE27DB7" w14:textId="0BF95388" w:rsidR="00BC160A" w:rsidRPr="00324CF1" w:rsidRDefault="00ED47F8" w:rsidP="00FB5A91">
      <w:pPr>
        <w:pStyle w:val="Paragraphe"/>
        <w:spacing w:line="240" w:lineRule="auto"/>
        <w:rPr>
          <w:lang w:val="en-US"/>
        </w:rPr>
      </w:pPr>
      <w:r w:rsidRPr="00324CF1">
        <w:rPr>
          <w:szCs w:val="24"/>
          <w:lang w:val="en-CA"/>
        </w:rPr>
        <w:lastRenderedPageBreak/>
        <w:t>The Treaty includes the</w:t>
      </w:r>
      <w:r w:rsidR="00DB5EAD">
        <w:rPr>
          <w:szCs w:val="24"/>
          <w:lang w:val="en-CA"/>
        </w:rPr>
        <w:t xml:space="preserve"> usual</w:t>
      </w:r>
      <w:r w:rsidRPr="00324CF1">
        <w:rPr>
          <w:szCs w:val="24"/>
          <w:lang w:val="en-CA"/>
        </w:rPr>
        <w:t xml:space="preserve"> conventional clauses found in bilateral investment treaties</w:t>
      </w:r>
      <w:r w:rsidRPr="00324CF1">
        <w:rPr>
          <w:lang w:val="en-CA"/>
        </w:rPr>
        <w:t>, namely those providing for the obligation of fair treatment (clause 4(1) of the Treaty), the prohibition o</w:t>
      </w:r>
      <w:r w:rsidR="002148A0">
        <w:rPr>
          <w:lang w:val="en-CA"/>
        </w:rPr>
        <w:t>n</w:t>
      </w:r>
      <w:r w:rsidRPr="00324CF1">
        <w:rPr>
          <w:lang w:val="en-CA"/>
        </w:rPr>
        <w:t xml:space="preserve"> expropriation or nationalization of foreign investments (clause </w:t>
      </w:r>
      <w:r w:rsidRPr="00324CF1">
        <w:rPr>
          <w:lang w:val="en-CA"/>
        </w:rPr>
        <w:lastRenderedPageBreak/>
        <w:t>6(1)), the compensation of investors to ensure their fair and equitable compensation (clause 6(3)), and the submission of any disputes between an investor of one Contracting Party and the other Contracting Party concerning an investment to one of the</w:t>
      </w:r>
      <w:r w:rsidR="00DB5EAD">
        <w:rPr>
          <w:lang w:val="en-CA"/>
        </w:rPr>
        <w:t xml:space="preserve"> dispute</w:t>
      </w:r>
      <w:r w:rsidRPr="00324CF1">
        <w:rPr>
          <w:lang w:val="en-CA"/>
        </w:rPr>
        <w:t xml:space="preserve"> settlement mechanisms provided for in clause 8, which is worded as follows:</w:t>
      </w:r>
    </w:p>
    <w:p w14:paraId="60CAD4C7" w14:textId="77777777" w:rsidR="00324CF1" w:rsidRPr="005662DC" w:rsidRDefault="00324CF1" w:rsidP="00324CF1">
      <w:pPr>
        <w:pStyle w:val="Citationenretrait"/>
        <w:spacing w:line="240" w:lineRule="auto"/>
        <w:rPr>
          <w:b/>
          <w:bCs/>
          <w:lang w:val="en-CA"/>
        </w:rPr>
      </w:pPr>
      <w:bookmarkStart w:id="57" w:name="_Toc184205612"/>
      <w:bookmarkStart w:id="58" w:name="_Toc256000007"/>
      <w:r w:rsidRPr="005662DC">
        <w:rPr>
          <w:b/>
          <w:bCs/>
          <w:lang w:val="en-CA"/>
        </w:rPr>
        <w:t>ARTICLE 8 – SETTLEMENT OF DISPUTES BETWEEN AN INVESTOR AND A CONTRACTING PARTY</w:t>
      </w:r>
    </w:p>
    <w:p w14:paraId="6051B467" w14:textId="77777777" w:rsidR="00324CF1" w:rsidRPr="005662DC" w:rsidRDefault="00324CF1" w:rsidP="00324CF1">
      <w:pPr>
        <w:spacing w:after="160" w:line="240" w:lineRule="auto"/>
        <w:ind w:left="862" w:right="862"/>
        <w:jc w:val="both"/>
        <w:rPr>
          <w:sz w:val="22"/>
          <w:szCs w:val="22"/>
          <w:lang w:val="en-CA"/>
        </w:rPr>
      </w:pPr>
      <w:r w:rsidRPr="005662DC">
        <w:rPr>
          <w:b/>
          <w:bCs/>
          <w:sz w:val="22"/>
          <w:szCs w:val="22"/>
          <w:lang w:val="en-CA"/>
        </w:rPr>
        <w:t>(1)</w:t>
      </w:r>
      <w:r w:rsidRPr="005662DC">
        <w:rPr>
          <w:sz w:val="22"/>
          <w:szCs w:val="22"/>
          <w:lang w:val="en-CA"/>
        </w:rPr>
        <w:t xml:space="preserve"> Any dispute between an investor of one Contracting Party and the other Contracting Party in relation to an investment of the former under this Agreement shall, as far as possible, be settled amicably through negotiations between the parties to the dispute.</w:t>
      </w:r>
    </w:p>
    <w:p w14:paraId="3982B2A7" w14:textId="77777777" w:rsidR="00324CF1" w:rsidRPr="005662DC" w:rsidRDefault="00324CF1" w:rsidP="00324CF1">
      <w:pPr>
        <w:spacing w:before="200" w:after="160" w:line="240" w:lineRule="auto"/>
        <w:ind w:left="864" w:right="864"/>
        <w:jc w:val="both"/>
        <w:rPr>
          <w:sz w:val="22"/>
          <w:szCs w:val="22"/>
          <w:lang w:val="en-CA"/>
        </w:rPr>
      </w:pPr>
      <w:r w:rsidRPr="005662DC">
        <w:rPr>
          <w:b/>
          <w:bCs/>
          <w:sz w:val="22"/>
          <w:szCs w:val="22"/>
          <w:lang w:val="en-CA"/>
        </w:rPr>
        <w:t>(2)</w:t>
      </w:r>
      <w:r w:rsidRPr="005662DC">
        <w:rPr>
          <w:sz w:val="22"/>
          <w:szCs w:val="22"/>
          <w:lang w:val="en-CA"/>
        </w:rPr>
        <w:t xml:space="preserve"> If such dispute cannot be settled according to the provisions of paragraph (1) of this Article within six months from the date of request for settlement, the investor may submit the dispute to: </w:t>
      </w:r>
    </w:p>
    <w:p w14:paraId="660C8556" w14:textId="77777777" w:rsidR="00324CF1" w:rsidRPr="005662DC" w:rsidRDefault="00324CF1" w:rsidP="00324CF1">
      <w:pPr>
        <w:spacing w:before="200" w:after="160" w:line="240" w:lineRule="auto"/>
        <w:ind w:left="1418" w:right="864"/>
        <w:jc w:val="both"/>
        <w:rPr>
          <w:sz w:val="22"/>
          <w:szCs w:val="22"/>
          <w:lang w:val="en-CA"/>
        </w:rPr>
      </w:pPr>
      <w:r w:rsidRPr="005662DC">
        <w:rPr>
          <w:b/>
          <w:bCs/>
          <w:sz w:val="22"/>
          <w:szCs w:val="22"/>
          <w:lang w:val="en-CA"/>
        </w:rPr>
        <w:t>(a)</w:t>
      </w:r>
      <w:r w:rsidRPr="005662DC">
        <w:rPr>
          <w:sz w:val="22"/>
          <w:szCs w:val="22"/>
          <w:lang w:val="en-CA"/>
        </w:rPr>
        <w:t xml:space="preserve"> arbitration in accordance to the law of the Contracting Party. or</w:t>
      </w:r>
    </w:p>
    <w:p w14:paraId="096417D3" w14:textId="77777777" w:rsidR="00324CF1" w:rsidRPr="005662DC" w:rsidRDefault="00324CF1" w:rsidP="00324CF1">
      <w:pPr>
        <w:spacing w:before="200" w:after="160" w:line="240" w:lineRule="auto"/>
        <w:ind w:left="1418" w:right="864"/>
        <w:jc w:val="both"/>
        <w:rPr>
          <w:sz w:val="22"/>
          <w:szCs w:val="22"/>
          <w:lang w:val="en-CA"/>
        </w:rPr>
      </w:pPr>
      <w:r w:rsidRPr="005662DC">
        <w:rPr>
          <w:b/>
          <w:bCs/>
          <w:sz w:val="22"/>
          <w:szCs w:val="22"/>
          <w:lang w:val="en-CA"/>
        </w:rPr>
        <w:t>(b)</w:t>
      </w:r>
      <w:r w:rsidRPr="005662DC">
        <w:rPr>
          <w:sz w:val="22"/>
          <w:szCs w:val="22"/>
          <w:lang w:val="en-CA"/>
        </w:rPr>
        <w:t xml:space="preserve"> if the Contracting Party of the investor and the other Contracting Party are both parties to the Convention on the Settlement of Investment Disputes Between States and Nationals of Other States, of March 18, 1965 and the investor consents in writing to submit the dispute to the International Centre for the Settlement of Investment Disputes, such a dispute shall be referred to the Centre; or</w:t>
      </w:r>
    </w:p>
    <w:p w14:paraId="5FF2BC7D" w14:textId="77777777" w:rsidR="00324CF1" w:rsidRPr="005662DC" w:rsidRDefault="00324CF1" w:rsidP="00324CF1">
      <w:pPr>
        <w:spacing w:before="200" w:after="160" w:line="240" w:lineRule="auto"/>
        <w:ind w:left="1418" w:right="864"/>
        <w:jc w:val="both"/>
        <w:rPr>
          <w:sz w:val="22"/>
          <w:szCs w:val="22"/>
          <w:lang w:val="en-CA"/>
        </w:rPr>
      </w:pPr>
      <w:r w:rsidRPr="005662DC">
        <w:rPr>
          <w:b/>
          <w:bCs/>
          <w:sz w:val="22"/>
          <w:szCs w:val="22"/>
          <w:lang w:val="en-CA"/>
        </w:rPr>
        <w:t>(c)</w:t>
      </w:r>
      <w:r w:rsidRPr="005662DC">
        <w:rPr>
          <w:sz w:val="22"/>
          <w:szCs w:val="22"/>
          <w:lang w:val="en-CA"/>
        </w:rPr>
        <w:t xml:space="preserve"> to international conciliation under the Conciliation Rules of the United Nations Commission on International Trade Law; or</w:t>
      </w:r>
    </w:p>
    <w:p w14:paraId="7E35E225" w14:textId="77777777" w:rsidR="00324CF1" w:rsidRPr="005662DC" w:rsidRDefault="00324CF1" w:rsidP="00324CF1">
      <w:pPr>
        <w:spacing w:before="200" w:after="160" w:line="240" w:lineRule="auto"/>
        <w:ind w:left="1418" w:right="864"/>
        <w:jc w:val="both"/>
        <w:rPr>
          <w:sz w:val="22"/>
          <w:szCs w:val="22"/>
          <w:lang w:val="en-CA"/>
        </w:rPr>
      </w:pPr>
      <w:r w:rsidRPr="005662DC">
        <w:rPr>
          <w:b/>
          <w:bCs/>
          <w:sz w:val="22"/>
          <w:szCs w:val="22"/>
          <w:lang w:val="en-CA"/>
        </w:rPr>
        <w:t>(d)</w:t>
      </w:r>
      <w:r w:rsidRPr="005662DC">
        <w:rPr>
          <w:sz w:val="22"/>
          <w:szCs w:val="22"/>
          <w:lang w:val="en-CA"/>
        </w:rPr>
        <w:t xml:space="preserve"> to an </w:t>
      </w:r>
      <w:r w:rsidRPr="005662DC">
        <w:rPr>
          <w:i/>
          <w:iCs/>
          <w:sz w:val="22"/>
          <w:szCs w:val="22"/>
          <w:lang w:val="en-CA"/>
        </w:rPr>
        <w:t>ad hoc</w:t>
      </w:r>
      <w:r w:rsidRPr="005662DC">
        <w:rPr>
          <w:sz w:val="22"/>
          <w:szCs w:val="22"/>
          <w:lang w:val="en-CA"/>
        </w:rPr>
        <w:t xml:space="preserve"> arbitral tribunal set up in accordance with the Arbitration Rules of the United Nations Commission on International Trade Law, 1976, subject to the following modifications: </w:t>
      </w:r>
    </w:p>
    <w:p w14:paraId="7431A45E" w14:textId="77777777" w:rsidR="00324CF1" w:rsidRPr="005662DC" w:rsidRDefault="00324CF1" w:rsidP="00324CF1">
      <w:pPr>
        <w:pStyle w:val="Paragraphedeliste"/>
        <w:numPr>
          <w:ilvl w:val="0"/>
          <w:numId w:val="9"/>
        </w:numPr>
        <w:spacing w:before="200" w:after="160" w:line="240" w:lineRule="auto"/>
        <w:ind w:right="864" w:hanging="295"/>
        <w:rPr>
          <w:sz w:val="22"/>
          <w:szCs w:val="22"/>
          <w:lang w:val="en-CA"/>
        </w:rPr>
      </w:pPr>
      <w:r w:rsidRPr="005662DC">
        <w:rPr>
          <w:sz w:val="22"/>
          <w:szCs w:val="22"/>
          <w:lang w:val="en-CA"/>
        </w:rPr>
        <w:t>The appointing authority under Article 7 of the Arbitration Rules shall be the President, the Vice-President or the next senior Judge of the International Court of Justice, who is not a national of either Contracting Party. The third arbitrator shall not be a national of either Contracting Party.</w:t>
      </w:r>
    </w:p>
    <w:p w14:paraId="2F7B9EF7" w14:textId="77777777" w:rsidR="00324CF1" w:rsidRPr="005662DC" w:rsidRDefault="00324CF1" w:rsidP="00324CF1">
      <w:pPr>
        <w:pStyle w:val="Paragraphedeliste"/>
        <w:numPr>
          <w:ilvl w:val="0"/>
          <w:numId w:val="9"/>
        </w:numPr>
        <w:spacing w:before="200" w:after="160" w:line="240" w:lineRule="auto"/>
        <w:ind w:right="864" w:hanging="295"/>
        <w:rPr>
          <w:sz w:val="22"/>
          <w:szCs w:val="22"/>
          <w:lang w:val="en-CA"/>
        </w:rPr>
      </w:pPr>
      <w:r w:rsidRPr="005662DC">
        <w:rPr>
          <w:sz w:val="22"/>
          <w:szCs w:val="22"/>
          <w:lang w:val="en-CA"/>
        </w:rPr>
        <w:t>The parties shall appoint their respective arbitrators within two months.</w:t>
      </w:r>
    </w:p>
    <w:p w14:paraId="2A47BBA3" w14:textId="77777777" w:rsidR="00BC160A" w:rsidRPr="00324CF1" w:rsidRDefault="00ED47F8" w:rsidP="00FB5A91">
      <w:pPr>
        <w:pStyle w:val="Titre2"/>
        <w:spacing w:line="240" w:lineRule="auto"/>
      </w:pPr>
      <w:r w:rsidRPr="00324CF1">
        <w:rPr>
          <w:bCs/>
          <w:iCs/>
          <w:lang w:val="en-CA"/>
        </w:rPr>
        <w:lastRenderedPageBreak/>
        <w:t xml:space="preserve">4. </w:t>
      </w:r>
      <w:r w:rsidRPr="00324CF1">
        <w:rPr>
          <w:b w:val="0"/>
          <w:i w:val="0"/>
          <w:lang w:val="en-CA"/>
        </w:rPr>
        <w:tab/>
      </w:r>
      <w:r w:rsidRPr="00324CF1">
        <w:rPr>
          <w:bCs/>
          <w:iCs/>
          <w:lang w:val="en-CA"/>
        </w:rPr>
        <w:t>Application to the facts</w:t>
      </w:r>
      <w:bookmarkEnd w:id="57"/>
      <w:bookmarkEnd w:id="58"/>
    </w:p>
    <w:p w14:paraId="1CF6213A" w14:textId="104F03E7" w:rsidR="00D03C93" w:rsidRPr="00324CF1" w:rsidRDefault="00ED47F8" w:rsidP="00FB5A91">
      <w:pPr>
        <w:pStyle w:val="Paragraphe"/>
        <w:spacing w:line="240" w:lineRule="auto"/>
        <w:rPr>
          <w:lang w:val="en-US"/>
        </w:rPr>
      </w:pPr>
      <w:bookmarkStart w:id="59" w:name="_Hlk173873183"/>
      <w:r w:rsidRPr="00324CF1">
        <w:rPr>
          <w:lang w:val="en-CA"/>
        </w:rPr>
        <w:t>Before considering how these rules apply to the facts of this case, it should be recalled that the Court has already noted that [</w:t>
      </w:r>
      <w:r w:rsidR="00755995" w:rsidRPr="005E6EB3">
        <w:rPr>
          <w:smallCaps/>
          <w:lang w:val="en-CA"/>
        </w:rPr>
        <w:t>translation</w:t>
      </w:r>
      <w:r w:rsidRPr="00324CF1">
        <w:rPr>
          <w:lang w:val="en-CA"/>
        </w:rPr>
        <w:t xml:space="preserve">] “[t]he question of the immunity from the jurisdiction of a foreign state is a question of public </w:t>
      </w:r>
      <w:r w:rsidR="000D00A2">
        <w:rPr>
          <w:lang w:val="en-CA"/>
        </w:rPr>
        <w:t>order</w:t>
      </w:r>
      <w:r w:rsidR="000D00A2" w:rsidRPr="00324CF1">
        <w:rPr>
          <w:lang w:val="en-CA"/>
        </w:rPr>
        <w:t xml:space="preserve"> </w:t>
      </w:r>
      <w:r w:rsidRPr="00324CF1">
        <w:rPr>
          <w:lang w:val="en-CA"/>
        </w:rPr>
        <w:t xml:space="preserve">that, </w:t>
      </w:r>
      <w:r w:rsidR="000D00A2">
        <w:rPr>
          <w:lang w:val="en-CA"/>
        </w:rPr>
        <w:t>save</w:t>
      </w:r>
      <w:r w:rsidR="000D00A2" w:rsidRPr="00324CF1">
        <w:rPr>
          <w:lang w:val="en-CA"/>
        </w:rPr>
        <w:t xml:space="preserve"> </w:t>
      </w:r>
      <w:r w:rsidRPr="00324CF1">
        <w:rPr>
          <w:lang w:val="en-CA"/>
        </w:rPr>
        <w:t xml:space="preserve">in exceptional circumstances, must be decided immediately, </w:t>
      </w:r>
      <w:r w:rsidR="000D00A2">
        <w:rPr>
          <w:lang w:val="en-CA"/>
        </w:rPr>
        <w:t>at the stage of</w:t>
      </w:r>
      <w:r w:rsidRPr="00324CF1">
        <w:rPr>
          <w:lang w:val="en-CA"/>
        </w:rPr>
        <w:t xml:space="preserve"> the application to dismiss, in the same way, for example, as </w:t>
      </w:r>
      <w:r w:rsidR="000D00A2">
        <w:rPr>
          <w:lang w:val="en-CA"/>
        </w:rPr>
        <w:t>would the question</w:t>
      </w:r>
      <w:r w:rsidR="000D00A2" w:rsidRPr="00324CF1">
        <w:rPr>
          <w:lang w:val="en-CA"/>
        </w:rPr>
        <w:t xml:space="preserve"> </w:t>
      </w:r>
      <w:r w:rsidRPr="00324CF1">
        <w:rPr>
          <w:lang w:val="en-CA"/>
        </w:rPr>
        <w:t xml:space="preserve">of the court’s </w:t>
      </w:r>
      <w:r w:rsidR="000D00A2">
        <w:rPr>
          <w:lang w:val="en-CA"/>
        </w:rPr>
        <w:t>ratione materiae</w:t>
      </w:r>
      <w:r w:rsidR="008B720F">
        <w:rPr>
          <w:lang w:val="en-CA"/>
        </w:rPr>
        <w:t xml:space="preserve"> </w:t>
      </w:r>
      <w:r w:rsidR="008B720F" w:rsidRPr="00324CF1">
        <w:rPr>
          <w:lang w:val="en-CA"/>
        </w:rPr>
        <w:t>jurisdiction</w:t>
      </w:r>
      <w:r w:rsidRPr="00324CF1">
        <w:rPr>
          <w:lang w:val="en-CA"/>
        </w:rPr>
        <w:t>”.</w:t>
      </w:r>
      <w:bookmarkStart w:id="60" w:name="_Ref182398639"/>
      <w:r w:rsidRPr="00324CF1">
        <w:rPr>
          <w:rStyle w:val="Appelnotedebasdep"/>
          <w:lang w:val="en-CA"/>
        </w:rPr>
        <w:footnoteReference w:id="55"/>
      </w:r>
      <w:bookmarkEnd w:id="60"/>
    </w:p>
    <w:p w14:paraId="29656CB6" w14:textId="304AFC2B" w:rsidR="00D03C93" w:rsidRPr="00324CF1" w:rsidRDefault="00ED47F8" w:rsidP="00FB5A91">
      <w:pPr>
        <w:pStyle w:val="Paragraphe"/>
        <w:spacing w:line="240" w:lineRule="auto"/>
        <w:rPr>
          <w:lang w:val="en-US"/>
        </w:rPr>
      </w:pPr>
      <w:r w:rsidRPr="00324CF1">
        <w:rPr>
          <w:lang w:val="en-CA"/>
        </w:rPr>
        <w:t xml:space="preserve">It should also be noted that in this case, the standard of </w:t>
      </w:r>
      <w:r w:rsidR="00FE1019">
        <w:rPr>
          <w:lang w:val="en-CA"/>
        </w:rPr>
        <w:t>review</w:t>
      </w:r>
      <w:r w:rsidRPr="00324CF1">
        <w:rPr>
          <w:lang w:val="en-CA"/>
        </w:rPr>
        <w:t xml:space="preserve"> applicable to the application to dismiss based on the waiver exception </w:t>
      </w:r>
      <w:r w:rsidR="00FE1019">
        <w:rPr>
          <w:lang w:val="en-CA"/>
        </w:rPr>
        <w:t>under</w:t>
      </w:r>
      <w:r w:rsidRPr="00324CF1">
        <w:rPr>
          <w:lang w:val="en-CA"/>
        </w:rPr>
        <w:t xml:space="preserve"> section 4(2)(a) of the </w:t>
      </w:r>
      <w:r w:rsidRPr="00324CF1">
        <w:rPr>
          <w:i/>
          <w:iCs/>
          <w:lang w:val="en-CA"/>
        </w:rPr>
        <w:t>SIA</w:t>
      </w:r>
      <w:r w:rsidRPr="00324CF1">
        <w:rPr>
          <w:lang w:val="en-CA"/>
        </w:rPr>
        <w:t xml:space="preserve"> is that of correct</w:t>
      </w:r>
      <w:r w:rsidR="00FE1019">
        <w:rPr>
          <w:lang w:val="en-CA"/>
        </w:rPr>
        <w:t>ness</w:t>
      </w:r>
      <w:r w:rsidRPr="00324CF1">
        <w:rPr>
          <w:lang w:val="en-CA"/>
        </w:rPr>
        <w:t>, since it is a question of law.</w:t>
      </w:r>
      <w:bookmarkStart w:id="61" w:name="_Ref182398756"/>
      <w:bookmarkEnd w:id="59"/>
      <w:r w:rsidRPr="00324CF1">
        <w:rPr>
          <w:vertAlign w:val="superscript"/>
          <w:lang w:val="en-CA"/>
        </w:rPr>
        <w:footnoteReference w:id="56"/>
      </w:r>
      <w:bookmarkEnd w:id="61"/>
    </w:p>
    <w:p w14:paraId="33085643" w14:textId="47B8D570" w:rsidR="00D03C93" w:rsidRPr="00324CF1" w:rsidRDefault="00ED47F8" w:rsidP="00FB5A91">
      <w:pPr>
        <w:pStyle w:val="Paragraphe"/>
        <w:spacing w:line="240" w:lineRule="auto"/>
        <w:rPr>
          <w:lang w:val="en-US"/>
        </w:rPr>
      </w:pPr>
      <w:r w:rsidRPr="00324CF1">
        <w:rPr>
          <w:lang w:val="en-CA"/>
        </w:rPr>
        <w:t xml:space="preserve">Consequently, it is necessary to determine whether the </w:t>
      </w:r>
      <w:r w:rsidR="00FE1019">
        <w:rPr>
          <w:lang w:val="en-CA"/>
        </w:rPr>
        <w:t>trial</w:t>
      </w:r>
      <w:r w:rsidRPr="00324CF1">
        <w:rPr>
          <w:lang w:val="en-CA"/>
        </w:rPr>
        <w:t xml:space="preserve"> judge erred in law by concluding that the waiver exception applied and by </w:t>
      </w:r>
      <w:r w:rsidR="00EA3F9D">
        <w:rPr>
          <w:lang w:val="en-CA"/>
        </w:rPr>
        <w:t>dismissing</w:t>
      </w:r>
      <w:r w:rsidRPr="00324CF1">
        <w:rPr>
          <w:lang w:val="en-CA"/>
        </w:rPr>
        <w:t>, on this basis, India’s application to dismiss.</w:t>
      </w:r>
    </w:p>
    <w:p w14:paraId="61E22181" w14:textId="18E0FF09" w:rsidR="00BC160A" w:rsidRPr="00324CF1" w:rsidRDefault="00ED47F8" w:rsidP="000B6BD5">
      <w:pPr>
        <w:pStyle w:val="Titre3"/>
        <w:spacing w:line="240" w:lineRule="auto"/>
        <w:ind w:left="720"/>
        <w:jc w:val="both"/>
        <w:rPr>
          <w:b/>
          <w:bCs/>
          <w:lang w:val="en-US"/>
        </w:rPr>
      </w:pPr>
      <w:bookmarkStart w:id="62" w:name="_Toc256000008"/>
      <w:bookmarkStart w:id="63" w:name="_Toc184205613"/>
      <w:r w:rsidRPr="00324CF1">
        <w:rPr>
          <w:b/>
          <w:bCs/>
          <w:lang w:val="en-CA"/>
        </w:rPr>
        <w:t>4</w:t>
      </w:r>
      <w:bookmarkStart w:id="64" w:name="_Hlk183096651"/>
      <w:r w:rsidRPr="00324CF1">
        <w:rPr>
          <w:b/>
          <w:bCs/>
          <w:lang w:val="en-CA"/>
        </w:rPr>
        <w:t xml:space="preserve">.1 </w:t>
      </w:r>
      <w:bookmarkStart w:id="65" w:name="_Hlk183096798"/>
      <w:r w:rsidRPr="00324CF1">
        <w:rPr>
          <w:b/>
          <w:bCs/>
          <w:lang w:val="en-CA"/>
        </w:rPr>
        <w:t xml:space="preserve">Did the judge err </w:t>
      </w:r>
      <w:r w:rsidR="00EA3F9D">
        <w:rPr>
          <w:b/>
          <w:bCs/>
          <w:lang w:val="en-CA"/>
        </w:rPr>
        <w:t>in</w:t>
      </w:r>
      <w:r w:rsidRPr="00324CF1">
        <w:rPr>
          <w:b/>
          <w:bCs/>
          <w:lang w:val="en-CA"/>
        </w:rPr>
        <w:t xml:space="preserve"> concluding that the waiver exception </w:t>
      </w:r>
      <w:r w:rsidR="00FE1019">
        <w:rPr>
          <w:b/>
          <w:bCs/>
          <w:lang w:val="en-CA"/>
        </w:rPr>
        <w:t>arising</w:t>
      </w:r>
      <w:r w:rsidRPr="00324CF1">
        <w:rPr>
          <w:b/>
          <w:bCs/>
          <w:lang w:val="en-CA"/>
        </w:rPr>
        <w:t xml:space="preserve"> from the </w:t>
      </w:r>
      <w:r w:rsidR="00980F95">
        <w:rPr>
          <w:b/>
          <w:bCs/>
          <w:lang w:val="en-CA"/>
        </w:rPr>
        <w:t>commitment</w:t>
      </w:r>
      <w:r w:rsidRPr="00324CF1">
        <w:rPr>
          <w:b/>
          <w:bCs/>
          <w:lang w:val="en-CA"/>
        </w:rPr>
        <w:t xml:space="preserve"> and consent to submit the dispute to arbitration applied</w:t>
      </w:r>
      <w:bookmarkEnd w:id="65"/>
      <w:r w:rsidRPr="00324CF1">
        <w:rPr>
          <w:b/>
          <w:bCs/>
          <w:lang w:val="en-CA"/>
        </w:rPr>
        <w:t>?</w:t>
      </w:r>
      <w:bookmarkEnd w:id="62"/>
      <w:bookmarkEnd w:id="63"/>
    </w:p>
    <w:bookmarkEnd w:id="64"/>
    <w:p w14:paraId="3B2C318C" w14:textId="13B5F913" w:rsidR="00BC160A" w:rsidRPr="00324CF1" w:rsidRDefault="00ED47F8" w:rsidP="00FB5A91">
      <w:pPr>
        <w:pStyle w:val="Paragraphe"/>
        <w:spacing w:line="240" w:lineRule="auto"/>
        <w:rPr>
          <w:lang w:val="en-US"/>
        </w:rPr>
      </w:pPr>
      <w:r w:rsidRPr="00324CF1">
        <w:rPr>
          <w:lang w:val="en-CA"/>
        </w:rPr>
        <w:t xml:space="preserve">CCDM/Devas argue that by signing the Treaty, which includes an arbitration clause, and agreeing to submit to arbitration, India waived its jurisdictional immunity. This waiver applies both to the court seized of an </w:t>
      </w:r>
      <w:r w:rsidR="005D060A">
        <w:rPr>
          <w:lang w:val="en-CA"/>
        </w:rPr>
        <w:t xml:space="preserve">eventual </w:t>
      </w:r>
      <w:r w:rsidRPr="00324CF1">
        <w:rPr>
          <w:lang w:val="en-CA"/>
        </w:rPr>
        <w:t>arbitration and to state courts called upon to hear the applications for recognition and enforcement of arbitral awards likely to result therefrom.</w:t>
      </w:r>
    </w:p>
    <w:p w14:paraId="29759FFA" w14:textId="106605D8" w:rsidR="00BC160A" w:rsidRPr="00324CF1" w:rsidRDefault="00ED47F8" w:rsidP="00FB5A91">
      <w:pPr>
        <w:pStyle w:val="Paragraphe"/>
        <w:spacing w:line="240" w:lineRule="auto"/>
        <w:rPr>
          <w:lang w:val="en-US"/>
        </w:rPr>
      </w:pPr>
      <w:r w:rsidRPr="00324CF1">
        <w:rPr>
          <w:lang w:val="en-CA"/>
        </w:rPr>
        <w:t xml:space="preserve">The </w:t>
      </w:r>
      <w:r w:rsidR="00595BE0">
        <w:rPr>
          <w:lang w:val="en-CA"/>
        </w:rPr>
        <w:t>fundamental</w:t>
      </w:r>
      <w:r w:rsidR="00595BE0" w:rsidRPr="00324CF1">
        <w:rPr>
          <w:lang w:val="en-CA"/>
        </w:rPr>
        <w:t xml:space="preserve"> </w:t>
      </w:r>
      <w:r w:rsidRPr="00324CF1">
        <w:rPr>
          <w:lang w:val="en-CA"/>
        </w:rPr>
        <w:t xml:space="preserve">issue to be considered is whether the ratification of the Treaty and India’s agreement to submit to arbitration </w:t>
      </w:r>
      <w:r w:rsidR="00595BE0">
        <w:rPr>
          <w:lang w:val="en-CA"/>
        </w:rPr>
        <w:t>constitute</w:t>
      </w:r>
      <w:r w:rsidRPr="00324CF1">
        <w:rPr>
          <w:lang w:val="en-CA"/>
        </w:rPr>
        <w:t>, in light of</w:t>
      </w:r>
      <w:r w:rsidR="00595BE0">
        <w:rPr>
          <w:lang w:val="en-CA"/>
        </w:rPr>
        <w:t xml:space="preserve"> the</w:t>
      </w:r>
      <w:r w:rsidRPr="00324CF1">
        <w:rPr>
          <w:lang w:val="en-CA"/>
        </w:rPr>
        <w:t xml:space="preserve"> ratification of the </w:t>
      </w:r>
      <w:r w:rsidRPr="00324CF1">
        <w:rPr>
          <w:i/>
          <w:iCs/>
          <w:lang w:val="en-CA"/>
        </w:rPr>
        <w:t>New York Convention</w:t>
      </w:r>
      <w:r w:rsidRPr="00324CF1">
        <w:rPr>
          <w:lang w:val="en-CA"/>
        </w:rPr>
        <w:t xml:space="preserve">, </w:t>
      </w:r>
      <w:r w:rsidR="00595BE0">
        <w:rPr>
          <w:lang w:val="en-CA"/>
        </w:rPr>
        <w:t xml:space="preserve">a waiver of the immunity made </w:t>
      </w:r>
      <w:r w:rsidRPr="00324CF1">
        <w:rPr>
          <w:lang w:val="en-CA"/>
        </w:rPr>
        <w:t>“</w:t>
      </w:r>
      <w:r w:rsidRPr="005E6EB3">
        <w:rPr>
          <w:u w:val="single"/>
          <w:lang w:val="en-CA"/>
        </w:rPr>
        <w:t>explicitly</w:t>
      </w:r>
      <w:r w:rsidR="00595BE0">
        <w:rPr>
          <w:lang w:val="en-CA"/>
        </w:rPr>
        <w:t xml:space="preserve"> …</w:t>
      </w:r>
      <w:r w:rsidRPr="00324CF1">
        <w:rPr>
          <w:lang w:val="en-CA"/>
        </w:rPr>
        <w:t xml:space="preserve"> </w:t>
      </w:r>
      <w:r w:rsidRPr="005E6EB3">
        <w:rPr>
          <w:u w:val="single"/>
          <w:lang w:val="en-CA"/>
        </w:rPr>
        <w:t>by written agreement or otherwise</w:t>
      </w:r>
      <w:r w:rsidRPr="00324CF1">
        <w:rPr>
          <w:lang w:val="en-CA"/>
        </w:rPr>
        <w:t xml:space="preserve"> either before or after the proceedings commence” within the meaning of section 4</w:t>
      </w:r>
      <w:bookmarkStart w:id="66" w:name="_Hlk174356339"/>
      <w:r w:rsidRPr="00324CF1">
        <w:rPr>
          <w:lang w:val="en-CA"/>
        </w:rPr>
        <w:t xml:space="preserve">(2)(a) of the </w:t>
      </w:r>
      <w:r w:rsidRPr="00324CF1">
        <w:rPr>
          <w:i/>
          <w:iCs/>
          <w:lang w:val="en-CA"/>
        </w:rPr>
        <w:t>SIA</w:t>
      </w:r>
      <w:r w:rsidRPr="00324CF1">
        <w:rPr>
          <w:lang w:val="en-CA"/>
        </w:rPr>
        <w:t>.</w:t>
      </w:r>
    </w:p>
    <w:bookmarkEnd w:id="66"/>
    <w:p w14:paraId="208704AD" w14:textId="43BE8334" w:rsidR="00BC160A" w:rsidRPr="00324CF1" w:rsidRDefault="00ED47F8" w:rsidP="00FB5A91">
      <w:pPr>
        <w:pStyle w:val="Paragraphe"/>
        <w:spacing w:line="240" w:lineRule="auto"/>
        <w:rPr>
          <w:lang w:val="en-US"/>
        </w:rPr>
      </w:pPr>
      <w:r w:rsidRPr="00324CF1">
        <w:rPr>
          <w:lang w:val="en-CA"/>
        </w:rPr>
        <w:t xml:space="preserve">As the </w:t>
      </w:r>
      <w:r w:rsidR="00901C90">
        <w:rPr>
          <w:lang w:val="en-CA"/>
        </w:rPr>
        <w:t>trial</w:t>
      </w:r>
      <w:r w:rsidRPr="00324CF1">
        <w:rPr>
          <w:lang w:val="en-CA"/>
        </w:rPr>
        <w:t xml:space="preserve"> judge noted, section 4(2)(a) of the </w:t>
      </w:r>
      <w:r w:rsidRPr="00324CF1">
        <w:rPr>
          <w:i/>
          <w:iCs/>
          <w:lang w:val="en-CA"/>
        </w:rPr>
        <w:t>SIA</w:t>
      </w:r>
      <w:r w:rsidRPr="00324CF1">
        <w:rPr>
          <w:lang w:val="en-CA"/>
        </w:rPr>
        <w:t xml:space="preserve"> is the only provision of th</w:t>
      </w:r>
      <w:r w:rsidR="00901C90">
        <w:rPr>
          <w:lang w:val="en-CA"/>
        </w:rPr>
        <w:t>at statute</w:t>
      </w:r>
      <w:r w:rsidRPr="00324CF1">
        <w:rPr>
          <w:lang w:val="en-CA"/>
        </w:rPr>
        <w:t xml:space="preserve"> where the legislator added “or otherwise” after the words “by written agreement”. Clearly, the legislator did not limit the explicit consent of the state to consent in writing. However, in other provisions of the</w:t>
      </w:r>
      <w:r w:rsidRPr="00324CF1">
        <w:rPr>
          <w:i/>
          <w:iCs/>
          <w:lang w:val="en-CA"/>
        </w:rPr>
        <w:t xml:space="preserve"> SIA</w:t>
      </w:r>
      <w:r w:rsidRPr="00324CF1">
        <w:rPr>
          <w:lang w:val="en-CA"/>
        </w:rPr>
        <w:t xml:space="preserve">, the legislator adopted different wording, sometimes </w:t>
      </w:r>
      <w:r w:rsidR="00D8613A">
        <w:rPr>
          <w:lang w:val="en-CA"/>
        </w:rPr>
        <w:t>narrower</w:t>
      </w:r>
      <w:r w:rsidRPr="00324CF1">
        <w:rPr>
          <w:lang w:val="en-CA"/>
        </w:rPr>
        <w:t>, sometimes, at first glance, broad</w:t>
      </w:r>
      <w:r w:rsidR="00B83E9B">
        <w:rPr>
          <w:lang w:val="en-CA"/>
        </w:rPr>
        <w:t>er</w:t>
      </w:r>
      <w:r w:rsidRPr="00324CF1">
        <w:rPr>
          <w:lang w:val="en-CA"/>
        </w:rPr>
        <w:t xml:space="preserve">: </w:t>
      </w:r>
    </w:p>
    <w:p w14:paraId="76CB25EE" w14:textId="7EBC4DB5" w:rsidR="00BC160A" w:rsidRPr="00324CF1" w:rsidRDefault="00ED47F8" w:rsidP="00FB5A91">
      <w:pPr>
        <w:pStyle w:val="Paragraphe"/>
        <w:numPr>
          <w:ilvl w:val="0"/>
          <w:numId w:val="8"/>
        </w:numPr>
        <w:spacing w:line="240" w:lineRule="auto"/>
        <w:rPr>
          <w:lang w:val="en-US"/>
        </w:rPr>
      </w:pPr>
      <w:r w:rsidRPr="00324CF1">
        <w:rPr>
          <w:lang w:val="en-CA"/>
        </w:rPr>
        <w:lastRenderedPageBreak/>
        <w:t>In section 11(1) on injunctions, the State must simply consent in writing to the relief sought against it;</w:t>
      </w:r>
    </w:p>
    <w:p w14:paraId="6A7B076E" w14:textId="6940C79B" w:rsidR="00BC160A" w:rsidRPr="00324CF1" w:rsidRDefault="00ED47F8" w:rsidP="00FB5A91">
      <w:pPr>
        <w:pStyle w:val="Paragraphe"/>
        <w:numPr>
          <w:ilvl w:val="0"/>
          <w:numId w:val="8"/>
        </w:numPr>
        <w:spacing w:line="240" w:lineRule="auto"/>
        <w:rPr>
          <w:lang w:val="en-US"/>
        </w:rPr>
      </w:pPr>
      <w:r w:rsidRPr="00324CF1">
        <w:rPr>
          <w:lang w:val="en-CA"/>
        </w:rPr>
        <w:t xml:space="preserve">In section 12(1)(a) on the execution of judgments, the State must have waived its immunity </w:t>
      </w:r>
      <w:r w:rsidR="00B83E9B">
        <w:rPr>
          <w:lang w:val="en-CA"/>
        </w:rPr>
        <w:t>from</w:t>
      </w:r>
      <w:r w:rsidR="00B83E9B" w:rsidRPr="00324CF1">
        <w:rPr>
          <w:lang w:val="en-CA"/>
        </w:rPr>
        <w:t xml:space="preserve"> </w:t>
      </w:r>
      <w:r w:rsidRPr="00324CF1">
        <w:rPr>
          <w:lang w:val="en-CA"/>
        </w:rPr>
        <w:t xml:space="preserve">such execution </w:t>
      </w:r>
      <w:r w:rsidRPr="00324CF1">
        <w:rPr>
          <w:rFonts w:ascii="Helvetica" w:hAnsi="Helvetica"/>
          <w:shd w:val="clear" w:color="auto" w:fill="FFFFFF"/>
          <w:lang w:val="en-CA"/>
        </w:rPr>
        <w:t>“expressly or by implication”</w:t>
      </w:r>
      <w:r w:rsidRPr="00324CF1">
        <w:rPr>
          <w:lang w:val="en-CA"/>
        </w:rPr>
        <w:t xml:space="preserve">; </w:t>
      </w:r>
    </w:p>
    <w:p w14:paraId="0CD8FD6D" w14:textId="44400BB5" w:rsidR="00BC160A" w:rsidRPr="00324CF1" w:rsidRDefault="00ED47F8" w:rsidP="00FB5A91">
      <w:pPr>
        <w:pStyle w:val="Paragraphe"/>
        <w:numPr>
          <w:ilvl w:val="0"/>
          <w:numId w:val="8"/>
        </w:numPr>
        <w:spacing w:line="240" w:lineRule="auto"/>
        <w:rPr>
          <w:lang w:val="en-US"/>
        </w:rPr>
      </w:pPr>
      <w:r w:rsidRPr="00324CF1">
        <w:rPr>
          <w:lang w:val="en-CA"/>
        </w:rPr>
        <w:t xml:space="preserve">In section 12(5) on the waiver of immunity conferred on a foreign central bank, the waiver applies </w:t>
      </w:r>
      <w:r w:rsidR="00B83E9B" w:rsidRPr="00324CF1">
        <w:rPr>
          <w:lang w:val="en-CA"/>
        </w:rPr>
        <w:t xml:space="preserve">only </w:t>
      </w:r>
      <w:r w:rsidRPr="00324CF1">
        <w:rPr>
          <w:lang w:val="en-CA"/>
        </w:rPr>
        <w:t xml:space="preserve">if the foreign bank, authority or government </w:t>
      </w:r>
      <w:r w:rsidRPr="00324CF1">
        <w:rPr>
          <w:u w:val="single"/>
          <w:lang w:val="en-CA"/>
        </w:rPr>
        <w:t>explicitly</w:t>
      </w:r>
      <w:r w:rsidRPr="00324CF1">
        <w:rPr>
          <w:lang w:val="en-CA"/>
        </w:rPr>
        <w:t xml:space="preserve"> waives it. </w:t>
      </w:r>
    </w:p>
    <w:p w14:paraId="7B7EF8BD" w14:textId="2E625D19" w:rsidR="0037369B" w:rsidRPr="00324CF1" w:rsidRDefault="00EA0F0F" w:rsidP="00FB5A91">
      <w:pPr>
        <w:pStyle w:val="Paragraphe"/>
        <w:spacing w:line="240" w:lineRule="auto"/>
        <w:rPr>
          <w:lang w:val="en-US"/>
        </w:rPr>
      </w:pPr>
      <w:r>
        <w:rPr>
          <w:lang w:val="en-CA"/>
        </w:rPr>
        <w:t>It appears from t</w:t>
      </w:r>
      <w:r w:rsidR="00ED47F8" w:rsidRPr="00324CF1">
        <w:rPr>
          <w:lang w:val="en-CA"/>
        </w:rPr>
        <w:t xml:space="preserve">hese provisions that </w:t>
      </w:r>
      <w:r>
        <w:rPr>
          <w:lang w:val="en-CA"/>
        </w:rPr>
        <w:t xml:space="preserve">if </w:t>
      </w:r>
      <w:r w:rsidR="00ED47F8" w:rsidRPr="00324CF1">
        <w:rPr>
          <w:lang w:val="en-CA"/>
        </w:rPr>
        <w:t xml:space="preserve">the word “otherwise” means, as CCDM/Devas argue, that it is possible to waive immunity </w:t>
      </w:r>
      <w:r>
        <w:rPr>
          <w:lang w:val="en-CA"/>
        </w:rPr>
        <w:t>by other means</w:t>
      </w:r>
      <w:r w:rsidRPr="00324CF1">
        <w:rPr>
          <w:lang w:val="en-CA"/>
        </w:rPr>
        <w:t xml:space="preserve"> </w:t>
      </w:r>
      <w:r w:rsidR="00ED47F8" w:rsidRPr="00324CF1">
        <w:rPr>
          <w:lang w:val="en-CA"/>
        </w:rPr>
        <w:t>than in writing, it remains that the waiver must be explicit and, in this sense, it cannot be presumed.</w:t>
      </w:r>
      <w:bookmarkStart w:id="67" w:name="_Ref174442472"/>
      <w:r w:rsidR="00ED47F8" w:rsidRPr="00324CF1">
        <w:rPr>
          <w:vertAlign w:val="superscript"/>
          <w:lang w:val="en-CA"/>
        </w:rPr>
        <w:footnoteReference w:id="57"/>
      </w:r>
      <w:bookmarkStart w:id="68" w:name="_Hlk152967764"/>
      <w:bookmarkEnd w:id="67"/>
      <w:r w:rsidR="00ED47F8" w:rsidRPr="00324CF1">
        <w:rPr>
          <w:kern w:val="24"/>
          <w:sz w:val="22"/>
          <w:lang w:val="en-CA"/>
        </w:rPr>
        <w:t xml:space="preserve"> </w:t>
      </w:r>
      <w:r w:rsidR="00ED47F8" w:rsidRPr="00324CF1">
        <w:rPr>
          <w:lang w:val="en-CA"/>
        </w:rPr>
        <w:t>Case law has interpreted the requirement of an explicit waiver to mean that the waiver “must be explicit, it must be unequivocal or unconditional and it must be certain”.</w:t>
      </w:r>
      <w:bookmarkStart w:id="69" w:name="_Ref174442503"/>
      <w:r w:rsidR="00ED47F8" w:rsidRPr="00324CF1">
        <w:rPr>
          <w:vertAlign w:val="superscript"/>
          <w:lang w:val="en-CA"/>
        </w:rPr>
        <w:footnoteReference w:id="58"/>
      </w:r>
      <w:bookmarkEnd w:id="69"/>
      <w:r w:rsidR="00ED47F8" w:rsidRPr="00324CF1">
        <w:rPr>
          <w:lang w:val="en-CA"/>
        </w:rPr>
        <w:t xml:space="preserve"> </w:t>
      </w:r>
      <w:bookmarkEnd w:id="68"/>
    </w:p>
    <w:p w14:paraId="51196910" w14:textId="48198466" w:rsidR="0037369B" w:rsidRPr="00324CF1" w:rsidRDefault="00ED47F8" w:rsidP="00FB5A91">
      <w:pPr>
        <w:pStyle w:val="Paragraphe"/>
        <w:spacing w:line="240" w:lineRule="auto"/>
        <w:rPr>
          <w:lang w:val="en-US"/>
        </w:rPr>
      </w:pPr>
      <w:r w:rsidRPr="00324CF1">
        <w:rPr>
          <w:lang w:val="en-CA"/>
        </w:rPr>
        <w:t xml:space="preserve">Voluntary submission to arbitration satisfies the requirement of an express or explicit waiver since this waiver results from a request to this end or from an arbitration clause included in the contract or treaty </w:t>
      </w:r>
      <w:r w:rsidR="0094229B">
        <w:rPr>
          <w:lang w:val="en-CA"/>
        </w:rPr>
        <w:t>entered into by</w:t>
      </w:r>
      <w:r w:rsidRPr="00324CF1">
        <w:rPr>
          <w:lang w:val="en-CA"/>
        </w:rPr>
        <w:t xml:space="preserve"> the parties or for their benefit. Of course, such a clause specifically applies </w:t>
      </w:r>
      <w:r w:rsidR="0094229B" w:rsidRPr="00324CF1">
        <w:rPr>
          <w:lang w:val="en-CA"/>
        </w:rPr>
        <w:t xml:space="preserve">only </w:t>
      </w:r>
      <w:r w:rsidRPr="00324CF1">
        <w:rPr>
          <w:lang w:val="en-CA"/>
        </w:rPr>
        <w:t xml:space="preserve">to arbitration courts. However, submitting to arbitration </w:t>
      </w:r>
      <w:r w:rsidRPr="00324CF1">
        <w:rPr>
          <w:i/>
          <w:iCs/>
          <w:lang w:val="en-CA"/>
        </w:rPr>
        <w:t xml:space="preserve">necessarily </w:t>
      </w:r>
      <w:r w:rsidRPr="00324CF1">
        <w:rPr>
          <w:lang w:val="en-CA"/>
        </w:rPr>
        <w:t xml:space="preserve">includes the process of recognition and enforcement that follows before domestic courts. This conclusion, shared by several </w:t>
      </w:r>
      <w:r w:rsidR="00D8613A">
        <w:rPr>
          <w:lang w:val="en-CA"/>
        </w:rPr>
        <w:t>authors</w:t>
      </w:r>
      <w:r w:rsidRPr="00324CF1">
        <w:rPr>
          <w:lang w:val="en-CA"/>
        </w:rPr>
        <w:t xml:space="preserve"> of </w:t>
      </w:r>
      <w:r w:rsidR="0094229B">
        <w:rPr>
          <w:lang w:val="en-CA"/>
        </w:rPr>
        <w:t>scholarly commentary</w:t>
      </w:r>
      <w:r w:rsidRPr="00324CF1">
        <w:rPr>
          <w:lang w:val="en-CA"/>
        </w:rPr>
        <w:t>, is necessary to ensure the effectiveness of international arbitral awards.</w:t>
      </w:r>
      <w:r w:rsidRPr="00324CF1">
        <w:rPr>
          <w:vertAlign w:val="superscript"/>
          <w:lang w:val="en-CA"/>
        </w:rPr>
        <w:footnoteReference w:id="59"/>
      </w:r>
      <w:r w:rsidRPr="00324CF1">
        <w:rPr>
          <w:lang w:val="en-CA"/>
        </w:rPr>
        <w:t xml:space="preserve"> </w:t>
      </w:r>
    </w:p>
    <w:p w14:paraId="56E07522" w14:textId="0F662713" w:rsidR="00BC160A" w:rsidRPr="00324CF1" w:rsidRDefault="00ED47F8" w:rsidP="00FB5A91">
      <w:pPr>
        <w:pStyle w:val="Paragraphe"/>
        <w:spacing w:line="240" w:lineRule="auto"/>
        <w:rPr>
          <w:lang w:val="en-US"/>
        </w:rPr>
      </w:pPr>
      <w:r w:rsidRPr="00324CF1">
        <w:rPr>
          <w:lang w:val="en-CA"/>
        </w:rPr>
        <w:t xml:space="preserve">In the article </w:t>
      </w:r>
      <w:r w:rsidR="00CB2B64">
        <w:rPr>
          <w:lang w:val="en-CA"/>
        </w:rPr>
        <w:t>referred to</w:t>
      </w:r>
      <w:r w:rsidR="00CB2B64" w:rsidRPr="00324CF1">
        <w:rPr>
          <w:lang w:val="en-CA"/>
        </w:rPr>
        <w:t xml:space="preserve"> </w:t>
      </w:r>
      <w:r w:rsidRPr="00324CF1">
        <w:rPr>
          <w:lang w:val="en-CA"/>
        </w:rPr>
        <w:t>above, Bachand</w:t>
      </w:r>
      <w:r w:rsidR="00D8613A">
        <w:rPr>
          <w:lang w:val="en-CA"/>
        </w:rPr>
        <w:t>,</w:t>
      </w:r>
      <w:r w:rsidRPr="00324CF1">
        <w:rPr>
          <w:lang w:val="en-CA"/>
        </w:rPr>
        <w:t xml:space="preserve"> J.</w:t>
      </w:r>
      <w:r w:rsidR="00CB2B64">
        <w:rPr>
          <w:lang w:val="en-CA"/>
        </w:rPr>
        <w:t>A.</w:t>
      </w:r>
      <w:r w:rsidRPr="00324CF1">
        <w:rPr>
          <w:lang w:val="en-CA"/>
        </w:rPr>
        <w:t xml:space="preserve"> presented an in-depth analysis of the issue within the specific framework of an arbitration held under the aegis of a bilateral investment treaty.</w:t>
      </w:r>
      <w:bookmarkStart w:id="70" w:name="_Ref174443326"/>
      <w:r w:rsidRPr="00324CF1">
        <w:rPr>
          <w:vertAlign w:val="superscript"/>
          <w:lang w:val="en-CA"/>
        </w:rPr>
        <w:footnoteReference w:id="60"/>
      </w:r>
      <w:bookmarkEnd w:id="70"/>
      <w:r w:rsidRPr="00324CF1">
        <w:rPr>
          <w:lang w:val="en-CA"/>
        </w:rPr>
        <w:t xml:space="preserve"> While he could only note that the </w:t>
      </w:r>
      <w:r w:rsidRPr="00324CF1">
        <w:rPr>
          <w:i/>
          <w:iCs/>
          <w:lang w:val="en-CA"/>
        </w:rPr>
        <w:t>SIA</w:t>
      </w:r>
      <w:r w:rsidRPr="00324CF1">
        <w:rPr>
          <w:lang w:val="en-CA"/>
        </w:rPr>
        <w:t xml:space="preserve"> does not expressly deal with arbitration and that in this respect it deviates from similar laws of other states, he also noted that Canadian case law did not have much to say on the matter. He nevertheless discussed </w:t>
      </w:r>
      <w:r w:rsidR="00D8613A">
        <w:rPr>
          <w:lang w:val="en-CA"/>
        </w:rPr>
        <w:t>the</w:t>
      </w:r>
      <w:r w:rsidRPr="00324CF1">
        <w:rPr>
          <w:lang w:val="en-CA"/>
        </w:rPr>
        <w:t xml:space="preserve"> few </w:t>
      </w:r>
      <w:r w:rsidR="00CB2B64">
        <w:rPr>
          <w:lang w:val="en-CA"/>
        </w:rPr>
        <w:t>judgments</w:t>
      </w:r>
      <w:r w:rsidR="00CB2B64" w:rsidRPr="00324CF1">
        <w:rPr>
          <w:lang w:val="en-CA"/>
        </w:rPr>
        <w:t xml:space="preserve"> </w:t>
      </w:r>
      <w:r w:rsidRPr="00324CF1">
        <w:rPr>
          <w:lang w:val="en-CA"/>
        </w:rPr>
        <w:t>that touched on the issue.</w:t>
      </w:r>
    </w:p>
    <w:p w14:paraId="7BFA8FE3" w14:textId="51DDC0F1" w:rsidR="00BC160A" w:rsidRPr="00324CF1" w:rsidRDefault="00ED47F8" w:rsidP="00FB5A91">
      <w:pPr>
        <w:pStyle w:val="Paragraphe"/>
        <w:spacing w:line="240" w:lineRule="auto"/>
        <w:rPr>
          <w:lang w:val="en-US"/>
        </w:rPr>
      </w:pPr>
      <w:r w:rsidRPr="005E6EB3">
        <w:rPr>
          <w:lang w:val="en-CA"/>
        </w:rPr>
        <w:t>The most significant of these cases</w:t>
      </w:r>
      <w:r w:rsidRPr="00324CF1">
        <w:rPr>
          <w:lang w:val="en-CA"/>
        </w:rPr>
        <w:t xml:space="preserve"> was </w:t>
      </w:r>
      <w:r w:rsidRPr="00324CF1">
        <w:rPr>
          <w:i/>
          <w:iCs/>
          <w:lang w:val="en-CA"/>
        </w:rPr>
        <w:t>Collavino Incorporated v. Yemen (Tihama Development Authority),</w:t>
      </w:r>
      <w:bookmarkStart w:id="72" w:name="_Ref174447996"/>
      <w:r w:rsidRPr="00324CF1">
        <w:rPr>
          <w:vertAlign w:val="superscript"/>
          <w:lang w:val="en-CA"/>
        </w:rPr>
        <w:footnoteReference w:id="61"/>
      </w:r>
      <w:bookmarkEnd w:id="72"/>
      <w:r w:rsidRPr="00324CF1">
        <w:rPr>
          <w:lang w:val="en-CA"/>
        </w:rPr>
        <w:t xml:space="preserve"> concerning a dispute between an organ of the Republic of Yemen (TDA) and Collavino, which had been settled by an arbitral tribunal in accordance </w:t>
      </w:r>
      <w:r w:rsidRPr="00324CF1">
        <w:rPr>
          <w:lang w:val="en-CA"/>
        </w:rPr>
        <w:lastRenderedPageBreak/>
        <w:t xml:space="preserve">with the contract binding the parties. The arbitral award </w:t>
      </w:r>
      <w:r w:rsidR="00F87B10">
        <w:rPr>
          <w:lang w:val="en-CA"/>
        </w:rPr>
        <w:t>condemned</w:t>
      </w:r>
      <w:r w:rsidR="00F87B10" w:rsidRPr="00324CF1">
        <w:rPr>
          <w:lang w:val="en-CA"/>
        </w:rPr>
        <w:t xml:space="preserve"> </w:t>
      </w:r>
      <w:r w:rsidRPr="00324CF1">
        <w:rPr>
          <w:lang w:val="en-CA"/>
        </w:rPr>
        <w:t xml:space="preserve">TDA to pay a significant sum to Collavino. </w:t>
      </w:r>
      <w:r w:rsidR="00F87B10">
        <w:rPr>
          <w:lang w:val="en-CA"/>
        </w:rPr>
        <w:t>While it did not think that</w:t>
      </w:r>
      <w:r w:rsidR="00F87B10" w:rsidRPr="00324CF1">
        <w:rPr>
          <w:lang w:val="en-CA"/>
        </w:rPr>
        <w:t xml:space="preserve"> </w:t>
      </w:r>
      <w:r w:rsidRPr="00324CF1">
        <w:rPr>
          <w:lang w:val="en-CA"/>
        </w:rPr>
        <w:t xml:space="preserve">TDA was the </w:t>
      </w:r>
      <w:r w:rsidRPr="00324CF1">
        <w:rPr>
          <w:i/>
          <w:iCs/>
          <w:lang w:val="en-CA"/>
        </w:rPr>
        <w:t xml:space="preserve">alter ego </w:t>
      </w:r>
      <w:r w:rsidRPr="00324CF1">
        <w:rPr>
          <w:lang w:val="en-CA"/>
        </w:rPr>
        <w:t xml:space="preserve">of Yemen, the Court of Queen’s Bench of Alberta concluded that it nevertheless benefited from immunity as an organ of the state. Collavino claimed that TDA had waived its immunity, because it had </w:t>
      </w:r>
      <w:r w:rsidR="00D8613A">
        <w:rPr>
          <w:lang w:val="en-CA"/>
        </w:rPr>
        <w:t>agreed</w:t>
      </w:r>
      <w:r w:rsidRPr="00324CF1">
        <w:rPr>
          <w:lang w:val="en-CA"/>
        </w:rPr>
        <w:t xml:space="preserve"> to submit to the arbitration process. Although the Court dismissed this argument due to the distinction between Yemen, the signatory of the arbitration clause, and TDA, which was not its </w:t>
      </w:r>
      <w:r w:rsidRPr="00324CF1">
        <w:rPr>
          <w:i/>
          <w:iCs/>
          <w:lang w:val="en-CA"/>
        </w:rPr>
        <w:t>alter ego</w:t>
      </w:r>
      <w:r w:rsidRPr="00324CF1">
        <w:rPr>
          <w:lang w:val="en-CA"/>
        </w:rPr>
        <w:t xml:space="preserve">, it nevertheless asserted that it had no doubt that consent to an arbitration process constituted a valid waiver: </w:t>
      </w:r>
    </w:p>
    <w:p w14:paraId="566EDEF1" w14:textId="1C303F3E" w:rsidR="00BC160A" w:rsidRPr="00324CF1" w:rsidRDefault="00324CF1" w:rsidP="00FB5A91">
      <w:pPr>
        <w:pStyle w:val="Citationenretrait"/>
        <w:spacing w:line="240" w:lineRule="auto"/>
        <w:rPr>
          <w:lang w:val="en-CA"/>
        </w:rPr>
      </w:pPr>
      <w:r w:rsidRPr="00D8613A">
        <w:rPr>
          <w:lang w:val="en-CA"/>
        </w:rPr>
        <w:t xml:space="preserve">Section 4 of the </w:t>
      </w:r>
      <w:r w:rsidRPr="00D8613A">
        <w:rPr>
          <w:i/>
          <w:iCs/>
          <w:lang w:val="en-CA"/>
        </w:rPr>
        <w:t>State Immunity Act</w:t>
      </w:r>
      <w:r w:rsidRPr="00D8613A">
        <w:rPr>
          <w:lang w:val="en-CA"/>
        </w:rPr>
        <w:t xml:space="preserve"> sets out the terms for waiver of jurisdictional immunity by a foreign state. The waiver argument against Yemen is moot on the basis that I have found that the TDA is not the alter ego of Yemen. On the other hand, I have no doubt that the TDA waived immunity for enforcement purposes pursuant to s. 12 of the </w:t>
      </w:r>
      <w:r w:rsidRPr="00D8613A">
        <w:rPr>
          <w:i/>
          <w:iCs/>
          <w:lang w:val="en-CA"/>
        </w:rPr>
        <w:t>State Immunity Act</w:t>
      </w:r>
      <w:r w:rsidRPr="00D8613A">
        <w:rPr>
          <w:lang w:val="en-CA"/>
        </w:rPr>
        <w:t>. It did so by agreeing to international commercial arbitration. Otherwise, the effect of an Award could be thwarted by successfully claiming state immunity in jurisdictions where the TDA has exigible assets</w:t>
      </w:r>
      <w:r w:rsidR="00ED47F8" w:rsidRPr="00D8613A">
        <w:rPr>
          <w:lang w:val="en-CA"/>
        </w:rPr>
        <w:t>.</w:t>
      </w:r>
      <w:r w:rsidR="00ED47F8" w:rsidRPr="00324CF1">
        <w:rPr>
          <w:vertAlign w:val="superscript"/>
        </w:rPr>
        <w:footnoteReference w:id="62"/>
      </w:r>
    </w:p>
    <w:p w14:paraId="766B978B" w14:textId="433FC780" w:rsidR="00BC160A" w:rsidRPr="00324CF1" w:rsidRDefault="00ED47F8" w:rsidP="00FB5A91">
      <w:pPr>
        <w:pStyle w:val="Paragraphe"/>
        <w:spacing w:line="240" w:lineRule="auto"/>
        <w:rPr>
          <w:lang w:val="en-US"/>
        </w:rPr>
      </w:pPr>
      <w:r w:rsidRPr="00324CF1">
        <w:rPr>
          <w:lang w:val="en-CA"/>
        </w:rPr>
        <w:t>In his article, Bachand</w:t>
      </w:r>
      <w:r w:rsidR="00F23407">
        <w:rPr>
          <w:lang w:val="en-CA"/>
        </w:rPr>
        <w:t>,</w:t>
      </w:r>
      <w:r w:rsidRPr="00324CF1">
        <w:rPr>
          <w:lang w:val="en-CA"/>
        </w:rPr>
        <w:t xml:space="preserve"> J.</w:t>
      </w:r>
      <w:r w:rsidR="00F87B10">
        <w:rPr>
          <w:lang w:val="en-CA"/>
        </w:rPr>
        <w:t>A.</w:t>
      </w:r>
      <w:r w:rsidRPr="00324CF1">
        <w:rPr>
          <w:lang w:val="en-CA"/>
        </w:rPr>
        <w:t xml:space="preserve"> also reached this conclusion. In his </w:t>
      </w:r>
      <w:r w:rsidR="00F87B10">
        <w:rPr>
          <w:lang w:val="en-CA"/>
        </w:rPr>
        <w:t>view</w:t>
      </w:r>
      <w:r w:rsidRPr="00324CF1">
        <w:rPr>
          <w:lang w:val="en-CA"/>
        </w:rPr>
        <w:t>, submi</w:t>
      </w:r>
      <w:r w:rsidR="00F23407">
        <w:rPr>
          <w:lang w:val="en-CA"/>
        </w:rPr>
        <w:t>tting</w:t>
      </w:r>
      <w:r w:rsidRPr="00324CF1">
        <w:rPr>
          <w:lang w:val="en-CA"/>
        </w:rPr>
        <w:t xml:space="preserve"> to the international arbitration process constitutes an explicit waiver of state immunity within the meaning of the</w:t>
      </w:r>
      <w:r w:rsidRPr="00324CF1">
        <w:rPr>
          <w:i/>
          <w:iCs/>
          <w:lang w:val="en-CA"/>
        </w:rPr>
        <w:t xml:space="preserve"> SIA</w:t>
      </w:r>
      <w:r w:rsidRPr="00324CF1">
        <w:rPr>
          <w:lang w:val="en-CA"/>
        </w:rPr>
        <w:t>, making it possible to reconcile that law with the rules of international law:</w:t>
      </w:r>
    </w:p>
    <w:p w14:paraId="18A1A117" w14:textId="77777777" w:rsidR="00BC160A" w:rsidRPr="00324CF1" w:rsidRDefault="00ED47F8" w:rsidP="00FB5A91">
      <w:pPr>
        <w:pStyle w:val="Citationenretrait"/>
        <w:spacing w:line="240" w:lineRule="auto"/>
        <w:rPr>
          <w:lang w:val="en-CA"/>
        </w:rPr>
      </w:pPr>
      <w:r w:rsidRPr="00F23407">
        <w:rPr>
          <w:lang w:val="en-CA"/>
        </w:rPr>
        <w:t xml:space="preserve">When all the key elements of the analysis that precedes are put together, the following conclusion emerges: courts sitting in jurisdictions which support the international arbitration system by allowing for the recognition and enforcement of foreign awards are courts to which a foreign state explicitly submits, within the meaning of section 4(2)(a) of the </w:t>
      </w:r>
      <w:r w:rsidRPr="00F23407">
        <w:rPr>
          <w:i/>
          <w:iCs/>
          <w:lang w:val="en-CA"/>
        </w:rPr>
        <w:t>State Immunity Act</w:t>
      </w:r>
      <w:r w:rsidRPr="00F23407">
        <w:rPr>
          <w:lang w:val="en-CA"/>
        </w:rPr>
        <w:t>, when it explicitly undertakes to resort to international commercial arbitration. At the very least, this is a reasonable alternative to the first impression reading most people make of that provision, and that suffices to conclude that the language of section 4(2)(a) of the Act can indeed be reconciled with the international rule preventing states from invoking their jurisdictional immunity in foreign recognition and enforcement proceedings.</w:t>
      </w:r>
      <w:r w:rsidRPr="00F23407">
        <w:rPr>
          <w:vertAlign w:val="superscript"/>
        </w:rPr>
        <w:footnoteReference w:id="63"/>
      </w:r>
    </w:p>
    <w:p w14:paraId="0BADB0EC" w14:textId="00D54D33" w:rsidR="00BC160A" w:rsidRPr="00324CF1" w:rsidRDefault="00ED47F8" w:rsidP="00FB5A91">
      <w:pPr>
        <w:pStyle w:val="Paragraphe"/>
        <w:spacing w:line="240" w:lineRule="auto"/>
        <w:rPr>
          <w:lang w:val="en-US"/>
        </w:rPr>
      </w:pPr>
      <w:bookmarkStart w:id="73" w:name="_Hlk152965939"/>
      <w:r w:rsidRPr="00324CF1">
        <w:rPr>
          <w:lang w:val="en-CA"/>
        </w:rPr>
        <w:t xml:space="preserve">This conclusion was also shared by author Mark A. Cymrot: </w:t>
      </w:r>
    </w:p>
    <w:bookmarkEnd w:id="73"/>
    <w:p w14:paraId="2168FEBD" w14:textId="69A2A0A2" w:rsidR="00BC160A" w:rsidRPr="00324CF1" w:rsidRDefault="00324CF1" w:rsidP="00FB5A91">
      <w:pPr>
        <w:pStyle w:val="Citationenretrait"/>
        <w:spacing w:line="240" w:lineRule="auto"/>
        <w:rPr>
          <w:lang w:val="en-CA"/>
        </w:rPr>
      </w:pPr>
      <w:r w:rsidRPr="00F23407">
        <w:rPr>
          <w:lang w:val="en-CA"/>
        </w:rPr>
        <w:t>The Canadian State Immunity Act (Canada SIA) does not contain a specific arbitration waiver, but like many States, including France, Switzerland and Sweden, and the UNCSI, Canada considers arbitration agreements to be waivers of immunity over proceedings in support of arbitration</w:t>
      </w:r>
      <w:r w:rsidR="00ED47F8" w:rsidRPr="00F23407">
        <w:rPr>
          <w:lang w:val="en-CA"/>
        </w:rPr>
        <w:t>.</w:t>
      </w:r>
      <w:r w:rsidR="00ED47F8" w:rsidRPr="00F23407">
        <w:rPr>
          <w:vertAlign w:val="superscript"/>
        </w:rPr>
        <w:footnoteReference w:id="64"/>
      </w:r>
    </w:p>
    <w:p w14:paraId="54016A8E" w14:textId="77777777" w:rsidR="00BC160A" w:rsidRPr="00324CF1" w:rsidRDefault="00ED47F8" w:rsidP="00FB5A91">
      <w:pPr>
        <w:pStyle w:val="Citationenretrait"/>
        <w:spacing w:line="240" w:lineRule="auto"/>
        <w:jc w:val="right"/>
      </w:pPr>
      <w:r w:rsidRPr="00324CF1">
        <w:rPr>
          <w:lang w:val="en-CA"/>
        </w:rPr>
        <w:lastRenderedPageBreak/>
        <w:t>[References omitted]</w:t>
      </w:r>
    </w:p>
    <w:p w14:paraId="5561B7E1" w14:textId="0036D103" w:rsidR="00314927" w:rsidRPr="00324CF1" w:rsidRDefault="00ED47F8" w:rsidP="00FB5A91">
      <w:pPr>
        <w:pStyle w:val="Paragraphe"/>
        <w:spacing w:line="240" w:lineRule="auto"/>
        <w:rPr>
          <w:lang w:val="en-US"/>
        </w:rPr>
      </w:pPr>
      <w:r w:rsidRPr="00324CF1">
        <w:rPr>
          <w:i/>
          <w:iCs/>
          <w:lang w:val="en-CA"/>
        </w:rPr>
        <w:t>Sunlodges,</w:t>
      </w:r>
      <w:bookmarkStart w:id="74" w:name="_Ref174447940"/>
      <w:r w:rsidRPr="00324CF1">
        <w:rPr>
          <w:vertAlign w:val="superscript"/>
          <w:lang w:val="en-CA"/>
        </w:rPr>
        <w:footnoteReference w:id="65"/>
      </w:r>
      <w:bookmarkEnd w:id="74"/>
      <w:r w:rsidRPr="00324CF1">
        <w:rPr>
          <w:lang w:val="en-CA"/>
        </w:rPr>
        <w:t xml:space="preserve"> rendered in 2020, </w:t>
      </w:r>
      <w:r w:rsidR="00B71FD5">
        <w:rPr>
          <w:lang w:val="en-CA"/>
        </w:rPr>
        <w:t>repeated the theory set out in</w:t>
      </w:r>
      <w:r w:rsidRPr="00324CF1">
        <w:rPr>
          <w:lang w:val="en-CA"/>
        </w:rPr>
        <w:t xml:space="preserve"> the article by Bacha</w:t>
      </w:r>
      <w:r w:rsidR="00D54404">
        <w:rPr>
          <w:lang w:val="en-CA"/>
        </w:rPr>
        <w:t>n</w:t>
      </w:r>
      <w:r w:rsidRPr="00324CF1">
        <w:rPr>
          <w:lang w:val="en-CA"/>
        </w:rPr>
        <w:t>d</w:t>
      </w:r>
      <w:r w:rsidR="00D54404">
        <w:rPr>
          <w:lang w:val="en-CA"/>
        </w:rPr>
        <w:t>,</w:t>
      </w:r>
      <w:r w:rsidRPr="00324CF1">
        <w:rPr>
          <w:lang w:val="en-CA"/>
        </w:rPr>
        <w:t xml:space="preserve"> J.</w:t>
      </w:r>
      <w:r w:rsidR="00B71FD5">
        <w:rPr>
          <w:lang w:val="en-CA"/>
        </w:rPr>
        <w:t>A.</w:t>
      </w:r>
      <w:r w:rsidRPr="00324CF1">
        <w:rPr>
          <w:lang w:val="en-CA"/>
        </w:rPr>
        <w:t xml:space="preserve"> </w:t>
      </w:r>
      <w:r w:rsidRPr="00324CF1">
        <w:rPr>
          <w:rStyle w:val="ParagrapheCar"/>
          <w:lang w:val="en-CA"/>
        </w:rPr>
        <w:t>In</w:t>
      </w:r>
      <w:r w:rsidRPr="00324CF1">
        <w:rPr>
          <w:lang w:val="en-CA"/>
        </w:rPr>
        <w:t xml:space="preserve"> th</w:t>
      </w:r>
      <w:r w:rsidR="00B71FD5">
        <w:rPr>
          <w:lang w:val="en-CA"/>
        </w:rPr>
        <w:t>at</w:t>
      </w:r>
      <w:r w:rsidRPr="00324CF1">
        <w:rPr>
          <w:lang w:val="en-CA"/>
        </w:rPr>
        <w:t xml:space="preserve"> case, after obtaining an arbitral award against Tanzania, the </w:t>
      </w:r>
      <w:r w:rsidR="00D54404" w:rsidRPr="00324CF1">
        <w:rPr>
          <w:lang w:val="en-CA"/>
        </w:rPr>
        <w:t xml:space="preserve">Sunlodges </w:t>
      </w:r>
      <w:r w:rsidRPr="00324CF1">
        <w:rPr>
          <w:lang w:val="en-CA"/>
        </w:rPr>
        <w:t>company filed an application for recognition and enforcement of the award before the Ontario courts, followed by a motion for a Mareva injunction targeting an aircraft located in Canada belong</w:t>
      </w:r>
      <w:r w:rsidR="00B71FD5">
        <w:rPr>
          <w:lang w:val="en-CA"/>
        </w:rPr>
        <w:t>ing</w:t>
      </w:r>
      <w:r w:rsidRPr="00324CF1">
        <w:rPr>
          <w:lang w:val="en-CA"/>
        </w:rPr>
        <w:t xml:space="preserve"> to Tanzania. The Superior Court of Justice </w:t>
      </w:r>
      <w:r w:rsidR="00B71FD5">
        <w:rPr>
          <w:lang w:val="en-CA"/>
        </w:rPr>
        <w:t>of</w:t>
      </w:r>
      <w:r w:rsidRPr="00324CF1">
        <w:rPr>
          <w:lang w:val="en-CA"/>
        </w:rPr>
        <w:t xml:space="preserve"> Ontario concluded that by submitting to an arbitration process under </w:t>
      </w:r>
      <w:r w:rsidR="00B71FD5">
        <w:rPr>
          <w:lang w:val="en-CA"/>
        </w:rPr>
        <w:t xml:space="preserve">the aegis of </w:t>
      </w:r>
      <w:r w:rsidRPr="00324CF1">
        <w:rPr>
          <w:lang w:val="en-CA"/>
        </w:rPr>
        <w:t xml:space="preserve">a treaty, Tanzania </w:t>
      </w:r>
      <w:r w:rsidR="00B71FD5">
        <w:rPr>
          <w:lang w:val="en-CA"/>
        </w:rPr>
        <w:t xml:space="preserve">had </w:t>
      </w:r>
      <w:r w:rsidRPr="00324CF1">
        <w:rPr>
          <w:lang w:val="en-CA"/>
        </w:rPr>
        <w:t xml:space="preserve">waived its right to invoke its immunity and at the same time consented to conservatory and </w:t>
      </w:r>
      <w:r w:rsidR="00B71FD5">
        <w:rPr>
          <w:lang w:val="en-CA"/>
        </w:rPr>
        <w:t>interlocutory</w:t>
      </w:r>
      <w:r w:rsidR="00B71FD5" w:rsidRPr="00324CF1">
        <w:rPr>
          <w:lang w:val="en-CA"/>
        </w:rPr>
        <w:t xml:space="preserve"> </w:t>
      </w:r>
      <w:r w:rsidRPr="00324CF1">
        <w:rPr>
          <w:lang w:val="en-CA"/>
        </w:rPr>
        <w:t xml:space="preserve">measures being taken against it. Tanzania could not hide behind a restrictive interpretation of the exceptions </w:t>
      </w:r>
      <w:r w:rsidR="00B71FD5">
        <w:rPr>
          <w:lang w:val="en-CA"/>
        </w:rPr>
        <w:t>set out</w:t>
      </w:r>
      <w:r w:rsidRPr="00324CF1">
        <w:rPr>
          <w:lang w:val="en-CA"/>
        </w:rPr>
        <w:t xml:space="preserve"> in the</w:t>
      </w:r>
      <w:r w:rsidRPr="00324CF1">
        <w:rPr>
          <w:i/>
          <w:iCs/>
          <w:lang w:val="en-CA"/>
        </w:rPr>
        <w:t xml:space="preserve"> SIA</w:t>
      </w:r>
      <w:r w:rsidRPr="00324CF1">
        <w:rPr>
          <w:lang w:val="en-CA"/>
        </w:rPr>
        <w:t xml:space="preserve"> to avoid the imposition of such measures.</w:t>
      </w:r>
    </w:p>
    <w:p w14:paraId="20D81AF7" w14:textId="51FD20D4" w:rsidR="00BC160A" w:rsidRPr="00324CF1" w:rsidRDefault="00ED47F8" w:rsidP="00FB5A91">
      <w:pPr>
        <w:pStyle w:val="Paragraphe"/>
        <w:spacing w:line="240" w:lineRule="auto"/>
        <w:rPr>
          <w:lang w:val="en-US"/>
        </w:rPr>
      </w:pPr>
      <w:r w:rsidRPr="004F1450">
        <w:rPr>
          <w:lang w:val="en-CA"/>
        </w:rPr>
        <w:t>In this case, India’s attempt</w:t>
      </w:r>
      <w:r w:rsidRPr="00324CF1">
        <w:rPr>
          <w:lang w:val="en-CA"/>
        </w:rPr>
        <w:t xml:space="preserve"> to invoke state immunity in jurisdictions where it may hold assets that </w:t>
      </w:r>
      <w:r w:rsidR="004F1450">
        <w:rPr>
          <w:lang w:val="en-CA"/>
        </w:rPr>
        <w:t>would</w:t>
      </w:r>
      <w:r w:rsidR="004F1450" w:rsidRPr="00324CF1">
        <w:rPr>
          <w:lang w:val="en-CA"/>
        </w:rPr>
        <w:t xml:space="preserve"> </w:t>
      </w:r>
      <w:r w:rsidRPr="00324CF1">
        <w:rPr>
          <w:lang w:val="en-CA"/>
        </w:rPr>
        <w:t xml:space="preserve">allow for the enforcement of arbitral awards goes against its obligations under both the </w:t>
      </w:r>
      <w:r w:rsidRPr="00324CF1">
        <w:rPr>
          <w:i/>
          <w:iCs/>
          <w:lang w:val="en-CA"/>
        </w:rPr>
        <w:t>New York Convention</w:t>
      </w:r>
      <w:r w:rsidRPr="00324CF1">
        <w:rPr>
          <w:lang w:val="en-CA"/>
        </w:rPr>
        <w:t xml:space="preserve"> and the Treaty.</w:t>
      </w:r>
    </w:p>
    <w:p w14:paraId="1D8F429C" w14:textId="76E15374" w:rsidR="00BC160A" w:rsidRPr="00324CF1" w:rsidRDefault="00ED47F8" w:rsidP="00FB5A91">
      <w:pPr>
        <w:pStyle w:val="Paragraphe"/>
        <w:spacing w:line="240" w:lineRule="auto"/>
        <w:rPr>
          <w:lang w:val="en-US"/>
        </w:rPr>
      </w:pPr>
      <w:r w:rsidRPr="00324CF1">
        <w:rPr>
          <w:lang w:val="en-CA"/>
        </w:rPr>
        <w:t xml:space="preserve">India is a party to the </w:t>
      </w:r>
      <w:r w:rsidRPr="00324CF1">
        <w:rPr>
          <w:i/>
          <w:iCs/>
          <w:lang w:val="en-CA"/>
        </w:rPr>
        <w:t>New York Convention</w:t>
      </w:r>
      <w:r w:rsidRPr="00324CF1">
        <w:rPr>
          <w:lang w:val="en-CA"/>
        </w:rPr>
        <w:t xml:space="preserve">, which provides, in article III, that “[e]ach Contracting State shall recognize arbitral awards as binding and enforce them in accordance with the rules of procedure of the territory where the reward is relied upon”, unless a party raises valid grounds to contest such recognition and enforcement. </w:t>
      </w:r>
    </w:p>
    <w:p w14:paraId="1BFB1C16" w14:textId="3D4B6F0B" w:rsidR="00BC160A" w:rsidRPr="00324CF1" w:rsidRDefault="00ED47F8" w:rsidP="00FB5A91">
      <w:pPr>
        <w:pStyle w:val="Paragraphe"/>
        <w:spacing w:line="240" w:lineRule="auto"/>
        <w:rPr>
          <w:lang w:val="en-US"/>
        </w:rPr>
      </w:pPr>
      <w:r w:rsidRPr="00324CF1">
        <w:rPr>
          <w:lang w:val="en-CA"/>
        </w:rPr>
        <w:t xml:space="preserve">By ratifying the </w:t>
      </w:r>
      <w:r w:rsidRPr="00324CF1">
        <w:rPr>
          <w:i/>
          <w:iCs/>
          <w:lang w:val="en-CA"/>
        </w:rPr>
        <w:t xml:space="preserve">New York Convention </w:t>
      </w:r>
      <w:r w:rsidRPr="00324CF1">
        <w:rPr>
          <w:lang w:val="en-CA"/>
        </w:rPr>
        <w:t xml:space="preserve">and entering into the Treaty, which includes a dispute settlement clause referring the parties to </w:t>
      </w:r>
      <w:r w:rsidR="004024BB">
        <w:rPr>
          <w:lang w:val="en-CA"/>
        </w:rPr>
        <w:t>arbitration</w:t>
      </w:r>
      <w:r w:rsidRPr="00324CF1">
        <w:rPr>
          <w:lang w:val="en-CA"/>
        </w:rPr>
        <w:t xml:space="preserve">, and by participating in such arbitration proceedings without reserving its right to claim immunity, India must be considered to have accepted that any resulting award could be subject to recognition and enforcement proceedings. In doing so, it waived, </w:t>
      </w:r>
      <w:r w:rsidRPr="00324CF1">
        <w:rPr>
          <w:i/>
          <w:iCs/>
          <w:lang w:val="en-CA"/>
        </w:rPr>
        <w:t>by necessary implication</w:t>
      </w:r>
      <w:r w:rsidRPr="00324CF1">
        <w:rPr>
          <w:lang w:val="en-CA"/>
        </w:rPr>
        <w:t>, jurisdictional immunity under the</w:t>
      </w:r>
      <w:r w:rsidRPr="00324CF1">
        <w:rPr>
          <w:i/>
          <w:iCs/>
          <w:lang w:val="en-CA"/>
        </w:rPr>
        <w:t xml:space="preserve"> SIA</w:t>
      </w:r>
      <w:r w:rsidRPr="00324CF1">
        <w:rPr>
          <w:lang w:val="en-CA"/>
        </w:rPr>
        <w:t xml:space="preserve">. </w:t>
      </w:r>
    </w:p>
    <w:p w14:paraId="0B71416D" w14:textId="0A06819F" w:rsidR="00BC160A" w:rsidRPr="00324CF1" w:rsidRDefault="004024BB" w:rsidP="00FB5A91">
      <w:pPr>
        <w:pStyle w:val="Paragraphe"/>
        <w:spacing w:line="240" w:lineRule="auto"/>
        <w:rPr>
          <w:lang w:val="en-US"/>
        </w:rPr>
      </w:pPr>
      <w:r>
        <w:rPr>
          <w:lang w:val="en-CA"/>
        </w:rPr>
        <w:t>The ratification of</w:t>
      </w:r>
      <w:r w:rsidRPr="00324CF1">
        <w:rPr>
          <w:lang w:val="en-CA"/>
        </w:rPr>
        <w:t xml:space="preserve"> </w:t>
      </w:r>
      <w:r w:rsidR="00ED47F8" w:rsidRPr="00324CF1">
        <w:rPr>
          <w:lang w:val="en-CA"/>
        </w:rPr>
        <w:t xml:space="preserve">the </w:t>
      </w:r>
      <w:r w:rsidR="00ED47F8" w:rsidRPr="00324CF1">
        <w:rPr>
          <w:i/>
          <w:iCs/>
          <w:lang w:val="en-CA"/>
        </w:rPr>
        <w:t>New York Convention</w:t>
      </w:r>
      <w:r w:rsidR="00ED47F8" w:rsidRPr="00324CF1">
        <w:rPr>
          <w:lang w:val="en-CA"/>
        </w:rPr>
        <w:t xml:space="preserve"> and </w:t>
      </w:r>
      <w:r>
        <w:rPr>
          <w:lang w:val="en-CA"/>
        </w:rPr>
        <w:t>signature of</w:t>
      </w:r>
      <w:r w:rsidRPr="00324CF1">
        <w:rPr>
          <w:lang w:val="en-CA"/>
        </w:rPr>
        <w:t xml:space="preserve"> </w:t>
      </w:r>
      <w:r w:rsidR="00ED47F8" w:rsidRPr="00324CF1">
        <w:rPr>
          <w:lang w:val="en-CA"/>
        </w:rPr>
        <w:t xml:space="preserve">the Treaty </w:t>
      </w:r>
      <w:r>
        <w:rPr>
          <w:lang w:val="en-CA"/>
        </w:rPr>
        <w:t>do</w:t>
      </w:r>
      <w:r w:rsidRPr="00324CF1">
        <w:rPr>
          <w:lang w:val="en-CA"/>
        </w:rPr>
        <w:t xml:space="preserve"> </w:t>
      </w:r>
      <w:r w:rsidR="00ED47F8" w:rsidRPr="00324CF1">
        <w:rPr>
          <w:lang w:val="en-CA"/>
        </w:rPr>
        <w:t xml:space="preserve">not amount to a </w:t>
      </w:r>
      <w:r>
        <w:rPr>
          <w:lang w:val="en-CA"/>
        </w:rPr>
        <w:t>mere</w:t>
      </w:r>
      <w:r w:rsidRPr="00324CF1">
        <w:rPr>
          <w:lang w:val="en-CA"/>
        </w:rPr>
        <w:t xml:space="preserve"> </w:t>
      </w:r>
      <w:r w:rsidR="00ED47F8" w:rsidRPr="00324CF1">
        <w:rPr>
          <w:i/>
          <w:iCs/>
          <w:lang w:val="en-CA"/>
        </w:rPr>
        <w:t>implied</w:t>
      </w:r>
      <w:r w:rsidR="00ED47F8" w:rsidRPr="00324CF1">
        <w:rPr>
          <w:lang w:val="en-CA"/>
        </w:rPr>
        <w:t xml:space="preserve"> waiver of immunity, which would be insufficient within the meaning of section 4(2)(a) of the </w:t>
      </w:r>
      <w:r w:rsidR="00ED47F8" w:rsidRPr="00324CF1">
        <w:rPr>
          <w:i/>
          <w:iCs/>
          <w:lang w:val="en-CA"/>
        </w:rPr>
        <w:t>SIA</w:t>
      </w:r>
      <w:r w:rsidR="00ED47F8" w:rsidRPr="00324CF1">
        <w:rPr>
          <w:lang w:val="en-CA"/>
        </w:rPr>
        <w:t xml:space="preserve">, as India </w:t>
      </w:r>
      <w:r>
        <w:rPr>
          <w:lang w:val="en-CA"/>
        </w:rPr>
        <w:t>argues</w:t>
      </w:r>
      <w:r w:rsidR="00ED47F8" w:rsidRPr="00324CF1">
        <w:rPr>
          <w:lang w:val="en-CA"/>
        </w:rPr>
        <w:t xml:space="preserve">. Rather, these elements </w:t>
      </w:r>
      <w:r>
        <w:rPr>
          <w:lang w:val="en-CA"/>
        </w:rPr>
        <w:t>indicate</w:t>
      </w:r>
      <w:r w:rsidR="0037085A">
        <w:rPr>
          <w:lang w:val="en-CA"/>
        </w:rPr>
        <w:t xml:space="preserve"> </w:t>
      </w:r>
      <w:r w:rsidR="0037085A">
        <w:rPr>
          <w:lang w:val="en-CA"/>
        </w:rPr>
        <w:lastRenderedPageBreak/>
        <w:t>instead</w:t>
      </w:r>
      <w:r w:rsidRPr="00324CF1">
        <w:rPr>
          <w:lang w:val="en-CA"/>
        </w:rPr>
        <w:t xml:space="preserve"> </w:t>
      </w:r>
      <w:r w:rsidR="00ED47F8" w:rsidRPr="00324CF1">
        <w:rPr>
          <w:lang w:val="en-CA"/>
        </w:rPr>
        <w:t xml:space="preserve">that India had </w:t>
      </w:r>
      <w:r w:rsidR="00ED47F8" w:rsidRPr="00324CF1">
        <w:rPr>
          <w:i/>
          <w:iCs/>
          <w:lang w:val="en-CA"/>
        </w:rPr>
        <w:t>necessarily</w:t>
      </w:r>
      <w:r w:rsidR="00ED47F8" w:rsidRPr="00324CF1">
        <w:rPr>
          <w:lang w:val="en-CA"/>
        </w:rPr>
        <w:t xml:space="preserve"> submitted to the jurisdiction of the courts at the stage of recognition and enforcement of awards by consenting to the terms of the </w:t>
      </w:r>
      <w:r w:rsidR="00ED47F8" w:rsidRPr="00324CF1">
        <w:rPr>
          <w:i/>
          <w:iCs/>
          <w:lang w:val="en-CA"/>
        </w:rPr>
        <w:t>New York Convention</w:t>
      </w:r>
      <w:r w:rsidR="00ED47F8" w:rsidRPr="00324CF1">
        <w:rPr>
          <w:lang w:val="en-CA"/>
        </w:rPr>
        <w:t xml:space="preserve"> in this regard. Any other interpretation of the terms of this convention would deprive it of its effect, i.e.</w:t>
      </w:r>
      <w:r w:rsidR="0037085A">
        <w:rPr>
          <w:lang w:val="en-CA"/>
        </w:rPr>
        <w:t>,</w:t>
      </w:r>
      <w:r w:rsidR="00ED47F8" w:rsidRPr="00324CF1">
        <w:rPr>
          <w:lang w:val="en-CA"/>
        </w:rPr>
        <w:t xml:space="preserve"> ensuring the effectiveness of international arbitral awards. This “necessary implication” constitutes an explicit waiver under subsection 4(2)(a) of the</w:t>
      </w:r>
      <w:r w:rsidR="00ED47F8" w:rsidRPr="00324CF1">
        <w:rPr>
          <w:i/>
          <w:iCs/>
          <w:lang w:val="en-CA"/>
        </w:rPr>
        <w:t xml:space="preserve"> SIA</w:t>
      </w:r>
      <w:r w:rsidR="00ED47F8" w:rsidRPr="00324CF1">
        <w:rPr>
          <w:lang w:val="en-CA"/>
        </w:rPr>
        <w:t>.</w:t>
      </w:r>
    </w:p>
    <w:p w14:paraId="12E7A660" w14:textId="77777777" w:rsidR="006E055C" w:rsidRPr="00324CF1" w:rsidRDefault="00ED47F8" w:rsidP="00FB5A91">
      <w:pPr>
        <w:pStyle w:val="Paragraphe"/>
        <w:spacing w:line="240" w:lineRule="auto"/>
        <w:rPr>
          <w:lang w:val="en-US"/>
        </w:rPr>
      </w:pPr>
      <w:r w:rsidRPr="00324CF1">
        <w:rPr>
          <w:lang w:val="en-CA"/>
        </w:rPr>
        <w:t>India is wrong to assert that the Canadian legislator, unlike that of the United States or England, deliberately and knowingly chose not to include an arbitration exception in the</w:t>
      </w:r>
      <w:r w:rsidRPr="00324CF1">
        <w:rPr>
          <w:i/>
          <w:iCs/>
          <w:lang w:val="en-CA"/>
        </w:rPr>
        <w:t xml:space="preserve"> SIA</w:t>
      </w:r>
      <w:r w:rsidRPr="00324CF1">
        <w:rPr>
          <w:lang w:val="en-CA"/>
        </w:rPr>
        <w:t xml:space="preserve">. </w:t>
      </w:r>
    </w:p>
    <w:p w14:paraId="5BE6780E" w14:textId="1C329976" w:rsidR="00BC160A" w:rsidRPr="00324CF1" w:rsidRDefault="00ED47F8" w:rsidP="00FB5A91">
      <w:pPr>
        <w:pStyle w:val="Paragraphe"/>
        <w:spacing w:line="240" w:lineRule="auto"/>
        <w:rPr>
          <w:lang w:val="en-US"/>
        </w:rPr>
      </w:pPr>
      <w:r w:rsidRPr="00324CF1">
        <w:rPr>
          <w:lang w:val="en-CA"/>
        </w:rPr>
        <w:t>This Court is of the opinion that the</w:t>
      </w:r>
      <w:r w:rsidRPr="00324CF1">
        <w:rPr>
          <w:i/>
          <w:iCs/>
          <w:lang w:val="en-CA"/>
        </w:rPr>
        <w:t xml:space="preserve"> SIA</w:t>
      </w:r>
      <w:r w:rsidRPr="00324CF1">
        <w:rPr>
          <w:lang w:val="en-CA"/>
        </w:rPr>
        <w:t xml:space="preserve"> forms a coherent whole. Even though it is possible to refer to foreign law and international law in the context of the analysis, it is important to remain cautious before giving too much weight to these external sources,</w:t>
      </w:r>
      <w:bookmarkStart w:id="75" w:name="_Ref174448085"/>
      <w:r w:rsidRPr="00324CF1">
        <w:rPr>
          <w:vertAlign w:val="superscript"/>
          <w:lang w:val="en-CA"/>
        </w:rPr>
        <w:footnoteReference w:id="66"/>
      </w:r>
      <w:bookmarkEnd w:id="75"/>
      <w:r w:rsidRPr="00324CF1">
        <w:rPr>
          <w:lang w:val="en-CA"/>
        </w:rPr>
        <w:t xml:space="preserve"> especially as in this case, </w:t>
      </w:r>
      <w:r w:rsidR="001A22AC">
        <w:rPr>
          <w:lang w:val="en-CA"/>
        </w:rPr>
        <w:t xml:space="preserve">where </w:t>
      </w:r>
      <w:r w:rsidRPr="00324CF1">
        <w:rPr>
          <w:rStyle w:val="cf01"/>
          <w:rFonts w:ascii="Arial" w:hAnsi="Arial" w:cs="Arial"/>
          <w:sz w:val="24"/>
          <w:szCs w:val="24"/>
          <w:lang w:val="en-CA"/>
        </w:rPr>
        <w:t>parliamentary debates do not indicate a willingness to rule out such an exception.</w:t>
      </w:r>
      <w:r w:rsidRPr="00324CF1">
        <w:rPr>
          <w:vertAlign w:val="superscript"/>
          <w:lang w:val="en-CA"/>
        </w:rPr>
        <w:footnoteReference w:id="67"/>
      </w:r>
      <w:r w:rsidRPr="00324CF1">
        <w:rPr>
          <w:lang w:val="en-CA"/>
        </w:rPr>
        <w:t xml:space="preserve"> </w:t>
      </w:r>
    </w:p>
    <w:p w14:paraId="3398A05B" w14:textId="6DEBA4F4" w:rsidR="00BC160A" w:rsidRPr="00324CF1" w:rsidRDefault="00ED47F8" w:rsidP="00FB5A91">
      <w:pPr>
        <w:pStyle w:val="Paragraphe"/>
        <w:spacing w:line="240" w:lineRule="auto"/>
        <w:rPr>
          <w:lang w:val="en-US"/>
        </w:rPr>
      </w:pPr>
      <w:r w:rsidRPr="00324CF1">
        <w:rPr>
          <w:lang w:val="en-CA"/>
        </w:rPr>
        <w:t xml:space="preserve">Lastly, although it is not </w:t>
      </w:r>
      <w:r w:rsidR="00B16AF2">
        <w:rPr>
          <w:lang w:val="en-CA"/>
        </w:rPr>
        <w:t>determinative</w:t>
      </w:r>
      <w:r w:rsidRPr="00324CF1">
        <w:rPr>
          <w:lang w:val="en-CA"/>
        </w:rPr>
        <w:t xml:space="preserve">, it is </w:t>
      </w:r>
      <w:r w:rsidR="00B16AF2">
        <w:rPr>
          <w:lang w:val="en-CA"/>
        </w:rPr>
        <w:t>accepted</w:t>
      </w:r>
      <w:r w:rsidR="00B16AF2" w:rsidRPr="00324CF1">
        <w:rPr>
          <w:lang w:val="en-CA"/>
        </w:rPr>
        <w:t xml:space="preserve"> </w:t>
      </w:r>
      <w:r w:rsidRPr="00324CF1">
        <w:rPr>
          <w:lang w:val="en-CA"/>
        </w:rPr>
        <w:t>in the case law of several foreign courts</w:t>
      </w:r>
      <w:r w:rsidRPr="00324CF1">
        <w:rPr>
          <w:vertAlign w:val="superscript"/>
          <w:lang w:val="en-CA"/>
        </w:rPr>
        <w:footnoteReference w:id="68"/>
      </w:r>
      <w:r w:rsidRPr="00324CF1">
        <w:rPr>
          <w:lang w:val="en-CA"/>
        </w:rPr>
        <w:t xml:space="preserve"> that a state submit</w:t>
      </w:r>
      <w:r w:rsidR="00B16AF2">
        <w:rPr>
          <w:lang w:val="en-CA"/>
        </w:rPr>
        <w:t>ting</w:t>
      </w:r>
      <w:r w:rsidRPr="00324CF1">
        <w:rPr>
          <w:lang w:val="en-CA"/>
        </w:rPr>
        <w:t xml:space="preserve"> to international arbitration thereby waives its immunity from the jurisdiction of the courts likely to be called upon to recognize and enforce the resulting award. </w:t>
      </w:r>
    </w:p>
    <w:p w14:paraId="014C92C9" w14:textId="042429A4" w:rsidR="006E055C" w:rsidRPr="00324CF1" w:rsidRDefault="00ED47F8" w:rsidP="00FB5A91">
      <w:pPr>
        <w:pStyle w:val="Paragraphe"/>
        <w:spacing w:line="240" w:lineRule="auto"/>
        <w:rPr>
          <w:lang w:val="en-US"/>
        </w:rPr>
      </w:pPr>
      <w:r w:rsidRPr="00324CF1">
        <w:rPr>
          <w:lang w:val="en-CA"/>
        </w:rPr>
        <w:t xml:space="preserve">In this respect, the Australian example is </w:t>
      </w:r>
      <w:r w:rsidR="00B16AF2">
        <w:rPr>
          <w:lang w:val="en-CA"/>
        </w:rPr>
        <w:t>undoubtedly</w:t>
      </w:r>
      <w:r w:rsidR="00B16AF2" w:rsidRPr="00324CF1">
        <w:rPr>
          <w:lang w:val="en-CA"/>
        </w:rPr>
        <w:t xml:space="preserve"> </w:t>
      </w:r>
      <w:r w:rsidRPr="00324CF1">
        <w:rPr>
          <w:lang w:val="en-CA"/>
        </w:rPr>
        <w:t xml:space="preserve">the most relevant. In </w:t>
      </w:r>
      <w:r w:rsidRPr="00324CF1">
        <w:rPr>
          <w:i/>
          <w:iCs/>
          <w:lang w:val="en-CA"/>
        </w:rPr>
        <w:t>Kingdom of Spain v. Infrastructure Services Luxembourg S.à.r.l.,</w:t>
      </w:r>
      <w:bookmarkStart w:id="76" w:name="_Ref181952880"/>
      <w:r w:rsidRPr="00324CF1">
        <w:rPr>
          <w:vertAlign w:val="superscript"/>
          <w:lang w:val="en-CA"/>
        </w:rPr>
        <w:footnoteReference w:id="69"/>
      </w:r>
      <w:bookmarkEnd w:id="76"/>
      <w:r w:rsidRPr="00324CF1">
        <w:rPr>
          <w:lang w:val="en-CA"/>
        </w:rPr>
        <w:t xml:space="preserve"> the High Court of Australia recently concluded that signing the </w:t>
      </w:r>
      <w:r w:rsidRPr="00324CF1">
        <w:rPr>
          <w:i/>
          <w:iCs/>
          <w:lang w:val="en-CA"/>
        </w:rPr>
        <w:t xml:space="preserve">Convention on the Settlement of Investment Disputes between States and Nationals of Other States </w:t>
      </w:r>
      <w:r w:rsidRPr="00324CF1">
        <w:rPr>
          <w:lang w:val="en-CA"/>
        </w:rPr>
        <w:t>(“ICSID”)</w:t>
      </w:r>
      <w:r w:rsidRPr="00324CF1">
        <w:rPr>
          <w:vertAlign w:val="superscript"/>
          <w:lang w:val="en-CA"/>
        </w:rPr>
        <w:footnoteReference w:id="70"/>
      </w:r>
      <w:r w:rsidRPr="00324CF1">
        <w:rPr>
          <w:i/>
          <w:iCs/>
          <w:lang w:val="en-CA"/>
        </w:rPr>
        <w:t xml:space="preserve"> </w:t>
      </w:r>
      <w:r w:rsidRPr="00324CF1">
        <w:rPr>
          <w:lang w:val="en-CA"/>
        </w:rPr>
        <w:t xml:space="preserve">constituted a waiver of state immunity. </w:t>
      </w:r>
    </w:p>
    <w:p w14:paraId="71A7E6AF" w14:textId="7A5E3BEF" w:rsidR="00BC160A" w:rsidRPr="00324CF1" w:rsidRDefault="00ED47F8" w:rsidP="00FB5A91">
      <w:pPr>
        <w:pStyle w:val="Paragraphe"/>
        <w:spacing w:line="240" w:lineRule="auto"/>
        <w:rPr>
          <w:lang w:val="en-US"/>
        </w:rPr>
      </w:pPr>
      <w:r w:rsidRPr="00324CF1">
        <w:rPr>
          <w:lang w:val="en-CA"/>
        </w:rPr>
        <w:t xml:space="preserve">The Federal Court of Australia followed a similar line of reasoning in </w:t>
      </w:r>
      <w:r w:rsidRPr="00324CF1">
        <w:rPr>
          <w:i/>
          <w:iCs/>
          <w:lang w:val="en-CA"/>
        </w:rPr>
        <w:t>CCDM Holdings, LLC v. Republic of India</w:t>
      </w:r>
      <w:bookmarkStart w:id="77" w:name="_Ref183165198"/>
      <w:r w:rsidRPr="00324CF1">
        <w:rPr>
          <w:rStyle w:val="Appelnotedebasdep"/>
          <w:lang w:val="en-CA"/>
        </w:rPr>
        <w:footnoteReference w:id="71"/>
      </w:r>
      <w:bookmarkEnd w:id="77"/>
      <w:r w:rsidRPr="00324CF1">
        <w:rPr>
          <w:i/>
          <w:iCs/>
          <w:lang w:val="en-CA"/>
        </w:rPr>
        <w:t xml:space="preserve"> </w:t>
      </w:r>
      <w:r w:rsidRPr="00324CF1">
        <w:rPr>
          <w:lang w:val="en-CA"/>
        </w:rPr>
        <w:t xml:space="preserve">regarding the same arbitral awards </w:t>
      </w:r>
      <w:r w:rsidR="00B16AF2">
        <w:rPr>
          <w:lang w:val="en-CA"/>
        </w:rPr>
        <w:t>at issue here</w:t>
      </w:r>
      <w:r w:rsidRPr="00324CF1">
        <w:rPr>
          <w:lang w:val="en-CA"/>
        </w:rPr>
        <w:t xml:space="preserve">. </w:t>
      </w:r>
      <w:r w:rsidRPr="00324CF1">
        <w:rPr>
          <w:lang w:val="en-CA"/>
        </w:rPr>
        <w:lastRenderedPageBreak/>
        <w:t xml:space="preserve">Drawing inspiration from </w:t>
      </w:r>
      <w:r w:rsidRPr="00324CF1">
        <w:rPr>
          <w:i/>
          <w:iCs/>
          <w:lang w:val="en-CA"/>
        </w:rPr>
        <w:t>Kingdom of Spain</w:t>
      </w:r>
      <w:r w:rsidRPr="00324CF1">
        <w:rPr>
          <w:lang w:val="en-CA"/>
        </w:rPr>
        <w:t>,</w:t>
      </w:r>
      <w:r w:rsidRPr="00324CF1">
        <w:rPr>
          <w:rStyle w:val="Appelnotedebasdep"/>
          <w:lang w:val="en-CA"/>
        </w:rPr>
        <w:footnoteReference w:id="72"/>
      </w:r>
      <w:r w:rsidRPr="00324CF1">
        <w:rPr>
          <w:lang w:val="en-CA"/>
        </w:rPr>
        <w:t xml:space="preserve"> the Federal Court of Australia concluded that the fact that India had signed the </w:t>
      </w:r>
      <w:r w:rsidRPr="00324CF1">
        <w:rPr>
          <w:i/>
          <w:iCs/>
          <w:lang w:val="en-CA"/>
        </w:rPr>
        <w:t>New York Convention</w:t>
      </w:r>
      <w:r w:rsidRPr="00324CF1">
        <w:rPr>
          <w:lang w:val="en-CA"/>
        </w:rPr>
        <w:t xml:space="preserve"> constituted, in itself, a waiver of its state immunity in international arbitration.</w:t>
      </w:r>
      <w:r w:rsidRPr="00324CF1">
        <w:rPr>
          <w:vertAlign w:val="superscript"/>
          <w:lang w:val="en-CA"/>
        </w:rPr>
        <w:footnoteReference w:id="73"/>
      </w:r>
      <w:r w:rsidRPr="00324CF1">
        <w:rPr>
          <w:lang w:val="en-CA"/>
        </w:rPr>
        <w:t xml:space="preserve"> In doing so, however, the Federal Court of Australia ruled on the basis of the signing of the </w:t>
      </w:r>
      <w:r w:rsidRPr="00324CF1">
        <w:rPr>
          <w:i/>
          <w:iCs/>
          <w:lang w:val="en-CA"/>
        </w:rPr>
        <w:t xml:space="preserve">New York Convention </w:t>
      </w:r>
      <w:r w:rsidRPr="00324CF1">
        <w:rPr>
          <w:lang w:val="en-CA"/>
        </w:rPr>
        <w:t>alone and did not rule on whether India had actually consented to the arbitration between it and the investors:</w:t>
      </w:r>
    </w:p>
    <w:p w14:paraId="5149B438" w14:textId="7709A0C9" w:rsidR="00BC160A" w:rsidRPr="00324CF1" w:rsidRDefault="00324CF1" w:rsidP="00FB5A91">
      <w:pPr>
        <w:pStyle w:val="Citationenretrait"/>
        <w:spacing w:line="240" w:lineRule="auto"/>
        <w:rPr>
          <w:lang w:val="en-CA"/>
        </w:rPr>
      </w:pPr>
      <w:r w:rsidRPr="001A22AC">
        <w:rPr>
          <w:lang w:val="en-CA"/>
        </w:rPr>
        <w:t>I conclude at this stage of the analysis that the text of the New York Convention supports the Applicants’ argument as to submission by agreement in the present case by way of clear and unmistakable necessary implication. For completeness, I do not think there is any aspect of the purpose, objects or context of the New York Convention which would lead to a different conclusion</w:t>
      </w:r>
      <w:r w:rsidR="00ED47F8" w:rsidRPr="001A22AC">
        <w:rPr>
          <w:lang w:val="en-CA"/>
        </w:rPr>
        <w:t>.</w:t>
      </w:r>
      <w:r w:rsidR="00ED47F8" w:rsidRPr="001A22AC">
        <w:rPr>
          <w:vertAlign w:val="superscript"/>
        </w:rPr>
        <w:footnoteReference w:id="74"/>
      </w:r>
    </w:p>
    <w:p w14:paraId="1393BC43" w14:textId="01B266E2" w:rsidR="00BC160A" w:rsidRPr="00324CF1" w:rsidRDefault="00F164EC" w:rsidP="00FB5A91">
      <w:pPr>
        <w:pStyle w:val="Paragraphe"/>
        <w:spacing w:line="240" w:lineRule="auto"/>
        <w:rPr>
          <w:lang w:val="en-US"/>
        </w:rPr>
      </w:pPr>
      <w:r w:rsidRPr="005E6EB3">
        <w:rPr>
          <w:i/>
          <w:iCs/>
          <w:lang w:val="en-CA"/>
        </w:rPr>
        <w:t>A fortiori</w:t>
      </w:r>
      <w:r>
        <w:rPr>
          <w:lang w:val="en-CA"/>
        </w:rPr>
        <w:t>, i</w:t>
      </w:r>
      <w:r w:rsidR="00ED47F8" w:rsidRPr="00324CF1">
        <w:rPr>
          <w:lang w:val="en-CA"/>
        </w:rPr>
        <w:t xml:space="preserve">n this case, </w:t>
      </w:r>
      <w:r w:rsidR="0023035A">
        <w:rPr>
          <w:lang w:val="en-CA"/>
        </w:rPr>
        <w:t>it must be</w:t>
      </w:r>
      <w:r w:rsidR="00ED47F8" w:rsidRPr="00324CF1">
        <w:rPr>
          <w:lang w:val="en-CA"/>
        </w:rPr>
        <w:t xml:space="preserve"> conclude</w:t>
      </w:r>
      <w:r w:rsidR="0023035A">
        <w:rPr>
          <w:lang w:val="en-CA"/>
        </w:rPr>
        <w:t>d</w:t>
      </w:r>
      <w:r w:rsidR="00ED47F8" w:rsidRPr="00324CF1">
        <w:rPr>
          <w:lang w:val="en-CA"/>
        </w:rPr>
        <w:t xml:space="preserve"> that the waiver resulting from India submitting to arbitration under </w:t>
      </w:r>
      <w:r w:rsidR="0023035A">
        <w:rPr>
          <w:lang w:val="en-CA"/>
        </w:rPr>
        <w:t>the</w:t>
      </w:r>
      <w:r w:rsidR="00ED47F8" w:rsidRPr="00324CF1">
        <w:rPr>
          <w:lang w:val="en-CA"/>
        </w:rPr>
        <w:t xml:space="preserve"> Treaty was explicit. This waiver also satisfies the other requirements set out in case law in that it was also unequivocal</w:t>
      </w:r>
      <w:r w:rsidR="0023035A">
        <w:rPr>
          <w:lang w:val="en-CA"/>
        </w:rPr>
        <w:t>, certain, and</w:t>
      </w:r>
      <w:r w:rsidR="00ED47F8" w:rsidRPr="00324CF1">
        <w:rPr>
          <w:lang w:val="en-CA"/>
        </w:rPr>
        <w:t xml:space="preserve"> unconditional. It is recognized that </w:t>
      </w:r>
      <w:r w:rsidR="0023035A">
        <w:rPr>
          <w:lang w:val="en-CA"/>
        </w:rPr>
        <w:t>while</w:t>
      </w:r>
      <w:r w:rsidR="0023035A" w:rsidRPr="00324CF1">
        <w:rPr>
          <w:lang w:val="en-CA"/>
        </w:rPr>
        <w:t xml:space="preserve"> </w:t>
      </w:r>
      <w:r w:rsidR="00ED47F8" w:rsidRPr="00324CF1">
        <w:rPr>
          <w:lang w:val="en-CA"/>
        </w:rPr>
        <w:t xml:space="preserve">states </w:t>
      </w:r>
      <w:r w:rsidR="0023035A">
        <w:rPr>
          <w:lang w:val="en-CA"/>
        </w:rPr>
        <w:t>may indeed</w:t>
      </w:r>
      <w:r w:rsidR="00ED47F8" w:rsidRPr="00324CF1">
        <w:rPr>
          <w:lang w:val="en-CA"/>
        </w:rPr>
        <w:t xml:space="preserve"> waive immunity in advance, the waiver only takes effect once the dispute has sufficiently materialized. In this case, India’s waiver was unequivocal and certain since the international arbitration was in response to a </w:t>
      </w:r>
      <w:r w:rsidR="00C542A3">
        <w:rPr>
          <w:lang w:val="en-CA"/>
        </w:rPr>
        <w:t xml:space="preserve">dispute that was </w:t>
      </w:r>
      <w:r w:rsidR="0023035A">
        <w:rPr>
          <w:lang w:val="en-CA"/>
        </w:rPr>
        <w:t>present and actual</w:t>
      </w:r>
      <w:r w:rsidR="00ED47F8" w:rsidRPr="00324CF1">
        <w:rPr>
          <w:lang w:val="en-CA"/>
        </w:rPr>
        <w:t>. In addition, clause 8 of the Treaty constitutes an unconditional waiver in that India accepted international arbitration by signing the Treaty and agreed that arbitral awards may</w:t>
      </w:r>
      <w:r w:rsidR="0023035A">
        <w:rPr>
          <w:lang w:val="en-CA"/>
        </w:rPr>
        <w:t xml:space="preserve"> eventually</w:t>
      </w:r>
      <w:r w:rsidR="00ED47F8" w:rsidRPr="00324CF1">
        <w:rPr>
          <w:lang w:val="en-CA"/>
        </w:rPr>
        <w:t xml:space="preserve"> be rendered against it, without expressly reserving, in the Treaty, its right to raise its jurisdictional immunity with respect to enforcement. </w:t>
      </w:r>
    </w:p>
    <w:p w14:paraId="25AA09BE" w14:textId="12568865" w:rsidR="00E94461" w:rsidRPr="00324CF1" w:rsidRDefault="00ED47F8" w:rsidP="00FB5A91">
      <w:pPr>
        <w:pStyle w:val="Paragraphe"/>
        <w:spacing w:line="240" w:lineRule="auto"/>
        <w:rPr>
          <w:lang w:val="en-US"/>
        </w:rPr>
      </w:pPr>
      <w:r w:rsidRPr="00324CF1">
        <w:rPr>
          <w:lang w:val="en-CA"/>
        </w:rPr>
        <w:t xml:space="preserve">This interpretation of the waiver exception is consistent with </w:t>
      </w:r>
      <w:r w:rsidR="00A10328">
        <w:rPr>
          <w:lang w:val="en-CA"/>
        </w:rPr>
        <w:t>pan-</w:t>
      </w:r>
      <w:r w:rsidRPr="00324CF1">
        <w:rPr>
          <w:lang w:val="en-CA"/>
        </w:rPr>
        <w:t>Canadian case law,</w:t>
      </w:r>
      <w:bookmarkStart w:id="78" w:name="_Ref174521523"/>
      <w:r w:rsidRPr="00324CF1">
        <w:rPr>
          <w:vertAlign w:val="superscript"/>
          <w:lang w:val="en-CA"/>
        </w:rPr>
        <w:footnoteReference w:id="75"/>
      </w:r>
      <w:bookmarkEnd w:id="78"/>
      <w:r w:rsidRPr="00324CF1">
        <w:rPr>
          <w:lang w:val="en-CA"/>
        </w:rPr>
        <w:t xml:space="preserve"> the teachings of the Supreme Court of Canada,</w:t>
      </w:r>
      <w:bookmarkStart w:id="79" w:name="_Ref174519231"/>
      <w:r w:rsidRPr="00324CF1">
        <w:rPr>
          <w:vertAlign w:val="superscript"/>
          <w:lang w:val="en-CA"/>
        </w:rPr>
        <w:footnoteReference w:id="76"/>
      </w:r>
      <w:bookmarkEnd w:id="79"/>
      <w:r w:rsidRPr="00324CF1">
        <w:rPr>
          <w:lang w:val="en-CA"/>
        </w:rPr>
        <w:t xml:space="preserve"> </w:t>
      </w:r>
      <w:r w:rsidR="00A10328">
        <w:rPr>
          <w:lang w:val="en-CA"/>
        </w:rPr>
        <w:t xml:space="preserve">the </w:t>
      </w:r>
      <w:r w:rsidRPr="00324CF1">
        <w:rPr>
          <w:lang w:val="en-CA"/>
        </w:rPr>
        <w:t>guiding principles of arbitration</w:t>
      </w:r>
      <w:r w:rsidR="00A10328">
        <w:rPr>
          <w:lang w:val="en-CA"/>
        </w:rPr>
        <w:t>,</w:t>
      </w:r>
      <w:r w:rsidRPr="00324CF1">
        <w:rPr>
          <w:lang w:val="en-CA"/>
        </w:rPr>
        <w:t xml:space="preserve"> and Canada’s international commitments to promote the effectiveness of arbitral awards,</w:t>
      </w:r>
      <w:r w:rsidRPr="00324CF1">
        <w:rPr>
          <w:vertAlign w:val="superscript"/>
          <w:lang w:val="en-CA"/>
        </w:rPr>
        <w:footnoteReference w:id="77"/>
      </w:r>
      <w:r w:rsidRPr="00324CF1">
        <w:rPr>
          <w:lang w:val="en-CA"/>
        </w:rPr>
        <w:t xml:space="preserve"> but also, and above all, to the </w:t>
      </w:r>
      <w:r w:rsidRPr="00324CF1">
        <w:rPr>
          <w:i/>
          <w:iCs/>
          <w:lang w:val="en-CA"/>
        </w:rPr>
        <w:t>SIA</w:t>
      </w:r>
      <w:r w:rsidRPr="00324CF1">
        <w:rPr>
          <w:lang w:val="en-CA"/>
        </w:rPr>
        <w:t xml:space="preserve"> and the </w:t>
      </w:r>
      <w:r w:rsidRPr="00324CF1">
        <w:rPr>
          <w:i/>
          <w:iCs/>
          <w:lang w:val="en-CA"/>
        </w:rPr>
        <w:t>New York Convention.</w:t>
      </w:r>
      <w:r w:rsidRPr="00324CF1">
        <w:rPr>
          <w:vertAlign w:val="superscript"/>
          <w:lang w:val="en-CA"/>
        </w:rPr>
        <w:footnoteReference w:id="78"/>
      </w:r>
      <w:r w:rsidRPr="00324CF1">
        <w:rPr>
          <w:lang w:val="en-CA"/>
        </w:rPr>
        <w:t xml:space="preserve"> As our colleague Bachand</w:t>
      </w:r>
      <w:r w:rsidR="00C542A3">
        <w:rPr>
          <w:lang w:val="en-CA"/>
        </w:rPr>
        <w:t>,</w:t>
      </w:r>
      <w:r w:rsidRPr="00324CF1">
        <w:rPr>
          <w:lang w:val="en-CA"/>
        </w:rPr>
        <w:t xml:space="preserve"> J.</w:t>
      </w:r>
      <w:r w:rsidR="00A10328">
        <w:rPr>
          <w:lang w:val="en-CA"/>
        </w:rPr>
        <w:t>A.</w:t>
      </w:r>
      <w:r w:rsidRPr="00324CF1">
        <w:rPr>
          <w:lang w:val="en-CA"/>
        </w:rPr>
        <w:t xml:space="preserve"> rightly points out, it avoids a potestative outcome where the enforcement of a binding arbitral award within the meaning of a treaty or a contractual commitment depends on the goodwill of the state, which could decide, after a long and costly arbitral process, to hide behind its immunity to avoid </w:t>
      </w:r>
      <w:r w:rsidR="00C148E4">
        <w:rPr>
          <w:lang w:val="en-CA"/>
        </w:rPr>
        <w:t xml:space="preserve">its </w:t>
      </w:r>
      <w:r w:rsidRPr="00324CF1">
        <w:rPr>
          <w:lang w:val="en-CA"/>
        </w:rPr>
        <w:t>undesirable effects.</w:t>
      </w:r>
      <w:r w:rsidRPr="00324CF1">
        <w:rPr>
          <w:vertAlign w:val="superscript"/>
          <w:lang w:val="en-CA"/>
        </w:rPr>
        <w:footnoteReference w:id="79"/>
      </w:r>
    </w:p>
    <w:p w14:paraId="074488BB" w14:textId="3421AD84" w:rsidR="00BC160A" w:rsidRPr="00324CF1" w:rsidRDefault="00ED47F8" w:rsidP="00FB5A91">
      <w:pPr>
        <w:pStyle w:val="Titre3"/>
        <w:spacing w:line="240" w:lineRule="auto"/>
        <w:ind w:left="720"/>
        <w:rPr>
          <w:b/>
          <w:bCs/>
          <w:lang w:val="en-US"/>
        </w:rPr>
      </w:pPr>
      <w:bookmarkStart w:id="80" w:name="_Toc256000009"/>
      <w:bookmarkStart w:id="81" w:name="_Toc184205614"/>
      <w:r w:rsidRPr="00324CF1">
        <w:rPr>
          <w:b/>
          <w:bCs/>
          <w:lang w:val="en-CA"/>
        </w:rPr>
        <w:lastRenderedPageBreak/>
        <w:t xml:space="preserve">4.2. Did the judge err </w:t>
      </w:r>
      <w:r w:rsidR="00D677F2">
        <w:rPr>
          <w:b/>
          <w:bCs/>
          <w:lang w:val="en-CA"/>
        </w:rPr>
        <w:t>in</w:t>
      </w:r>
      <w:r w:rsidRPr="00324CF1">
        <w:rPr>
          <w:b/>
          <w:bCs/>
          <w:lang w:val="en-CA"/>
        </w:rPr>
        <w:t xml:space="preserve"> refusing to give effect to the SCI Judgment </w:t>
      </w:r>
      <w:r w:rsidR="00E61701">
        <w:rPr>
          <w:b/>
          <w:bCs/>
          <w:lang w:val="en-CA"/>
        </w:rPr>
        <w:t>with respect to</w:t>
      </w:r>
      <w:r w:rsidR="00E61701" w:rsidRPr="00324CF1">
        <w:rPr>
          <w:b/>
          <w:bCs/>
          <w:lang w:val="en-CA"/>
        </w:rPr>
        <w:t xml:space="preserve"> </w:t>
      </w:r>
      <w:r w:rsidRPr="00324CF1">
        <w:rPr>
          <w:b/>
          <w:bCs/>
          <w:lang w:val="en-CA"/>
        </w:rPr>
        <w:t>the findings of fraud</w:t>
      </w:r>
      <w:r w:rsidR="006D4BE6">
        <w:rPr>
          <w:b/>
          <w:bCs/>
          <w:lang w:val="en-CA"/>
        </w:rPr>
        <w:t>,</w:t>
      </w:r>
      <w:r w:rsidRPr="00324CF1">
        <w:rPr>
          <w:b/>
          <w:bCs/>
          <w:lang w:val="en-CA"/>
        </w:rPr>
        <w:t xml:space="preserve"> in the context of the debate on state immunity?</w:t>
      </w:r>
      <w:bookmarkEnd w:id="80"/>
      <w:bookmarkEnd w:id="81"/>
    </w:p>
    <w:p w14:paraId="6B3E2514" w14:textId="0B0A6A64" w:rsidR="00BC160A" w:rsidRPr="00324CF1" w:rsidRDefault="00ED47F8" w:rsidP="00FB5A91">
      <w:pPr>
        <w:pStyle w:val="Paragraphe"/>
        <w:spacing w:line="240" w:lineRule="auto"/>
        <w:rPr>
          <w:lang w:val="en-US"/>
        </w:rPr>
      </w:pPr>
      <w:r w:rsidRPr="00324CF1">
        <w:rPr>
          <w:lang w:val="en-CA"/>
        </w:rPr>
        <w:t xml:space="preserve">India argues that the </w:t>
      </w:r>
      <w:r w:rsidR="00C40483">
        <w:rPr>
          <w:lang w:val="en-CA"/>
        </w:rPr>
        <w:t>trial</w:t>
      </w:r>
      <w:r w:rsidRPr="00324CF1">
        <w:rPr>
          <w:lang w:val="en-CA"/>
        </w:rPr>
        <w:t xml:space="preserve"> judge erred </w:t>
      </w:r>
      <w:r w:rsidR="00D677F2">
        <w:rPr>
          <w:lang w:val="en-CA"/>
        </w:rPr>
        <w:t>in</w:t>
      </w:r>
      <w:r w:rsidRPr="00324CF1">
        <w:rPr>
          <w:lang w:val="en-CA"/>
        </w:rPr>
        <w:t xml:space="preserve"> refusing to give effect to the SCI Judgment rendered on January 17, 2022, which states that the Devas Agreement was entered into fraudulently.</w:t>
      </w:r>
      <w:r w:rsidRPr="00324CF1">
        <w:rPr>
          <w:rStyle w:val="Appelnotedebasdep"/>
          <w:lang w:val="en-CA"/>
        </w:rPr>
        <w:footnoteReference w:id="80"/>
      </w:r>
      <w:r w:rsidRPr="00324CF1">
        <w:rPr>
          <w:lang w:val="en-CA"/>
        </w:rPr>
        <w:t xml:space="preserve"> </w:t>
      </w:r>
    </w:p>
    <w:p w14:paraId="4A21647B" w14:textId="29A022BF" w:rsidR="00BC160A" w:rsidRPr="00324CF1" w:rsidRDefault="00ED47F8" w:rsidP="00FB5A91">
      <w:pPr>
        <w:pStyle w:val="Paragraphe"/>
        <w:spacing w:line="240" w:lineRule="auto"/>
        <w:rPr>
          <w:lang w:val="en-US"/>
        </w:rPr>
      </w:pPr>
      <w:r w:rsidRPr="00324CF1">
        <w:rPr>
          <w:lang w:val="en-CA"/>
        </w:rPr>
        <w:t xml:space="preserve">India asserts that the validity and legality of an investment are essential in international law to seek the protection of a bilateral investment treaty. In India’s opinion, </w:t>
      </w:r>
      <w:r w:rsidR="005E1E13">
        <w:rPr>
          <w:lang w:val="en-CA"/>
        </w:rPr>
        <w:t>because</w:t>
      </w:r>
      <w:r w:rsidR="005E1E13" w:rsidRPr="00324CF1">
        <w:rPr>
          <w:lang w:val="en-CA"/>
        </w:rPr>
        <w:t xml:space="preserve"> </w:t>
      </w:r>
      <w:r w:rsidRPr="00324CF1">
        <w:rPr>
          <w:lang w:val="en-CA"/>
        </w:rPr>
        <w:t>the SCI Judgment concluded that the investment was fraudulent, it cannot be covered by the Treaty and its arbitration clause, such that the PCA Arbitral Tribunal did not have jurisdiction to arbitrate the dispute between the parties.</w:t>
      </w:r>
    </w:p>
    <w:p w14:paraId="7E189207" w14:textId="6B162BDD" w:rsidR="00BC160A" w:rsidRPr="00324CF1" w:rsidRDefault="00ED47F8" w:rsidP="00FB5A91">
      <w:pPr>
        <w:pStyle w:val="Paragraphe"/>
        <w:spacing w:line="240" w:lineRule="auto"/>
        <w:rPr>
          <w:lang w:val="en-US"/>
        </w:rPr>
      </w:pPr>
      <w:r w:rsidRPr="00324CF1">
        <w:rPr>
          <w:lang w:val="en-CA"/>
        </w:rPr>
        <w:t>According to India, the SCI Judgment confirms that Devas’s investment was fraudulent. As a semi-authentic act whose facts ha</w:t>
      </w:r>
      <w:r w:rsidR="00015EEC">
        <w:rPr>
          <w:lang w:val="en-CA"/>
        </w:rPr>
        <w:t>ve</w:t>
      </w:r>
      <w:r w:rsidRPr="00324CF1">
        <w:rPr>
          <w:lang w:val="en-CA"/>
        </w:rPr>
        <w:t xml:space="preserve"> been prove</w:t>
      </w:r>
      <w:r w:rsidR="007B6755">
        <w:rPr>
          <w:lang w:val="en-CA"/>
        </w:rPr>
        <w:t>d</w:t>
      </w:r>
      <w:r w:rsidRPr="00324CF1">
        <w:rPr>
          <w:lang w:val="en-CA"/>
        </w:rPr>
        <w:t xml:space="preserve"> </w:t>
      </w:r>
      <w:r w:rsidRPr="00324CF1">
        <w:rPr>
          <w:i/>
          <w:iCs/>
          <w:lang w:val="en-CA"/>
        </w:rPr>
        <w:t>prima facie</w:t>
      </w:r>
      <w:r w:rsidRPr="00324CF1">
        <w:rPr>
          <w:lang w:val="en-CA"/>
        </w:rPr>
        <w:t>, this judgment was binding on Pinsonnault</w:t>
      </w:r>
      <w:r w:rsidR="00015EEC">
        <w:rPr>
          <w:lang w:val="en-CA"/>
        </w:rPr>
        <w:t>,</w:t>
      </w:r>
      <w:r w:rsidRPr="00324CF1">
        <w:rPr>
          <w:lang w:val="en-CA"/>
        </w:rPr>
        <w:t xml:space="preserve"> J. He erred in considering that the conclusion of the SCI Judgment relating to fraud w</w:t>
      </w:r>
      <w:r w:rsidR="00015EEC">
        <w:rPr>
          <w:lang w:val="en-CA"/>
        </w:rPr>
        <w:t>as</w:t>
      </w:r>
      <w:r w:rsidRPr="00324CF1">
        <w:rPr>
          <w:lang w:val="en-CA"/>
        </w:rPr>
        <w:t xml:space="preserve"> only an </w:t>
      </w:r>
      <w:r w:rsidRPr="00324CF1">
        <w:rPr>
          <w:i/>
          <w:iCs/>
          <w:lang w:val="en-CA"/>
        </w:rPr>
        <w:t xml:space="preserve">obiter </w:t>
      </w:r>
      <w:r w:rsidRPr="00324CF1">
        <w:rPr>
          <w:lang w:val="en-CA"/>
        </w:rPr>
        <w:t xml:space="preserve">when it was the </w:t>
      </w:r>
      <w:r w:rsidR="007B6755">
        <w:rPr>
          <w:lang w:val="en-CA"/>
        </w:rPr>
        <w:t xml:space="preserve">very </w:t>
      </w:r>
      <w:r w:rsidRPr="00324CF1">
        <w:rPr>
          <w:lang w:val="en-CA"/>
        </w:rPr>
        <w:t xml:space="preserve">basis of the decision to set aside the ICC arbitral awards. According to India, the judge could not authorize CCDM/Devas to </w:t>
      </w:r>
      <w:r w:rsidR="007B6755">
        <w:rPr>
          <w:lang w:val="en-CA"/>
        </w:rPr>
        <w:t xml:space="preserve">prove the </w:t>
      </w:r>
      <w:r w:rsidRPr="00324CF1">
        <w:rPr>
          <w:lang w:val="en-CA"/>
        </w:rPr>
        <w:t>Devas Agreement to review an issue that ha</w:t>
      </w:r>
      <w:r w:rsidR="007B6755">
        <w:rPr>
          <w:lang w:val="en-CA"/>
        </w:rPr>
        <w:t>d</w:t>
      </w:r>
      <w:r w:rsidRPr="00324CF1">
        <w:rPr>
          <w:lang w:val="en-CA"/>
        </w:rPr>
        <w:t xml:space="preserve"> already been decided by the SCI, th</w:t>
      </w:r>
      <w:r w:rsidR="00015EEC">
        <w:rPr>
          <w:lang w:val="en-CA"/>
        </w:rPr>
        <w:t>ereby</w:t>
      </w:r>
      <w:r w:rsidRPr="00324CF1">
        <w:rPr>
          <w:lang w:val="en-CA"/>
        </w:rPr>
        <w:t xml:space="preserve"> discrediting the administration of justice.</w:t>
      </w:r>
    </w:p>
    <w:p w14:paraId="0FA72476" w14:textId="4C9DC0B5" w:rsidR="00BC160A" w:rsidRPr="00324CF1" w:rsidRDefault="00ED47F8" w:rsidP="00FB5A91">
      <w:pPr>
        <w:pStyle w:val="Paragraphe"/>
        <w:spacing w:line="240" w:lineRule="auto"/>
        <w:rPr>
          <w:lang w:val="en-US"/>
        </w:rPr>
      </w:pPr>
      <w:r w:rsidRPr="00324CF1">
        <w:rPr>
          <w:lang w:val="en-CA"/>
        </w:rPr>
        <w:t>The Court is of the opinion that Pinsonnault</w:t>
      </w:r>
      <w:r w:rsidR="00363E39">
        <w:rPr>
          <w:lang w:val="en-CA"/>
        </w:rPr>
        <w:t>,</w:t>
      </w:r>
      <w:r w:rsidRPr="00324CF1">
        <w:rPr>
          <w:lang w:val="en-CA"/>
        </w:rPr>
        <w:t xml:space="preserve"> J. was justified in concluding that by attempting to make this question an issue at the preliminary stage of the debate on immunity, and by challenging the very basis of the order of December 21, 2016 (which dismissed India’s application for a suspension pending the outcome of the criminal proceedings before the SCI)</w:t>
      </w:r>
      <w:r w:rsidRPr="00324CF1">
        <w:rPr>
          <w:rStyle w:val="Appelnotedebasdep"/>
          <w:lang w:val="en-CA"/>
        </w:rPr>
        <w:footnoteReference w:id="81"/>
      </w:r>
      <w:r w:rsidRPr="00324CF1">
        <w:rPr>
          <w:lang w:val="en-CA"/>
        </w:rPr>
        <w:t xml:space="preserve"> without doing so earlier in the arbitration process, India was attempting to circumvent the recognition and enforcement of arbitral awards in Canada. By arguing that the investments were no longer covered by the Treaty, because they </w:t>
      </w:r>
      <w:r w:rsidR="00C56780">
        <w:rPr>
          <w:lang w:val="en-CA"/>
        </w:rPr>
        <w:t>had been</w:t>
      </w:r>
      <w:r w:rsidR="00C56780" w:rsidRPr="00324CF1">
        <w:rPr>
          <w:lang w:val="en-CA"/>
        </w:rPr>
        <w:t xml:space="preserve"> </w:t>
      </w:r>
      <w:r w:rsidRPr="00324CF1">
        <w:rPr>
          <w:lang w:val="en-CA"/>
        </w:rPr>
        <w:t>deemed fraudulent after the fact</w:t>
      </w:r>
      <w:r w:rsidRPr="00324CF1">
        <w:rPr>
          <w:i/>
          <w:iCs/>
          <w:lang w:val="en-CA"/>
        </w:rPr>
        <w:t xml:space="preserve"> </w:t>
      </w:r>
      <w:r w:rsidRPr="00324CF1">
        <w:rPr>
          <w:lang w:val="en-CA"/>
        </w:rPr>
        <w:t xml:space="preserve">by the SCI, India was indirectly </w:t>
      </w:r>
      <w:r w:rsidR="00363E39">
        <w:rPr>
          <w:lang w:val="en-CA"/>
        </w:rPr>
        <w:t>impugning</w:t>
      </w:r>
      <w:r w:rsidRPr="00324CF1">
        <w:rPr>
          <w:lang w:val="en-CA"/>
        </w:rPr>
        <w:t xml:space="preserve"> the jurisdiction of the PCA Arbitral Tribunal, which rendered the arbitral awards both on the merits and the quantum to deprive these awards of any impact.</w:t>
      </w:r>
    </w:p>
    <w:p w14:paraId="1A2E778B" w14:textId="45640DB1" w:rsidR="00BC160A" w:rsidRPr="00324CF1" w:rsidRDefault="00ED47F8" w:rsidP="00FB5A91">
      <w:pPr>
        <w:pStyle w:val="Paragraphe"/>
        <w:spacing w:line="240" w:lineRule="auto"/>
        <w:rPr>
          <w:lang w:val="en-US"/>
        </w:rPr>
      </w:pPr>
      <w:r w:rsidRPr="00324CF1">
        <w:rPr>
          <w:lang w:val="en-CA"/>
        </w:rPr>
        <w:t xml:space="preserve">This Court does not see any grounds for intervention with regard to the judge’s </w:t>
      </w:r>
      <w:r w:rsidR="00363E39">
        <w:rPr>
          <w:lang w:val="en-CA"/>
        </w:rPr>
        <w:t>ruling</w:t>
      </w:r>
      <w:r w:rsidRPr="00324CF1">
        <w:rPr>
          <w:lang w:val="en-CA"/>
        </w:rPr>
        <w:t xml:space="preserve"> on this subject. He concluded that the legality of </w:t>
      </w:r>
      <w:bookmarkStart w:id="82" w:name="_Hlk174094171"/>
      <w:r w:rsidRPr="00324CF1">
        <w:rPr>
          <w:lang w:val="en-CA"/>
        </w:rPr>
        <w:t xml:space="preserve">Devas’s </w:t>
      </w:r>
      <w:bookmarkEnd w:id="82"/>
      <w:r w:rsidRPr="00324CF1">
        <w:rPr>
          <w:lang w:val="en-CA"/>
        </w:rPr>
        <w:t xml:space="preserve">investments could not be contested in the context of </w:t>
      </w:r>
      <w:r w:rsidR="008B65DD">
        <w:rPr>
          <w:lang w:val="en-CA"/>
        </w:rPr>
        <w:t>a proceeding for the</w:t>
      </w:r>
      <w:r w:rsidR="008B65DD" w:rsidRPr="00324CF1">
        <w:rPr>
          <w:lang w:val="en-CA"/>
        </w:rPr>
        <w:t xml:space="preserve"> </w:t>
      </w:r>
      <w:r w:rsidRPr="00324CF1">
        <w:rPr>
          <w:lang w:val="en-CA"/>
        </w:rPr>
        <w:t xml:space="preserve">recognition and enforcement of arbitral awards before the Superior Court. This conclusion </w:t>
      </w:r>
      <w:r w:rsidR="008B65DD">
        <w:rPr>
          <w:lang w:val="en-CA"/>
        </w:rPr>
        <w:t>was</w:t>
      </w:r>
      <w:r w:rsidRPr="00324CF1">
        <w:rPr>
          <w:lang w:val="en-CA"/>
        </w:rPr>
        <w:t xml:space="preserve"> all the more </w:t>
      </w:r>
      <w:r w:rsidR="008B65DD">
        <w:rPr>
          <w:lang w:val="en-CA"/>
        </w:rPr>
        <w:t xml:space="preserve">necessary </w:t>
      </w:r>
      <w:r w:rsidRPr="00324CF1">
        <w:rPr>
          <w:lang w:val="en-CA"/>
        </w:rPr>
        <w:t xml:space="preserve">since the PCA Arbitral Tribunal had already </w:t>
      </w:r>
      <w:r w:rsidR="008B65DD">
        <w:rPr>
          <w:lang w:val="en-CA"/>
        </w:rPr>
        <w:t>dismissed</w:t>
      </w:r>
      <w:r w:rsidR="008B65DD" w:rsidRPr="00324CF1">
        <w:rPr>
          <w:lang w:val="en-CA"/>
        </w:rPr>
        <w:t xml:space="preserve"> </w:t>
      </w:r>
      <w:r w:rsidRPr="00324CF1">
        <w:rPr>
          <w:lang w:val="en-CA"/>
        </w:rPr>
        <w:t xml:space="preserve">the allegations of fraud </w:t>
      </w:r>
      <w:r w:rsidR="008B65DD">
        <w:rPr>
          <w:lang w:val="en-CA"/>
        </w:rPr>
        <w:t>argued by</w:t>
      </w:r>
      <w:r w:rsidR="008B65DD" w:rsidRPr="00324CF1">
        <w:rPr>
          <w:lang w:val="en-CA"/>
        </w:rPr>
        <w:t xml:space="preserve"> </w:t>
      </w:r>
      <w:r w:rsidRPr="00324CF1">
        <w:rPr>
          <w:lang w:val="en-CA"/>
        </w:rPr>
        <w:t>India at a preliminary stage, on December 21, 2016, after the Award</w:t>
      </w:r>
      <w:r w:rsidR="00144D4F">
        <w:rPr>
          <w:lang w:val="en-CA"/>
        </w:rPr>
        <w:t xml:space="preserve"> on the </w:t>
      </w:r>
      <w:r w:rsidR="00363E39">
        <w:rPr>
          <w:lang w:val="en-CA"/>
        </w:rPr>
        <w:t>M</w:t>
      </w:r>
      <w:r w:rsidR="00144D4F">
        <w:rPr>
          <w:lang w:val="en-CA"/>
        </w:rPr>
        <w:t>erits</w:t>
      </w:r>
      <w:r w:rsidRPr="00324CF1">
        <w:rPr>
          <w:lang w:val="en-CA"/>
        </w:rPr>
        <w:t xml:space="preserve"> but before the </w:t>
      </w:r>
      <w:r w:rsidR="00984815">
        <w:rPr>
          <w:lang w:val="en-CA"/>
        </w:rPr>
        <w:t>Award on the Quantum</w:t>
      </w:r>
      <w:r w:rsidRPr="00324CF1">
        <w:rPr>
          <w:lang w:val="en-CA"/>
        </w:rPr>
        <w:t xml:space="preserve">. </w:t>
      </w:r>
      <w:r w:rsidR="00DA0B56">
        <w:rPr>
          <w:lang w:val="en-CA"/>
        </w:rPr>
        <w:t>At the time, t</w:t>
      </w:r>
      <w:r w:rsidRPr="00324CF1">
        <w:rPr>
          <w:lang w:val="en-CA"/>
        </w:rPr>
        <w:t xml:space="preserve">he PCA Arbitral Tribunal </w:t>
      </w:r>
      <w:r w:rsidR="00DA0B56">
        <w:rPr>
          <w:lang w:val="en-CA"/>
        </w:rPr>
        <w:t>had</w:t>
      </w:r>
      <w:r w:rsidR="00DA0B56" w:rsidRPr="00324CF1">
        <w:rPr>
          <w:lang w:val="en-CA"/>
        </w:rPr>
        <w:t xml:space="preserve"> </w:t>
      </w:r>
      <w:r w:rsidRPr="00324CF1">
        <w:rPr>
          <w:lang w:val="en-CA"/>
        </w:rPr>
        <w:t>dismissed these allegations in these terms:</w:t>
      </w:r>
    </w:p>
    <w:p w14:paraId="03ACDD93" w14:textId="530BF2AD" w:rsidR="00BC160A" w:rsidRPr="00363E39" w:rsidRDefault="00ED47F8" w:rsidP="000151CF">
      <w:pPr>
        <w:pStyle w:val="Citationenretrait"/>
        <w:spacing w:before="80" w:after="80" w:line="240" w:lineRule="auto"/>
        <w:rPr>
          <w:lang w:val="en-CA"/>
        </w:rPr>
      </w:pPr>
      <w:r w:rsidRPr="00363E39">
        <w:rPr>
          <w:lang w:val="en-CA"/>
        </w:rPr>
        <w:lastRenderedPageBreak/>
        <w:t xml:space="preserve">16. The Tribunal notes that the CBI Charge Sheet contains no charge against any of the Claimants in the present case. The Devas-related defendants under the Charge Sheet are designated as: (1) Devas Multimedia Private Ltd.; (2) Mr. R. Viswanathan, President and CEO of that company; (3) Mr. M. G. Chandrasekhar, Director of the same company; (4) Mr. D. Venugopal, Director of the same company; (5) Mr. M. Umesh, Chartered </w:t>
      </w:r>
      <w:r w:rsidR="00324CF1" w:rsidRPr="00363E39">
        <w:rPr>
          <w:lang w:val="en-CA"/>
        </w:rPr>
        <w:t>A</w:t>
      </w:r>
      <w:r w:rsidRPr="00363E39">
        <w:rPr>
          <w:lang w:val="en-CA"/>
        </w:rPr>
        <w:t>ccountant. While the Tribunal is aware of the corporate structure used for the Claimant’s investments in India, the Tribunal cannot disregard the fact that the Claimants are not legally identical with Devas Multimedia Private Ltd.</w:t>
      </w:r>
    </w:p>
    <w:p w14:paraId="19BD0E39" w14:textId="5AA80431" w:rsidR="00BC160A" w:rsidRPr="00324CF1" w:rsidRDefault="00ED47F8" w:rsidP="000151CF">
      <w:pPr>
        <w:pStyle w:val="Citationenretrait"/>
        <w:spacing w:before="80" w:after="80" w:line="240" w:lineRule="auto"/>
        <w:rPr>
          <w:lang w:val="en-CA"/>
        </w:rPr>
      </w:pPr>
      <w:r w:rsidRPr="00363E39">
        <w:rPr>
          <w:lang w:val="en-CA"/>
        </w:rPr>
        <w:t xml:space="preserve">17. In addition, … no evidence of wrongdoing on </w:t>
      </w:r>
      <w:r w:rsidR="002C6FAD" w:rsidRPr="00363E39">
        <w:rPr>
          <w:lang w:val="en-CA"/>
        </w:rPr>
        <w:t xml:space="preserve">the </w:t>
      </w:r>
      <w:r w:rsidRPr="00363E39">
        <w:rPr>
          <w:rStyle w:val="cf01"/>
          <w:rFonts w:ascii="Arial" w:hAnsi="Arial" w:cs="Arial"/>
          <w:sz w:val="22"/>
          <w:szCs w:val="22"/>
          <w:lang w:val="en-CA"/>
        </w:rPr>
        <w:t xml:space="preserve">[part of Messrs. </w:t>
      </w:r>
      <w:r w:rsidRPr="00363E39">
        <w:rPr>
          <w:rStyle w:val="cf11"/>
          <w:rFonts w:ascii="Arial" w:hAnsi="Arial" w:cs="Arial"/>
          <w:sz w:val="22"/>
          <w:szCs w:val="22"/>
          <w:lang w:val="en-CA"/>
        </w:rPr>
        <w:t>Viswanathan</w:t>
      </w:r>
      <w:r w:rsidRPr="00363E39">
        <w:rPr>
          <w:rStyle w:val="cf01"/>
          <w:rFonts w:ascii="Arial" w:hAnsi="Arial" w:cs="Arial"/>
          <w:sz w:val="22"/>
          <w:szCs w:val="22"/>
          <w:lang w:val="en-CA"/>
        </w:rPr>
        <w:t xml:space="preserve">, </w:t>
      </w:r>
      <w:r w:rsidRPr="00363E39">
        <w:rPr>
          <w:rStyle w:val="cf11"/>
          <w:rFonts w:ascii="Arial" w:hAnsi="Arial" w:cs="Arial"/>
          <w:sz w:val="22"/>
          <w:szCs w:val="22"/>
          <w:lang w:val="en-CA"/>
        </w:rPr>
        <w:t>Chandrasekhar and Venugopal</w:t>
      </w:r>
      <w:r w:rsidRPr="00363E39">
        <w:rPr>
          <w:rStyle w:val="cf01"/>
          <w:rFonts w:ascii="Arial" w:hAnsi="Arial" w:cs="Arial"/>
          <w:sz w:val="22"/>
          <w:szCs w:val="22"/>
          <w:lang w:val="en-CA"/>
        </w:rPr>
        <w:t>]</w:t>
      </w:r>
      <w:r w:rsidRPr="00363E39">
        <w:rPr>
          <w:rStyle w:val="cf01"/>
          <w:lang w:val="en-CA"/>
        </w:rPr>
        <w:t xml:space="preserve"> </w:t>
      </w:r>
      <w:r w:rsidRPr="00363E39">
        <w:rPr>
          <w:lang w:val="en-CA"/>
        </w:rPr>
        <w:t xml:space="preserve">or on </w:t>
      </w:r>
      <w:r w:rsidR="002C6FAD" w:rsidRPr="00363E39">
        <w:rPr>
          <w:lang w:val="en-CA"/>
        </w:rPr>
        <w:t xml:space="preserve">the </w:t>
      </w:r>
      <w:r w:rsidRPr="00363E39">
        <w:rPr>
          <w:lang w:val="en-CA"/>
        </w:rPr>
        <w:t>part of Devas Multimedia Private Ltd was adduced. Moreover, no request for relief to the present Tribunal was made by the Respondent on the basis of alleged criminal activities by the Claimants under the Indian Penal Code or the Prevention of Corruption Act.</w:t>
      </w:r>
      <w:r w:rsidRPr="00363E39">
        <w:rPr>
          <w:sz w:val="20"/>
          <w:vertAlign w:val="superscript"/>
        </w:rPr>
        <w:footnoteReference w:id="82"/>
      </w:r>
    </w:p>
    <w:p w14:paraId="04D74E91" w14:textId="77777777" w:rsidR="00F03C9A" w:rsidRPr="00324CF1" w:rsidRDefault="00ED47F8" w:rsidP="000151CF">
      <w:pPr>
        <w:pStyle w:val="Citationenretrait"/>
        <w:spacing w:before="80" w:after="80" w:line="240" w:lineRule="auto"/>
        <w:jc w:val="right"/>
      </w:pPr>
      <w:r w:rsidRPr="00324CF1">
        <w:rPr>
          <w:lang w:val="en-CA"/>
        </w:rPr>
        <w:t>[References omitted]</w:t>
      </w:r>
    </w:p>
    <w:p w14:paraId="52EDCA72" w14:textId="274CA2FB" w:rsidR="00BC160A" w:rsidRPr="00324CF1" w:rsidRDefault="00ED47F8" w:rsidP="000151CF">
      <w:pPr>
        <w:pStyle w:val="Paragraphe"/>
        <w:spacing w:before="80" w:after="80" w:line="240" w:lineRule="auto"/>
        <w:rPr>
          <w:lang w:val="en-US"/>
        </w:rPr>
      </w:pPr>
      <w:r w:rsidRPr="00324CF1">
        <w:rPr>
          <w:lang w:val="en-CA"/>
        </w:rPr>
        <w:t xml:space="preserve">The PCA Arbitral Tribunal found not only that India had </w:t>
      </w:r>
      <w:r w:rsidR="001D29D0">
        <w:rPr>
          <w:lang w:val="en-CA"/>
        </w:rPr>
        <w:t>failed to present</w:t>
      </w:r>
      <w:r w:rsidRPr="00324CF1">
        <w:rPr>
          <w:lang w:val="en-CA"/>
        </w:rPr>
        <w:t xml:space="preserve"> any evidence of the fraudulent nature of the Devas Agreement during the arbitration, but</w:t>
      </w:r>
      <w:r w:rsidR="001D29D0">
        <w:rPr>
          <w:lang w:val="en-CA"/>
        </w:rPr>
        <w:t xml:space="preserve"> also</w:t>
      </w:r>
      <w:r w:rsidRPr="00324CF1">
        <w:rPr>
          <w:lang w:val="en-CA"/>
        </w:rPr>
        <w:t xml:space="preserve"> that the parties to the </w:t>
      </w:r>
      <w:r w:rsidR="001D29D0" w:rsidRPr="00324CF1">
        <w:rPr>
          <w:lang w:val="en-CA"/>
        </w:rPr>
        <w:t xml:space="preserve">Agreement </w:t>
      </w:r>
      <w:r w:rsidRPr="00324CF1">
        <w:rPr>
          <w:lang w:val="en-CA"/>
        </w:rPr>
        <w:t>termination proceedings were legal entities with legal personalities separate from Devas; consequently, neither party to the arbitration was the subject of any allegation of fraud.</w:t>
      </w:r>
      <w:r w:rsidRPr="00324CF1">
        <w:rPr>
          <w:vertAlign w:val="superscript"/>
          <w:lang w:val="en-CA"/>
        </w:rPr>
        <w:footnoteReference w:id="83"/>
      </w:r>
    </w:p>
    <w:p w14:paraId="077C52FB" w14:textId="1BFE9AD1" w:rsidR="00BC160A" w:rsidRPr="00324CF1" w:rsidRDefault="00ED47F8" w:rsidP="000151CF">
      <w:pPr>
        <w:pStyle w:val="Paragraphe"/>
        <w:spacing w:before="80" w:after="80" w:line="240" w:lineRule="auto"/>
        <w:rPr>
          <w:lang w:val="en-US"/>
        </w:rPr>
      </w:pPr>
      <w:r w:rsidRPr="00324CF1">
        <w:rPr>
          <w:lang w:val="en-CA"/>
        </w:rPr>
        <w:t xml:space="preserve">The arbitral awards are </w:t>
      </w:r>
      <w:r w:rsidR="008020EC">
        <w:rPr>
          <w:lang w:val="en-CA"/>
        </w:rPr>
        <w:t>final</w:t>
      </w:r>
      <w:r w:rsidRPr="00324CF1">
        <w:rPr>
          <w:lang w:val="en-CA"/>
        </w:rPr>
        <w:t xml:space="preserve">; they have dismissed the argument of fraud and </w:t>
      </w:r>
      <w:r w:rsidR="008020EC">
        <w:rPr>
          <w:lang w:val="en-CA"/>
        </w:rPr>
        <w:t>any contestation of</w:t>
      </w:r>
      <w:r w:rsidRPr="00324CF1">
        <w:rPr>
          <w:lang w:val="en-CA"/>
        </w:rPr>
        <w:t xml:space="preserve"> them has </w:t>
      </w:r>
      <w:r w:rsidR="008020EC" w:rsidRPr="00324CF1">
        <w:rPr>
          <w:lang w:val="en-CA"/>
        </w:rPr>
        <w:t xml:space="preserve">thus far </w:t>
      </w:r>
      <w:r w:rsidRPr="00324CF1">
        <w:rPr>
          <w:lang w:val="en-CA"/>
        </w:rPr>
        <w:t>been rejected by the courts.</w:t>
      </w:r>
      <w:bookmarkStart w:id="83" w:name="_Ref174604038"/>
      <w:r w:rsidRPr="00324CF1">
        <w:rPr>
          <w:vertAlign w:val="superscript"/>
          <w:lang w:val="en-CA"/>
        </w:rPr>
        <w:footnoteReference w:id="84"/>
      </w:r>
      <w:bookmarkEnd w:id="83"/>
      <w:r w:rsidRPr="00324CF1">
        <w:rPr>
          <w:lang w:val="en-CA"/>
        </w:rPr>
        <w:t xml:space="preserve"> India cannot try to raise this argument </w:t>
      </w:r>
      <w:r w:rsidR="00380122" w:rsidRPr="00324CF1">
        <w:rPr>
          <w:lang w:val="en-CA"/>
        </w:rPr>
        <w:t xml:space="preserve">again </w:t>
      </w:r>
      <w:r w:rsidRPr="00324CF1">
        <w:rPr>
          <w:lang w:val="en-CA"/>
        </w:rPr>
        <w:t xml:space="preserve">by </w:t>
      </w:r>
      <w:r w:rsidR="00380122">
        <w:rPr>
          <w:lang w:val="en-CA"/>
        </w:rPr>
        <w:t>seeking</w:t>
      </w:r>
      <w:r w:rsidR="00380122" w:rsidRPr="00324CF1">
        <w:rPr>
          <w:lang w:val="en-CA"/>
        </w:rPr>
        <w:t xml:space="preserve"> </w:t>
      </w:r>
      <w:r w:rsidRPr="00324CF1">
        <w:rPr>
          <w:lang w:val="en-CA"/>
        </w:rPr>
        <w:t xml:space="preserve">to bind the Superior Court to a subsequent foreign judgment, </w:t>
      </w:r>
      <w:r w:rsidR="00290245">
        <w:rPr>
          <w:lang w:val="en-CA"/>
        </w:rPr>
        <w:t>despite</w:t>
      </w:r>
      <w:r w:rsidRPr="00324CF1">
        <w:rPr>
          <w:lang w:val="en-CA"/>
        </w:rPr>
        <w:t xml:space="preserve"> the arbitral tribunal already </w:t>
      </w:r>
      <w:r w:rsidR="00380122">
        <w:rPr>
          <w:lang w:val="en-CA"/>
        </w:rPr>
        <w:t>decid</w:t>
      </w:r>
      <w:r w:rsidR="00290245">
        <w:rPr>
          <w:lang w:val="en-CA"/>
        </w:rPr>
        <w:t xml:space="preserve">ing </w:t>
      </w:r>
      <w:r w:rsidR="00380122">
        <w:rPr>
          <w:lang w:val="en-CA"/>
        </w:rPr>
        <w:t>the issue</w:t>
      </w:r>
      <w:r w:rsidRPr="00324CF1">
        <w:rPr>
          <w:lang w:val="en-CA"/>
        </w:rPr>
        <w:t xml:space="preserve"> in an interim judgment. In addition, this argument makes it impossible to overturn the presumption of the valid and enforceable nature of arbitral awards, which is recognized both by case law and </w:t>
      </w:r>
      <w:r w:rsidR="00380122">
        <w:rPr>
          <w:lang w:val="en-CA"/>
        </w:rPr>
        <w:t>scholarly commentary</w:t>
      </w:r>
      <w:r w:rsidRPr="00324CF1">
        <w:rPr>
          <w:lang w:val="en-CA"/>
        </w:rPr>
        <w:t xml:space="preserve">: </w:t>
      </w:r>
    </w:p>
    <w:p w14:paraId="4D3BC7DC" w14:textId="14A5FA52" w:rsidR="00755995" w:rsidRDefault="00ED47F8" w:rsidP="000151CF">
      <w:pPr>
        <w:pStyle w:val="Citationenretrait"/>
        <w:spacing w:before="80" w:after="80" w:line="240" w:lineRule="auto"/>
        <w:rPr>
          <w:lang w:val="en-CA"/>
        </w:rPr>
      </w:pPr>
      <w:r w:rsidRPr="00324CF1">
        <w:rPr>
          <w:lang w:val="en-CA"/>
        </w:rPr>
        <w:t>[</w:t>
      </w:r>
      <w:r w:rsidR="00755995" w:rsidRPr="005E6EB3">
        <w:rPr>
          <w:smallCaps/>
          <w:lang w:val="en-CA"/>
        </w:rPr>
        <w:t>translation</w:t>
      </w:r>
      <w:r w:rsidRPr="00324CF1">
        <w:rPr>
          <w:lang w:val="en-CA"/>
        </w:rPr>
        <w:t xml:space="preserve">] </w:t>
      </w:r>
    </w:p>
    <w:p w14:paraId="4788194F" w14:textId="118610E1" w:rsidR="00BC160A" w:rsidRPr="00324CF1" w:rsidRDefault="00ED47F8" w:rsidP="000151CF">
      <w:pPr>
        <w:pStyle w:val="Citationenretrait"/>
        <w:spacing w:before="80" w:after="80" w:line="240" w:lineRule="auto"/>
        <w:rPr>
          <w:lang w:val="en-US"/>
        </w:rPr>
      </w:pPr>
      <w:r w:rsidRPr="00324CF1">
        <w:rPr>
          <w:lang w:val="en-CA"/>
        </w:rPr>
        <w:t xml:space="preserve">The first—and most important—finding is that arbitral awards are presumed valid and enforceable and that the grounds set out in </w:t>
      </w:r>
      <w:r w:rsidR="00380122">
        <w:rPr>
          <w:lang w:val="en-CA"/>
        </w:rPr>
        <w:t>article</w:t>
      </w:r>
      <w:r w:rsidR="00380122" w:rsidRPr="00324CF1">
        <w:rPr>
          <w:lang w:val="en-CA"/>
        </w:rPr>
        <w:t xml:space="preserve"> </w:t>
      </w:r>
      <w:r w:rsidRPr="00324CF1">
        <w:rPr>
          <w:lang w:val="en-CA"/>
        </w:rPr>
        <w:t xml:space="preserve">653(2) CCP are exhaustive. As an exception to this general rule, </w:t>
      </w:r>
      <w:r w:rsidRPr="00324CF1">
        <w:rPr>
          <w:u w:val="single"/>
          <w:lang w:val="en-CA"/>
        </w:rPr>
        <w:t xml:space="preserve">the party against whom the arbitral award is rendered may ask the court to refuse to recognize and enforce it, only if the party is able to prove the existence of one of the grounds indicated in </w:t>
      </w:r>
      <w:r w:rsidR="00290245">
        <w:rPr>
          <w:u w:val="single"/>
          <w:lang w:val="en-CA"/>
        </w:rPr>
        <w:t>article</w:t>
      </w:r>
      <w:r w:rsidRPr="00324CF1">
        <w:rPr>
          <w:u w:val="single"/>
          <w:lang w:val="en-CA"/>
        </w:rPr>
        <w:t xml:space="preserve"> 653(2), CCP</w:t>
      </w:r>
      <w:r w:rsidRPr="00324CF1">
        <w:rPr>
          <w:lang w:val="en-CA"/>
        </w:rPr>
        <w:t>. Even in such a context, the courts maintain the discretion to determine whether the application for refusal should be granted.</w:t>
      </w:r>
      <w:r w:rsidRPr="00324CF1">
        <w:rPr>
          <w:vertAlign w:val="superscript"/>
          <w:lang w:val="en-CA"/>
        </w:rPr>
        <w:footnoteReference w:id="85"/>
      </w:r>
    </w:p>
    <w:p w14:paraId="4B3FD965" w14:textId="77777777" w:rsidR="00BC160A" w:rsidRPr="00324CF1" w:rsidRDefault="00ED47F8" w:rsidP="000151CF">
      <w:pPr>
        <w:pStyle w:val="Citationenretrait"/>
        <w:spacing w:before="80" w:after="80" w:line="240" w:lineRule="auto"/>
        <w:jc w:val="right"/>
      </w:pPr>
      <w:r w:rsidRPr="00324CF1">
        <w:rPr>
          <w:lang w:val="en-CA"/>
        </w:rPr>
        <w:lastRenderedPageBreak/>
        <w:t>[Emphasis added; references omitted]</w:t>
      </w:r>
    </w:p>
    <w:p w14:paraId="6B83CE88" w14:textId="6B3BC43E" w:rsidR="00BC160A" w:rsidRPr="00324CF1" w:rsidRDefault="00ED47F8" w:rsidP="00FB5A91">
      <w:pPr>
        <w:pStyle w:val="Paragraphe"/>
        <w:spacing w:line="240" w:lineRule="auto"/>
        <w:rPr>
          <w:lang w:val="en-US"/>
        </w:rPr>
      </w:pPr>
      <w:r w:rsidRPr="00324CF1">
        <w:rPr>
          <w:lang w:val="en-CA"/>
        </w:rPr>
        <w:t xml:space="preserve">India has alleged </w:t>
      </w:r>
      <w:r w:rsidR="00103660">
        <w:rPr>
          <w:lang w:val="en-CA"/>
        </w:rPr>
        <w:t>none</w:t>
      </w:r>
      <w:r w:rsidRPr="00324CF1">
        <w:rPr>
          <w:lang w:val="en-CA"/>
        </w:rPr>
        <w:t xml:space="preserve"> of the grounds provided for in </w:t>
      </w:r>
      <w:r w:rsidR="00103660">
        <w:rPr>
          <w:lang w:val="en-CA"/>
        </w:rPr>
        <w:t>article</w:t>
      </w:r>
      <w:r w:rsidR="00103660" w:rsidRPr="00324CF1">
        <w:rPr>
          <w:lang w:val="en-CA"/>
        </w:rPr>
        <w:t xml:space="preserve"> </w:t>
      </w:r>
      <w:r w:rsidRPr="00324CF1">
        <w:rPr>
          <w:lang w:val="en-CA"/>
        </w:rPr>
        <w:t>653(2) CCP</w:t>
      </w:r>
      <w:r w:rsidRPr="00324CF1">
        <w:rPr>
          <w:i/>
          <w:iCs/>
          <w:lang w:val="en-CA"/>
        </w:rPr>
        <w:t xml:space="preserve">, </w:t>
      </w:r>
      <w:r w:rsidRPr="00324CF1">
        <w:rPr>
          <w:lang w:val="en-CA"/>
        </w:rPr>
        <w:t xml:space="preserve">although they constitute an exhaustive list of the grounds allowing </w:t>
      </w:r>
      <w:r w:rsidR="00290245">
        <w:rPr>
          <w:lang w:val="en-CA"/>
        </w:rPr>
        <w:t>a</w:t>
      </w:r>
      <w:r w:rsidRPr="00324CF1">
        <w:rPr>
          <w:lang w:val="en-CA"/>
        </w:rPr>
        <w:t xml:space="preserve"> court to refuse to recognize an arbitral decision. India remained silent on the issue, </w:t>
      </w:r>
      <w:r w:rsidR="00103660">
        <w:rPr>
          <w:lang w:val="en-CA"/>
        </w:rPr>
        <w:t>limiting itself to</w:t>
      </w:r>
      <w:r w:rsidR="00103660" w:rsidRPr="00324CF1">
        <w:rPr>
          <w:lang w:val="en-CA"/>
        </w:rPr>
        <w:t xml:space="preserve"> </w:t>
      </w:r>
      <w:r w:rsidRPr="00324CF1">
        <w:rPr>
          <w:lang w:val="en-CA"/>
        </w:rPr>
        <w:t xml:space="preserve">raising state immunity. </w:t>
      </w:r>
    </w:p>
    <w:p w14:paraId="3A972540" w14:textId="6EE47F9F" w:rsidR="00314D30" w:rsidRPr="00324CF1" w:rsidRDefault="00ED47F8" w:rsidP="00FB5A91">
      <w:pPr>
        <w:pStyle w:val="Paragraphe"/>
        <w:spacing w:line="240" w:lineRule="auto"/>
        <w:rPr>
          <w:lang w:val="en-US"/>
        </w:rPr>
      </w:pPr>
      <w:r w:rsidRPr="00324CF1">
        <w:rPr>
          <w:lang w:val="en-CA"/>
        </w:rPr>
        <w:t xml:space="preserve">In this context, this Court concludes that the </w:t>
      </w:r>
      <w:r w:rsidR="00103660">
        <w:rPr>
          <w:lang w:val="en-CA"/>
        </w:rPr>
        <w:t>trial</w:t>
      </w:r>
      <w:r w:rsidRPr="00324CF1">
        <w:rPr>
          <w:lang w:val="en-CA"/>
        </w:rPr>
        <w:t xml:space="preserve"> judge did not err </w:t>
      </w:r>
      <w:r w:rsidR="00D677F2">
        <w:rPr>
          <w:lang w:val="en-CA"/>
        </w:rPr>
        <w:t>in</w:t>
      </w:r>
      <w:r w:rsidRPr="00324CF1">
        <w:rPr>
          <w:lang w:val="en-CA"/>
        </w:rPr>
        <w:t xml:space="preserve"> refusing to give effect to the SCI Judgment according to which the Devas Agreement had been entered into fraudulently.</w:t>
      </w:r>
    </w:p>
    <w:p w14:paraId="537CED2D" w14:textId="77777777" w:rsidR="0003764A" w:rsidRPr="00324CF1" w:rsidRDefault="00ED47F8" w:rsidP="00FB5A91">
      <w:pPr>
        <w:pStyle w:val="Titre2"/>
        <w:spacing w:line="240" w:lineRule="auto"/>
      </w:pPr>
      <w:bookmarkStart w:id="85" w:name="_Toc184205615"/>
      <w:bookmarkStart w:id="86" w:name="_Toc256000010"/>
      <w:r w:rsidRPr="00324CF1">
        <w:rPr>
          <w:bCs/>
          <w:iCs/>
          <w:lang w:val="en-CA"/>
        </w:rPr>
        <w:t xml:space="preserve">5. </w:t>
      </w:r>
      <w:r w:rsidRPr="00324CF1">
        <w:rPr>
          <w:b w:val="0"/>
          <w:i w:val="0"/>
          <w:lang w:val="en-CA"/>
        </w:rPr>
        <w:tab/>
      </w:r>
      <w:r w:rsidRPr="00324CF1">
        <w:rPr>
          <w:bCs/>
          <w:iCs/>
          <w:lang w:val="en-CA"/>
        </w:rPr>
        <w:t>Conclusion</w:t>
      </w:r>
      <w:bookmarkEnd w:id="85"/>
      <w:bookmarkEnd w:id="86"/>
    </w:p>
    <w:p w14:paraId="7AA3CAE2" w14:textId="0F8BF438" w:rsidR="00D03C93" w:rsidRPr="00324CF1" w:rsidRDefault="00ED47F8" w:rsidP="00FB5A91">
      <w:pPr>
        <w:pStyle w:val="Paragraphe"/>
        <w:spacing w:line="240" w:lineRule="auto"/>
        <w:rPr>
          <w:lang w:val="en-US"/>
        </w:rPr>
      </w:pPr>
      <w:r w:rsidRPr="00324CF1">
        <w:rPr>
          <w:lang w:val="en-CA"/>
        </w:rPr>
        <w:t xml:space="preserve">In </w:t>
      </w:r>
      <w:r w:rsidR="008670B2">
        <w:rPr>
          <w:lang w:val="en-CA"/>
        </w:rPr>
        <w:t>sum</w:t>
      </w:r>
      <w:r w:rsidRPr="00324CF1">
        <w:rPr>
          <w:lang w:val="en-CA"/>
        </w:rPr>
        <w:t xml:space="preserve">, the </w:t>
      </w:r>
      <w:r w:rsidR="00C40483">
        <w:rPr>
          <w:lang w:val="en-CA"/>
        </w:rPr>
        <w:t>trial</w:t>
      </w:r>
      <w:r w:rsidRPr="00324CF1">
        <w:rPr>
          <w:lang w:val="en-CA"/>
        </w:rPr>
        <w:t xml:space="preserve"> judge did not err by concluding that the waiver exception of section 4(2)(a) of the </w:t>
      </w:r>
      <w:r w:rsidRPr="00324CF1">
        <w:rPr>
          <w:i/>
          <w:iCs/>
          <w:lang w:val="en-CA"/>
        </w:rPr>
        <w:t>SIA</w:t>
      </w:r>
      <w:r w:rsidRPr="00324CF1">
        <w:rPr>
          <w:lang w:val="en-CA"/>
        </w:rPr>
        <w:t xml:space="preserve"> applie</w:t>
      </w:r>
      <w:r w:rsidR="008670B2">
        <w:rPr>
          <w:lang w:val="en-CA"/>
        </w:rPr>
        <w:t>d</w:t>
      </w:r>
      <w:r w:rsidRPr="00324CF1">
        <w:rPr>
          <w:lang w:val="en-CA"/>
        </w:rPr>
        <w:t xml:space="preserve"> and ma</w:t>
      </w:r>
      <w:r w:rsidR="008670B2">
        <w:rPr>
          <w:lang w:val="en-CA"/>
        </w:rPr>
        <w:t>d</w:t>
      </w:r>
      <w:r w:rsidRPr="00324CF1">
        <w:rPr>
          <w:lang w:val="en-CA"/>
        </w:rPr>
        <w:t xml:space="preserve">e it possible to rebut </w:t>
      </w:r>
      <w:r w:rsidR="008670B2" w:rsidRPr="00324CF1">
        <w:rPr>
          <w:lang w:val="en-CA"/>
        </w:rPr>
        <w:t xml:space="preserve">India’s </w:t>
      </w:r>
      <w:r w:rsidRPr="00324CF1">
        <w:rPr>
          <w:lang w:val="en-CA"/>
        </w:rPr>
        <w:t xml:space="preserve">presumption of </w:t>
      </w:r>
      <w:r w:rsidR="008670B2">
        <w:rPr>
          <w:lang w:val="en-CA"/>
        </w:rPr>
        <w:t xml:space="preserve">jurisdictional </w:t>
      </w:r>
      <w:r w:rsidRPr="00324CF1">
        <w:rPr>
          <w:lang w:val="en-CA"/>
        </w:rPr>
        <w:t xml:space="preserve">immunity in the context of the application for recognition and enforcement of arbitral awards. This is sufficient to dismiss India’s ground of appeal based on state immunity, and it does not therefore appear necessary to address the commercial activity exception, which is also </w:t>
      </w:r>
      <w:r w:rsidR="008670B2">
        <w:rPr>
          <w:lang w:val="en-CA"/>
        </w:rPr>
        <w:t>based on a waiver</w:t>
      </w:r>
      <w:r w:rsidRPr="00324CF1">
        <w:rPr>
          <w:lang w:val="en-CA"/>
        </w:rPr>
        <w:t xml:space="preserve">. </w:t>
      </w:r>
      <w:r w:rsidR="0014366F">
        <w:rPr>
          <w:lang w:val="en-CA"/>
        </w:rPr>
        <w:t>Furthermore, as</w:t>
      </w:r>
      <w:r w:rsidRPr="00324CF1">
        <w:rPr>
          <w:lang w:val="en-CA"/>
        </w:rPr>
        <w:t xml:space="preserve"> this </w:t>
      </w:r>
      <w:r w:rsidR="0014366F">
        <w:rPr>
          <w:lang w:val="en-CA"/>
        </w:rPr>
        <w:t>would have been</w:t>
      </w:r>
      <w:r w:rsidRPr="00324CF1">
        <w:rPr>
          <w:lang w:val="en-CA"/>
        </w:rPr>
        <w:t xml:space="preserve"> a mixed question</w:t>
      </w:r>
      <w:r w:rsidR="0014366F">
        <w:rPr>
          <w:lang w:val="en-CA"/>
        </w:rPr>
        <w:t>,</w:t>
      </w:r>
      <w:r w:rsidRPr="00324CF1">
        <w:rPr>
          <w:lang w:val="en-CA"/>
        </w:rPr>
        <w:t xml:space="preserve"> </w:t>
      </w:r>
      <w:r w:rsidR="0014366F">
        <w:rPr>
          <w:lang w:val="en-CA"/>
        </w:rPr>
        <w:t>it</w:t>
      </w:r>
      <w:r w:rsidRPr="00324CF1">
        <w:rPr>
          <w:lang w:val="en-CA"/>
        </w:rPr>
        <w:t xml:space="preserve"> would have required a high degree of deference from the Court.</w:t>
      </w:r>
    </w:p>
    <w:p w14:paraId="78AB43BF" w14:textId="27F59113" w:rsidR="00D03C93" w:rsidRPr="00324CF1" w:rsidRDefault="00ED47F8" w:rsidP="00FB5A91">
      <w:pPr>
        <w:pStyle w:val="Paragraphe"/>
        <w:spacing w:line="240" w:lineRule="auto"/>
        <w:rPr>
          <w:lang w:val="en-US"/>
        </w:rPr>
      </w:pPr>
      <w:r w:rsidRPr="00324CF1">
        <w:rPr>
          <w:lang w:val="en-CA"/>
        </w:rPr>
        <w:t xml:space="preserve">Finally, the Court considers that the </w:t>
      </w:r>
      <w:r w:rsidR="008670B2">
        <w:rPr>
          <w:lang w:val="en-CA"/>
        </w:rPr>
        <w:t>trial</w:t>
      </w:r>
      <w:r w:rsidRPr="00324CF1">
        <w:rPr>
          <w:lang w:val="en-CA"/>
        </w:rPr>
        <w:t xml:space="preserve"> judge did not err </w:t>
      </w:r>
      <w:r w:rsidR="004B275F">
        <w:rPr>
          <w:lang w:val="en-CA"/>
        </w:rPr>
        <w:t>in</w:t>
      </w:r>
      <w:r w:rsidR="004B275F" w:rsidRPr="00324CF1">
        <w:rPr>
          <w:lang w:val="en-CA"/>
        </w:rPr>
        <w:t xml:space="preserve"> </w:t>
      </w:r>
      <w:r w:rsidRPr="00324CF1">
        <w:rPr>
          <w:lang w:val="en-CA"/>
        </w:rPr>
        <w:t>refusing to give effect to the SCI Judgment</w:t>
      </w:r>
      <w:r w:rsidR="0014366F">
        <w:rPr>
          <w:lang w:val="en-CA"/>
        </w:rPr>
        <w:t>,</w:t>
      </w:r>
      <w:r w:rsidRPr="00324CF1">
        <w:rPr>
          <w:lang w:val="en-CA"/>
        </w:rPr>
        <w:t xml:space="preserve"> which concluded that the Devas Agreement had been entered into fraudulently.</w:t>
      </w:r>
      <w:r w:rsidRPr="00324CF1">
        <w:rPr>
          <w:rStyle w:val="Appelnotedebasdep"/>
          <w:lang w:val="en-CA"/>
        </w:rPr>
        <w:footnoteReference w:id="86"/>
      </w:r>
    </w:p>
    <w:p w14:paraId="5D52FC22" w14:textId="1BE61313" w:rsidR="00D03C93" w:rsidRPr="00324CF1" w:rsidRDefault="00ED47F8" w:rsidP="00FB5A91">
      <w:pPr>
        <w:pStyle w:val="Paragraphe"/>
        <w:spacing w:line="240" w:lineRule="auto"/>
        <w:rPr>
          <w:lang w:val="en-US"/>
        </w:rPr>
      </w:pPr>
      <w:r w:rsidRPr="00324CF1">
        <w:rPr>
          <w:lang w:val="en-CA"/>
        </w:rPr>
        <w:t xml:space="preserve">Consequently, none of the grounds of appeal raised by India presents </w:t>
      </w:r>
      <w:r w:rsidR="00FF47B7">
        <w:rPr>
          <w:lang w:val="en-CA"/>
        </w:rPr>
        <w:t>a bar</w:t>
      </w:r>
      <w:r w:rsidRPr="00324CF1">
        <w:rPr>
          <w:lang w:val="en-CA"/>
        </w:rPr>
        <w:t xml:space="preserve"> to the application for recognition and enforcement of the awards rendered on the merits and quantum by the PCA Arbitral Tribunal. India is not immune from the jurisdiction of the </w:t>
      </w:r>
      <w:r w:rsidR="0014366F">
        <w:rPr>
          <w:lang w:val="en-CA"/>
        </w:rPr>
        <w:t xml:space="preserve">Quebec </w:t>
      </w:r>
      <w:r w:rsidRPr="00324CF1">
        <w:rPr>
          <w:lang w:val="en-CA"/>
        </w:rPr>
        <w:t xml:space="preserve">Superior Court in these proceedings, and the Superior Court rightly dismissed its application to dismiss. </w:t>
      </w:r>
    </w:p>
    <w:p w14:paraId="539F8708" w14:textId="647674A6" w:rsidR="00BC160A" w:rsidRPr="00324CF1" w:rsidRDefault="00ED47F8" w:rsidP="00FB5A91">
      <w:pPr>
        <w:pStyle w:val="Titre2"/>
        <w:spacing w:line="240" w:lineRule="auto"/>
        <w:jc w:val="both"/>
        <w:rPr>
          <w:lang w:val="en-US"/>
        </w:rPr>
      </w:pPr>
      <w:bookmarkStart w:id="87" w:name="_Toc184205616"/>
      <w:bookmarkStart w:id="88" w:name="_Toc256000011"/>
      <w:r w:rsidRPr="00324CF1">
        <w:rPr>
          <w:bCs/>
          <w:iCs/>
          <w:lang w:val="en-CA"/>
        </w:rPr>
        <w:t xml:space="preserve">6. </w:t>
      </w:r>
      <w:r w:rsidRPr="00324CF1">
        <w:rPr>
          <w:b w:val="0"/>
          <w:i w:val="0"/>
          <w:lang w:val="en-CA"/>
        </w:rPr>
        <w:tab/>
      </w:r>
      <w:r w:rsidRPr="00324CF1">
        <w:rPr>
          <w:bCs/>
          <w:iCs/>
          <w:lang w:val="en-CA"/>
        </w:rPr>
        <w:t>Was the judgment requiring</w:t>
      </w:r>
      <w:r w:rsidR="00FF47B7">
        <w:rPr>
          <w:bCs/>
          <w:iCs/>
          <w:lang w:val="en-CA"/>
        </w:rPr>
        <w:t xml:space="preserve"> that</w:t>
      </w:r>
      <w:r w:rsidRPr="00324CF1">
        <w:rPr>
          <w:bCs/>
          <w:iCs/>
          <w:lang w:val="en-CA"/>
        </w:rPr>
        <w:t xml:space="preserve"> India provide a suretyship appropriate?</w:t>
      </w:r>
      <w:bookmarkEnd w:id="87"/>
      <w:bookmarkEnd w:id="88"/>
      <w:r w:rsidRPr="00324CF1">
        <w:rPr>
          <w:bCs/>
          <w:iCs/>
          <w:lang w:val="en-CA"/>
        </w:rPr>
        <w:t xml:space="preserve"> </w:t>
      </w:r>
    </w:p>
    <w:p w14:paraId="2A0C2037" w14:textId="0E68465D" w:rsidR="00BC160A" w:rsidRPr="00324CF1" w:rsidRDefault="00ED47F8" w:rsidP="00FB5A91">
      <w:pPr>
        <w:pStyle w:val="Paragraphe"/>
        <w:spacing w:line="240" w:lineRule="auto"/>
        <w:rPr>
          <w:rFonts w:eastAsiaTheme="minorHAnsi"/>
          <w:lang w:val="en-US"/>
        </w:rPr>
      </w:pPr>
      <w:r w:rsidRPr="00324CF1">
        <w:rPr>
          <w:lang w:val="en-CA"/>
        </w:rPr>
        <w:t xml:space="preserve">On March 14, 2023, in the judgment </w:t>
      </w:r>
      <w:r w:rsidR="00541219">
        <w:rPr>
          <w:lang w:val="en-CA"/>
        </w:rPr>
        <w:t>giving leave to</w:t>
      </w:r>
      <w:r w:rsidRPr="00324CF1">
        <w:rPr>
          <w:lang w:val="en-CA"/>
        </w:rPr>
        <w:t xml:space="preserve"> appeal in this case, Vauclair</w:t>
      </w:r>
      <w:r w:rsidR="002A687A">
        <w:rPr>
          <w:lang w:val="en-CA"/>
        </w:rPr>
        <w:t>,</w:t>
      </w:r>
      <w:r w:rsidRPr="00324CF1">
        <w:rPr>
          <w:lang w:val="en-CA"/>
        </w:rPr>
        <w:t xml:space="preserve"> J.A. suspended the proceedings in first instance and ordered India to </w:t>
      </w:r>
      <w:r w:rsidR="00541219">
        <w:rPr>
          <w:lang w:val="en-CA"/>
        </w:rPr>
        <w:t>furnish</w:t>
      </w:r>
      <w:r w:rsidRPr="00324CF1">
        <w:rPr>
          <w:lang w:val="en-CA"/>
        </w:rPr>
        <w:t xml:space="preserve"> a suretyship of $20,000 </w:t>
      </w:r>
      <w:r w:rsidR="00541219" w:rsidRPr="00324CF1">
        <w:rPr>
          <w:lang w:val="en-CA"/>
        </w:rPr>
        <w:t>before March 31, 2023</w:t>
      </w:r>
      <w:r w:rsidR="00541219">
        <w:rPr>
          <w:lang w:val="en-CA"/>
        </w:rPr>
        <w:t xml:space="preserve">, </w:t>
      </w:r>
      <w:r w:rsidRPr="00324CF1">
        <w:rPr>
          <w:lang w:val="en-CA"/>
        </w:rPr>
        <w:t>to guarantee payment of the costs</w:t>
      </w:r>
      <w:r w:rsidR="00541219">
        <w:rPr>
          <w:lang w:val="en-CA"/>
        </w:rPr>
        <w:t xml:space="preserve"> on appeal</w:t>
      </w:r>
      <w:r w:rsidRPr="00324CF1">
        <w:rPr>
          <w:lang w:val="en-CA"/>
        </w:rPr>
        <w:t>.</w:t>
      </w:r>
      <w:r w:rsidRPr="00324CF1">
        <w:rPr>
          <w:vertAlign w:val="superscript"/>
          <w:lang w:val="en-CA"/>
        </w:rPr>
        <w:footnoteReference w:id="87"/>
      </w:r>
      <w:r w:rsidRPr="00324CF1">
        <w:rPr>
          <w:lang w:val="en-CA"/>
        </w:rPr>
        <w:t xml:space="preserve"> The </w:t>
      </w:r>
      <w:r w:rsidR="00541219">
        <w:rPr>
          <w:lang w:val="en-CA"/>
        </w:rPr>
        <w:t>amount</w:t>
      </w:r>
      <w:r w:rsidR="00541219" w:rsidRPr="00324CF1">
        <w:rPr>
          <w:lang w:val="en-CA"/>
        </w:rPr>
        <w:t xml:space="preserve"> </w:t>
      </w:r>
      <w:r w:rsidRPr="00324CF1">
        <w:rPr>
          <w:lang w:val="en-CA"/>
        </w:rPr>
        <w:t xml:space="preserve">has since been held in trust by </w:t>
      </w:r>
      <w:r w:rsidR="00541219">
        <w:rPr>
          <w:lang w:val="en-CA"/>
        </w:rPr>
        <w:t>counsel for</w:t>
      </w:r>
      <w:r w:rsidRPr="00324CF1">
        <w:rPr>
          <w:lang w:val="en-CA"/>
        </w:rPr>
        <w:t xml:space="preserve"> India</w:t>
      </w:r>
      <w:r w:rsidR="00541219">
        <w:rPr>
          <w:lang w:val="en-CA"/>
        </w:rPr>
        <w:t>,</w:t>
      </w:r>
      <w:r w:rsidRPr="00324CF1">
        <w:rPr>
          <w:lang w:val="en-CA"/>
        </w:rPr>
        <w:t xml:space="preserve"> pending </w:t>
      </w:r>
      <w:r w:rsidR="00541219">
        <w:rPr>
          <w:lang w:val="en-CA"/>
        </w:rPr>
        <w:t>the outcome</w:t>
      </w:r>
      <w:r w:rsidR="00541219" w:rsidRPr="00324CF1">
        <w:rPr>
          <w:lang w:val="en-CA"/>
        </w:rPr>
        <w:t xml:space="preserve"> </w:t>
      </w:r>
      <w:r w:rsidRPr="00324CF1">
        <w:rPr>
          <w:lang w:val="en-CA"/>
        </w:rPr>
        <w:t>of the appeal.</w:t>
      </w:r>
    </w:p>
    <w:p w14:paraId="2E3C9D72" w14:textId="51601A07" w:rsidR="00BC160A" w:rsidRPr="00324CF1" w:rsidRDefault="00ED47F8" w:rsidP="00FB5A91">
      <w:pPr>
        <w:pStyle w:val="Paragraphe"/>
        <w:spacing w:line="240" w:lineRule="auto"/>
        <w:rPr>
          <w:rFonts w:eastAsiaTheme="minorHAnsi"/>
          <w:lang w:val="en-US"/>
        </w:rPr>
      </w:pPr>
      <w:r w:rsidRPr="00324CF1">
        <w:rPr>
          <w:rFonts w:eastAsiaTheme="minorHAnsi"/>
          <w:lang w:val="en-CA"/>
        </w:rPr>
        <w:t>India argues that the</w:t>
      </w:r>
      <w:r w:rsidR="00AC7049">
        <w:rPr>
          <w:rFonts w:eastAsiaTheme="minorHAnsi"/>
          <w:lang w:val="en-CA"/>
        </w:rPr>
        <w:t>re is no final decision on the</w:t>
      </w:r>
      <w:r w:rsidRPr="00324CF1">
        <w:rPr>
          <w:rFonts w:eastAsiaTheme="minorHAnsi"/>
          <w:lang w:val="en-CA"/>
        </w:rPr>
        <w:t xml:space="preserve"> question of state immunity and therefore it retains its immunity in Canadian courts pending the outcome of its appeal. It </w:t>
      </w:r>
      <w:r w:rsidRPr="00324CF1">
        <w:rPr>
          <w:rFonts w:eastAsiaTheme="minorHAnsi"/>
          <w:lang w:val="en-CA"/>
        </w:rPr>
        <w:lastRenderedPageBreak/>
        <w:t>contends that Vauclair</w:t>
      </w:r>
      <w:r w:rsidR="002A687A">
        <w:rPr>
          <w:rFonts w:eastAsiaTheme="minorHAnsi"/>
          <w:lang w:val="en-CA"/>
        </w:rPr>
        <w:t>,</w:t>
      </w:r>
      <w:r w:rsidRPr="00324CF1">
        <w:rPr>
          <w:rFonts w:eastAsiaTheme="minorHAnsi"/>
          <w:lang w:val="en-CA"/>
        </w:rPr>
        <w:t xml:space="preserve"> J.A. did not have the authority to order a suretyship and that doing so was a premature exercise of the Court’s jurisdiction.</w:t>
      </w:r>
    </w:p>
    <w:p w14:paraId="6670F27B" w14:textId="2496AC40" w:rsidR="00BC160A" w:rsidRPr="00324CF1" w:rsidRDefault="00ED47F8" w:rsidP="00FB5A91">
      <w:pPr>
        <w:pStyle w:val="Paragraphe"/>
        <w:spacing w:line="240" w:lineRule="auto"/>
        <w:rPr>
          <w:rFonts w:eastAsiaTheme="minorHAnsi"/>
          <w:lang w:val="en-US"/>
        </w:rPr>
      </w:pPr>
      <w:r w:rsidRPr="00324CF1">
        <w:rPr>
          <w:rFonts w:eastAsiaTheme="minorHAnsi"/>
          <w:lang w:val="en-CA"/>
        </w:rPr>
        <w:t>In addition, in accordance with the general approach prevailing in other countries, including the United States</w:t>
      </w:r>
      <w:r w:rsidRPr="00324CF1">
        <w:rPr>
          <w:rFonts w:eastAsiaTheme="minorHAnsi"/>
          <w:vertAlign w:val="superscript"/>
          <w:lang w:val="en-CA"/>
        </w:rPr>
        <w:footnoteReference w:id="88"/>
      </w:r>
      <w:r w:rsidRPr="00324CF1">
        <w:rPr>
          <w:rFonts w:eastAsiaTheme="minorHAnsi"/>
          <w:lang w:val="en-CA"/>
        </w:rPr>
        <w:t xml:space="preserve"> and the United Kingdom,</w:t>
      </w:r>
      <w:r w:rsidRPr="00324CF1">
        <w:rPr>
          <w:rFonts w:eastAsiaTheme="minorHAnsi"/>
          <w:vertAlign w:val="superscript"/>
          <w:lang w:val="en-CA"/>
        </w:rPr>
        <w:footnoteReference w:id="89"/>
      </w:r>
      <w:r w:rsidRPr="00324CF1">
        <w:rPr>
          <w:rFonts w:eastAsiaTheme="minorHAnsi"/>
          <w:lang w:val="en-CA"/>
        </w:rPr>
        <w:t xml:space="preserve"> courts must or should refrain from ordering sureties against foreign sovereign states based on the presumption that a state is solvent and will comply with the orders of foreign courts. India notes that the decision rendered by the U.S. district court in the parallel enforcement proceedings between the parties in the United States complied with this principle by refusing to order it to </w:t>
      </w:r>
      <w:r w:rsidR="003A37E6">
        <w:rPr>
          <w:rFonts w:eastAsiaTheme="minorHAnsi"/>
          <w:lang w:val="en-CA"/>
        </w:rPr>
        <w:t>furnish</w:t>
      </w:r>
      <w:r w:rsidRPr="00324CF1">
        <w:rPr>
          <w:rFonts w:eastAsiaTheme="minorHAnsi"/>
          <w:lang w:val="en-CA"/>
        </w:rPr>
        <w:t xml:space="preserve"> a suretyship.</w:t>
      </w:r>
      <w:r w:rsidRPr="00324CF1">
        <w:rPr>
          <w:rFonts w:eastAsiaTheme="minorHAnsi"/>
          <w:vertAlign w:val="superscript"/>
          <w:lang w:val="en-CA"/>
        </w:rPr>
        <w:footnoteReference w:id="90"/>
      </w:r>
    </w:p>
    <w:p w14:paraId="1613513F" w14:textId="71CC8BDD" w:rsidR="00BC160A" w:rsidRPr="00324CF1" w:rsidRDefault="00ED47F8" w:rsidP="00FB5A91">
      <w:pPr>
        <w:pStyle w:val="Paragraphe"/>
        <w:spacing w:line="240" w:lineRule="auto"/>
        <w:rPr>
          <w:rFonts w:eastAsiaTheme="minorHAnsi"/>
          <w:lang w:val="en-US"/>
        </w:rPr>
      </w:pPr>
      <w:r w:rsidRPr="00324CF1">
        <w:rPr>
          <w:rFonts w:eastAsiaTheme="minorHAnsi"/>
          <w:lang w:val="en-CA"/>
        </w:rPr>
        <w:t>In short, India is</w:t>
      </w:r>
      <w:r w:rsidR="00CF1668">
        <w:rPr>
          <w:rFonts w:eastAsiaTheme="minorHAnsi"/>
          <w:lang w:val="en-CA"/>
        </w:rPr>
        <w:t xml:space="preserve"> relying on the law of other states to impugn</w:t>
      </w:r>
      <w:r w:rsidRPr="00324CF1">
        <w:rPr>
          <w:rFonts w:eastAsiaTheme="minorHAnsi"/>
          <w:lang w:val="en-CA"/>
        </w:rPr>
        <w:t xml:space="preserve"> the judge’s decision, </w:t>
      </w:r>
      <w:r w:rsidR="00CF1668">
        <w:rPr>
          <w:rFonts w:eastAsiaTheme="minorHAnsi"/>
          <w:lang w:val="en-CA"/>
        </w:rPr>
        <w:t>without that law having any standing in</w:t>
      </w:r>
      <w:r w:rsidRPr="00324CF1">
        <w:rPr>
          <w:rFonts w:eastAsiaTheme="minorHAnsi"/>
          <w:lang w:val="en-CA"/>
        </w:rPr>
        <w:t xml:space="preserve"> Quebec law. The issue, however, is to determine whether it benefited from the presumption of immunity at the appe</w:t>
      </w:r>
      <w:r w:rsidR="00CF1668">
        <w:rPr>
          <w:rFonts w:eastAsiaTheme="minorHAnsi"/>
          <w:lang w:val="en-CA"/>
        </w:rPr>
        <w:t>llate stage</w:t>
      </w:r>
      <w:r w:rsidRPr="00324CF1">
        <w:rPr>
          <w:rFonts w:eastAsiaTheme="minorHAnsi"/>
          <w:lang w:val="en-CA"/>
        </w:rPr>
        <w:t xml:space="preserve"> such that a suretyship order could not be made against it. </w:t>
      </w:r>
    </w:p>
    <w:p w14:paraId="7E209B53" w14:textId="77777777" w:rsidR="00BC160A" w:rsidRPr="00324CF1" w:rsidRDefault="00ED47F8" w:rsidP="00FB5A91">
      <w:pPr>
        <w:pStyle w:val="Paragraphe"/>
        <w:spacing w:line="240" w:lineRule="auto"/>
        <w:rPr>
          <w:rFonts w:eastAsiaTheme="minorHAnsi"/>
          <w:lang w:val="en-US"/>
        </w:rPr>
      </w:pPr>
      <w:r w:rsidRPr="00324CF1">
        <w:rPr>
          <w:rFonts w:eastAsiaTheme="minorHAnsi"/>
          <w:lang w:val="en-CA"/>
        </w:rPr>
        <w:t>The power of the Court of Appeal or of one of its judges to order a suretyship is expressly provided for in article 364 CCP:</w:t>
      </w:r>
    </w:p>
    <w:tbl>
      <w:tblPr>
        <w:tblW w:w="9406" w:type="dxa"/>
        <w:tblCellMar>
          <w:left w:w="70" w:type="dxa"/>
          <w:right w:w="70" w:type="dxa"/>
        </w:tblCellMar>
        <w:tblLook w:val="0000" w:firstRow="0" w:lastRow="0" w:firstColumn="0" w:lastColumn="0" w:noHBand="0" w:noVBand="0"/>
      </w:tblPr>
      <w:tblGrid>
        <w:gridCol w:w="4703"/>
        <w:gridCol w:w="4703"/>
      </w:tblGrid>
      <w:tr w:rsidR="00291C6F" w:rsidRPr="00324CF1" w14:paraId="35A59250" w14:textId="77777777" w:rsidTr="00E658C3">
        <w:trPr>
          <w:trHeight w:val="3921"/>
        </w:trPr>
        <w:tc>
          <w:tcPr>
            <w:tcW w:w="4703" w:type="dxa"/>
          </w:tcPr>
          <w:p w14:paraId="1F5754FE" w14:textId="77777777" w:rsidR="00CF1668" w:rsidRPr="003A37E6" w:rsidRDefault="00ED47F8" w:rsidP="00CF1668">
            <w:pPr>
              <w:spacing w:line="240" w:lineRule="auto"/>
              <w:ind w:left="144" w:right="720"/>
              <w:jc w:val="both"/>
              <w:rPr>
                <w:rFonts w:cs="Arial"/>
                <w:sz w:val="22"/>
                <w:szCs w:val="22"/>
                <w:lang w:val="en-US"/>
              </w:rPr>
            </w:pPr>
            <w:r w:rsidRPr="005E6EB3">
              <w:rPr>
                <w:rFonts w:cs="Arial"/>
                <w:b/>
                <w:bCs/>
                <w:sz w:val="22"/>
                <w:szCs w:val="22"/>
                <w:lang w:val="en-CA"/>
              </w:rPr>
              <w:t>364.</w:t>
            </w:r>
            <w:r w:rsidRPr="005E6EB3">
              <w:rPr>
                <w:rFonts w:cs="Arial"/>
                <w:sz w:val="22"/>
                <w:szCs w:val="22"/>
                <w:lang w:val="en-CA"/>
              </w:rPr>
              <w:t> </w:t>
            </w:r>
            <w:r w:rsidR="00CF1668" w:rsidRPr="003A37E6">
              <w:rPr>
                <w:rFonts w:cs="Arial"/>
                <w:sz w:val="22"/>
                <w:szCs w:val="22"/>
                <w:lang w:val="en-US"/>
              </w:rPr>
              <w:t xml:space="preserve">The Court of Appeal or an appellate judge, on their own initiative or on an application by the respondent, </w:t>
            </w:r>
            <w:r w:rsidR="00CF1668" w:rsidRPr="003A37E6">
              <w:rPr>
                <w:rFonts w:cs="Arial"/>
                <w:sz w:val="22"/>
                <w:szCs w:val="22"/>
                <w:u w:val="single"/>
                <w:lang w:val="en-US"/>
              </w:rPr>
              <w:t>may, for good cause</w:t>
            </w:r>
            <w:r w:rsidR="00CF1668" w:rsidRPr="003A37E6">
              <w:rPr>
                <w:rFonts w:cs="Arial"/>
                <w:sz w:val="22"/>
                <w:szCs w:val="22"/>
                <w:lang w:val="en-US"/>
              </w:rPr>
              <w:t>, subject an appeal to the provision of a suretyship to guarantee payment of the appeal costs and of the judgment amount if the judgment is affirmed.</w:t>
            </w:r>
          </w:p>
          <w:p w14:paraId="7464480C" w14:textId="77777777" w:rsidR="00CF1668" w:rsidRPr="003A37E6" w:rsidRDefault="00CF1668" w:rsidP="00CF1668">
            <w:pPr>
              <w:spacing w:line="240" w:lineRule="auto"/>
              <w:ind w:left="144" w:right="720"/>
              <w:jc w:val="both"/>
              <w:rPr>
                <w:rFonts w:cs="Arial"/>
                <w:sz w:val="22"/>
                <w:szCs w:val="22"/>
                <w:lang w:val="en-US"/>
              </w:rPr>
            </w:pPr>
          </w:p>
          <w:p w14:paraId="462CE1E8" w14:textId="77777777" w:rsidR="00CF1668" w:rsidRPr="003A37E6" w:rsidRDefault="00CF1668" w:rsidP="00CF1668">
            <w:pPr>
              <w:spacing w:line="240" w:lineRule="auto"/>
              <w:ind w:left="144" w:right="720"/>
              <w:jc w:val="both"/>
              <w:rPr>
                <w:rFonts w:cs="Arial"/>
                <w:sz w:val="22"/>
                <w:szCs w:val="22"/>
                <w:lang w:val="en-US"/>
              </w:rPr>
            </w:pPr>
          </w:p>
          <w:p w14:paraId="42E34A56" w14:textId="77777777" w:rsidR="00CF1668" w:rsidRPr="003A37E6" w:rsidRDefault="00CF1668" w:rsidP="00CF1668">
            <w:pPr>
              <w:spacing w:line="240" w:lineRule="auto"/>
              <w:ind w:left="144" w:right="720"/>
              <w:jc w:val="both"/>
              <w:rPr>
                <w:sz w:val="22"/>
                <w:szCs w:val="22"/>
                <w:lang w:val="en-US"/>
              </w:rPr>
            </w:pPr>
            <w:r w:rsidRPr="003A37E6">
              <w:rPr>
                <w:rFonts w:cs="Arial"/>
                <w:sz w:val="22"/>
                <w:szCs w:val="22"/>
                <w:lang w:val="en-US"/>
              </w:rPr>
              <w:t>The Court or the judge determines the amount of the suretyship and the time limit within which the appellant is required to furnish the surety.</w:t>
            </w:r>
          </w:p>
          <w:p w14:paraId="16EBA69B" w14:textId="77777777" w:rsidR="00BC160A" w:rsidRPr="005E6EB3" w:rsidRDefault="00BC160A" w:rsidP="00CF1668">
            <w:pPr>
              <w:spacing w:line="240" w:lineRule="auto"/>
              <w:ind w:left="720" w:right="142"/>
              <w:jc w:val="both"/>
              <w:rPr>
                <w:sz w:val="22"/>
                <w:lang w:val="en-CA"/>
              </w:rPr>
            </w:pPr>
          </w:p>
        </w:tc>
        <w:tc>
          <w:tcPr>
            <w:tcW w:w="4703" w:type="dxa"/>
          </w:tcPr>
          <w:p w14:paraId="026A1C36" w14:textId="77777777" w:rsidR="00CF1668" w:rsidRPr="003A37E6" w:rsidRDefault="00ED47F8" w:rsidP="00CF1668">
            <w:pPr>
              <w:spacing w:line="240" w:lineRule="auto"/>
              <w:ind w:left="720" w:right="142"/>
              <w:jc w:val="both"/>
              <w:rPr>
                <w:rFonts w:cs="Arial"/>
                <w:sz w:val="22"/>
                <w:szCs w:val="22"/>
              </w:rPr>
            </w:pPr>
            <w:r w:rsidRPr="005E6EB3">
              <w:rPr>
                <w:rFonts w:cs="Arial"/>
                <w:b/>
                <w:bCs/>
                <w:sz w:val="22"/>
                <w:szCs w:val="22"/>
              </w:rPr>
              <w:t>364.</w:t>
            </w:r>
            <w:r w:rsidRPr="005E6EB3">
              <w:rPr>
                <w:rFonts w:cs="Arial"/>
                <w:sz w:val="22"/>
                <w:szCs w:val="22"/>
              </w:rPr>
              <w:t> </w:t>
            </w:r>
            <w:r w:rsidR="00CF1668" w:rsidRPr="003A37E6">
              <w:rPr>
                <w:rFonts w:cs="Arial"/>
                <w:sz w:val="22"/>
                <w:szCs w:val="22"/>
              </w:rPr>
              <w:t xml:space="preserve">La Cour d’appel ou un juge d’appel, d’office ou sur demande de l’intimé, </w:t>
            </w:r>
            <w:r w:rsidR="00CF1668" w:rsidRPr="003A37E6">
              <w:rPr>
                <w:rFonts w:cs="Arial"/>
                <w:sz w:val="22"/>
                <w:szCs w:val="22"/>
                <w:u w:val="single"/>
              </w:rPr>
              <w:t>peut, pour un motif qui le justifie</w:t>
            </w:r>
            <w:r w:rsidR="00CF1668" w:rsidRPr="003A37E6">
              <w:rPr>
                <w:rFonts w:cs="Arial"/>
                <w:sz w:val="22"/>
                <w:szCs w:val="22"/>
              </w:rPr>
              <w:t>, assujettir un appel à un cautionnement afin de garantir le paiement des frais de l’appel et du montant de la condamnation si le jugement est confirmé.</w:t>
            </w:r>
          </w:p>
          <w:p w14:paraId="3BC8EDA7" w14:textId="77777777" w:rsidR="00CF1668" w:rsidRPr="003A37E6" w:rsidRDefault="00CF1668" w:rsidP="00CF1668">
            <w:pPr>
              <w:spacing w:line="240" w:lineRule="auto"/>
              <w:ind w:left="720" w:right="142"/>
              <w:jc w:val="both"/>
              <w:rPr>
                <w:rFonts w:cs="Arial"/>
                <w:sz w:val="22"/>
                <w:szCs w:val="22"/>
              </w:rPr>
            </w:pPr>
          </w:p>
          <w:p w14:paraId="2651F5B1" w14:textId="77777777" w:rsidR="00CF1668" w:rsidRPr="003A37E6" w:rsidRDefault="00CF1668" w:rsidP="00CF1668">
            <w:pPr>
              <w:spacing w:line="240" w:lineRule="auto"/>
              <w:ind w:left="720" w:right="142"/>
              <w:jc w:val="both"/>
              <w:rPr>
                <w:rFonts w:cs="Arial"/>
                <w:sz w:val="22"/>
                <w:szCs w:val="22"/>
              </w:rPr>
            </w:pPr>
          </w:p>
          <w:p w14:paraId="314B3F80" w14:textId="77777777" w:rsidR="00CF1668" w:rsidRPr="003A37E6" w:rsidRDefault="00CF1668" w:rsidP="00CF1668">
            <w:pPr>
              <w:spacing w:line="240" w:lineRule="auto"/>
              <w:ind w:left="720" w:right="142"/>
              <w:jc w:val="both"/>
              <w:rPr>
                <w:rFonts w:cs="Arial"/>
                <w:sz w:val="22"/>
                <w:szCs w:val="22"/>
              </w:rPr>
            </w:pPr>
            <w:r w:rsidRPr="003A37E6">
              <w:rPr>
                <w:rFonts w:cs="Arial"/>
                <w:sz w:val="22"/>
                <w:szCs w:val="22"/>
              </w:rPr>
              <w:t>La cour ou le juge fixe le montant du cautionnement et le délai à l’intérieur duquel l’appelant est tenu de fournir une caution.</w:t>
            </w:r>
          </w:p>
          <w:p w14:paraId="3865D4E8" w14:textId="4F1E9A44" w:rsidR="00BC160A" w:rsidRPr="003A37E6" w:rsidRDefault="00ED47F8" w:rsidP="00177B07">
            <w:pPr>
              <w:spacing w:before="120" w:after="120" w:line="240" w:lineRule="auto"/>
              <w:jc w:val="right"/>
              <w:rPr>
                <w:rFonts w:eastAsiaTheme="minorHAnsi"/>
                <w:kern w:val="28"/>
                <w:sz w:val="22"/>
                <w:szCs w:val="22"/>
                <w:lang w:val="en-US"/>
              </w:rPr>
            </w:pPr>
            <w:r w:rsidRPr="003A37E6">
              <w:rPr>
                <w:rFonts w:eastAsiaTheme="minorHAnsi"/>
                <w:kern w:val="28"/>
                <w:sz w:val="22"/>
                <w:szCs w:val="22"/>
                <w:lang w:val="en-US"/>
              </w:rPr>
              <w:t>[</w:t>
            </w:r>
            <w:r w:rsidR="00CF1668" w:rsidRPr="003A37E6">
              <w:rPr>
                <w:rFonts w:eastAsiaTheme="minorHAnsi"/>
                <w:kern w:val="28"/>
                <w:sz w:val="22"/>
                <w:szCs w:val="22"/>
                <w:lang w:val="en-US"/>
              </w:rPr>
              <w:t>Emphasis added</w:t>
            </w:r>
            <w:r w:rsidRPr="003A37E6">
              <w:rPr>
                <w:rFonts w:eastAsiaTheme="minorHAnsi"/>
                <w:kern w:val="28"/>
                <w:sz w:val="22"/>
                <w:szCs w:val="22"/>
                <w:lang w:val="en-US"/>
              </w:rPr>
              <w:t>]</w:t>
            </w:r>
          </w:p>
        </w:tc>
      </w:tr>
    </w:tbl>
    <w:p w14:paraId="2BEACC39" w14:textId="75811CB3" w:rsidR="00BC160A" w:rsidRPr="00324CF1" w:rsidRDefault="00603C54" w:rsidP="00FB5A91">
      <w:pPr>
        <w:pStyle w:val="Paragraphe"/>
        <w:spacing w:line="240" w:lineRule="auto"/>
        <w:rPr>
          <w:lang w:val="en-US"/>
        </w:rPr>
      </w:pPr>
      <w:r>
        <w:rPr>
          <w:lang w:val="en-CA"/>
        </w:rPr>
        <w:t>W</w:t>
      </w:r>
      <w:r w:rsidR="00ED47F8" w:rsidRPr="00324CF1">
        <w:rPr>
          <w:lang w:val="en-CA"/>
        </w:rPr>
        <w:t>hen Vauclair</w:t>
      </w:r>
      <w:r w:rsidR="003A37E6">
        <w:rPr>
          <w:lang w:val="en-CA"/>
        </w:rPr>
        <w:t>,</w:t>
      </w:r>
      <w:r w:rsidR="00ED47F8" w:rsidRPr="00324CF1">
        <w:rPr>
          <w:lang w:val="en-CA"/>
        </w:rPr>
        <w:t xml:space="preserve"> J.A. ruled on the suretyship application, the Judgment on Immunity </w:t>
      </w:r>
      <w:r>
        <w:rPr>
          <w:lang w:val="en-CA"/>
        </w:rPr>
        <w:t>had been</w:t>
      </w:r>
      <w:r w:rsidRPr="00324CF1">
        <w:rPr>
          <w:lang w:val="en-CA"/>
        </w:rPr>
        <w:t xml:space="preserve"> </w:t>
      </w:r>
      <w:r w:rsidR="00ED47F8" w:rsidRPr="00324CF1">
        <w:rPr>
          <w:lang w:val="en-CA"/>
        </w:rPr>
        <w:t xml:space="preserve">rendered and </w:t>
      </w:r>
      <w:r>
        <w:rPr>
          <w:lang w:val="en-CA"/>
        </w:rPr>
        <w:t xml:space="preserve">had </w:t>
      </w:r>
      <w:r w:rsidR="00ED47F8" w:rsidRPr="00324CF1">
        <w:rPr>
          <w:lang w:val="en-CA"/>
        </w:rPr>
        <w:t>decided the matter. Notwithstanding the appeal, the presumption of immunity had to give way to the presumption of validity of the judgment. Indeed, [</w:t>
      </w:r>
      <w:r w:rsidR="00755995" w:rsidRPr="005E6EB3">
        <w:rPr>
          <w:smallCaps/>
          <w:lang w:val="en-CA"/>
        </w:rPr>
        <w:t>translation</w:t>
      </w:r>
      <w:r w:rsidR="00ED47F8" w:rsidRPr="00324CF1">
        <w:rPr>
          <w:lang w:val="en-CA"/>
        </w:rPr>
        <w:t xml:space="preserve">] “the Appellant obtained leave to appeal </w:t>
      </w:r>
      <w:r>
        <w:rPr>
          <w:lang w:val="en-CA"/>
        </w:rPr>
        <w:t>from</w:t>
      </w:r>
      <w:r w:rsidRPr="00324CF1">
        <w:rPr>
          <w:lang w:val="en-CA"/>
        </w:rPr>
        <w:t xml:space="preserve"> </w:t>
      </w:r>
      <w:r w:rsidR="00ED47F8" w:rsidRPr="00324CF1">
        <w:rPr>
          <w:lang w:val="en-CA"/>
        </w:rPr>
        <w:t xml:space="preserve">the judgment …, its </w:t>
      </w:r>
      <w:r w:rsidR="00ED47F8" w:rsidRPr="00324CF1">
        <w:rPr>
          <w:lang w:val="en-CA"/>
        </w:rPr>
        <w:lastRenderedPageBreak/>
        <w:t>grounds of appeal are</w:t>
      </w:r>
      <w:r>
        <w:rPr>
          <w:lang w:val="en-CA"/>
        </w:rPr>
        <w:t xml:space="preserve"> therefore</w:t>
      </w:r>
      <w:r w:rsidR="00ED47F8" w:rsidRPr="00324CF1">
        <w:rPr>
          <w:lang w:val="en-CA"/>
        </w:rPr>
        <w:t xml:space="preserve"> serious, but the presumption of validity of the judgment remains”.</w:t>
      </w:r>
      <w:r w:rsidR="00ED47F8" w:rsidRPr="00324CF1">
        <w:rPr>
          <w:rStyle w:val="Appelnotedebasdep"/>
          <w:lang w:val="en-CA"/>
        </w:rPr>
        <w:footnoteReference w:id="91"/>
      </w:r>
      <w:r w:rsidR="00ED47F8" w:rsidRPr="00324CF1">
        <w:rPr>
          <w:lang w:val="en-CA"/>
        </w:rPr>
        <w:t xml:space="preserve"> As the judgment was presumed valid, Vauclair</w:t>
      </w:r>
      <w:r w:rsidR="003A37E6">
        <w:rPr>
          <w:lang w:val="en-CA"/>
        </w:rPr>
        <w:t>,</w:t>
      </w:r>
      <w:r w:rsidR="00ED47F8" w:rsidRPr="00324CF1">
        <w:rPr>
          <w:lang w:val="en-CA"/>
        </w:rPr>
        <w:t xml:space="preserve"> J.A. did not have to rule on the question of immunity or draw on the presumption of immunity to rule on the suretyship. If he believed that there was reason to justify it, he could grant the suretyship application. In this case, he justified his decision to order a suretyship in these terms:</w:t>
      </w:r>
    </w:p>
    <w:p w14:paraId="69A97348" w14:textId="77777777" w:rsidR="00BC160A" w:rsidRPr="00324CF1" w:rsidRDefault="00ED47F8" w:rsidP="00FB5A91">
      <w:pPr>
        <w:pStyle w:val="Citationenretrait"/>
        <w:spacing w:line="240" w:lineRule="auto"/>
        <w:rPr>
          <w:rFonts w:eastAsiaTheme="minorHAnsi"/>
          <w:lang w:val="en-CA"/>
        </w:rPr>
      </w:pPr>
      <w:r w:rsidRPr="003A37E6">
        <w:rPr>
          <w:lang w:val="en-CA"/>
        </w:rPr>
        <w:t>[</w:t>
      </w:r>
      <w:bookmarkStart w:id="89" w:name="par9"/>
      <w:r w:rsidRPr="003A37E6">
        <w:rPr>
          <w:lang w:val="en-CA"/>
        </w:rPr>
        <w:t>9</w:t>
      </w:r>
      <w:bookmarkEnd w:id="89"/>
      <w:r w:rsidRPr="003A37E6">
        <w:rPr>
          <w:lang w:val="en-CA"/>
        </w:rPr>
        <w:t>]</w:t>
      </w:r>
      <w:r w:rsidRPr="003A37E6">
        <w:rPr>
          <w:lang w:val="en-CA"/>
        </w:rPr>
        <w:tab/>
        <w:t>Also, considering the particular circumstances of the dispute, the manner in which the parties are conducting the case and the appeal, I would order the suretyship sought by the respondents in the amount of $20,000, to guarantee payment of the appeal costs.</w:t>
      </w:r>
      <w:r w:rsidRPr="003A37E6">
        <w:rPr>
          <w:rStyle w:val="Appelnotedebasdep"/>
        </w:rPr>
        <w:footnoteReference w:id="92"/>
      </w:r>
    </w:p>
    <w:p w14:paraId="24B8836D" w14:textId="7536F02B" w:rsidR="000D1461" w:rsidRPr="00324CF1" w:rsidRDefault="00ED47F8" w:rsidP="00FB5A91">
      <w:pPr>
        <w:pStyle w:val="Paragraphe"/>
        <w:spacing w:line="240" w:lineRule="auto"/>
        <w:rPr>
          <w:rFonts w:eastAsiaTheme="minorHAnsi"/>
          <w:lang w:val="en-US"/>
        </w:rPr>
      </w:pPr>
      <w:r w:rsidRPr="00324CF1">
        <w:rPr>
          <w:rFonts w:eastAsiaTheme="minorHAnsi"/>
          <w:lang w:val="en-CA"/>
        </w:rPr>
        <w:t>Among the reasons recognized by case law, the fact that one party resides outside of Quebec and has no assets in the province may justify ordering a suretyship to guarantee the costs</w:t>
      </w:r>
      <w:r w:rsidR="00755995">
        <w:rPr>
          <w:rFonts w:eastAsiaTheme="minorHAnsi"/>
          <w:lang w:val="en-CA"/>
        </w:rPr>
        <w:t xml:space="preserve"> on appeal</w:t>
      </w:r>
      <w:r w:rsidRPr="00324CF1">
        <w:rPr>
          <w:rFonts w:eastAsiaTheme="minorHAnsi"/>
          <w:lang w:val="en-CA"/>
        </w:rPr>
        <w:t>.</w:t>
      </w:r>
      <w:r w:rsidRPr="00324CF1">
        <w:rPr>
          <w:rFonts w:eastAsiaTheme="minorHAnsi"/>
          <w:vertAlign w:val="superscript"/>
          <w:lang w:val="en-CA"/>
        </w:rPr>
        <w:footnoteReference w:id="93"/>
      </w:r>
      <w:r w:rsidRPr="00324CF1">
        <w:rPr>
          <w:rFonts w:eastAsiaTheme="minorHAnsi"/>
          <w:lang w:val="en-CA"/>
        </w:rPr>
        <w:t xml:space="preserve"> The same applies when a party behaves in a way that, without being fraudulent, raises suspicion or appears unreasonable.</w:t>
      </w:r>
      <w:r w:rsidRPr="00324CF1">
        <w:rPr>
          <w:rFonts w:eastAsiaTheme="minorHAnsi"/>
          <w:vertAlign w:val="superscript"/>
          <w:lang w:val="en-CA"/>
        </w:rPr>
        <w:footnoteReference w:id="94"/>
      </w:r>
      <w:r w:rsidRPr="00324CF1">
        <w:rPr>
          <w:rFonts w:eastAsiaTheme="minorHAnsi"/>
          <w:lang w:val="en-CA"/>
        </w:rPr>
        <w:t xml:space="preserve"> In </w:t>
      </w:r>
      <w:r w:rsidRPr="00324CF1">
        <w:rPr>
          <w:rFonts w:eastAsiaTheme="minorHAnsi"/>
          <w:i/>
          <w:iCs/>
          <w:lang w:val="en-CA"/>
        </w:rPr>
        <w:t>Richer c. Sirois</w:t>
      </w:r>
      <w:r w:rsidRPr="00324CF1">
        <w:rPr>
          <w:rFonts w:eastAsiaTheme="minorHAnsi"/>
          <w:lang w:val="en-CA"/>
        </w:rPr>
        <w:t>, Mainville</w:t>
      </w:r>
      <w:r w:rsidR="003A37E6">
        <w:rPr>
          <w:rFonts w:eastAsiaTheme="minorHAnsi"/>
          <w:lang w:val="en-CA"/>
        </w:rPr>
        <w:t>,</w:t>
      </w:r>
      <w:r w:rsidRPr="00324CF1">
        <w:rPr>
          <w:rFonts w:eastAsiaTheme="minorHAnsi"/>
          <w:lang w:val="en-CA"/>
        </w:rPr>
        <w:t xml:space="preserve"> J.A. </w:t>
      </w:r>
      <w:r w:rsidR="003A37E6">
        <w:rPr>
          <w:rFonts w:eastAsiaTheme="minorHAnsi"/>
          <w:lang w:val="en-CA"/>
        </w:rPr>
        <w:t>said</w:t>
      </w:r>
      <w:r w:rsidRPr="00324CF1">
        <w:rPr>
          <w:rFonts w:eastAsiaTheme="minorHAnsi"/>
          <w:lang w:val="en-CA"/>
        </w:rPr>
        <w:t xml:space="preserve"> the following on the subject:</w:t>
      </w:r>
    </w:p>
    <w:p w14:paraId="4D571AC5" w14:textId="017B211A" w:rsidR="00755995" w:rsidRDefault="00755995" w:rsidP="00FB5A91">
      <w:pPr>
        <w:pStyle w:val="Citationenretrait"/>
        <w:spacing w:line="240" w:lineRule="auto"/>
        <w:rPr>
          <w:lang w:val="en-CA"/>
        </w:rPr>
      </w:pPr>
      <w:r w:rsidRPr="00324CF1">
        <w:rPr>
          <w:lang w:val="en-CA"/>
        </w:rPr>
        <w:t>[</w:t>
      </w:r>
      <w:r w:rsidRPr="005E6EB3">
        <w:rPr>
          <w:smallCaps/>
          <w:lang w:val="en-CA"/>
        </w:rPr>
        <w:t>translation</w:t>
      </w:r>
      <w:r w:rsidRPr="00324CF1">
        <w:rPr>
          <w:lang w:val="en-CA"/>
        </w:rPr>
        <w:t xml:space="preserve">] </w:t>
      </w:r>
    </w:p>
    <w:p w14:paraId="5596A026" w14:textId="4C88010D" w:rsidR="000D1461" w:rsidRPr="00324CF1" w:rsidRDefault="00ED47F8" w:rsidP="00FB5A91">
      <w:pPr>
        <w:pStyle w:val="Citationenretrait"/>
        <w:spacing w:line="240" w:lineRule="auto"/>
        <w:rPr>
          <w:rFonts w:eastAsiaTheme="minorHAnsi"/>
          <w:lang w:val="en-US"/>
        </w:rPr>
      </w:pPr>
      <w:r w:rsidRPr="00324CF1">
        <w:rPr>
          <w:lang w:val="en-CA"/>
        </w:rPr>
        <w:t>[</w:t>
      </w:r>
      <w:bookmarkStart w:id="90" w:name="par30"/>
      <w:r w:rsidRPr="00324CF1">
        <w:rPr>
          <w:lang w:val="en-CA"/>
        </w:rPr>
        <w:t>30</w:t>
      </w:r>
      <w:bookmarkEnd w:id="90"/>
      <w:r w:rsidRPr="00324CF1">
        <w:rPr>
          <w:lang w:val="en-CA"/>
        </w:rPr>
        <w:t>]</w:t>
      </w:r>
      <w:r w:rsidRPr="00324CF1">
        <w:rPr>
          <w:lang w:val="en-CA"/>
        </w:rPr>
        <w:tab/>
      </w:r>
      <w:r w:rsidR="00C113A8">
        <w:rPr>
          <w:lang w:val="en-CA"/>
        </w:rPr>
        <w:t>S</w:t>
      </w:r>
      <w:r w:rsidRPr="00324CF1">
        <w:rPr>
          <w:lang w:val="en-CA"/>
        </w:rPr>
        <w:t xml:space="preserve">uretyship </w:t>
      </w:r>
      <w:r w:rsidR="00C113A8">
        <w:rPr>
          <w:lang w:val="en-CA"/>
        </w:rPr>
        <w:t>on</w:t>
      </w:r>
      <w:r w:rsidRPr="00324CF1">
        <w:rPr>
          <w:lang w:val="en-CA"/>
        </w:rPr>
        <w:t xml:space="preserve"> appeal is an exceptional measure. It can be granted </w:t>
      </w:r>
      <w:r w:rsidR="00C113A8" w:rsidRPr="00324CF1">
        <w:rPr>
          <w:lang w:val="en-CA"/>
        </w:rPr>
        <w:t xml:space="preserve">only </w:t>
      </w:r>
      <w:r w:rsidRPr="00324CF1">
        <w:rPr>
          <w:lang w:val="en-CA"/>
        </w:rPr>
        <w:t xml:space="preserve">for a reason that justifies it, in particular, convincing evidence </w:t>
      </w:r>
      <w:r w:rsidR="00C113A8">
        <w:rPr>
          <w:lang w:val="en-CA"/>
        </w:rPr>
        <w:t>that without it,</w:t>
      </w:r>
      <w:r w:rsidRPr="00324CF1">
        <w:rPr>
          <w:lang w:val="en-CA"/>
        </w:rPr>
        <w:t xml:space="preserve"> the rights recognized </w:t>
      </w:r>
      <w:r w:rsidR="00C113A8">
        <w:rPr>
          <w:lang w:val="en-CA"/>
        </w:rPr>
        <w:t>in</w:t>
      </w:r>
      <w:r w:rsidR="00C113A8" w:rsidRPr="00324CF1">
        <w:rPr>
          <w:lang w:val="en-CA"/>
        </w:rPr>
        <w:t xml:space="preserve"> </w:t>
      </w:r>
      <w:r w:rsidRPr="00324CF1">
        <w:rPr>
          <w:lang w:val="en-CA"/>
        </w:rPr>
        <w:t xml:space="preserve">the trial judgment would be </w:t>
      </w:r>
      <w:r w:rsidR="00C113A8">
        <w:rPr>
          <w:lang w:val="en-CA"/>
        </w:rPr>
        <w:t>at risk</w:t>
      </w:r>
      <w:r w:rsidRPr="00324CF1">
        <w:rPr>
          <w:lang w:val="en-CA"/>
        </w:rPr>
        <w:t xml:space="preserve">—which is clearly not the case here—or if </w:t>
      </w:r>
      <w:r w:rsidR="00C113A8">
        <w:rPr>
          <w:lang w:val="en-CA"/>
        </w:rPr>
        <w:t xml:space="preserve">it is </w:t>
      </w:r>
      <w:r w:rsidRPr="00324CF1">
        <w:rPr>
          <w:lang w:val="en-CA"/>
        </w:rPr>
        <w:t xml:space="preserve">necessary to guarantee the costs </w:t>
      </w:r>
      <w:r w:rsidR="00C113A8">
        <w:rPr>
          <w:lang w:val="en-CA"/>
        </w:rPr>
        <w:t>on</w:t>
      </w:r>
      <w:r w:rsidRPr="00324CF1">
        <w:rPr>
          <w:lang w:val="en-CA"/>
        </w:rPr>
        <w:t xml:space="preserve"> appeal. In this case, Sirois and Neon are not claiming that their rights resulting from the trial judgment would be </w:t>
      </w:r>
      <w:r w:rsidR="00C113A8">
        <w:rPr>
          <w:lang w:val="en-CA"/>
        </w:rPr>
        <w:t>at risk</w:t>
      </w:r>
      <w:r w:rsidRPr="00324CF1">
        <w:rPr>
          <w:lang w:val="en-CA"/>
        </w:rPr>
        <w:t xml:space="preserve"> in the absence of a suretyship</w:t>
      </w:r>
      <w:r w:rsidR="00C113A8">
        <w:rPr>
          <w:lang w:val="en-CA"/>
        </w:rPr>
        <w:t>.</w:t>
      </w:r>
      <w:r w:rsidRPr="00324CF1">
        <w:rPr>
          <w:lang w:val="en-CA"/>
        </w:rPr>
        <w:t xml:space="preserve"> </w:t>
      </w:r>
      <w:r w:rsidR="00C113A8">
        <w:rPr>
          <w:lang w:val="en-CA"/>
        </w:rPr>
        <w:t>T</w:t>
      </w:r>
      <w:r w:rsidRPr="00324CF1">
        <w:rPr>
          <w:lang w:val="en-CA"/>
        </w:rPr>
        <w:t>heir application rel</w:t>
      </w:r>
      <w:r w:rsidR="00C113A8">
        <w:rPr>
          <w:lang w:val="en-CA"/>
        </w:rPr>
        <w:t>ies</w:t>
      </w:r>
      <w:r w:rsidRPr="00324CF1">
        <w:rPr>
          <w:lang w:val="en-CA"/>
        </w:rPr>
        <w:t xml:space="preserve"> exclusively on the allegedly dilatory nature of the appeal.</w:t>
      </w:r>
      <w:r w:rsidRPr="00324CF1">
        <w:rPr>
          <w:vertAlign w:val="superscript"/>
          <w:lang w:val="en-CA"/>
        </w:rPr>
        <w:footnoteReference w:id="95"/>
      </w:r>
    </w:p>
    <w:p w14:paraId="0E8AAA73" w14:textId="77777777" w:rsidR="00BC160A" w:rsidRPr="00324CF1" w:rsidRDefault="00ED47F8" w:rsidP="00FB5A91">
      <w:pPr>
        <w:pStyle w:val="Citationenretrait"/>
        <w:spacing w:line="240" w:lineRule="auto"/>
        <w:jc w:val="right"/>
        <w:rPr>
          <w:rFonts w:eastAsiaTheme="minorHAnsi"/>
        </w:rPr>
      </w:pPr>
      <w:r w:rsidRPr="00324CF1">
        <w:rPr>
          <w:rFonts w:eastAsiaTheme="minorHAnsi"/>
          <w:lang w:val="en-CA"/>
        </w:rPr>
        <w:t>[References omitted]</w:t>
      </w:r>
    </w:p>
    <w:p w14:paraId="78B9ACAE" w14:textId="0348EB53" w:rsidR="00BC160A" w:rsidRPr="00324CF1" w:rsidRDefault="003A37E6" w:rsidP="00FB5A91">
      <w:pPr>
        <w:pStyle w:val="Paragraphe"/>
        <w:spacing w:line="240" w:lineRule="auto"/>
        <w:rPr>
          <w:rFonts w:eastAsiaTheme="minorHAnsi"/>
          <w:lang w:val="en-US"/>
        </w:rPr>
      </w:pPr>
      <w:r>
        <w:rPr>
          <w:rFonts w:eastAsiaTheme="minorHAnsi"/>
          <w:lang w:val="en-CA"/>
        </w:rPr>
        <w:t>Here</w:t>
      </w:r>
      <w:r w:rsidR="00ED47F8" w:rsidRPr="00324CF1">
        <w:rPr>
          <w:rFonts w:eastAsiaTheme="minorHAnsi"/>
          <w:lang w:val="en-CA"/>
        </w:rPr>
        <w:t>, the question of whether India has assets in Quebec had not yet been decided definitively when Vauclair</w:t>
      </w:r>
      <w:r>
        <w:rPr>
          <w:rFonts w:eastAsiaTheme="minorHAnsi"/>
          <w:lang w:val="en-CA"/>
        </w:rPr>
        <w:t>,</w:t>
      </w:r>
      <w:r w:rsidR="00ED47F8" w:rsidRPr="00324CF1">
        <w:rPr>
          <w:rFonts w:eastAsiaTheme="minorHAnsi"/>
          <w:lang w:val="en-CA"/>
        </w:rPr>
        <w:t xml:space="preserve"> J.A. rendered his decision, that question </w:t>
      </w:r>
      <w:r w:rsidR="00B9513B">
        <w:rPr>
          <w:rFonts w:eastAsiaTheme="minorHAnsi"/>
          <w:lang w:val="en-CA"/>
        </w:rPr>
        <w:t>being the subject of</w:t>
      </w:r>
      <w:r w:rsidR="00ED47F8" w:rsidRPr="00324CF1">
        <w:rPr>
          <w:rFonts w:eastAsiaTheme="minorHAnsi"/>
          <w:lang w:val="en-CA"/>
        </w:rPr>
        <w:t xml:space="preserve"> this appeal, </w:t>
      </w:r>
      <w:r w:rsidR="00B9513B">
        <w:rPr>
          <w:rFonts w:eastAsiaTheme="minorHAnsi"/>
          <w:lang w:val="en-CA"/>
        </w:rPr>
        <w:t>in</w:t>
      </w:r>
      <w:r w:rsidR="00ED47F8" w:rsidRPr="00324CF1">
        <w:rPr>
          <w:rFonts w:eastAsiaTheme="minorHAnsi"/>
          <w:lang w:val="en-CA"/>
        </w:rPr>
        <w:t xml:space="preserve"> file number 500</w:t>
      </w:r>
      <w:r w:rsidR="00ED47F8" w:rsidRPr="00324CF1">
        <w:rPr>
          <w:rFonts w:eastAsiaTheme="minorHAnsi"/>
          <w:lang w:val="en-CA"/>
        </w:rPr>
        <w:noBreakHyphen/>
        <w:t>09</w:t>
      </w:r>
      <w:r w:rsidR="00ED47F8" w:rsidRPr="00324CF1">
        <w:rPr>
          <w:rFonts w:eastAsiaTheme="minorHAnsi"/>
          <w:lang w:val="en-CA"/>
        </w:rPr>
        <w:noBreakHyphen/>
        <w:t>029899</w:t>
      </w:r>
      <w:r w:rsidR="00ED47F8" w:rsidRPr="00324CF1">
        <w:rPr>
          <w:rFonts w:eastAsiaTheme="minorHAnsi"/>
          <w:lang w:val="en-CA"/>
        </w:rPr>
        <w:noBreakHyphen/>
        <w:t xml:space="preserve">226. It was </w:t>
      </w:r>
      <w:r>
        <w:rPr>
          <w:rFonts w:eastAsiaTheme="minorHAnsi"/>
          <w:lang w:val="en-CA"/>
        </w:rPr>
        <w:t>one</w:t>
      </w:r>
      <w:r w:rsidR="00ED47F8" w:rsidRPr="00324CF1">
        <w:rPr>
          <w:rFonts w:eastAsiaTheme="minorHAnsi"/>
          <w:lang w:val="en-CA"/>
        </w:rPr>
        <w:t xml:space="preserve"> </w:t>
      </w:r>
      <w:r w:rsidR="00B9513B">
        <w:rPr>
          <w:rFonts w:eastAsiaTheme="minorHAnsi"/>
          <w:lang w:val="en-CA"/>
        </w:rPr>
        <w:t>reason</w:t>
      </w:r>
      <w:r w:rsidR="00B9513B" w:rsidRPr="00324CF1">
        <w:rPr>
          <w:rFonts w:eastAsiaTheme="minorHAnsi"/>
          <w:lang w:val="en-CA"/>
        </w:rPr>
        <w:t xml:space="preserve"> </w:t>
      </w:r>
      <w:r w:rsidR="00B9513B">
        <w:rPr>
          <w:rFonts w:eastAsiaTheme="minorHAnsi"/>
          <w:lang w:val="en-CA"/>
        </w:rPr>
        <w:t>that justified</w:t>
      </w:r>
      <w:r w:rsidR="00ED47F8" w:rsidRPr="00324CF1">
        <w:rPr>
          <w:rFonts w:eastAsiaTheme="minorHAnsi"/>
          <w:lang w:val="en-CA"/>
        </w:rPr>
        <w:t xml:space="preserve"> ordering the suretyship, especially as in this case, several elements show that although it is not </w:t>
      </w:r>
      <w:r w:rsidR="00ED47F8" w:rsidRPr="00324CF1">
        <w:rPr>
          <w:rFonts w:eastAsiaTheme="minorHAnsi"/>
          <w:lang w:val="en-CA"/>
        </w:rPr>
        <w:lastRenderedPageBreak/>
        <w:t>necessarily fraudulent, India’s behaviour [</w:t>
      </w:r>
      <w:r w:rsidR="00755995" w:rsidRPr="005E6EB3">
        <w:rPr>
          <w:rFonts w:eastAsiaTheme="minorHAnsi"/>
          <w:smallCaps/>
          <w:lang w:val="en-CA"/>
        </w:rPr>
        <w:t>translation</w:t>
      </w:r>
      <w:r w:rsidR="00ED47F8" w:rsidRPr="00324CF1">
        <w:rPr>
          <w:rFonts w:eastAsiaTheme="minorHAnsi"/>
          <w:lang w:val="en-CA"/>
        </w:rPr>
        <w:t>] “raise</w:t>
      </w:r>
      <w:r>
        <w:rPr>
          <w:rFonts w:eastAsiaTheme="minorHAnsi"/>
          <w:lang w:val="en-CA"/>
        </w:rPr>
        <w:t>s</w:t>
      </w:r>
      <w:r w:rsidR="00ED47F8" w:rsidRPr="00324CF1">
        <w:rPr>
          <w:rFonts w:eastAsiaTheme="minorHAnsi"/>
          <w:lang w:val="en-CA"/>
        </w:rPr>
        <w:t xml:space="preserve"> suspicion”</w:t>
      </w:r>
      <w:r w:rsidR="00ED47F8" w:rsidRPr="00324CF1">
        <w:rPr>
          <w:rFonts w:eastAsiaTheme="minorHAnsi"/>
          <w:vertAlign w:val="superscript"/>
          <w:lang w:val="en-CA"/>
        </w:rPr>
        <w:t xml:space="preserve"> </w:t>
      </w:r>
      <w:r w:rsidR="00ED47F8" w:rsidRPr="00324CF1">
        <w:rPr>
          <w:rFonts w:eastAsiaTheme="minorHAnsi"/>
          <w:lang w:val="en-CA"/>
        </w:rPr>
        <w:t xml:space="preserve">as it </w:t>
      </w:r>
      <w:r w:rsidR="00B9513B">
        <w:rPr>
          <w:rFonts w:eastAsiaTheme="minorHAnsi"/>
          <w:lang w:val="en-CA"/>
        </w:rPr>
        <w:t xml:space="preserve">keeps </w:t>
      </w:r>
      <w:r>
        <w:rPr>
          <w:rFonts w:eastAsiaTheme="minorHAnsi"/>
          <w:lang w:val="en-CA"/>
        </w:rPr>
        <w:t>finding</w:t>
      </w:r>
      <w:r w:rsidR="00ED47F8" w:rsidRPr="00324CF1">
        <w:rPr>
          <w:rFonts w:eastAsiaTheme="minorHAnsi"/>
          <w:lang w:val="en-CA"/>
        </w:rPr>
        <w:t xml:space="preserve"> reasons to avoid paying the sums </w:t>
      </w:r>
      <w:r w:rsidR="00B9513B">
        <w:rPr>
          <w:rFonts w:eastAsiaTheme="minorHAnsi"/>
          <w:lang w:val="en-CA"/>
        </w:rPr>
        <w:t xml:space="preserve">it was condemned to </w:t>
      </w:r>
      <w:r w:rsidR="00ED47F8" w:rsidRPr="00324CF1">
        <w:rPr>
          <w:rFonts w:eastAsiaTheme="minorHAnsi"/>
          <w:lang w:val="en-CA"/>
        </w:rPr>
        <w:t>in the arbitral awards. Indeed, Pinsonnault</w:t>
      </w:r>
      <w:r w:rsidR="00ED47F8" w:rsidRPr="00324CF1">
        <w:rPr>
          <w:rFonts w:eastAsiaTheme="minorHAnsi"/>
          <w:vertAlign w:val="superscript"/>
          <w:lang w:val="en-CA"/>
        </w:rPr>
        <w:footnoteReference w:id="96"/>
      </w:r>
      <w:r w:rsidR="00ED47F8" w:rsidRPr="00324CF1">
        <w:rPr>
          <w:rFonts w:eastAsiaTheme="minorHAnsi"/>
          <w:lang w:val="en-CA"/>
        </w:rPr>
        <w:t xml:space="preserve"> and Granosik</w:t>
      </w:r>
      <w:r>
        <w:rPr>
          <w:rFonts w:eastAsiaTheme="minorHAnsi"/>
          <w:lang w:val="en-CA"/>
        </w:rPr>
        <w:t>,</w:t>
      </w:r>
      <w:r w:rsidR="00ED47F8" w:rsidRPr="00324CF1">
        <w:rPr>
          <w:rFonts w:eastAsiaTheme="minorHAnsi"/>
          <w:lang w:val="en-CA"/>
        </w:rPr>
        <w:t xml:space="preserve"> J.J.</w:t>
      </w:r>
      <w:r w:rsidR="00ED47F8" w:rsidRPr="00324CF1">
        <w:rPr>
          <w:rStyle w:val="Appelnotedebasdep"/>
          <w:rFonts w:eastAsiaTheme="minorHAnsi"/>
          <w:lang w:val="en-CA"/>
        </w:rPr>
        <w:footnoteReference w:id="97"/>
      </w:r>
      <w:r w:rsidR="00ED47F8" w:rsidRPr="00324CF1">
        <w:rPr>
          <w:rFonts w:eastAsiaTheme="minorHAnsi"/>
          <w:lang w:val="en-CA"/>
        </w:rPr>
        <w:t xml:space="preserve"> concluded, at the preliminary stage, that several investigations had been launched against Devas and that a process had even been initiated to have Devas liquidated. </w:t>
      </w:r>
    </w:p>
    <w:p w14:paraId="0622842E" w14:textId="6A46CDA9" w:rsidR="001231CF" w:rsidRPr="00324CF1" w:rsidRDefault="00ED47F8" w:rsidP="00FB5A91">
      <w:pPr>
        <w:pStyle w:val="Paragraphe"/>
        <w:spacing w:line="240" w:lineRule="auto"/>
        <w:rPr>
          <w:rFonts w:eastAsiaTheme="minorHAnsi"/>
          <w:lang w:val="en-US"/>
        </w:rPr>
      </w:pPr>
      <w:r w:rsidRPr="00324CF1">
        <w:rPr>
          <w:rFonts w:eastAsiaTheme="minorHAnsi"/>
          <w:lang w:val="en-CA"/>
        </w:rPr>
        <w:t xml:space="preserve">On this subject, it is important to </w:t>
      </w:r>
      <w:r w:rsidR="00466F0B">
        <w:rPr>
          <w:rFonts w:eastAsiaTheme="minorHAnsi"/>
          <w:lang w:val="en-CA"/>
        </w:rPr>
        <w:t>recall</w:t>
      </w:r>
      <w:r w:rsidRPr="00324CF1">
        <w:rPr>
          <w:rFonts w:eastAsiaTheme="minorHAnsi"/>
          <w:lang w:val="en-CA"/>
        </w:rPr>
        <w:t xml:space="preserve"> that the termination of the Devas Agreement occurred in 2011 and that section 271(e) of the </w:t>
      </w:r>
      <w:r w:rsidRPr="00324CF1">
        <w:rPr>
          <w:rFonts w:eastAsiaTheme="minorHAnsi"/>
          <w:i/>
          <w:iCs/>
          <w:lang w:val="en-CA"/>
        </w:rPr>
        <w:t>Companies Act, 1996</w:t>
      </w:r>
      <w:r w:rsidRPr="00324CF1">
        <w:rPr>
          <w:rFonts w:eastAsiaTheme="minorHAnsi"/>
          <w:lang w:val="en-CA"/>
        </w:rPr>
        <w:t xml:space="preserve"> was amended by India in 2013</w:t>
      </w:r>
      <w:r w:rsidRPr="00324CF1">
        <w:rPr>
          <w:rFonts w:eastAsiaTheme="minorHAnsi"/>
          <w:vertAlign w:val="superscript"/>
          <w:lang w:val="en-CA"/>
        </w:rPr>
        <w:footnoteReference w:id="98"/>
      </w:r>
      <w:r w:rsidRPr="00324CF1">
        <w:rPr>
          <w:rFonts w:eastAsiaTheme="minorHAnsi"/>
          <w:lang w:val="en-CA"/>
        </w:rPr>
        <w:t xml:space="preserve"> to add a ground for dissolving and liquidating companies based on allegations of fraud. Based on this amendment, Antrix </w:t>
      </w:r>
      <w:r w:rsidR="00466F0B">
        <w:rPr>
          <w:rFonts w:eastAsiaTheme="minorHAnsi"/>
          <w:lang w:val="en-CA"/>
        </w:rPr>
        <w:t>sought</w:t>
      </w:r>
      <w:r w:rsidR="00466F0B" w:rsidRPr="00324CF1">
        <w:rPr>
          <w:rFonts w:eastAsiaTheme="minorHAnsi"/>
          <w:lang w:val="en-CA"/>
        </w:rPr>
        <w:t xml:space="preserve"> </w:t>
      </w:r>
      <w:r w:rsidRPr="00324CF1">
        <w:rPr>
          <w:rFonts w:eastAsiaTheme="minorHAnsi"/>
          <w:lang w:val="en-CA"/>
        </w:rPr>
        <w:t>the dissolution and liquidation of Devas on January 18, 2021, the same day it obtained India’s authorization</w:t>
      </w:r>
      <w:r w:rsidR="00466F0B">
        <w:rPr>
          <w:rFonts w:eastAsiaTheme="minorHAnsi"/>
          <w:lang w:val="en-CA"/>
        </w:rPr>
        <w:t xml:space="preserve"> to do so</w:t>
      </w:r>
      <w:r w:rsidRPr="00324CF1">
        <w:rPr>
          <w:rFonts w:eastAsiaTheme="minorHAnsi"/>
          <w:lang w:val="en-CA"/>
        </w:rPr>
        <w:t>. This matter was heard urgently the following day, the Devas Board of Directors was dismissed without further notice, and a provisional liquidator was appointed on January 19, 2021.</w:t>
      </w:r>
      <w:r w:rsidRPr="00324CF1">
        <w:rPr>
          <w:rFonts w:eastAsiaTheme="minorHAnsi"/>
          <w:vertAlign w:val="superscript"/>
          <w:lang w:val="en-CA"/>
        </w:rPr>
        <w:footnoteReference w:id="99"/>
      </w:r>
      <w:r w:rsidRPr="00324CF1">
        <w:rPr>
          <w:rFonts w:eastAsiaTheme="minorHAnsi"/>
          <w:lang w:val="en-CA"/>
        </w:rPr>
        <w:t xml:space="preserve"> This process continued until the dissolution of Devas, confirmed by the SCI on January 17, 2022.</w:t>
      </w:r>
      <w:r w:rsidRPr="00324CF1">
        <w:rPr>
          <w:rFonts w:eastAsiaTheme="minorHAnsi"/>
          <w:vertAlign w:val="superscript"/>
          <w:lang w:val="en-CA"/>
        </w:rPr>
        <w:footnoteReference w:id="100"/>
      </w:r>
      <w:r w:rsidRPr="00324CF1">
        <w:rPr>
          <w:rFonts w:eastAsiaTheme="minorHAnsi"/>
          <w:lang w:val="en-CA"/>
        </w:rPr>
        <w:t xml:space="preserve"> As soon as the provisional liquidator was appointed, he </w:t>
      </w:r>
      <w:r w:rsidR="00466F0B">
        <w:rPr>
          <w:rFonts w:eastAsiaTheme="minorHAnsi"/>
          <w:lang w:val="en-CA"/>
        </w:rPr>
        <w:t>put an end to</w:t>
      </w:r>
      <w:r w:rsidR="00466F0B" w:rsidRPr="00324CF1">
        <w:rPr>
          <w:rFonts w:eastAsiaTheme="minorHAnsi"/>
          <w:lang w:val="en-CA"/>
        </w:rPr>
        <w:t xml:space="preserve"> </w:t>
      </w:r>
      <w:r w:rsidRPr="00324CF1">
        <w:rPr>
          <w:rFonts w:eastAsiaTheme="minorHAnsi"/>
          <w:lang w:val="en-CA"/>
        </w:rPr>
        <w:t xml:space="preserve">the mandates of </w:t>
      </w:r>
      <w:r w:rsidR="00466F0B">
        <w:rPr>
          <w:rFonts w:eastAsiaTheme="minorHAnsi"/>
          <w:lang w:val="en-CA"/>
        </w:rPr>
        <w:t>counsel for Devas</w:t>
      </w:r>
      <w:r w:rsidRPr="00324CF1">
        <w:rPr>
          <w:rFonts w:eastAsiaTheme="minorHAnsi"/>
          <w:lang w:val="en-CA"/>
        </w:rPr>
        <w:t xml:space="preserve"> worldwide in the disputes </w:t>
      </w:r>
      <w:r w:rsidR="00466F0B">
        <w:rPr>
          <w:rFonts w:eastAsiaTheme="minorHAnsi"/>
          <w:lang w:val="en-CA"/>
        </w:rPr>
        <w:t>to have the ICC Award</w:t>
      </w:r>
      <w:r w:rsidRPr="00324CF1">
        <w:rPr>
          <w:rFonts w:eastAsiaTheme="minorHAnsi"/>
          <w:lang w:val="en-CA"/>
        </w:rPr>
        <w:t xml:space="preserve"> recognize</w:t>
      </w:r>
      <w:r w:rsidR="00466F0B">
        <w:rPr>
          <w:rFonts w:eastAsiaTheme="minorHAnsi"/>
          <w:lang w:val="en-CA"/>
        </w:rPr>
        <w:t>d</w:t>
      </w:r>
      <w:r w:rsidRPr="00324CF1">
        <w:rPr>
          <w:rFonts w:eastAsiaTheme="minorHAnsi"/>
          <w:lang w:val="en-CA"/>
        </w:rPr>
        <w:t xml:space="preserve"> and enforce</w:t>
      </w:r>
      <w:r w:rsidR="00466F0B">
        <w:rPr>
          <w:rFonts w:eastAsiaTheme="minorHAnsi"/>
          <w:lang w:val="en-CA"/>
        </w:rPr>
        <w:t>d</w:t>
      </w:r>
      <w:r w:rsidRPr="00324CF1">
        <w:rPr>
          <w:rFonts w:eastAsiaTheme="minorHAnsi"/>
          <w:lang w:val="en-CA"/>
        </w:rPr>
        <w:t>.</w:t>
      </w:r>
    </w:p>
    <w:p w14:paraId="75357AA7" w14:textId="4E0090F0" w:rsidR="00BC160A" w:rsidRPr="00324CF1" w:rsidRDefault="00ED47F8" w:rsidP="00FB5A91">
      <w:pPr>
        <w:pStyle w:val="Paragraphe"/>
        <w:spacing w:line="240" w:lineRule="auto"/>
        <w:rPr>
          <w:rFonts w:eastAsiaTheme="minorHAnsi"/>
          <w:lang w:val="en-US"/>
        </w:rPr>
      </w:pPr>
      <w:r w:rsidRPr="00324CF1">
        <w:rPr>
          <w:rFonts w:eastAsiaTheme="minorHAnsi"/>
          <w:lang w:val="en-CA"/>
        </w:rPr>
        <w:t xml:space="preserve">A criminal case was also initiated </w:t>
      </w:r>
      <w:r w:rsidR="00D0374A" w:rsidRPr="00324CF1">
        <w:rPr>
          <w:rFonts w:eastAsiaTheme="minorHAnsi"/>
          <w:lang w:val="en-CA"/>
        </w:rPr>
        <w:t>based on</w:t>
      </w:r>
      <w:r w:rsidRPr="00324CF1">
        <w:rPr>
          <w:rFonts w:eastAsiaTheme="minorHAnsi"/>
          <w:lang w:val="en-CA"/>
        </w:rPr>
        <w:t xml:space="preserve"> a denunciation </w:t>
      </w:r>
      <w:r w:rsidR="00D0374A">
        <w:rPr>
          <w:rFonts w:eastAsiaTheme="minorHAnsi"/>
          <w:lang w:val="en-CA"/>
        </w:rPr>
        <w:t>prepared</w:t>
      </w:r>
      <w:r w:rsidR="00D0374A" w:rsidRPr="00324CF1">
        <w:rPr>
          <w:rFonts w:eastAsiaTheme="minorHAnsi"/>
          <w:lang w:val="en-CA"/>
        </w:rPr>
        <w:t xml:space="preserve"> </w:t>
      </w:r>
      <w:r w:rsidRPr="00324CF1">
        <w:rPr>
          <w:rFonts w:eastAsiaTheme="minorHAnsi"/>
          <w:lang w:val="en-CA"/>
        </w:rPr>
        <w:t>and filed after the Antrix Arbitration</w:t>
      </w:r>
      <w:r w:rsidR="00D0374A">
        <w:rPr>
          <w:rFonts w:eastAsiaTheme="minorHAnsi"/>
          <w:lang w:val="en-CA"/>
        </w:rPr>
        <w:t xml:space="preserve"> ended</w:t>
      </w:r>
      <w:r w:rsidRPr="00324CF1">
        <w:rPr>
          <w:rFonts w:eastAsiaTheme="minorHAnsi"/>
          <w:lang w:val="en-CA"/>
        </w:rPr>
        <w:t xml:space="preserve"> and a few months before the ICC Award on September 14, 2015. It was only a few days after the Award</w:t>
      </w:r>
      <w:r w:rsidR="00144D4F">
        <w:rPr>
          <w:rFonts w:eastAsiaTheme="minorHAnsi"/>
          <w:lang w:val="en-CA"/>
        </w:rPr>
        <w:t xml:space="preserve"> on the </w:t>
      </w:r>
      <w:r w:rsidR="00D0374A">
        <w:rPr>
          <w:rFonts w:eastAsiaTheme="minorHAnsi"/>
          <w:lang w:val="en-CA"/>
        </w:rPr>
        <w:t>M</w:t>
      </w:r>
      <w:r w:rsidR="00144D4F">
        <w:rPr>
          <w:rFonts w:eastAsiaTheme="minorHAnsi"/>
          <w:lang w:val="en-CA"/>
        </w:rPr>
        <w:t>erits</w:t>
      </w:r>
      <w:r w:rsidRPr="00324CF1">
        <w:rPr>
          <w:rFonts w:eastAsiaTheme="minorHAnsi"/>
          <w:lang w:val="en-CA"/>
        </w:rPr>
        <w:t xml:space="preserve">, on August 11, 2016, that the </w:t>
      </w:r>
      <w:r w:rsidR="00EA33B2">
        <w:rPr>
          <w:rFonts w:eastAsiaTheme="minorHAnsi"/>
          <w:lang w:val="en-CA"/>
        </w:rPr>
        <w:t>latter</w:t>
      </w:r>
      <w:r w:rsidRPr="00324CF1">
        <w:rPr>
          <w:rFonts w:eastAsiaTheme="minorHAnsi"/>
          <w:lang w:val="en-CA"/>
        </w:rPr>
        <w:t xml:space="preserve"> filed criminal fraud charges against Devas and its board of directors. </w:t>
      </w:r>
      <w:r w:rsidR="00D0374A">
        <w:rPr>
          <w:rFonts w:eastAsiaTheme="minorHAnsi"/>
          <w:lang w:val="en-CA"/>
        </w:rPr>
        <w:t>B</w:t>
      </w:r>
      <w:r w:rsidR="00D0374A" w:rsidRPr="00324CF1">
        <w:rPr>
          <w:rFonts w:eastAsiaTheme="minorHAnsi"/>
          <w:lang w:val="en-CA"/>
        </w:rPr>
        <w:t>ased on these accusations of fraud, which had not yet led to any convictions</w:t>
      </w:r>
      <w:r w:rsidR="00D0374A">
        <w:rPr>
          <w:rFonts w:eastAsiaTheme="minorHAnsi"/>
          <w:lang w:val="en-CA"/>
        </w:rPr>
        <w:t>,</w:t>
      </w:r>
      <w:r w:rsidR="00D0374A" w:rsidRPr="00324CF1">
        <w:rPr>
          <w:rFonts w:eastAsiaTheme="minorHAnsi"/>
          <w:lang w:val="en-CA"/>
        </w:rPr>
        <w:t xml:space="preserve"> </w:t>
      </w:r>
      <w:r w:rsidRPr="00324CF1">
        <w:rPr>
          <w:rFonts w:eastAsiaTheme="minorHAnsi"/>
          <w:lang w:val="en-CA"/>
        </w:rPr>
        <w:t>India sought to convince several courts, including the Quebec courts, to reject applications for recognition and enforcement of arbitral awards.</w:t>
      </w:r>
    </w:p>
    <w:p w14:paraId="1FAF3D60" w14:textId="06C52959" w:rsidR="00BC160A" w:rsidRPr="00324CF1" w:rsidRDefault="00ED47F8" w:rsidP="00FB5A91">
      <w:pPr>
        <w:pStyle w:val="Paragraphe"/>
        <w:spacing w:line="240" w:lineRule="auto"/>
        <w:rPr>
          <w:rFonts w:eastAsiaTheme="minorHAnsi"/>
          <w:szCs w:val="24"/>
          <w:lang w:val="en-US"/>
        </w:rPr>
      </w:pPr>
      <w:r w:rsidRPr="00324CF1">
        <w:rPr>
          <w:rFonts w:eastAsiaTheme="minorHAnsi"/>
          <w:szCs w:val="24"/>
          <w:lang w:val="en-CA"/>
        </w:rPr>
        <w:t xml:space="preserve">Finally, following the ICC Award, India established a new corporate structure called NewSpace with responsibilities that were similar, if not identical, to those of Antrix, and several media reported that Antrix would eventually be absorbed by NewSpace, so that its assets would no longer be available </w:t>
      </w:r>
      <w:r w:rsidR="00D97C02">
        <w:rPr>
          <w:rFonts w:eastAsiaTheme="minorHAnsi"/>
          <w:szCs w:val="24"/>
          <w:lang w:val="en-CA"/>
        </w:rPr>
        <w:t>for the</w:t>
      </w:r>
      <w:r w:rsidR="00D97C02" w:rsidRPr="00324CF1">
        <w:rPr>
          <w:rFonts w:eastAsiaTheme="minorHAnsi"/>
          <w:szCs w:val="24"/>
          <w:lang w:val="en-CA"/>
        </w:rPr>
        <w:t xml:space="preserve"> </w:t>
      </w:r>
      <w:r w:rsidRPr="00324CF1">
        <w:rPr>
          <w:rFonts w:eastAsiaTheme="minorHAnsi"/>
          <w:szCs w:val="24"/>
          <w:lang w:val="en-CA"/>
        </w:rPr>
        <w:t>execution of the ICC Award.</w:t>
      </w:r>
    </w:p>
    <w:p w14:paraId="20D24426" w14:textId="47BE903C" w:rsidR="00BC160A" w:rsidRPr="00324CF1" w:rsidRDefault="00ED47F8" w:rsidP="00FB5A91">
      <w:pPr>
        <w:pStyle w:val="Paragraphe"/>
        <w:spacing w:line="240" w:lineRule="auto"/>
        <w:rPr>
          <w:rFonts w:eastAsiaTheme="minorHAnsi"/>
          <w:lang w:val="en-US"/>
        </w:rPr>
      </w:pPr>
      <w:r w:rsidRPr="00324CF1">
        <w:rPr>
          <w:rFonts w:eastAsiaTheme="minorHAnsi"/>
          <w:lang w:val="en-CA"/>
        </w:rPr>
        <w:t xml:space="preserve">Without ruling on the veracity of these factual and procedural elements </w:t>
      </w:r>
      <w:r w:rsidR="00D97C02">
        <w:rPr>
          <w:rFonts w:eastAsiaTheme="minorHAnsi"/>
          <w:lang w:val="en-CA"/>
        </w:rPr>
        <w:t>on</w:t>
      </w:r>
      <w:r w:rsidR="00D97C02" w:rsidRPr="00324CF1">
        <w:rPr>
          <w:rFonts w:eastAsiaTheme="minorHAnsi"/>
          <w:lang w:val="en-CA"/>
        </w:rPr>
        <w:t xml:space="preserve"> </w:t>
      </w:r>
      <w:r w:rsidRPr="00324CF1">
        <w:rPr>
          <w:rFonts w:eastAsiaTheme="minorHAnsi"/>
          <w:lang w:val="en-CA"/>
        </w:rPr>
        <w:t>which no debate on the merits has yet taken place, this Court is of the opinion that they were sufficient to convince Vauclair</w:t>
      </w:r>
      <w:r w:rsidR="001B11B4">
        <w:rPr>
          <w:rFonts w:eastAsiaTheme="minorHAnsi"/>
          <w:lang w:val="en-CA"/>
        </w:rPr>
        <w:t>,</w:t>
      </w:r>
      <w:r w:rsidRPr="00324CF1">
        <w:rPr>
          <w:rFonts w:eastAsiaTheme="minorHAnsi"/>
          <w:lang w:val="en-CA"/>
        </w:rPr>
        <w:t xml:space="preserve"> J.</w:t>
      </w:r>
      <w:r w:rsidR="00F122AD">
        <w:rPr>
          <w:rFonts w:eastAsiaTheme="minorHAnsi"/>
          <w:lang w:val="en-CA"/>
        </w:rPr>
        <w:t>A.</w:t>
      </w:r>
      <w:r w:rsidRPr="00324CF1">
        <w:rPr>
          <w:rFonts w:eastAsiaTheme="minorHAnsi"/>
          <w:lang w:val="en-CA"/>
        </w:rPr>
        <w:t xml:space="preserve"> that there were grounds justifying the </w:t>
      </w:r>
      <w:r w:rsidR="00F122AD">
        <w:rPr>
          <w:rFonts w:eastAsiaTheme="minorHAnsi"/>
          <w:lang w:val="en-CA"/>
        </w:rPr>
        <w:t xml:space="preserve">suretyship </w:t>
      </w:r>
      <w:r w:rsidRPr="00324CF1">
        <w:rPr>
          <w:rFonts w:eastAsiaTheme="minorHAnsi"/>
          <w:lang w:val="en-CA"/>
        </w:rPr>
        <w:t>order “</w:t>
      </w:r>
      <w:bookmarkStart w:id="91" w:name="_Hlk174461631"/>
      <w:r w:rsidR="001B11B4" w:rsidRPr="001B11B4">
        <w:rPr>
          <w:rFonts w:eastAsiaTheme="minorHAnsi"/>
          <w:lang w:val="en-CA"/>
        </w:rPr>
        <w:t>guarantee payment of the appeal costs</w:t>
      </w:r>
      <w:r w:rsidRPr="00324CF1">
        <w:rPr>
          <w:rFonts w:eastAsiaTheme="minorHAnsi"/>
          <w:lang w:val="en-CA"/>
        </w:rPr>
        <w:t xml:space="preserve">”. </w:t>
      </w:r>
      <w:bookmarkEnd w:id="91"/>
    </w:p>
    <w:p w14:paraId="3D8D2917" w14:textId="77777777" w:rsidR="00E36C2B" w:rsidRPr="00324CF1" w:rsidRDefault="00ED47F8" w:rsidP="00FB5A91">
      <w:pPr>
        <w:pStyle w:val="Paragraphe"/>
        <w:spacing w:line="240" w:lineRule="auto"/>
        <w:rPr>
          <w:rFonts w:eastAsiaTheme="minorHAnsi"/>
          <w:lang w:val="en-US"/>
        </w:rPr>
      </w:pPr>
      <w:r w:rsidRPr="00324CF1">
        <w:rPr>
          <w:rFonts w:eastAsiaTheme="minorHAnsi"/>
          <w:lang w:val="en-CA"/>
        </w:rPr>
        <w:t>This ground of appeal should therefore be dismissed.</w:t>
      </w:r>
    </w:p>
    <w:p w14:paraId="6B6E358A" w14:textId="77777777" w:rsidR="00BD0157" w:rsidRPr="00324CF1" w:rsidRDefault="00ED47F8" w:rsidP="00FB5A91">
      <w:pPr>
        <w:pStyle w:val="Titre1"/>
        <w:numPr>
          <w:ilvl w:val="0"/>
          <w:numId w:val="15"/>
        </w:numPr>
        <w:spacing w:line="240" w:lineRule="auto"/>
        <w:rPr>
          <w:sz w:val="24"/>
          <w:szCs w:val="24"/>
        </w:rPr>
      </w:pPr>
      <w:bookmarkStart w:id="92" w:name="_Toc184205617"/>
      <w:bookmarkStart w:id="93" w:name="_Toc256000012"/>
      <w:r w:rsidRPr="00324CF1">
        <w:rPr>
          <w:bCs/>
          <w:sz w:val="24"/>
          <w:szCs w:val="24"/>
          <w:lang w:val="en-CA"/>
        </w:rPr>
        <w:lastRenderedPageBreak/>
        <w:t>CCDM Holdings, LLC et al. c. The Airport Authority of India et al. (500-09-029899-226)</w:t>
      </w:r>
      <w:bookmarkEnd w:id="92"/>
      <w:bookmarkEnd w:id="93"/>
    </w:p>
    <w:p w14:paraId="7E08D555" w14:textId="77777777" w:rsidR="00FB081D" w:rsidRPr="00324CF1" w:rsidRDefault="00ED47F8" w:rsidP="00FB5A91">
      <w:pPr>
        <w:pStyle w:val="Titre2"/>
        <w:spacing w:line="240" w:lineRule="auto"/>
      </w:pPr>
      <w:r w:rsidRPr="00324CF1">
        <w:rPr>
          <w:bCs/>
          <w:iCs/>
          <w:lang w:val="en-CA"/>
        </w:rPr>
        <w:t xml:space="preserve">1. </w:t>
      </w:r>
      <w:r w:rsidRPr="00324CF1">
        <w:rPr>
          <w:b w:val="0"/>
          <w:i w:val="0"/>
          <w:lang w:val="en-CA"/>
        </w:rPr>
        <w:tab/>
      </w:r>
      <w:r w:rsidRPr="00324CF1">
        <w:rPr>
          <w:bCs/>
          <w:iCs/>
          <w:lang w:val="en-CA"/>
        </w:rPr>
        <w:t xml:space="preserve">Judgment Quashing the Seizure </w:t>
      </w:r>
    </w:p>
    <w:p w14:paraId="33ED14CB" w14:textId="6F0F9946" w:rsidR="000654BA" w:rsidRPr="00324CF1" w:rsidRDefault="00ED47F8" w:rsidP="00FB5A91">
      <w:pPr>
        <w:pStyle w:val="Paragraphe"/>
        <w:spacing w:line="240" w:lineRule="auto"/>
        <w:rPr>
          <w:lang w:val="en-US"/>
        </w:rPr>
      </w:pPr>
      <w:r w:rsidRPr="00324CF1">
        <w:rPr>
          <w:lang w:val="en-CA"/>
        </w:rPr>
        <w:t>In the judgment rendered on January 8, 2022, Pinsonnault</w:t>
      </w:r>
      <w:r w:rsidR="00A95504">
        <w:rPr>
          <w:lang w:val="en-CA"/>
        </w:rPr>
        <w:t>,</w:t>
      </w:r>
      <w:r w:rsidRPr="00324CF1">
        <w:rPr>
          <w:lang w:val="en-CA"/>
        </w:rPr>
        <w:t xml:space="preserve"> J. noted at the outset that the short hearings of November 24 and December 21, 2021, did not reflect all the time the authoriz</w:t>
      </w:r>
      <w:r w:rsidR="00185105">
        <w:rPr>
          <w:lang w:val="en-CA"/>
        </w:rPr>
        <w:t>ing</w:t>
      </w:r>
      <w:r w:rsidRPr="00324CF1">
        <w:rPr>
          <w:lang w:val="en-CA"/>
        </w:rPr>
        <w:t xml:space="preserve"> judges spent analyzing the applications for seizure. He noted</w:t>
      </w:r>
      <w:r w:rsidR="00185105">
        <w:rPr>
          <w:lang w:val="en-CA"/>
        </w:rPr>
        <w:t>, moreover,</w:t>
      </w:r>
      <w:r w:rsidRPr="00324CF1">
        <w:rPr>
          <w:lang w:val="en-CA"/>
        </w:rPr>
        <w:t xml:space="preserve"> that the facts </w:t>
      </w:r>
      <w:r w:rsidR="00185105" w:rsidRPr="00324CF1">
        <w:rPr>
          <w:lang w:val="en-CA"/>
        </w:rPr>
        <w:t xml:space="preserve">alleged </w:t>
      </w:r>
      <w:r w:rsidRPr="00324CF1">
        <w:rPr>
          <w:lang w:val="en-CA"/>
        </w:rPr>
        <w:t xml:space="preserve">in the proceedings and the affidavits as well as </w:t>
      </w:r>
      <w:r w:rsidR="00185105">
        <w:rPr>
          <w:lang w:val="en-CA"/>
        </w:rPr>
        <w:t>the facts</w:t>
      </w:r>
      <w:r w:rsidR="00185105" w:rsidRPr="00324CF1">
        <w:rPr>
          <w:lang w:val="en-CA"/>
        </w:rPr>
        <w:t xml:space="preserve"> </w:t>
      </w:r>
      <w:r w:rsidRPr="00324CF1">
        <w:rPr>
          <w:lang w:val="en-CA"/>
        </w:rPr>
        <w:t xml:space="preserve">emanating from the exhibits submitted in support of the proceedings met the criteria for </w:t>
      </w:r>
      <w:r w:rsidR="00185105">
        <w:rPr>
          <w:lang w:val="en-CA"/>
        </w:rPr>
        <w:t>sufficiency</w:t>
      </w:r>
      <w:r w:rsidRPr="00324CF1">
        <w:rPr>
          <w:lang w:val="en-CA"/>
        </w:rPr>
        <w:t xml:space="preserve"> justifying the authorization of </w:t>
      </w:r>
      <w:r w:rsidR="00185105">
        <w:rPr>
          <w:lang w:val="en-CA"/>
        </w:rPr>
        <w:t xml:space="preserve">a </w:t>
      </w:r>
      <w:r w:rsidRPr="00324CF1">
        <w:rPr>
          <w:lang w:val="en-CA"/>
        </w:rPr>
        <w:t xml:space="preserve">seizure on a </w:t>
      </w:r>
      <w:r w:rsidRPr="00324CF1">
        <w:rPr>
          <w:i/>
          <w:iCs/>
          <w:lang w:val="en-CA"/>
        </w:rPr>
        <w:t>prima facie</w:t>
      </w:r>
      <w:r w:rsidRPr="00324CF1">
        <w:rPr>
          <w:lang w:val="en-CA"/>
        </w:rPr>
        <w:t xml:space="preserve"> basis. </w:t>
      </w:r>
      <w:r w:rsidR="00185105">
        <w:rPr>
          <w:lang w:val="en-CA"/>
        </w:rPr>
        <w:t>That being the case</w:t>
      </w:r>
      <w:r w:rsidRPr="00324CF1">
        <w:rPr>
          <w:lang w:val="en-CA"/>
        </w:rPr>
        <w:t>, he conclude</w:t>
      </w:r>
      <w:r w:rsidR="00185105">
        <w:rPr>
          <w:lang w:val="en-CA"/>
        </w:rPr>
        <w:t>d</w:t>
      </w:r>
      <w:r w:rsidRPr="00324CF1">
        <w:rPr>
          <w:lang w:val="en-CA"/>
        </w:rPr>
        <w:t xml:space="preserve"> that an </w:t>
      </w:r>
      <w:r w:rsidRPr="00324CF1">
        <w:rPr>
          <w:i/>
          <w:iCs/>
          <w:lang w:val="en-CA"/>
        </w:rPr>
        <w:t>ex parte</w:t>
      </w:r>
      <w:r w:rsidRPr="00324CF1">
        <w:rPr>
          <w:lang w:val="en-CA"/>
        </w:rPr>
        <w:t xml:space="preserve"> hearing could not give rise to the seizure</w:t>
      </w:r>
      <w:r w:rsidR="00185105">
        <w:rPr>
          <w:lang w:val="en-CA"/>
        </w:rPr>
        <w:t xml:space="preserve"> carried out</w:t>
      </w:r>
      <w:r w:rsidRPr="00324CF1">
        <w:rPr>
          <w:lang w:val="en-CA"/>
        </w:rPr>
        <w:t xml:space="preserve"> in this case in the absence of exceptional circumstances or an emergency, since neither AAI or IATA </w:t>
      </w:r>
      <w:r w:rsidR="00185105">
        <w:rPr>
          <w:lang w:val="en-CA"/>
        </w:rPr>
        <w:t>are</w:t>
      </w:r>
      <w:r w:rsidR="00185105" w:rsidRPr="00324CF1">
        <w:rPr>
          <w:lang w:val="en-CA"/>
        </w:rPr>
        <w:t xml:space="preserve"> </w:t>
      </w:r>
      <w:r w:rsidRPr="00324CF1">
        <w:rPr>
          <w:lang w:val="en-CA"/>
        </w:rPr>
        <w:t>in danger of [</w:t>
      </w:r>
      <w:r w:rsidR="00755995" w:rsidRPr="005E6EB3">
        <w:rPr>
          <w:smallCaps/>
          <w:lang w:val="en-CA"/>
        </w:rPr>
        <w:t>translation</w:t>
      </w:r>
      <w:r w:rsidRPr="00324CF1">
        <w:rPr>
          <w:lang w:val="en-CA"/>
        </w:rPr>
        <w:t xml:space="preserve">] “disappearing”. </w:t>
      </w:r>
    </w:p>
    <w:p w14:paraId="29436D6A" w14:textId="3595530F" w:rsidR="004D718D" w:rsidRPr="00324CF1" w:rsidRDefault="00ED47F8" w:rsidP="00FB5A91">
      <w:pPr>
        <w:pStyle w:val="Paragraphe"/>
        <w:spacing w:line="240" w:lineRule="auto"/>
        <w:rPr>
          <w:lang w:val="en-US"/>
        </w:rPr>
      </w:pPr>
      <w:r w:rsidRPr="00324CF1">
        <w:rPr>
          <w:lang w:val="en-CA"/>
        </w:rPr>
        <w:t xml:space="preserve">Citing </w:t>
      </w:r>
      <w:r w:rsidRPr="00324CF1">
        <w:rPr>
          <w:i/>
          <w:iCs/>
          <w:lang w:val="en-CA"/>
        </w:rPr>
        <w:t>Trudel</w:t>
      </w:r>
      <w:r w:rsidRPr="00324CF1">
        <w:rPr>
          <w:lang w:val="en-CA"/>
        </w:rPr>
        <w:t>,</w:t>
      </w:r>
      <w:r w:rsidRPr="00324CF1">
        <w:rPr>
          <w:vertAlign w:val="superscript"/>
          <w:lang w:val="en-CA"/>
        </w:rPr>
        <w:footnoteReference w:id="101"/>
      </w:r>
      <w:r w:rsidRPr="00324CF1">
        <w:rPr>
          <w:lang w:val="en-CA"/>
        </w:rPr>
        <w:t xml:space="preserve"> decided by </w:t>
      </w:r>
      <w:r w:rsidR="00E52867">
        <w:rPr>
          <w:lang w:val="en-CA"/>
        </w:rPr>
        <w:t>this</w:t>
      </w:r>
      <w:r w:rsidR="00E52867" w:rsidRPr="00324CF1">
        <w:rPr>
          <w:lang w:val="en-CA"/>
        </w:rPr>
        <w:t xml:space="preserve"> </w:t>
      </w:r>
      <w:r w:rsidRPr="00324CF1">
        <w:rPr>
          <w:lang w:val="en-CA"/>
        </w:rPr>
        <w:t xml:space="preserve">Court, and </w:t>
      </w:r>
      <w:r w:rsidRPr="00324CF1">
        <w:rPr>
          <w:i/>
          <w:iCs/>
          <w:lang w:val="en-CA"/>
        </w:rPr>
        <w:t>Schreiber,</w:t>
      </w:r>
      <w:r w:rsidRPr="00324CF1">
        <w:rPr>
          <w:lang w:val="en-CA"/>
        </w:rPr>
        <w:t xml:space="preserve"> decided by the Court of Appeal for Ontario,</w:t>
      </w:r>
      <w:bookmarkStart w:id="94" w:name="_Ref174519287"/>
      <w:r w:rsidRPr="00324CF1">
        <w:rPr>
          <w:vertAlign w:val="superscript"/>
          <w:lang w:val="en-CA"/>
        </w:rPr>
        <w:footnoteReference w:id="102"/>
      </w:r>
      <w:bookmarkEnd w:id="94"/>
      <w:r w:rsidRPr="00324CF1">
        <w:rPr>
          <w:lang w:val="en-CA"/>
        </w:rPr>
        <w:t xml:space="preserve"> the judge concluded that the question of immunity should</w:t>
      </w:r>
      <w:r w:rsidR="00E52867">
        <w:rPr>
          <w:lang w:val="en-CA"/>
        </w:rPr>
        <w:t xml:space="preserve"> instead</w:t>
      </w:r>
      <w:r w:rsidRPr="00324CF1">
        <w:rPr>
          <w:lang w:val="en-CA"/>
        </w:rPr>
        <w:t xml:space="preserve"> be decided on the merits immediately in the presence of all parties concerned. In his opinion, this question had to be decided before a seizure could be ordered, to preserve the integrity of the fundamental principle of state immunity. This was all the more </w:t>
      </w:r>
      <w:r w:rsidR="00E52867">
        <w:rPr>
          <w:lang w:val="en-CA"/>
        </w:rPr>
        <w:t>so</w:t>
      </w:r>
      <w:r w:rsidRPr="00324CF1">
        <w:rPr>
          <w:lang w:val="en-CA"/>
        </w:rPr>
        <w:t xml:space="preserve">, in his opinion, in the absence of proof of service to AAI and the fact that it </w:t>
      </w:r>
      <w:r w:rsidR="00E52867">
        <w:rPr>
          <w:lang w:val="en-CA"/>
        </w:rPr>
        <w:t>cannot be assumed</w:t>
      </w:r>
      <w:r w:rsidRPr="00324CF1">
        <w:rPr>
          <w:lang w:val="en-CA"/>
        </w:rPr>
        <w:t xml:space="preserve"> that the exception that applies to the state could be invoked by AAI as a state agency of India, since it was not a party to the India Arbitration or </w:t>
      </w:r>
      <w:r w:rsidR="00E52867">
        <w:rPr>
          <w:lang w:val="en-CA"/>
        </w:rPr>
        <w:t>concerned by</w:t>
      </w:r>
      <w:r w:rsidRPr="00324CF1">
        <w:rPr>
          <w:lang w:val="en-CA"/>
        </w:rPr>
        <w:t xml:space="preserve"> the resulting </w:t>
      </w:r>
      <w:r w:rsidR="00E52867">
        <w:rPr>
          <w:lang w:val="en-CA"/>
        </w:rPr>
        <w:t>condemnation</w:t>
      </w:r>
      <w:r w:rsidRPr="00324CF1">
        <w:rPr>
          <w:lang w:val="en-CA"/>
        </w:rPr>
        <w:t>.</w:t>
      </w:r>
      <w:r w:rsidRPr="00324CF1">
        <w:rPr>
          <w:vertAlign w:val="superscript"/>
          <w:lang w:val="en-CA"/>
        </w:rPr>
        <w:footnoteReference w:id="103"/>
      </w:r>
    </w:p>
    <w:p w14:paraId="1AC941CB" w14:textId="6A2B4FED" w:rsidR="00FB081D" w:rsidRPr="00324CF1" w:rsidRDefault="00ED47F8" w:rsidP="00FB5A91">
      <w:pPr>
        <w:pStyle w:val="Paragraphe"/>
        <w:spacing w:line="240" w:lineRule="auto"/>
        <w:rPr>
          <w:lang w:val="en-US"/>
        </w:rPr>
      </w:pPr>
      <w:r w:rsidRPr="00324CF1">
        <w:rPr>
          <w:lang w:val="en-CA"/>
        </w:rPr>
        <w:t xml:space="preserve">The judge </w:t>
      </w:r>
      <w:r w:rsidR="00107ECD">
        <w:rPr>
          <w:lang w:val="en-CA"/>
        </w:rPr>
        <w:t xml:space="preserve">therefore </w:t>
      </w:r>
      <w:r w:rsidRPr="00324CF1">
        <w:rPr>
          <w:lang w:val="en-CA"/>
        </w:rPr>
        <w:t xml:space="preserve">dismissed the seizure of AAI’s assets held by IATA (and reduced the seizure of Air India’s assets by 50%). He </w:t>
      </w:r>
      <w:r w:rsidR="00107ECD">
        <w:rPr>
          <w:lang w:val="en-CA"/>
        </w:rPr>
        <w:t xml:space="preserve">then </w:t>
      </w:r>
      <w:r w:rsidRPr="00324CF1">
        <w:rPr>
          <w:lang w:val="en-CA"/>
        </w:rPr>
        <w:t xml:space="preserve">ordered the provisional </w:t>
      </w:r>
      <w:r w:rsidR="00770BF6">
        <w:rPr>
          <w:lang w:val="en-CA"/>
        </w:rPr>
        <w:t>execution</w:t>
      </w:r>
      <w:r w:rsidRPr="00324CF1">
        <w:rPr>
          <w:lang w:val="en-CA"/>
        </w:rPr>
        <w:t xml:space="preserve"> notwithstanding appeal of his judgment, considering that the balance of convenience favoured AAI and Air India, which, according to him, would suffer greater harm than CCDM/Devas because of such a seizure.</w:t>
      </w:r>
      <w:r w:rsidRPr="00324CF1">
        <w:rPr>
          <w:vertAlign w:val="superscript"/>
          <w:lang w:val="en-CA"/>
        </w:rPr>
        <w:footnoteReference w:id="104"/>
      </w:r>
    </w:p>
    <w:p w14:paraId="35EDCAC2" w14:textId="3D769D14" w:rsidR="00BD0157" w:rsidRPr="00324CF1" w:rsidRDefault="00ED47F8" w:rsidP="00FB5A91">
      <w:pPr>
        <w:pStyle w:val="Paragraphe"/>
        <w:spacing w:line="240" w:lineRule="auto"/>
        <w:rPr>
          <w:lang w:val="en-US"/>
        </w:rPr>
      </w:pPr>
      <w:r w:rsidRPr="00324CF1">
        <w:rPr>
          <w:lang w:val="en-CA"/>
        </w:rPr>
        <w:t xml:space="preserve">It should be recalled that CCDM/Devas obtained leave to appeal </w:t>
      </w:r>
      <w:r w:rsidR="00193FBB">
        <w:rPr>
          <w:lang w:val="en-CA"/>
        </w:rPr>
        <w:t>and</w:t>
      </w:r>
      <w:r w:rsidRPr="00324CF1">
        <w:rPr>
          <w:lang w:val="en-CA"/>
        </w:rPr>
        <w:t xml:space="preserve"> a stay of</w:t>
      </w:r>
      <w:r w:rsidR="001B6632">
        <w:rPr>
          <w:lang w:val="en-CA"/>
        </w:rPr>
        <w:t xml:space="preserve"> the</w:t>
      </w:r>
      <w:r w:rsidRPr="00324CF1">
        <w:rPr>
          <w:lang w:val="en-CA"/>
        </w:rPr>
        <w:t xml:space="preserve"> provisional </w:t>
      </w:r>
      <w:r w:rsidR="00770BF6">
        <w:rPr>
          <w:lang w:val="en-CA"/>
        </w:rPr>
        <w:t>execution</w:t>
      </w:r>
      <w:r w:rsidRPr="00324CF1">
        <w:rPr>
          <w:lang w:val="en-CA"/>
        </w:rPr>
        <w:t xml:space="preserve"> notwithstanding appeal </w:t>
      </w:r>
      <w:r w:rsidR="001B6632">
        <w:rPr>
          <w:lang w:val="en-CA"/>
        </w:rPr>
        <w:t>ordered</w:t>
      </w:r>
      <w:r w:rsidR="001B6632" w:rsidRPr="00324CF1">
        <w:rPr>
          <w:lang w:val="en-CA"/>
        </w:rPr>
        <w:t xml:space="preserve"> </w:t>
      </w:r>
      <w:r w:rsidRPr="00324CF1">
        <w:rPr>
          <w:lang w:val="en-CA"/>
        </w:rPr>
        <w:t xml:space="preserve">by the </w:t>
      </w:r>
      <w:r w:rsidR="001B6632">
        <w:rPr>
          <w:lang w:val="en-CA"/>
        </w:rPr>
        <w:t>trial</w:t>
      </w:r>
      <w:r w:rsidRPr="00324CF1">
        <w:rPr>
          <w:lang w:val="en-CA"/>
        </w:rPr>
        <w:t xml:space="preserve"> judge.</w:t>
      </w:r>
      <w:r w:rsidRPr="00324CF1">
        <w:rPr>
          <w:rStyle w:val="Appelnotedebasdep"/>
          <w:lang w:val="en-CA"/>
        </w:rPr>
        <w:footnoteReference w:id="105"/>
      </w:r>
      <w:r w:rsidRPr="00324CF1">
        <w:rPr>
          <w:lang w:val="en-CA"/>
        </w:rPr>
        <w:t xml:space="preserve"> </w:t>
      </w:r>
    </w:p>
    <w:p w14:paraId="7E884F49" w14:textId="77777777" w:rsidR="00FB081D" w:rsidRPr="00324CF1" w:rsidRDefault="00ED47F8" w:rsidP="00FB5A91">
      <w:pPr>
        <w:pStyle w:val="Titre2"/>
        <w:spacing w:line="240" w:lineRule="auto"/>
      </w:pPr>
      <w:bookmarkStart w:id="95" w:name="_Toc184205619"/>
      <w:bookmarkStart w:id="96" w:name="_Toc256000014"/>
      <w:r w:rsidRPr="00324CF1">
        <w:rPr>
          <w:bCs/>
          <w:iCs/>
          <w:lang w:val="en-CA"/>
        </w:rPr>
        <w:t xml:space="preserve">2. </w:t>
      </w:r>
      <w:r w:rsidRPr="00324CF1">
        <w:rPr>
          <w:b w:val="0"/>
          <w:i w:val="0"/>
          <w:lang w:val="en-CA"/>
        </w:rPr>
        <w:tab/>
      </w:r>
      <w:r w:rsidRPr="00324CF1">
        <w:rPr>
          <w:bCs/>
          <w:iCs/>
          <w:lang w:val="en-CA"/>
        </w:rPr>
        <w:t>Grounds of appeal</w:t>
      </w:r>
      <w:bookmarkEnd w:id="95"/>
      <w:bookmarkEnd w:id="96"/>
      <w:r w:rsidRPr="00324CF1">
        <w:rPr>
          <w:bCs/>
          <w:iCs/>
          <w:lang w:val="en-CA"/>
        </w:rPr>
        <w:t xml:space="preserve"> </w:t>
      </w:r>
    </w:p>
    <w:p w14:paraId="4E56A96A" w14:textId="77777777" w:rsidR="00FC25A6" w:rsidRPr="00324CF1" w:rsidRDefault="00ED47F8" w:rsidP="008B67FB">
      <w:pPr>
        <w:pStyle w:val="Paragraphe"/>
        <w:spacing w:before="80" w:after="80" w:line="240" w:lineRule="auto"/>
        <w:rPr>
          <w:lang w:val="en-US"/>
        </w:rPr>
      </w:pPr>
      <w:r w:rsidRPr="00324CF1">
        <w:rPr>
          <w:lang w:val="en-CA"/>
        </w:rPr>
        <w:t xml:space="preserve">On appeal, CCDM/Devas essentially raised two questions: </w:t>
      </w:r>
    </w:p>
    <w:p w14:paraId="6DAE381F" w14:textId="7488D072" w:rsidR="00FC25A6" w:rsidRPr="00324CF1" w:rsidRDefault="00ED47F8" w:rsidP="008B67FB">
      <w:pPr>
        <w:pStyle w:val="Paragraphe"/>
        <w:numPr>
          <w:ilvl w:val="0"/>
          <w:numId w:val="3"/>
        </w:numPr>
        <w:spacing w:before="80" w:after="80" w:line="240" w:lineRule="auto"/>
        <w:rPr>
          <w:lang w:val="en-US"/>
        </w:rPr>
      </w:pPr>
      <w:r w:rsidRPr="00324CF1">
        <w:rPr>
          <w:lang w:val="en-CA"/>
        </w:rPr>
        <w:lastRenderedPageBreak/>
        <w:t xml:space="preserve">Did the </w:t>
      </w:r>
      <w:r w:rsidR="009C2345">
        <w:rPr>
          <w:lang w:val="en-CA"/>
        </w:rPr>
        <w:t>trial</w:t>
      </w:r>
      <w:r w:rsidRPr="00324CF1">
        <w:rPr>
          <w:lang w:val="en-CA"/>
        </w:rPr>
        <w:t xml:space="preserve"> judge err in law by finding that AAI’s defence </w:t>
      </w:r>
      <w:r w:rsidR="009C2345">
        <w:rPr>
          <w:lang w:val="en-CA"/>
        </w:rPr>
        <w:t>regarding</w:t>
      </w:r>
      <w:r w:rsidRPr="00324CF1">
        <w:rPr>
          <w:lang w:val="en-CA"/>
        </w:rPr>
        <w:t xml:space="preserve"> its immunity had to be decided on the merits before a</w:t>
      </w:r>
      <w:r w:rsidR="009C2345">
        <w:rPr>
          <w:lang w:val="en-CA"/>
        </w:rPr>
        <w:t>n order for</w:t>
      </w:r>
      <w:r w:rsidRPr="00324CF1">
        <w:rPr>
          <w:lang w:val="en-CA"/>
        </w:rPr>
        <w:t xml:space="preserve"> seizure before judgment could be </w:t>
      </w:r>
      <w:r w:rsidR="009C2345">
        <w:rPr>
          <w:lang w:val="en-CA"/>
        </w:rPr>
        <w:t>made</w:t>
      </w:r>
      <w:r w:rsidRPr="00324CF1">
        <w:rPr>
          <w:lang w:val="en-CA"/>
        </w:rPr>
        <w:t xml:space="preserve"> against it?</w:t>
      </w:r>
    </w:p>
    <w:p w14:paraId="4FABFDB0" w14:textId="3FB19BA7" w:rsidR="00FC25A6" w:rsidRPr="00324CF1" w:rsidRDefault="00ED47F8" w:rsidP="008B67FB">
      <w:pPr>
        <w:pStyle w:val="Paragraphe"/>
        <w:numPr>
          <w:ilvl w:val="0"/>
          <w:numId w:val="3"/>
        </w:numPr>
        <w:spacing w:before="80" w:after="80" w:line="240" w:lineRule="auto"/>
        <w:rPr>
          <w:lang w:val="en-US"/>
        </w:rPr>
      </w:pPr>
      <w:bookmarkStart w:id="97" w:name="_Hlk173871025"/>
      <w:r w:rsidRPr="00324CF1">
        <w:rPr>
          <w:lang w:val="en-CA"/>
        </w:rPr>
        <w:t xml:space="preserve">Did the </w:t>
      </w:r>
      <w:r w:rsidR="00C40483">
        <w:rPr>
          <w:lang w:val="en-CA"/>
        </w:rPr>
        <w:t>trial</w:t>
      </w:r>
      <w:r w:rsidRPr="00324CF1">
        <w:rPr>
          <w:lang w:val="en-CA"/>
        </w:rPr>
        <w:t xml:space="preserve"> judge err in fact and in law by finding that the presumption of immunity applied separately to AAI after concluding that India could not benefit from this presumption, and by determining that CCDM/Devas had not demonstrated that the exceptions provided for under the </w:t>
      </w:r>
      <w:r w:rsidRPr="00324CF1">
        <w:rPr>
          <w:i/>
          <w:iCs/>
          <w:lang w:val="en-CA"/>
        </w:rPr>
        <w:t>SIA</w:t>
      </w:r>
      <w:r w:rsidRPr="00324CF1">
        <w:rPr>
          <w:lang w:val="en-CA"/>
        </w:rPr>
        <w:t xml:space="preserve"> applied to AAI? </w:t>
      </w:r>
    </w:p>
    <w:bookmarkEnd w:id="97"/>
    <w:p w14:paraId="14302FAB" w14:textId="5B928E75" w:rsidR="00BD22B0" w:rsidRPr="00324CF1" w:rsidRDefault="00ED47F8" w:rsidP="008B67FB">
      <w:pPr>
        <w:pStyle w:val="Paragraphe"/>
        <w:spacing w:before="80" w:after="80" w:line="240" w:lineRule="auto"/>
        <w:rPr>
          <w:lang w:val="en-US"/>
        </w:rPr>
      </w:pPr>
      <w:r w:rsidRPr="00324CF1">
        <w:rPr>
          <w:lang w:val="en-CA"/>
        </w:rPr>
        <w:t>Shortly before the hearing, the parties filed additional submission</w:t>
      </w:r>
      <w:r w:rsidR="00DB04D0">
        <w:rPr>
          <w:lang w:val="en-CA"/>
        </w:rPr>
        <w:t>s</w:t>
      </w:r>
      <w:r w:rsidRPr="00324CF1">
        <w:rPr>
          <w:lang w:val="en-CA"/>
        </w:rPr>
        <w:t xml:space="preserve"> to </w:t>
      </w:r>
      <w:r w:rsidR="00DB04D0">
        <w:rPr>
          <w:lang w:val="en-CA"/>
        </w:rPr>
        <w:t>address</w:t>
      </w:r>
      <w:r w:rsidRPr="00324CF1">
        <w:rPr>
          <w:lang w:val="en-CA"/>
        </w:rPr>
        <w:t xml:space="preserve"> the impact of the Air India Judgment rendered by this Court quashing the seizure against Air India.</w:t>
      </w:r>
      <w:r w:rsidRPr="00324CF1">
        <w:rPr>
          <w:rStyle w:val="Appelnotedebasdep"/>
          <w:lang w:val="en-CA"/>
        </w:rPr>
        <w:footnoteReference w:id="106"/>
      </w:r>
      <w:r w:rsidRPr="00324CF1">
        <w:rPr>
          <w:lang w:val="en-CA"/>
        </w:rPr>
        <w:t xml:space="preserve"> CCDM/Devas dispute the relevance of the decision </w:t>
      </w:r>
      <w:r w:rsidR="00DB04D0">
        <w:rPr>
          <w:lang w:val="en-CA"/>
        </w:rPr>
        <w:t>on</w:t>
      </w:r>
      <w:r w:rsidRPr="00324CF1">
        <w:rPr>
          <w:lang w:val="en-CA"/>
        </w:rPr>
        <w:t xml:space="preserve"> the debate </w:t>
      </w:r>
      <w:r w:rsidR="0051788E">
        <w:rPr>
          <w:lang w:val="en-CA"/>
        </w:rPr>
        <w:t>formed</w:t>
      </w:r>
      <w:r w:rsidR="00E41228">
        <w:rPr>
          <w:lang w:val="en-CA"/>
        </w:rPr>
        <w:t xml:space="preserve"> on</w:t>
      </w:r>
      <w:r w:rsidR="00DB04D0" w:rsidRPr="00324CF1">
        <w:rPr>
          <w:lang w:val="en-CA"/>
        </w:rPr>
        <w:t xml:space="preserve"> </w:t>
      </w:r>
      <w:r w:rsidRPr="00324CF1">
        <w:rPr>
          <w:lang w:val="en-CA"/>
        </w:rPr>
        <w:t xml:space="preserve">appeal </w:t>
      </w:r>
      <w:r w:rsidR="0051788E">
        <w:rPr>
          <w:lang w:val="en-CA"/>
        </w:rPr>
        <w:t xml:space="preserve">because, </w:t>
      </w:r>
      <w:r w:rsidRPr="00324CF1">
        <w:rPr>
          <w:lang w:val="en-CA"/>
        </w:rPr>
        <w:t>they argue</w:t>
      </w:r>
      <w:r w:rsidR="0051788E">
        <w:rPr>
          <w:lang w:val="en-CA"/>
        </w:rPr>
        <w:t>,</w:t>
      </w:r>
      <w:r w:rsidRPr="00324CF1">
        <w:rPr>
          <w:lang w:val="en-CA"/>
        </w:rPr>
        <w:t xml:space="preserve"> this ruling does not </w:t>
      </w:r>
      <w:r w:rsidR="0051788E">
        <w:rPr>
          <w:lang w:val="en-CA"/>
        </w:rPr>
        <w:t>characterize</w:t>
      </w:r>
      <w:r w:rsidR="0051788E" w:rsidRPr="00324CF1">
        <w:rPr>
          <w:lang w:val="en-CA"/>
        </w:rPr>
        <w:t xml:space="preserve"> </w:t>
      </w:r>
      <w:r w:rsidRPr="00324CF1">
        <w:rPr>
          <w:lang w:val="en-CA"/>
        </w:rPr>
        <w:t xml:space="preserve">AAI’s role in relation to India or settle the question of the immunity that AAI claims under the </w:t>
      </w:r>
      <w:r w:rsidRPr="00324CF1">
        <w:rPr>
          <w:i/>
          <w:iCs/>
          <w:lang w:val="en-CA"/>
        </w:rPr>
        <w:t>SIA</w:t>
      </w:r>
      <w:r w:rsidRPr="00324CF1">
        <w:rPr>
          <w:lang w:val="en-CA"/>
        </w:rPr>
        <w:t>. For its part, AAI argu</w:t>
      </w:r>
      <w:r w:rsidR="0051788E">
        <w:rPr>
          <w:lang w:val="en-CA"/>
        </w:rPr>
        <w:t>es</w:t>
      </w:r>
      <w:r w:rsidRPr="00324CF1">
        <w:rPr>
          <w:lang w:val="en-CA"/>
        </w:rPr>
        <w:t xml:space="preserve"> that the judgment dismisses CCDM/Devas’ argument based on AAI’s status as India’s </w:t>
      </w:r>
      <w:r w:rsidRPr="00324CF1">
        <w:rPr>
          <w:i/>
          <w:iCs/>
          <w:lang w:val="en-CA"/>
        </w:rPr>
        <w:t>alter ego</w:t>
      </w:r>
      <w:r w:rsidRPr="00324CF1">
        <w:rPr>
          <w:lang w:val="en-CA"/>
        </w:rPr>
        <w:t xml:space="preserve"> and must lead to the dismissal of the arguments that CCDM/Devas raised in </w:t>
      </w:r>
      <w:r w:rsidR="0051788E">
        <w:rPr>
          <w:lang w:val="en-CA"/>
        </w:rPr>
        <w:t>their</w:t>
      </w:r>
      <w:r w:rsidR="0051788E" w:rsidRPr="00324CF1">
        <w:rPr>
          <w:lang w:val="en-CA"/>
        </w:rPr>
        <w:t xml:space="preserve"> </w:t>
      </w:r>
      <w:r w:rsidR="0051788E">
        <w:rPr>
          <w:lang w:val="en-CA"/>
        </w:rPr>
        <w:t>factum</w:t>
      </w:r>
      <w:r w:rsidRPr="00324CF1">
        <w:rPr>
          <w:lang w:val="en-CA"/>
        </w:rPr>
        <w:t xml:space="preserve">. </w:t>
      </w:r>
    </w:p>
    <w:p w14:paraId="17A167B9" w14:textId="77777777" w:rsidR="00FC25A6" w:rsidRPr="00324CF1" w:rsidRDefault="00ED47F8" w:rsidP="00FB5A91">
      <w:pPr>
        <w:pStyle w:val="Titre2"/>
        <w:spacing w:line="240" w:lineRule="auto"/>
        <w:rPr>
          <w:lang w:val="en-US"/>
        </w:rPr>
      </w:pPr>
      <w:bookmarkStart w:id="98" w:name="_Toc184205620"/>
      <w:bookmarkStart w:id="99" w:name="_Toc256000015"/>
      <w:r w:rsidRPr="00324CF1">
        <w:rPr>
          <w:bCs/>
          <w:iCs/>
          <w:lang w:val="en-CA"/>
        </w:rPr>
        <w:t>3.</w:t>
      </w:r>
      <w:r w:rsidRPr="00324CF1">
        <w:rPr>
          <w:bCs/>
          <w:iCs/>
          <w:lang w:val="en-CA"/>
        </w:rPr>
        <w:tab/>
        <w:t>Analysis</w:t>
      </w:r>
      <w:bookmarkEnd w:id="98"/>
      <w:bookmarkEnd w:id="99"/>
    </w:p>
    <w:p w14:paraId="2614EB51" w14:textId="55EDE9B8" w:rsidR="008F0F64" w:rsidRPr="00324CF1" w:rsidRDefault="00ED47F8" w:rsidP="000B6BD5">
      <w:pPr>
        <w:pStyle w:val="Titre3"/>
        <w:spacing w:line="240" w:lineRule="auto"/>
        <w:ind w:left="720"/>
        <w:jc w:val="both"/>
        <w:rPr>
          <w:b/>
          <w:bCs/>
          <w:lang w:val="en-US"/>
        </w:rPr>
      </w:pPr>
      <w:bookmarkStart w:id="100" w:name="_Toc184205621"/>
      <w:bookmarkStart w:id="101" w:name="_Toc256000016"/>
      <w:r w:rsidRPr="00324CF1">
        <w:rPr>
          <w:b/>
          <w:bCs/>
          <w:lang w:val="en-CA"/>
        </w:rPr>
        <w:t xml:space="preserve">3.1. Did the </w:t>
      </w:r>
      <w:r w:rsidR="009C2345">
        <w:rPr>
          <w:b/>
          <w:bCs/>
          <w:lang w:val="en-CA"/>
        </w:rPr>
        <w:t>trial</w:t>
      </w:r>
      <w:r w:rsidRPr="00324CF1">
        <w:rPr>
          <w:b/>
          <w:bCs/>
          <w:lang w:val="en-CA"/>
        </w:rPr>
        <w:t xml:space="preserve"> judge err in law by finding that AAI’s defence </w:t>
      </w:r>
      <w:r w:rsidR="009C2345">
        <w:rPr>
          <w:b/>
          <w:bCs/>
          <w:lang w:val="en-CA"/>
        </w:rPr>
        <w:t>regarding</w:t>
      </w:r>
      <w:r w:rsidRPr="00324CF1">
        <w:rPr>
          <w:b/>
          <w:bCs/>
          <w:lang w:val="en-CA"/>
        </w:rPr>
        <w:t xml:space="preserve"> its immunity had to be decided on the merits before a</w:t>
      </w:r>
      <w:r w:rsidR="009C2345">
        <w:rPr>
          <w:b/>
          <w:bCs/>
          <w:lang w:val="en-CA"/>
        </w:rPr>
        <w:t>n order of</w:t>
      </w:r>
      <w:r w:rsidRPr="00324CF1">
        <w:rPr>
          <w:b/>
          <w:bCs/>
          <w:lang w:val="en-CA"/>
        </w:rPr>
        <w:t xml:space="preserve"> seizure before judgment could be </w:t>
      </w:r>
      <w:r w:rsidR="009C2345">
        <w:rPr>
          <w:b/>
          <w:bCs/>
          <w:lang w:val="en-CA"/>
        </w:rPr>
        <w:t>made</w:t>
      </w:r>
      <w:r w:rsidRPr="00324CF1">
        <w:rPr>
          <w:b/>
          <w:bCs/>
          <w:lang w:val="en-CA"/>
        </w:rPr>
        <w:t xml:space="preserve"> against it?</w:t>
      </w:r>
      <w:bookmarkEnd w:id="100"/>
      <w:bookmarkEnd w:id="101"/>
      <w:r w:rsidRPr="00324CF1">
        <w:rPr>
          <w:b/>
          <w:bCs/>
          <w:lang w:val="en-CA"/>
        </w:rPr>
        <w:t xml:space="preserve"> </w:t>
      </w:r>
    </w:p>
    <w:p w14:paraId="0B94445E" w14:textId="6EC5E030" w:rsidR="0049417F" w:rsidRPr="00324CF1" w:rsidRDefault="00ED47F8" w:rsidP="008B67FB">
      <w:pPr>
        <w:pStyle w:val="Paragraphe"/>
        <w:spacing w:before="80" w:after="80" w:line="240" w:lineRule="auto"/>
        <w:rPr>
          <w:lang w:val="en-US"/>
        </w:rPr>
      </w:pPr>
      <w:r w:rsidRPr="00324CF1">
        <w:rPr>
          <w:lang w:val="en-CA"/>
        </w:rPr>
        <w:t>CCDM/Devas maintain</w:t>
      </w:r>
      <w:r w:rsidR="005B2776">
        <w:rPr>
          <w:lang w:val="en-CA"/>
        </w:rPr>
        <w:t>ed</w:t>
      </w:r>
      <w:r w:rsidRPr="00324CF1">
        <w:rPr>
          <w:lang w:val="en-CA"/>
        </w:rPr>
        <w:t xml:space="preserve"> that by concluding that the question of immunity should </w:t>
      </w:r>
      <w:r w:rsidR="00FF216E">
        <w:rPr>
          <w:lang w:val="en-CA"/>
        </w:rPr>
        <w:t xml:space="preserve">have </w:t>
      </w:r>
      <w:r w:rsidRPr="00324CF1">
        <w:rPr>
          <w:lang w:val="en-CA"/>
        </w:rPr>
        <w:t>be</w:t>
      </w:r>
      <w:r w:rsidR="00FF216E">
        <w:rPr>
          <w:lang w:val="en-CA"/>
        </w:rPr>
        <w:t>en</w:t>
      </w:r>
      <w:r w:rsidRPr="00324CF1">
        <w:rPr>
          <w:lang w:val="en-CA"/>
        </w:rPr>
        <w:t xml:space="preserve"> decided on the merits rather than </w:t>
      </w:r>
      <w:r w:rsidRPr="00324CF1">
        <w:rPr>
          <w:i/>
          <w:iCs/>
          <w:lang w:val="en-CA"/>
        </w:rPr>
        <w:t xml:space="preserve">ex parte </w:t>
      </w:r>
      <w:r w:rsidR="00FF216E">
        <w:rPr>
          <w:lang w:val="en-CA"/>
        </w:rPr>
        <w:t xml:space="preserve">and that </w:t>
      </w:r>
      <w:r w:rsidRPr="00324CF1">
        <w:rPr>
          <w:lang w:val="en-CA"/>
        </w:rPr>
        <w:t xml:space="preserve">by quashing the seizure order against AAI’s assets based on the presumption of immunity, the judge erroneously interpreted </w:t>
      </w:r>
      <w:r w:rsidR="00FF216E">
        <w:rPr>
          <w:lang w:val="en-CA"/>
        </w:rPr>
        <w:t xml:space="preserve">the </w:t>
      </w:r>
      <w:r w:rsidRPr="00324CF1">
        <w:rPr>
          <w:lang w:val="en-CA"/>
        </w:rPr>
        <w:t>case law and failed to [</w:t>
      </w:r>
      <w:r w:rsidR="00755995" w:rsidRPr="005E6EB3">
        <w:rPr>
          <w:smallCaps/>
          <w:lang w:val="en-CA"/>
        </w:rPr>
        <w:t>translation</w:t>
      </w:r>
      <w:r w:rsidRPr="00324CF1">
        <w:rPr>
          <w:lang w:val="en-CA"/>
        </w:rPr>
        <w:t xml:space="preserve">] “immediately” rule on the question of immunity, which should have been decided during the application to quash the seizure. </w:t>
      </w:r>
    </w:p>
    <w:p w14:paraId="520F77A1" w14:textId="2FD75054" w:rsidR="00D10490" w:rsidRPr="00324CF1" w:rsidRDefault="00ED47F8" w:rsidP="00FB5A91">
      <w:pPr>
        <w:pStyle w:val="Paragraphe"/>
        <w:spacing w:line="240" w:lineRule="auto"/>
        <w:rPr>
          <w:lang w:val="en-US"/>
        </w:rPr>
      </w:pPr>
      <w:r w:rsidRPr="00324CF1">
        <w:rPr>
          <w:lang w:val="en-CA"/>
        </w:rPr>
        <w:t>According to CCDM/Devas, the judge’s approach deprive</w:t>
      </w:r>
      <w:r w:rsidR="005B2776">
        <w:rPr>
          <w:lang w:val="en-CA"/>
        </w:rPr>
        <w:t>d</w:t>
      </w:r>
      <w:r w:rsidRPr="00324CF1">
        <w:rPr>
          <w:lang w:val="en-CA"/>
        </w:rPr>
        <w:t xml:space="preserve"> the seizure before judgment of its conservatory effect by allowing the state seeking to take advantage of the delay caused by the debate on immunity to protect its assets from a future seizure by removing them from the country</w:t>
      </w:r>
      <w:r w:rsidR="00F0199C">
        <w:rPr>
          <w:lang w:val="en-CA"/>
        </w:rPr>
        <w:t xml:space="preserve"> in the meantime</w:t>
      </w:r>
      <w:r w:rsidRPr="00324CF1">
        <w:rPr>
          <w:lang w:val="en-CA"/>
        </w:rPr>
        <w:t>. They note</w:t>
      </w:r>
      <w:r w:rsidR="005B2776">
        <w:rPr>
          <w:lang w:val="en-CA"/>
        </w:rPr>
        <w:t>d</w:t>
      </w:r>
      <w:r w:rsidRPr="00324CF1">
        <w:rPr>
          <w:lang w:val="en-CA"/>
        </w:rPr>
        <w:t xml:space="preserve"> that the case law the judge relied on to make his decision</w:t>
      </w:r>
      <w:r w:rsidR="00846323">
        <w:rPr>
          <w:lang w:val="en-CA"/>
        </w:rPr>
        <w:t xml:space="preserve"> </w:t>
      </w:r>
      <w:r w:rsidR="00EE6D44">
        <w:rPr>
          <w:lang w:val="en-CA"/>
        </w:rPr>
        <w:t>certainly</w:t>
      </w:r>
      <w:r w:rsidRPr="00324CF1">
        <w:rPr>
          <w:lang w:val="en-CA"/>
        </w:rPr>
        <w:t xml:space="preserve"> recognize</w:t>
      </w:r>
      <w:r w:rsidR="00EE6D44">
        <w:rPr>
          <w:lang w:val="en-CA"/>
        </w:rPr>
        <w:t>s</w:t>
      </w:r>
      <w:r w:rsidRPr="00324CF1">
        <w:rPr>
          <w:lang w:val="en-CA"/>
        </w:rPr>
        <w:t xml:space="preserve"> the obligation to rule immediately on the application to dismiss </w:t>
      </w:r>
      <w:r w:rsidR="00963D9B">
        <w:rPr>
          <w:lang w:val="en-CA"/>
        </w:rPr>
        <w:t>based on a lack of jurisdiction</w:t>
      </w:r>
      <w:r w:rsidRPr="00324CF1">
        <w:rPr>
          <w:lang w:val="en-CA"/>
        </w:rPr>
        <w:t xml:space="preserve"> </w:t>
      </w:r>
      <w:r w:rsidR="00963D9B">
        <w:rPr>
          <w:lang w:val="en-CA"/>
        </w:rPr>
        <w:t>due to</w:t>
      </w:r>
      <w:r w:rsidRPr="00324CF1">
        <w:rPr>
          <w:lang w:val="en-CA"/>
        </w:rPr>
        <w:t xml:space="preserve"> state immunity</w:t>
      </w:r>
      <w:r w:rsidR="00EE6D44">
        <w:rPr>
          <w:lang w:val="en-CA"/>
        </w:rPr>
        <w:t xml:space="preserve"> to avoid</w:t>
      </w:r>
      <w:r w:rsidRPr="00324CF1">
        <w:rPr>
          <w:lang w:val="en-CA"/>
        </w:rPr>
        <w:t xml:space="preserve"> a case from proceeding on the merits when the judge </w:t>
      </w:r>
      <w:r w:rsidR="00EE6D44">
        <w:rPr>
          <w:lang w:val="en-CA"/>
        </w:rPr>
        <w:t>might</w:t>
      </w:r>
      <w:r w:rsidR="00EE6D44" w:rsidRPr="00324CF1">
        <w:rPr>
          <w:lang w:val="en-CA"/>
        </w:rPr>
        <w:t xml:space="preserve"> </w:t>
      </w:r>
      <w:r w:rsidRPr="00324CF1">
        <w:rPr>
          <w:lang w:val="en-CA"/>
        </w:rPr>
        <w:t>not have jurisdiction. However, none of the</w:t>
      </w:r>
      <w:r w:rsidR="00EE6D44">
        <w:rPr>
          <w:lang w:val="en-CA"/>
        </w:rPr>
        <w:t xml:space="preserve"> judgments</w:t>
      </w:r>
      <w:r w:rsidRPr="00324CF1">
        <w:rPr>
          <w:lang w:val="en-CA"/>
        </w:rPr>
        <w:t xml:space="preserve"> cited discusses the possibility of ordering a seizure before judgment by garnishment, especially whe</w:t>
      </w:r>
      <w:r w:rsidR="00EE6D44">
        <w:rPr>
          <w:lang w:val="en-CA"/>
        </w:rPr>
        <w:t>re</w:t>
      </w:r>
      <w:r w:rsidRPr="00324CF1">
        <w:rPr>
          <w:lang w:val="en-CA"/>
        </w:rPr>
        <w:t xml:space="preserve"> it has been demonstrated that the seizure meets the demanding criteria of article 518 CCP, as is the case here.</w:t>
      </w:r>
      <w:r w:rsidRPr="00324CF1">
        <w:rPr>
          <w:rStyle w:val="Appelnotedebasdep"/>
          <w:lang w:val="en-CA"/>
        </w:rPr>
        <w:footnoteReference w:id="107"/>
      </w:r>
    </w:p>
    <w:p w14:paraId="366D3F25" w14:textId="29C4EFD7" w:rsidR="003849DD" w:rsidRPr="00324CF1" w:rsidRDefault="00ED47F8" w:rsidP="00FB5A91">
      <w:pPr>
        <w:pStyle w:val="Paragraphe"/>
        <w:spacing w:line="240" w:lineRule="auto"/>
        <w:rPr>
          <w:lang w:val="en-US"/>
        </w:rPr>
      </w:pPr>
      <w:r w:rsidRPr="00324CF1">
        <w:rPr>
          <w:lang w:val="en-CA"/>
        </w:rPr>
        <w:lastRenderedPageBreak/>
        <w:t xml:space="preserve"> In addition, CCDM/Devas note</w:t>
      </w:r>
      <w:r w:rsidR="005B2776">
        <w:rPr>
          <w:lang w:val="en-CA"/>
        </w:rPr>
        <w:t>d</w:t>
      </w:r>
      <w:r w:rsidRPr="00324CF1">
        <w:rPr>
          <w:lang w:val="en-CA"/>
        </w:rPr>
        <w:t xml:space="preserve"> that </w:t>
      </w:r>
      <w:r w:rsidR="00225DE3">
        <w:rPr>
          <w:lang w:val="en-CA"/>
        </w:rPr>
        <w:t>section</w:t>
      </w:r>
      <w:r w:rsidR="00225DE3" w:rsidRPr="00324CF1">
        <w:rPr>
          <w:lang w:val="en-CA"/>
        </w:rPr>
        <w:t xml:space="preserve"> </w:t>
      </w:r>
      <w:r w:rsidRPr="00324CF1">
        <w:rPr>
          <w:lang w:val="en-CA"/>
        </w:rPr>
        <w:t>3 the</w:t>
      </w:r>
      <w:r w:rsidRPr="00324CF1">
        <w:rPr>
          <w:i/>
          <w:iCs/>
          <w:lang w:val="en-CA"/>
        </w:rPr>
        <w:t xml:space="preserve"> SIA </w:t>
      </w:r>
      <w:r w:rsidRPr="00324CF1">
        <w:rPr>
          <w:lang w:val="en-CA"/>
        </w:rPr>
        <w:t xml:space="preserve">does not contain any limitations like those of its U.S. counterpart, the </w:t>
      </w:r>
      <w:r w:rsidRPr="00324CF1">
        <w:rPr>
          <w:i/>
          <w:iCs/>
          <w:lang w:val="en-CA"/>
        </w:rPr>
        <w:t>Foreign Sovereign Immunities Act,</w:t>
      </w:r>
      <w:r w:rsidRPr="00324CF1">
        <w:rPr>
          <w:rStyle w:val="Appelnotedebasdep"/>
          <w:lang w:val="en-CA"/>
        </w:rPr>
        <w:footnoteReference w:id="108"/>
      </w:r>
      <w:r w:rsidRPr="00324CF1">
        <w:rPr>
          <w:lang w:val="en-CA"/>
        </w:rPr>
        <w:t xml:space="preserve"> </w:t>
      </w:r>
      <w:r w:rsidR="00225DE3">
        <w:rPr>
          <w:lang w:val="en-CA"/>
        </w:rPr>
        <w:t>that would</w:t>
      </w:r>
      <w:r w:rsidRPr="00324CF1">
        <w:rPr>
          <w:lang w:val="en-CA"/>
        </w:rPr>
        <w:t xml:space="preserve"> make it possible to argue that conservatory measures are subject to the presumption of immunity. Furthermore, section 17 of the</w:t>
      </w:r>
      <w:r w:rsidRPr="00324CF1">
        <w:rPr>
          <w:i/>
          <w:iCs/>
          <w:lang w:val="en-CA"/>
        </w:rPr>
        <w:t xml:space="preserve"> SIA</w:t>
      </w:r>
      <w:r w:rsidRPr="00324CF1">
        <w:rPr>
          <w:lang w:val="en-CA"/>
        </w:rPr>
        <w:t xml:space="preserve"> provides that the rules of procedure remain applicable insofar as they do not </w:t>
      </w:r>
      <w:r w:rsidR="00225DE3">
        <w:rPr>
          <w:lang w:val="en-CA"/>
        </w:rPr>
        <w:t>preclude</w:t>
      </w:r>
      <w:r w:rsidR="00225DE3" w:rsidRPr="00324CF1">
        <w:rPr>
          <w:lang w:val="en-CA"/>
        </w:rPr>
        <w:t xml:space="preserve"> </w:t>
      </w:r>
      <w:r w:rsidRPr="00324CF1">
        <w:rPr>
          <w:lang w:val="en-CA"/>
        </w:rPr>
        <w:t>the application of the law, which should include the provisions of the</w:t>
      </w:r>
      <w:r w:rsidR="00225DE3">
        <w:rPr>
          <w:lang w:val="en-CA"/>
        </w:rPr>
        <w:t xml:space="preserve"> Quebec</w:t>
      </w:r>
      <w:r w:rsidRPr="00324CF1">
        <w:rPr>
          <w:lang w:val="en-CA"/>
        </w:rPr>
        <w:t xml:space="preserve"> </w:t>
      </w:r>
      <w:r w:rsidRPr="005E6EB3">
        <w:rPr>
          <w:i/>
          <w:iCs/>
          <w:lang w:val="en-CA"/>
        </w:rPr>
        <w:t>Code of Civil Procedure</w:t>
      </w:r>
      <w:r w:rsidRPr="00324CF1">
        <w:rPr>
          <w:lang w:val="en-CA"/>
        </w:rPr>
        <w:t xml:space="preserve"> relating to seizure before judgment. In this respect, CCDM/Devas note</w:t>
      </w:r>
      <w:r w:rsidR="005B2776">
        <w:rPr>
          <w:lang w:val="en-CA"/>
        </w:rPr>
        <w:t>d</w:t>
      </w:r>
      <w:r w:rsidRPr="00324CF1">
        <w:rPr>
          <w:lang w:val="en-CA"/>
        </w:rPr>
        <w:t xml:space="preserve"> that article 516 CCP expressly states that seizure before judgment may be carried out “before the commencement ... of a proceeding”</w:t>
      </w:r>
      <w:r w:rsidRPr="00324CF1">
        <w:rPr>
          <w:rStyle w:val="Appelnotedebasdep"/>
          <w:lang w:val="en-CA"/>
        </w:rPr>
        <w:footnoteReference w:id="109"/>
      </w:r>
      <w:r w:rsidRPr="00324CF1">
        <w:rPr>
          <w:lang w:val="en-CA"/>
        </w:rPr>
        <w:t xml:space="preserve"> and that article 3138 CCQ</w:t>
      </w:r>
      <w:r w:rsidRPr="00324CF1">
        <w:rPr>
          <w:rStyle w:val="Appelnotedebasdep"/>
          <w:lang w:val="en-CA"/>
        </w:rPr>
        <w:footnoteReference w:id="110"/>
      </w:r>
      <w:r w:rsidRPr="00324CF1">
        <w:rPr>
          <w:lang w:val="en-CA"/>
        </w:rPr>
        <w:t xml:space="preserve"> authorizes Quebec courts to order conservatory measures even if they have no jurisdiction over the merits of the dispute.</w:t>
      </w:r>
    </w:p>
    <w:p w14:paraId="181C3840" w14:textId="0C3D3E77" w:rsidR="00050BA7" w:rsidRPr="00324CF1" w:rsidRDefault="00ED47F8" w:rsidP="00FB5A91">
      <w:pPr>
        <w:pStyle w:val="Paragraphe"/>
        <w:spacing w:line="240" w:lineRule="auto"/>
        <w:rPr>
          <w:lang w:val="en-US"/>
        </w:rPr>
      </w:pPr>
      <w:r w:rsidRPr="00CB783A">
        <w:rPr>
          <w:lang w:val="en-CA"/>
        </w:rPr>
        <w:t>Moreover, CCDM/Devas argue</w:t>
      </w:r>
      <w:r w:rsidR="005B2776">
        <w:rPr>
          <w:lang w:val="en-CA"/>
        </w:rPr>
        <w:t>d</w:t>
      </w:r>
      <w:r w:rsidRPr="00324CF1">
        <w:rPr>
          <w:lang w:val="en-CA"/>
        </w:rPr>
        <w:t xml:space="preserve"> that </w:t>
      </w:r>
      <w:r w:rsidR="00D577AD">
        <w:rPr>
          <w:lang w:val="en-CA"/>
        </w:rPr>
        <w:t>while</w:t>
      </w:r>
      <w:r w:rsidR="00D577AD" w:rsidRPr="00324CF1">
        <w:rPr>
          <w:lang w:val="en-CA"/>
        </w:rPr>
        <w:t xml:space="preserve"> under Canadian case law state immunity is a procedural bar to the exercise of the jurisdiction of courts</w:t>
      </w:r>
      <w:r w:rsidR="000513E1">
        <w:rPr>
          <w:lang w:val="en-CA"/>
        </w:rPr>
        <w:t>,</w:t>
      </w:r>
      <w:r w:rsidRPr="00324CF1">
        <w:rPr>
          <w:rStyle w:val="Appelnotedebasdep"/>
          <w:lang w:val="en-CA"/>
        </w:rPr>
        <w:footnoteReference w:id="111"/>
      </w:r>
      <w:r w:rsidRPr="00324CF1">
        <w:rPr>
          <w:lang w:val="en-CA"/>
        </w:rPr>
        <w:t xml:space="preserve"> the presumption of immunity does not prevent an </w:t>
      </w:r>
      <w:r w:rsidRPr="00324CF1">
        <w:rPr>
          <w:i/>
          <w:iCs/>
          <w:lang w:val="en-CA"/>
        </w:rPr>
        <w:t>ex parte</w:t>
      </w:r>
      <w:r w:rsidRPr="00324CF1">
        <w:rPr>
          <w:lang w:val="en-CA"/>
        </w:rPr>
        <w:t xml:space="preserve"> notice of enforcement of seizure by garnishment</w:t>
      </w:r>
      <w:r w:rsidR="00D577AD">
        <w:rPr>
          <w:lang w:val="en-CA"/>
        </w:rPr>
        <w:t xml:space="preserve"> from</w:t>
      </w:r>
      <w:r w:rsidR="00D577AD" w:rsidRPr="00D577AD">
        <w:rPr>
          <w:lang w:val="en-CA"/>
        </w:rPr>
        <w:t xml:space="preserve"> </w:t>
      </w:r>
      <w:r w:rsidR="00D577AD">
        <w:rPr>
          <w:lang w:val="en-CA"/>
        </w:rPr>
        <w:t>being issued</w:t>
      </w:r>
      <w:r w:rsidRPr="00324CF1">
        <w:rPr>
          <w:lang w:val="en-CA"/>
        </w:rPr>
        <w:t xml:space="preserve">: none of the sources cited in the judgment conclude that such a seizure must be refused when the conditions </w:t>
      </w:r>
      <w:r w:rsidR="00D577AD">
        <w:rPr>
          <w:lang w:val="en-CA"/>
        </w:rPr>
        <w:t xml:space="preserve">set out </w:t>
      </w:r>
      <w:r w:rsidR="000513E1">
        <w:rPr>
          <w:lang w:val="en-CA"/>
        </w:rPr>
        <w:t>under</w:t>
      </w:r>
      <w:r w:rsidRPr="00324CF1">
        <w:rPr>
          <w:lang w:val="en-CA"/>
        </w:rPr>
        <w:t xml:space="preserve"> articles 516 to 518 CCP</w:t>
      </w:r>
      <w:r w:rsidRPr="00324CF1">
        <w:rPr>
          <w:i/>
          <w:iCs/>
          <w:lang w:val="en-CA"/>
        </w:rPr>
        <w:t xml:space="preserve"> </w:t>
      </w:r>
      <w:r w:rsidRPr="00324CF1">
        <w:rPr>
          <w:lang w:val="en-CA"/>
        </w:rPr>
        <w:t xml:space="preserve">are </w:t>
      </w:r>
      <w:r w:rsidR="00D577AD">
        <w:rPr>
          <w:lang w:val="en-CA"/>
        </w:rPr>
        <w:t>otherwise</w:t>
      </w:r>
      <w:r w:rsidR="00D577AD" w:rsidRPr="00324CF1">
        <w:rPr>
          <w:lang w:val="en-CA"/>
        </w:rPr>
        <w:t xml:space="preserve"> </w:t>
      </w:r>
      <w:r w:rsidRPr="00324CF1">
        <w:rPr>
          <w:lang w:val="en-CA"/>
        </w:rPr>
        <w:t xml:space="preserve">met and the exception to immunity has been </w:t>
      </w:r>
      <w:r w:rsidRPr="00324CF1">
        <w:rPr>
          <w:i/>
          <w:iCs/>
          <w:lang w:val="en-CA"/>
        </w:rPr>
        <w:t>prima facie</w:t>
      </w:r>
      <w:r w:rsidR="00D577AD" w:rsidRPr="00D577AD">
        <w:rPr>
          <w:lang w:val="en-CA"/>
        </w:rPr>
        <w:t xml:space="preserve"> </w:t>
      </w:r>
      <w:r w:rsidR="00D577AD" w:rsidRPr="00324CF1">
        <w:rPr>
          <w:lang w:val="en-CA"/>
        </w:rPr>
        <w:t>established</w:t>
      </w:r>
      <w:r w:rsidRPr="00324CF1">
        <w:rPr>
          <w:lang w:val="en-CA"/>
        </w:rPr>
        <w:t xml:space="preserve">. </w:t>
      </w:r>
    </w:p>
    <w:p w14:paraId="0DA69F82" w14:textId="249210A8" w:rsidR="0049417F" w:rsidRPr="00324CF1" w:rsidRDefault="00ED47F8" w:rsidP="00FB5A91">
      <w:pPr>
        <w:pStyle w:val="Paragraphe"/>
        <w:spacing w:line="240" w:lineRule="auto"/>
        <w:rPr>
          <w:lang w:val="en-US"/>
        </w:rPr>
      </w:pPr>
      <w:r w:rsidRPr="00324CF1">
        <w:rPr>
          <w:lang w:val="en-CA"/>
        </w:rPr>
        <w:lastRenderedPageBreak/>
        <w:t>AAI respond</w:t>
      </w:r>
      <w:r w:rsidR="005B2776">
        <w:rPr>
          <w:lang w:val="en-CA"/>
        </w:rPr>
        <w:t>ed</w:t>
      </w:r>
      <w:r w:rsidRPr="00324CF1">
        <w:rPr>
          <w:lang w:val="en-CA"/>
        </w:rPr>
        <w:t xml:space="preserve"> that it is a separate legal entity from India and an “agency of a foreign state” within the meaning of the</w:t>
      </w:r>
      <w:r w:rsidRPr="00324CF1">
        <w:rPr>
          <w:i/>
          <w:iCs/>
          <w:lang w:val="en-CA"/>
        </w:rPr>
        <w:t xml:space="preserve"> SIA</w:t>
      </w:r>
      <w:r w:rsidRPr="00324CF1">
        <w:rPr>
          <w:lang w:val="en-CA"/>
        </w:rPr>
        <w:t xml:space="preserve"> benefiting from a strong presumption of immunity to which Canadian courts must give effect</w:t>
      </w:r>
      <w:r w:rsidR="00683458">
        <w:rPr>
          <w:lang w:val="en-CA"/>
        </w:rPr>
        <w:t xml:space="preserve"> to </w:t>
      </w:r>
      <w:r w:rsidR="006458AE" w:rsidRPr="005E6EB3">
        <w:rPr>
          <w:i/>
          <w:iCs/>
          <w:lang w:val="en-CA"/>
        </w:rPr>
        <w:t>ex officio</w:t>
      </w:r>
      <w:r w:rsidRPr="00324CF1">
        <w:rPr>
          <w:lang w:val="en-CA"/>
        </w:rPr>
        <w:t xml:space="preserve">. </w:t>
      </w:r>
    </w:p>
    <w:p w14:paraId="4C41F0CE" w14:textId="5D04BF6A" w:rsidR="003849DD" w:rsidRPr="00324CF1" w:rsidRDefault="00ED47F8" w:rsidP="00FB5A91">
      <w:pPr>
        <w:pStyle w:val="Paragraphe"/>
        <w:spacing w:line="240" w:lineRule="auto"/>
        <w:rPr>
          <w:lang w:val="en-US"/>
        </w:rPr>
      </w:pPr>
      <w:r w:rsidRPr="00324CF1">
        <w:rPr>
          <w:lang w:val="en-CA"/>
        </w:rPr>
        <w:t>Although it recognize</w:t>
      </w:r>
      <w:r w:rsidR="005B2776">
        <w:rPr>
          <w:lang w:val="en-CA"/>
        </w:rPr>
        <w:t>d</w:t>
      </w:r>
      <w:r w:rsidRPr="00324CF1">
        <w:rPr>
          <w:lang w:val="en-CA"/>
        </w:rPr>
        <w:t xml:space="preserve"> that an </w:t>
      </w:r>
      <w:r w:rsidRPr="00324CF1">
        <w:rPr>
          <w:i/>
          <w:iCs/>
          <w:lang w:val="en-CA"/>
        </w:rPr>
        <w:t xml:space="preserve">ex parte </w:t>
      </w:r>
      <w:r w:rsidRPr="00324CF1">
        <w:rPr>
          <w:lang w:val="en-CA"/>
        </w:rPr>
        <w:t xml:space="preserve">seizure can be authorized under certain exceptional circumstances </w:t>
      </w:r>
      <w:r w:rsidR="00297FA4">
        <w:rPr>
          <w:lang w:val="en-CA"/>
        </w:rPr>
        <w:t>where there is an emergency</w:t>
      </w:r>
      <w:r w:rsidRPr="00324CF1">
        <w:rPr>
          <w:lang w:val="en-CA"/>
        </w:rPr>
        <w:t>, it claim</w:t>
      </w:r>
      <w:r w:rsidR="005B2776">
        <w:rPr>
          <w:lang w:val="en-CA"/>
        </w:rPr>
        <w:t>ed</w:t>
      </w:r>
      <w:r w:rsidRPr="00324CF1">
        <w:rPr>
          <w:lang w:val="en-CA"/>
        </w:rPr>
        <w:t xml:space="preserve"> that no such circumstances exist</w:t>
      </w:r>
      <w:r w:rsidR="002E6B70">
        <w:rPr>
          <w:lang w:val="en-CA"/>
        </w:rPr>
        <w:t>ed</w:t>
      </w:r>
      <w:r w:rsidRPr="00324CF1">
        <w:rPr>
          <w:lang w:val="en-CA"/>
        </w:rPr>
        <w:t xml:space="preserve"> in this case. Moreover, according to AAI, CCDM/Devas bore the burden of </w:t>
      </w:r>
      <w:r w:rsidR="002E6B70">
        <w:rPr>
          <w:lang w:val="en-CA"/>
        </w:rPr>
        <w:t>proving</w:t>
      </w:r>
      <w:r w:rsidRPr="00324CF1">
        <w:rPr>
          <w:lang w:val="en-CA"/>
        </w:rPr>
        <w:t xml:space="preserve"> that the exception to immunity applied, which they </w:t>
      </w:r>
      <w:r w:rsidR="002E6B70">
        <w:rPr>
          <w:lang w:val="en-CA"/>
        </w:rPr>
        <w:t>failed to</w:t>
      </w:r>
      <w:r w:rsidRPr="00324CF1">
        <w:rPr>
          <w:lang w:val="en-CA"/>
        </w:rPr>
        <w:t xml:space="preserve"> do. They cannot reduce this burden to a </w:t>
      </w:r>
      <w:r w:rsidR="00297FA4">
        <w:rPr>
          <w:lang w:val="en-CA"/>
        </w:rPr>
        <w:t>mere</w:t>
      </w:r>
      <w:r w:rsidR="00297FA4" w:rsidRPr="00324CF1">
        <w:rPr>
          <w:lang w:val="en-CA"/>
        </w:rPr>
        <w:t xml:space="preserve"> </w:t>
      </w:r>
      <w:r w:rsidRPr="00324CF1">
        <w:rPr>
          <w:i/>
          <w:iCs/>
          <w:lang w:val="en-CA"/>
        </w:rPr>
        <w:t>prima facie</w:t>
      </w:r>
      <w:r w:rsidRPr="00324CF1">
        <w:rPr>
          <w:lang w:val="en-CA"/>
        </w:rPr>
        <w:t xml:space="preserve"> demonstration. In this respect, AAI note</w:t>
      </w:r>
      <w:r w:rsidR="005B2776">
        <w:rPr>
          <w:lang w:val="en-CA"/>
        </w:rPr>
        <w:t>d</w:t>
      </w:r>
      <w:r w:rsidRPr="00324CF1">
        <w:rPr>
          <w:lang w:val="en-CA"/>
        </w:rPr>
        <w:t xml:space="preserve"> that the application for seizure before judgment by garnishment only briefly addresses </w:t>
      </w:r>
      <w:r w:rsidR="002E6B70">
        <w:rPr>
          <w:lang w:val="en-CA"/>
        </w:rPr>
        <w:t>AAI’s</w:t>
      </w:r>
      <w:r w:rsidRPr="00324CF1">
        <w:rPr>
          <w:lang w:val="en-CA"/>
        </w:rPr>
        <w:t xml:space="preserve"> role, with the affidavit in support of the application for seizure providing only a vague description of its structure and activities by indicating that it is </w:t>
      </w:r>
      <w:r w:rsidR="00297FA4">
        <w:rPr>
          <w:lang w:val="en-CA"/>
        </w:rPr>
        <w:t>held</w:t>
      </w:r>
      <w:r w:rsidR="00297FA4" w:rsidRPr="00324CF1">
        <w:rPr>
          <w:lang w:val="en-CA"/>
        </w:rPr>
        <w:t xml:space="preserve"> </w:t>
      </w:r>
      <w:r w:rsidRPr="00324CF1">
        <w:rPr>
          <w:lang w:val="en-CA"/>
        </w:rPr>
        <w:t xml:space="preserve">and controlled by India and must be regarded as a government corporation. It added that there </w:t>
      </w:r>
      <w:r w:rsidR="00297FA4">
        <w:rPr>
          <w:lang w:val="en-CA"/>
        </w:rPr>
        <w:t>is</w:t>
      </w:r>
      <w:r w:rsidR="00297FA4" w:rsidRPr="00324CF1">
        <w:rPr>
          <w:lang w:val="en-CA"/>
        </w:rPr>
        <w:t xml:space="preserve"> </w:t>
      </w:r>
      <w:r w:rsidRPr="00324CF1">
        <w:rPr>
          <w:lang w:val="en-CA"/>
        </w:rPr>
        <w:t xml:space="preserve">nothing to suggest that its immunity </w:t>
      </w:r>
      <w:r w:rsidR="00297FA4">
        <w:rPr>
          <w:lang w:val="en-CA"/>
        </w:rPr>
        <w:t>was</w:t>
      </w:r>
      <w:r w:rsidRPr="00324CF1">
        <w:rPr>
          <w:lang w:val="en-CA"/>
        </w:rPr>
        <w:t xml:space="preserve"> argued before the </w:t>
      </w:r>
      <w:r w:rsidR="00297FA4" w:rsidRPr="00324CF1">
        <w:rPr>
          <w:lang w:val="en-CA"/>
        </w:rPr>
        <w:t>authoriz</w:t>
      </w:r>
      <w:r w:rsidR="00297FA4">
        <w:rPr>
          <w:lang w:val="en-CA"/>
        </w:rPr>
        <w:t>ing</w:t>
      </w:r>
      <w:r w:rsidR="00297FA4" w:rsidRPr="00324CF1">
        <w:rPr>
          <w:lang w:val="en-CA"/>
        </w:rPr>
        <w:t xml:space="preserve"> </w:t>
      </w:r>
      <w:r w:rsidRPr="00324CF1">
        <w:rPr>
          <w:lang w:val="en-CA"/>
        </w:rPr>
        <w:t xml:space="preserve">judge, who </w:t>
      </w:r>
      <w:r w:rsidR="00297FA4">
        <w:rPr>
          <w:lang w:val="en-CA"/>
        </w:rPr>
        <w:t>made little of</w:t>
      </w:r>
      <w:r w:rsidRPr="00324CF1">
        <w:rPr>
          <w:lang w:val="en-CA"/>
        </w:rPr>
        <w:t xml:space="preserve"> the </w:t>
      </w:r>
      <w:r w:rsidR="007F76CA">
        <w:rPr>
          <w:lang w:val="en-CA"/>
        </w:rPr>
        <w:t>question</w:t>
      </w:r>
      <w:r w:rsidRPr="00324CF1">
        <w:rPr>
          <w:lang w:val="en-CA"/>
        </w:rPr>
        <w:t>.</w:t>
      </w:r>
    </w:p>
    <w:p w14:paraId="18BFD99E" w14:textId="1A302C3D" w:rsidR="00E454B1" w:rsidRPr="00324CF1" w:rsidRDefault="00ED47F8" w:rsidP="00FB5A91">
      <w:pPr>
        <w:pStyle w:val="Paragraphe"/>
        <w:spacing w:line="240" w:lineRule="auto"/>
        <w:rPr>
          <w:lang w:val="en-US"/>
        </w:rPr>
      </w:pPr>
      <w:r w:rsidRPr="00324CF1">
        <w:rPr>
          <w:lang w:val="en-CA"/>
        </w:rPr>
        <w:t>AAI also argue</w:t>
      </w:r>
      <w:r w:rsidR="005B2776">
        <w:rPr>
          <w:lang w:val="en-CA"/>
        </w:rPr>
        <w:t>d</w:t>
      </w:r>
      <w:r w:rsidRPr="00324CF1">
        <w:rPr>
          <w:lang w:val="en-CA"/>
        </w:rPr>
        <w:t xml:space="preserve"> that section 3 of the </w:t>
      </w:r>
      <w:r w:rsidRPr="00324CF1">
        <w:rPr>
          <w:i/>
          <w:iCs/>
          <w:lang w:val="en-CA"/>
        </w:rPr>
        <w:t>SIA</w:t>
      </w:r>
      <w:r w:rsidRPr="00324CF1">
        <w:rPr>
          <w:rStyle w:val="Appelnotedebasdep"/>
          <w:lang w:val="en-CA"/>
        </w:rPr>
        <w:footnoteReference w:id="112"/>
      </w:r>
      <w:r w:rsidRPr="00324CF1">
        <w:rPr>
          <w:lang w:val="en-CA"/>
        </w:rPr>
        <w:t xml:space="preserve"> codifies the fundamental principle of state immunity and expressly provides that agencies of foreign states </w:t>
      </w:r>
      <w:r w:rsidR="00A0033D">
        <w:rPr>
          <w:lang w:val="en-CA"/>
        </w:rPr>
        <w:t>benefit from</w:t>
      </w:r>
      <w:r w:rsidR="00A0033D" w:rsidRPr="00324CF1">
        <w:rPr>
          <w:lang w:val="en-CA"/>
        </w:rPr>
        <w:t xml:space="preserve"> </w:t>
      </w:r>
      <w:r w:rsidRPr="00324CF1">
        <w:rPr>
          <w:lang w:val="en-CA"/>
        </w:rPr>
        <w:t>a presumption of immunity before “any court in Canada” (“immune from the jurisdiction of any court in Canada”). It also refers to subsection 3(2) of the</w:t>
      </w:r>
      <w:r w:rsidRPr="00324CF1">
        <w:rPr>
          <w:i/>
          <w:iCs/>
          <w:lang w:val="en-CA"/>
        </w:rPr>
        <w:t xml:space="preserve"> SIA,</w:t>
      </w:r>
      <w:r w:rsidRPr="00324CF1">
        <w:rPr>
          <w:lang w:val="en-CA"/>
        </w:rPr>
        <w:t xml:space="preserve"> which states: “</w:t>
      </w:r>
      <w:r w:rsidRPr="00324CF1">
        <w:rPr>
          <w:u w:val="single"/>
          <w:lang w:val="en-CA"/>
        </w:rPr>
        <w:t>In any proceedings before a court</w:t>
      </w:r>
      <w:r w:rsidRPr="00324CF1">
        <w:rPr>
          <w:lang w:val="en-CA"/>
        </w:rPr>
        <w:t xml:space="preserve">, the court shall give effect to the immunity conferred on a foreign state by subsection (1) notwithstanding that the state has failed to take any step in the proceedings”. </w:t>
      </w:r>
    </w:p>
    <w:p w14:paraId="130C4084" w14:textId="3597658E" w:rsidR="0062736F" w:rsidRPr="00324CF1" w:rsidRDefault="00ED47F8" w:rsidP="00FB5A91">
      <w:pPr>
        <w:pStyle w:val="Paragraphe"/>
        <w:spacing w:line="240" w:lineRule="auto"/>
        <w:rPr>
          <w:lang w:val="en-US"/>
        </w:rPr>
      </w:pPr>
      <w:r w:rsidRPr="00324CF1">
        <w:rPr>
          <w:lang w:val="en-CA"/>
        </w:rPr>
        <w:t xml:space="preserve">According to AAI, the mere fact that the </w:t>
      </w:r>
      <w:r w:rsidRPr="00324CF1">
        <w:rPr>
          <w:i/>
          <w:iCs/>
          <w:lang w:val="en-CA"/>
        </w:rPr>
        <w:t>SIA</w:t>
      </w:r>
      <w:r w:rsidRPr="00324CF1">
        <w:rPr>
          <w:lang w:val="en-CA"/>
        </w:rPr>
        <w:t xml:space="preserve"> does not contain any specific reference to seizure</w:t>
      </w:r>
      <w:r w:rsidR="00A0033D">
        <w:rPr>
          <w:lang w:val="en-CA"/>
        </w:rPr>
        <w:t>s</w:t>
      </w:r>
      <w:r w:rsidRPr="00324CF1">
        <w:rPr>
          <w:lang w:val="en-CA"/>
        </w:rPr>
        <w:t xml:space="preserve"> before judgment is not sufficient to rule out state immunity, which should instead apply to </w:t>
      </w:r>
      <w:r w:rsidR="002E6B70">
        <w:rPr>
          <w:lang w:val="en-CA"/>
        </w:rPr>
        <w:t>every stage</w:t>
      </w:r>
      <w:r w:rsidRPr="00324CF1">
        <w:rPr>
          <w:lang w:val="en-CA"/>
        </w:rPr>
        <w:t xml:space="preserve"> of the judicial process, including pre-trial conservatory measures. According to AAI, courts cannot issue such </w:t>
      </w:r>
      <w:r w:rsidR="00A0033D">
        <w:rPr>
          <w:lang w:val="en-CA"/>
        </w:rPr>
        <w:t>orders</w:t>
      </w:r>
      <w:r w:rsidR="00A0033D" w:rsidRPr="00324CF1">
        <w:rPr>
          <w:lang w:val="en-CA"/>
        </w:rPr>
        <w:t xml:space="preserve"> </w:t>
      </w:r>
      <w:r w:rsidRPr="00324CF1">
        <w:rPr>
          <w:lang w:val="en-CA"/>
        </w:rPr>
        <w:t xml:space="preserve">without first ruling on the merits on the question of immunity, which can be done </w:t>
      </w:r>
      <w:r w:rsidRPr="00324CF1">
        <w:rPr>
          <w:i/>
          <w:iCs/>
          <w:lang w:val="en-CA"/>
        </w:rPr>
        <w:t>ex parte</w:t>
      </w:r>
      <w:r w:rsidRPr="00324CF1">
        <w:rPr>
          <w:lang w:val="en-CA"/>
        </w:rPr>
        <w:t xml:space="preserve"> </w:t>
      </w:r>
      <w:r w:rsidR="00A0033D" w:rsidRPr="00324CF1">
        <w:rPr>
          <w:lang w:val="en-CA"/>
        </w:rPr>
        <w:t xml:space="preserve">only </w:t>
      </w:r>
      <w:r w:rsidRPr="00324CF1">
        <w:rPr>
          <w:lang w:val="en-CA"/>
        </w:rPr>
        <w:t>in an emergency, which has not been demonstrated in this case. Here, despite the “procedural bar” preventing domestic courts from exercising their jurisdiction over foreign states,</w:t>
      </w:r>
      <w:r w:rsidRPr="00324CF1">
        <w:rPr>
          <w:rStyle w:val="Appelnotedebasdep"/>
          <w:lang w:val="en-CA"/>
        </w:rPr>
        <w:footnoteReference w:id="113"/>
      </w:r>
      <w:r w:rsidRPr="00324CF1">
        <w:rPr>
          <w:lang w:val="en-CA"/>
        </w:rPr>
        <w:t xml:space="preserve"> the authoriz</w:t>
      </w:r>
      <w:r w:rsidR="00A0033D">
        <w:rPr>
          <w:lang w:val="en-CA"/>
        </w:rPr>
        <w:t>ing</w:t>
      </w:r>
      <w:r w:rsidRPr="00324CF1">
        <w:rPr>
          <w:lang w:val="en-CA"/>
        </w:rPr>
        <w:t xml:space="preserve"> judge did not draw any conclusions enabling him to rule out AAI’s strong presumption of immunity, while CCDM/Devas </w:t>
      </w:r>
      <w:r w:rsidR="004655F3">
        <w:rPr>
          <w:lang w:val="en-CA"/>
        </w:rPr>
        <w:t>failed to</w:t>
      </w:r>
      <w:r w:rsidRPr="00324CF1">
        <w:rPr>
          <w:lang w:val="en-CA"/>
        </w:rPr>
        <w:t xml:space="preserve"> demonstrate that the exception to immunity applie</w:t>
      </w:r>
      <w:r w:rsidR="002E6B70">
        <w:rPr>
          <w:lang w:val="en-CA"/>
        </w:rPr>
        <w:t>d</w:t>
      </w:r>
      <w:r w:rsidRPr="00324CF1">
        <w:rPr>
          <w:lang w:val="en-CA"/>
        </w:rPr>
        <w:t>. Consequently, the authoriz</w:t>
      </w:r>
      <w:r w:rsidR="004655F3">
        <w:rPr>
          <w:lang w:val="en-CA"/>
        </w:rPr>
        <w:t>ing</w:t>
      </w:r>
      <w:r w:rsidRPr="00324CF1">
        <w:rPr>
          <w:lang w:val="en-CA"/>
        </w:rPr>
        <w:t xml:space="preserve"> judge did not have jurisdiction to order the seizure before judgment by garnishment and the order</w:t>
      </w:r>
      <w:r w:rsidR="004655F3">
        <w:rPr>
          <w:lang w:val="en-CA"/>
        </w:rPr>
        <w:t xml:space="preserve"> rendered</w:t>
      </w:r>
      <w:r w:rsidRPr="00324CF1">
        <w:rPr>
          <w:lang w:val="en-CA"/>
        </w:rPr>
        <w:t xml:space="preserve"> had to be quashed, as Pinsonnault</w:t>
      </w:r>
      <w:r w:rsidR="002E6B70">
        <w:rPr>
          <w:lang w:val="en-CA"/>
        </w:rPr>
        <w:t>,</w:t>
      </w:r>
      <w:r w:rsidRPr="00324CF1">
        <w:rPr>
          <w:lang w:val="en-CA"/>
        </w:rPr>
        <w:t xml:space="preserve"> J. decided. </w:t>
      </w:r>
    </w:p>
    <w:p w14:paraId="5813D1AE" w14:textId="3CC146CB" w:rsidR="003849DD" w:rsidRPr="00324CF1" w:rsidRDefault="00ED47F8" w:rsidP="00FB5A91">
      <w:pPr>
        <w:pStyle w:val="Paragraphe"/>
        <w:spacing w:line="240" w:lineRule="auto"/>
        <w:rPr>
          <w:lang w:val="en-US"/>
        </w:rPr>
      </w:pPr>
      <w:r w:rsidRPr="00324CF1">
        <w:rPr>
          <w:lang w:val="en-CA"/>
        </w:rPr>
        <w:t>AAI claim</w:t>
      </w:r>
      <w:r w:rsidR="005B2776">
        <w:rPr>
          <w:lang w:val="en-CA"/>
        </w:rPr>
        <w:t>ed</w:t>
      </w:r>
      <w:r w:rsidRPr="00324CF1">
        <w:rPr>
          <w:lang w:val="en-CA"/>
        </w:rPr>
        <w:t xml:space="preserve"> that CCDM/Devas’s interpretation of these sections of the</w:t>
      </w:r>
      <w:r w:rsidRPr="00324CF1">
        <w:rPr>
          <w:i/>
          <w:iCs/>
          <w:lang w:val="en-CA"/>
        </w:rPr>
        <w:t xml:space="preserve"> SIA</w:t>
      </w:r>
      <w:r w:rsidRPr="00324CF1">
        <w:rPr>
          <w:lang w:val="en-CA"/>
        </w:rPr>
        <w:t xml:space="preserve"> and case law is erroneous since, notwithstanding articles 518 CCP and 3138 CCQ</w:t>
      </w:r>
      <w:r w:rsidRPr="00324CF1">
        <w:rPr>
          <w:i/>
          <w:iCs/>
          <w:lang w:val="en-CA"/>
        </w:rPr>
        <w:t xml:space="preserve">, </w:t>
      </w:r>
      <w:r w:rsidRPr="00324CF1">
        <w:rPr>
          <w:lang w:val="en-CA"/>
        </w:rPr>
        <w:t xml:space="preserve">the legislator </w:t>
      </w:r>
      <w:r w:rsidR="00F651A4">
        <w:rPr>
          <w:lang w:val="en-CA"/>
        </w:rPr>
        <w:t xml:space="preserve">instead </w:t>
      </w:r>
      <w:r w:rsidRPr="00324CF1">
        <w:rPr>
          <w:lang w:val="en-CA"/>
        </w:rPr>
        <w:t>chose to prohibit the court from exercising jurisdiction</w:t>
      </w:r>
      <w:r w:rsidR="00F651A4">
        <w:rPr>
          <w:lang w:val="en-CA"/>
        </w:rPr>
        <w:t xml:space="preserve"> </w:t>
      </w:r>
      <w:r w:rsidRPr="00324CF1">
        <w:rPr>
          <w:lang w:val="en-CA"/>
        </w:rPr>
        <w:t>it would otherwise have</w:t>
      </w:r>
      <w:r w:rsidR="00F651A4">
        <w:rPr>
          <w:lang w:val="en-CA"/>
        </w:rPr>
        <w:t xml:space="preserve"> had</w:t>
      </w:r>
      <w:r w:rsidRPr="00324CF1">
        <w:rPr>
          <w:lang w:val="en-CA"/>
        </w:rPr>
        <w:t>.</w:t>
      </w:r>
    </w:p>
    <w:p w14:paraId="0B5FF63A" w14:textId="77E3C899" w:rsidR="003849DD" w:rsidRPr="00324CF1" w:rsidRDefault="00ED47F8" w:rsidP="00FB5A91">
      <w:pPr>
        <w:pStyle w:val="Paragraphe"/>
        <w:spacing w:line="240" w:lineRule="auto"/>
        <w:rPr>
          <w:lang w:val="en-US"/>
        </w:rPr>
      </w:pPr>
      <w:r w:rsidRPr="00324CF1">
        <w:rPr>
          <w:lang w:val="en-CA"/>
        </w:rPr>
        <w:lastRenderedPageBreak/>
        <w:t xml:space="preserve">Finally, according to AAI, the </w:t>
      </w:r>
      <w:r w:rsidR="00427D75">
        <w:rPr>
          <w:lang w:val="en-CA"/>
        </w:rPr>
        <w:t>trial</w:t>
      </w:r>
      <w:r w:rsidRPr="00324CF1">
        <w:rPr>
          <w:lang w:val="en-CA"/>
        </w:rPr>
        <w:t xml:space="preserve"> judge </w:t>
      </w:r>
      <w:r w:rsidR="00427D75">
        <w:rPr>
          <w:lang w:val="en-CA"/>
        </w:rPr>
        <w:t>was right</w:t>
      </w:r>
      <w:r w:rsidRPr="00324CF1">
        <w:rPr>
          <w:lang w:val="en-CA"/>
        </w:rPr>
        <w:t xml:space="preserve"> to refuse to decide the question</w:t>
      </w:r>
      <w:r w:rsidR="00427D75">
        <w:rPr>
          <w:lang w:val="en-CA"/>
        </w:rPr>
        <w:t xml:space="preserve"> of immunity</w:t>
      </w:r>
      <w:r w:rsidRPr="00324CF1">
        <w:rPr>
          <w:lang w:val="en-CA"/>
        </w:rPr>
        <w:t xml:space="preserve"> before AAI had been</w:t>
      </w:r>
      <w:r w:rsidR="00427D75">
        <w:rPr>
          <w:lang w:val="en-CA"/>
        </w:rPr>
        <w:t xml:space="preserve"> validly</w:t>
      </w:r>
      <w:r w:rsidRPr="00324CF1">
        <w:rPr>
          <w:lang w:val="en-CA"/>
        </w:rPr>
        <w:t xml:space="preserve"> served. Nor did he err in </w:t>
      </w:r>
      <w:r w:rsidR="00427D75">
        <w:rPr>
          <w:lang w:val="en-CA"/>
        </w:rPr>
        <w:t>finding</w:t>
      </w:r>
      <w:r w:rsidR="00427D75" w:rsidRPr="00324CF1">
        <w:rPr>
          <w:lang w:val="en-CA"/>
        </w:rPr>
        <w:t xml:space="preserve"> </w:t>
      </w:r>
      <w:r w:rsidRPr="00324CF1">
        <w:rPr>
          <w:lang w:val="en-CA"/>
        </w:rPr>
        <w:t xml:space="preserve">that this debate must take place </w:t>
      </w:r>
      <w:r w:rsidRPr="00324CF1">
        <w:rPr>
          <w:i/>
          <w:iCs/>
          <w:lang w:val="en-CA"/>
        </w:rPr>
        <w:t>inter partes,</w:t>
      </w:r>
      <w:r w:rsidRPr="00324CF1">
        <w:rPr>
          <w:lang w:val="en-CA"/>
        </w:rPr>
        <w:t xml:space="preserve"> except in exceptional circumstances, and that in this case, </w:t>
      </w:r>
      <w:r w:rsidR="00427D75">
        <w:rPr>
          <w:lang w:val="en-CA"/>
        </w:rPr>
        <w:t>there was no emergency</w:t>
      </w:r>
      <w:r w:rsidRPr="00324CF1">
        <w:rPr>
          <w:lang w:val="en-CA"/>
        </w:rPr>
        <w:t xml:space="preserve"> to proceed </w:t>
      </w:r>
      <w:r w:rsidRPr="00324CF1">
        <w:rPr>
          <w:i/>
          <w:iCs/>
          <w:lang w:val="en-CA"/>
        </w:rPr>
        <w:t>ex parte</w:t>
      </w:r>
      <w:r w:rsidRPr="00324CF1">
        <w:rPr>
          <w:lang w:val="en-CA"/>
        </w:rPr>
        <w:t>.</w:t>
      </w:r>
    </w:p>
    <w:p w14:paraId="7B75C5C4" w14:textId="2719E2F6" w:rsidR="003849DD" w:rsidRPr="00324CF1" w:rsidRDefault="00ED47F8" w:rsidP="00FB5A91">
      <w:pPr>
        <w:pStyle w:val="Paragraphe"/>
        <w:spacing w:line="240" w:lineRule="auto"/>
        <w:rPr>
          <w:lang w:val="en-US"/>
        </w:rPr>
      </w:pPr>
      <w:r w:rsidRPr="00324CF1">
        <w:rPr>
          <w:lang w:val="en-CA"/>
        </w:rPr>
        <w:t>IATA, for its part, reiterate</w:t>
      </w:r>
      <w:r w:rsidR="005B2776">
        <w:rPr>
          <w:lang w:val="en-CA"/>
        </w:rPr>
        <w:t>d</w:t>
      </w:r>
      <w:r w:rsidRPr="00324CF1">
        <w:rPr>
          <w:lang w:val="en-CA"/>
        </w:rPr>
        <w:t xml:space="preserve"> the arguments raised by AAI, adding some details. It </w:t>
      </w:r>
      <w:r w:rsidR="003F4D74">
        <w:rPr>
          <w:lang w:val="en-CA"/>
        </w:rPr>
        <w:t>recall</w:t>
      </w:r>
      <w:r w:rsidR="005B2776">
        <w:rPr>
          <w:lang w:val="en-CA"/>
        </w:rPr>
        <w:t>ed</w:t>
      </w:r>
      <w:r w:rsidR="003F4D74" w:rsidRPr="00324CF1">
        <w:rPr>
          <w:lang w:val="en-CA"/>
        </w:rPr>
        <w:t xml:space="preserve"> </w:t>
      </w:r>
      <w:r w:rsidRPr="00324CF1">
        <w:rPr>
          <w:lang w:val="en-CA"/>
        </w:rPr>
        <w:t xml:space="preserve">that in </w:t>
      </w:r>
      <w:r w:rsidRPr="00324CF1">
        <w:rPr>
          <w:i/>
          <w:iCs/>
          <w:lang w:val="en-CA"/>
        </w:rPr>
        <w:t>Kazemi</w:t>
      </w:r>
      <w:r w:rsidRPr="00324CF1">
        <w:rPr>
          <w:lang w:val="en-CA"/>
        </w:rPr>
        <w:t xml:space="preserve">, the Supreme Court of Canada indicated that the </w:t>
      </w:r>
      <w:r w:rsidRPr="00324CF1">
        <w:rPr>
          <w:i/>
          <w:iCs/>
          <w:lang w:val="en-CA"/>
        </w:rPr>
        <w:t>SIA</w:t>
      </w:r>
      <w:r w:rsidRPr="00324CF1">
        <w:rPr>
          <w:lang w:val="en-CA"/>
        </w:rPr>
        <w:t xml:space="preserve"> is a complete codification of Canadian law on immunity, without</w:t>
      </w:r>
      <w:r w:rsidR="003F4D74">
        <w:rPr>
          <w:lang w:val="en-CA"/>
        </w:rPr>
        <w:t>, however,</w:t>
      </w:r>
      <w:r w:rsidRPr="00324CF1">
        <w:rPr>
          <w:lang w:val="en-CA"/>
        </w:rPr>
        <w:t xml:space="preserve"> ruling out customary international or common law principles that may help interpret the provisions, in the event of ambiguity.</w:t>
      </w:r>
      <w:r w:rsidRPr="00324CF1">
        <w:rPr>
          <w:rStyle w:val="Appelnotedebasdep"/>
          <w:lang w:val="en-CA"/>
        </w:rPr>
        <w:footnoteReference w:id="114"/>
      </w:r>
      <w:r w:rsidRPr="00324CF1">
        <w:rPr>
          <w:lang w:val="en-CA"/>
        </w:rPr>
        <w:t xml:space="preserve"> Furthermore, it consider</w:t>
      </w:r>
      <w:r w:rsidR="005B2776">
        <w:rPr>
          <w:lang w:val="en-CA"/>
        </w:rPr>
        <w:t>ed</w:t>
      </w:r>
      <w:r w:rsidRPr="00324CF1">
        <w:rPr>
          <w:lang w:val="en-CA"/>
        </w:rPr>
        <w:t xml:space="preserve"> that it is appropriate to interpret the lack of references to conservatory measures in the </w:t>
      </w:r>
      <w:r w:rsidRPr="00324CF1">
        <w:rPr>
          <w:i/>
          <w:iCs/>
          <w:lang w:val="en-CA"/>
        </w:rPr>
        <w:t>SIA</w:t>
      </w:r>
      <w:r w:rsidRPr="00324CF1">
        <w:rPr>
          <w:lang w:val="en-CA"/>
        </w:rPr>
        <w:t xml:space="preserve"> as meaning that they are covered by immunity in the same way as any other stage of the proceedings. According to IATA, the ordinary meaning of the terms used in section 3 of the </w:t>
      </w:r>
      <w:r w:rsidRPr="00324CF1">
        <w:rPr>
          <w:i/>
          <w:iCs/>
          <w:lang w:val="en-CA"/>
        </w:rPr>
        <w:t>SIA</w:t>
      </w:r>
      <w:r w:rsidRPr="00324CF1">
        <w:rPr>
          <w:lang w:val="en-CA"/>
        </w:rPr>
        <w:t xml:space="preserve"> supports the idea that conservatory measures are covered by jurisdictional immunity, since the term “jurisdiction” means any proceedings before a court of justice. Moreover, such an interpretation is consistent with section 12 of the </w:t>
      </w:r>
      <w:r w:rsidRPr="00324CF1">
        <w:rPr>
          <w:i/>
          <w:iCs/>
          <w:lang w:val="en-CA"/>
        </w:rPr>
        <w:t>SIA</w:t>
      </w:r>
      <w:r w:rsidRPr="00324CF1">
        <w:rPr>
          <w:lang w:val="en-CA"/>
        </w:rPr>
        <w:t xml:space="preserve">, which deals with the execution of judgments and provides that immunity applies to execution measures sought in a subsequent proceeding. Additionally, since the purpose of section 3 of the </w:t>
      </w:r>
      <w:r w:rsidRPr="00324CF1">
        <w:rPr>
          <w:i/>
          <w:iCs/>
          <w:lang w:val="en-CA"/>
        </w:rPr>
        <w:t>SIA</w:t>
      </w:r>
      <w:r w:rsidRPr="00324CF1">
        <w:rPr>
          <w:lang w:val="en-CA"/>
        </w:rPr>
        <w:t xml:space="preserve"> is to ensure the equality of sovereign states, </w:t>
      </w:r>
      <w:r w:rsidR="003F4D74">
        <w:rPr>
          <w:lang w:val="en-CA"/>
        </w:rPr>
        <w:t>as soon as</w:t>
      </w:r>
      <w:r w:rsidR="003F4D74" w:rsidRPr="00324CF1">
        <w:rPr>
          <w:lang w:val="en-CA"/>
        </w:rPr>
        <w:t xml:space="preserve"> </w:t>
      </w:r>
      <w:r w:rsidRPr="00324CF1">
        <w:rPr>
          <w:lang w:val="en-CA"/>
        </w:rPr>
        <w:t xml:space="preserve">a decision of a court has the effect of subjecting a foreign state to its jurisdiction, immunity must be applied. According to IATA, customary international rules also support the idea that pre-trial judgments (including seizure before judgment by garnishment) are subject to immunity from the jurisdiction of the courts. </w:t>
      </w:r>
      <w:r w:rsidR="002E56C4">
        <w:rPr>
          <w:lang w:val="en-CA"/>
        </w:rPr>
        <w:t>So long as</w:t>
      </w:r>
      <w:r w:rsidR="002E56C4" w:rsidRPr="00324CF1">
        <w:rPr>
          <w:lang w:val="en-CA"/>
        </w:rPr>
        <w:t xml:space="preserve"> </w:t>
      </w:r>
      <w:r w:rsidRPr="00324CF1">
        <w:rPr>
          <w:lang w:val="en-CA"/>
        </w:rPr>
        <w:t xml:space="preserve">these customs constitute a general practice and </w:t>
      </w:r>
      <w:r w:rsidRPr="00324CF1">
        <w:rPr>
          <w:i/>
          <w:iCs/>
          <w:lang w:val="en-CA"/>
        </w:rPr>
        <w:t>opinio juris</w:t>
      </w:r>
      <w:r w:rsidRPr="00324CF1">
        <w:rPr>
          <w:lang w:val="en-CA"/>
        </w:rPr>
        <w:t xml:space="preserve"> exists, in the absence of a law to the contrary, they are incorporated into Canadian law.</w:t>
      </w:r>
      <w:r w:rsidRPr="00324CF1">
        <w:rPr>
          <w:rStyle w:val="Appelnotedebasdep"/>
          <w:lang w:val="en-CA"/>
        </w:rPr>
        <w:footnoteReference w:id="115"/>
      </w:r>
      <w:r w:rsidRPr="00324CF1">
        <w:rPr>
          <w:lang w:val="en-CA"/>
        </w:rPr>
        <w:t xml:space="preserve"> It conclude</w:t>
      </w:r>
      <w:r w:rsidR="005B2776">
        <w:rPr>
          <w:lang w:val="en-CA"/>
        </w:rPr>
        <w:t>d</w:t>
      </w:r>
      <w:r w:rsidRPr="00324CF1">
        <w:rPr>
          <w:lang w:val="en-CA"/>
        </w:rPr>
        <w:t xml:space="preserve"> by pointing out that the commercial activity exception cannot be invoked in the context of a pre-trial judgment (or a conservatory measure).</w:t>
      </w:r>
    </w:p>
    <w:p w14:paraId="7030E0F8" w14:textId="77777777" w:rsidR="00BA66D9" w:rsidRPr="00324CF1" w:rsidRDefault="00ED47F8" w:rsidP="00FB5A91">
      <w:pPr>
        <w:pStyle w:val="Paragraphe"/>
        <w:spacing w:line="240" w:lineRule="auto"/>
        <w:rPr>
          <w:lang w:val="en-US"/>
        </w:rPr>
      </w:pPr>
      <w:r w:rsidRPr="00324CF1">
        <w:rPr>
          <w:lang w:val="en-CA"/>
        </w:rPr>
        <w:t>So what does this mean?</w:t>
      </w:r>
    </w:p>
    <w:p w14:paraId="1E33722C" w14:textId="2724C0F3" w:rsidR="00C858C2" w:rsidRPr="00324CF1" w:rsidRDefault="00ED47F8" w:rsidP="00FB5A91">
      <w:pPr>
        <w:pStyle w:val="Paragraphe"/>
        <w:spacing w:line="240" w:lineRule="auto"/>
        <w:rPr>
          <w:lang w:val="en-US"/>
        </w:rPr>
      </w:pPr>
      <w:r w:rsidRPr="00324CF1">
        <w:rPr>
          <w:lang w:val="en-CA"/>
        </w:rPr>
        <w:t xml:space="preserve">The Court is of the opinion that the </w:t>
      </w:r>
      <w:r w:rsidR="001B78C9">
        <w:rPr>
          <w:lang w:val="en-CA"/>
        </w:rPr>
        <w:t>trial</w:t>
      </w:r>
      <w:r w:rsidRPr="00324CF1">
        <w:rPr>
          <w:lang w:val="en-CA"/>
        </w:rPr>
        <w:t xml:space="preserve"> judge committed a reviewable error of law when he determined that the judge could not authorize the seizure </w:t>
      </w:r>
      <w:r w:rsidRPr="00324CF1">
        <w:rPr>
          <w:i/>
          <w:iCs/>
          <w:lang w:val="en-CA"/>
        </w:rPr>
        <w:t xml:space="preserve">ex parte </w:t>
      </w:r>
      <w:r w:rsidRPr="00324CF1">
        <w:rPr>
          <w:lang w:val="en-CA"/>
        </w:rPr>
        <w:t xml:space="preserve">before the question of immunity from jurisdiction was decided on the merits. </w:t>
      </w:r>
    </w:p>
    <w:p w14:paraId="36AFC100" w14:textId="0058DEE6" w:rsidR="00FE03A4" w:rsidRPr="00324CF1" w:rsidRDefault="00ED47F8" w:rsidP="00FB5A91">
      <w:pPr>
        <w:pStyle w:val="Paragraphe"/>
        <w:spacing w:line="240" w:lineRule="auto"/>
        <w:rPr>
          <w:lang w:val="en-US"/>
        </w:rPr>
      </w:pPr>
      <w:r w:rsidRPr="00324CF1">
        <w:rPr>
          <w:lang w:val="en-CA"/>
        </w:rPr>
        <w:t xml:space="preserve">First of all, he was mistaken as to the scope of the judgments he cited. Neither </w:t>
      </w:r>
      <w:bookmarkStart w:id="104" w:name="_Hlk173766280"/>
      <w:r w:rsidRPr="00324CF1">
        <w:rPr>
          <w:i/>
          <w:iCs/>
          <w:lang w:val="en-CA"/>
        </w:rPr>
        <w:t>Trudel</w:t>
      </w:r>
      <w:r w:rsidRPr="00324CF1">
        <w:rPr>
          <w:lang w:val="en-CA"/>
        </w:rPr>
        <w:t>,</w:t>
      </w:r>
      <w:r w:rsidRPr="00324CF1">
        <w:rPr>
          <w:vertAlign w:val="superscript"/>
          <w:lang w:val="en-CA"/>
        </w:rPr>
        <w:footnoteReference w:id="116"/>
      </w:r>
      <w:r w:rsidRPr="00324CF1">
        <w:rPr>
          <w:lang w:val="en-CA"/>
        </w:rPr>
        <w:t xml:space="preserve"> decided by our Court, nor </w:t>
      </w:r>
      <w:r w:rsidRPr="00324CF1">
        <w:rPr>
          <w:i/>
          <w:iCs/>
          <w:lang w:val="en-CA"/>
        </w:rPr>
        <w:t>Schreiber</w:t>
      </w:r>
      <w:r w:rsidRPr="00324CF1">
        <w:rPr>
          <w:lang w:val="en-CA"/>
        </w:rPr>
        <w:t>, decided by the Court of Appeal for Ontario,</w:t>
      </w:r>
      <w:r w:rsidRPr="00324CF1">
        <w:rPr>
          <w:vertAlign w:val="superscript"/>
          <w:lang w:val="en-CA"/>
        </w:rPr>
        <w:footnoteReference w:id="117"/>
      </w:r>
      <w:r w:rsidRPr="00324CF1">
        <w:rPr>
          <w:lang w:val="en-CA"/>
        </w:rPr>
        <w:t xml:space="preserve"> </w:t>
      </w:r>
      <w:bookmarkEnd w:id="104"/>
      <w:r w:rsidRPr="00324CF1">
        <w:rPr>
          <w:lang w:val="en-CA"/>
        </w:rPr>
        <w:t xml:space="preserve">support the argument that the </w:t>
      </w:r>
      <w:r w:rsidR="00FD1118" w:rsidRPr="00324CF1">
        <w:rPr>
          <w:lang w:val="en-CA"/>
        </w:rPr>
        <w:t>authoriz</w:t>
      </w:r>
      <w:r w:rsidR="00FD1118">
        <w:rPr>
          <w:lang w:val="en-CA"/>
        </w:rPr>
        <w:t>ing</w:t>
      </w:r>
      <w:r w:rsidR="00FD1118" w:rsidRPr="00324CF1">
        <w:rPr>
          <w:lang w:val="en-CA"/>
        </w:rPr>
        <w:t xml:space="preserve"> </w:t>
      </w:r>
      <w:r w:rsidRPr="00324CF1">
        <w:rPr>
          <w:lang w:val="en-CA"/>
        </w:rPr>
        <w:t xml:space="preserve">judge </w:t>
      </w:r>
      <w:r w:rsidR="00FD1118">
        <w:rPr>
          <w:lang w:val="en-CA"/>
        </w:rPr>
        <w:t>is</w:t>
      </w:r>
      <w:r w:rsidR="00FD1118" w:rsidRPr="00324CF1">
        <w:rPr>
          <w:lang w:val="en-CA"/>
        </w:rPr>
        <w:t xml:space="preserve"> </w:t>
      </w:r>
      <w:r w:rsidRPr="00324CF1">
        <w:rPr>
          <w:lang w:val="en-CA"/>
        </w:rPr>
        <w:t xml:space="preserve">required to decide the question of immunity when issuing a notice of </w:t>
      </w:r>
      <w:r w:rsidR="00FD1118">
        <w:rPr>
          <w:lang w:val="en-CA"/>
        </w:rPr>
        <w:t>execution</w:t>
      </w:r>
      <w:r w:rsidR="00FD1118" w:rsidRPr="00324CF1">
        <w:rPr>
          <w:lang w:val="en-CA"/>
        </w:rPr>
        <w:t xml:space="preserve"> </w:t>
      </w:r>
      <w:r w:rsidRPr="00324CF1">
        <w:rPr>
          <w:lang w:val="en-CA"/>
        </w:rPr>
        <w:t xml:space="preserve">of seizure before judgment. Rather, these two rulings were rendered in the context of an application to dismiss </w:t>
      </w:r>
      <w:r w:rsidR="00FD1118">
        <w:rPr>
          <w:lang w:val="en-CA"/>
        </w:rPr>
        <w:t>where</w:t>
      </w:r>
      <w:r w:rsidRPr="00324CF1">
        <w:rPr>
          <w:lang w:val="en-CA"/>
        </w:rPr>
        <w:t xml:space="preserve"> it was appropriate to rule [</w:t>
      </w:r>
      <w:r w:rsidR="00755995" w:rsidRPr="005E6EB3">
        <w:rPr>
          <w:smallCaps/>
          <w:lang w:val="en-CA"/>
        </w:rPr>
        <w:t>translation</w:t>
      </w:r>
      <w:r w:rsidRPr="00324CF1">
        <w:rPr>
          <w:lang w:val="en-CA"/>
        </w:rPr>
        <w:t xml:space="preserve">] “immediately” on immunity, as seen in the </w:t>
      </w:r>
      <w:r w:rsidRPr="00324CF1">
        <w:rPr>
          <w:lang w:val="en-CA"/>
        </w:rPr>
        <w:lastRenderedPageBreak/>
        <w:t xml:space="preserve">following excerpt from </w:t>
      </w:r>
      <w:r w:rsidRPr="00324CF1">
        <w:rPr>
          <w:i/>
          <w:iCs/>
          <w:lang w:val="en-CA"/>
        </w:rPr>
        <w:t>Trudel</w:t>
      </w:r>
      <w:r w:rsidRPr="00324CF1">
        <w:rPr>
          <w:lang w:val="en-CA"/>
        </w:rPr>
        <w:t>, in which Chamberland</w:t>
      </w:r>
      <w:r w:rsidR="000B59C9">
        <w:rPr>
          <w:lang w:val="en-CA"/>
        </w:rPr>
        <w:t>,</w:t>
      </w:r>
      <w:r w:rsidRPr="00324CF1">
        <w:rPr>
          <w:lang w:val="en-CA"/>
        </w:rPr>
        <w:t xml:space="preserve"> J.A. wrote the following on behalf of the Court:</w:t>
      </w:r>
      <w:r w:rsidRPr="00324CF1">
        <w:rPr>
          <w:kern w:val="24"/>
          <w:szCs w:val="24"/>
          <w:vertAlign w:val="superscript"/>
          <w:lang w:val="en-CA"/>
        </w:rPr>
        <w:footnoteReference w:id="118"/>
      </w:r>
    </w:p>
    <w:p w14:paraId="27D67651" w14:textId="501AF132" w:rsidR="00755995" w:rsidRDefault="00755995" w:rsidP="00FB5A91">
      <w:pPr>
        <w:spacing w:before="120" w:after="120" w:line="240" w:lineRule="auto"/>
        <w:ind w:left="720" w:right="720"/>
        <w:jc w:val="both"/>
        <w:rPr>
          <w:kern w:val="24"/>
          <w:sz w:val="22"/>
          <w:lang w:val="en-CA"/>
        </w:rPr>
      </w:pPr>
      <w:r w:rsidRPr="00324CF1">
        <w:rPr>
          <w:kern w:val="24"/>
          <w:sz w:val="22"/>
          <w:lang w:val="en-CA"/>
        </w:rPr>
        <w:t>[</w:t>
      </w:r>
      <w:r w:rsidRPr="005E6EB3">
        <w:rPr>
          <w:smallCaps/>
          <w:kern w:val="24"/>
          <w:sz w:val="22"/>
          <w:lang w:val="en-CA"/>
        </w:rPr>
        <w:t>translation</w:t>
      </w:r>
      <w:r w:rsidRPr="00324CF1">
        <w:rPr>
          <w:kern w:val="24"/>
          <w:sz w:val="22"/>
          <w:lang w:val="en-CA"/>
        </w:rPr>
        <w:t>]</w:t>
      </w:r>
    </w:p>
    <w:p w14:paraId="0F8BEDA0" w14:textId="16E4F354" w:rsidR="00FE03A4" w:rsidRPr="00324CF1" w:rsidRDefault="00ED47F8" w:rsidP="00FB5A91">
      <w:pPr>
        <w:spacing w:before="120" w:after="120" w:line="240" w:lineRule="auto"/>
        <w:ind w:left="720" w:right="720"/>
        <w:jc w:val="both"/>
        <w:rPr>
          <w:kern w:val="24"/>
          <w:sz w:val="22"/>
          <w:u w:val="single"/>
          <w:lang w:val="en-US"/>
        </w:rPr>
      </w:pPr>
      <w:r w:rsidRPr="00324CF1">
        <w:rPr>
          <w:kern w:val="24"/>
          <w:sz w:val="22"/>
          <w:lang w:val="en-CA"/>
        </w:rPr>
        <w:t>[22]</w:t>
      </w:r>
      <w:r w:rsidRPr="00324CF1">
        <w:rPr>
          <w:kern w:val="24"/>
          <w:sz w:val="22"/>
          <w:lang w:val="en-CA"/>
        </w:rPr>
        <w:tab/>
      </w:r>
      <w:r w:rsidRPr="00324CF1">
        <w:rPr>
          <w:kern w:val="24"/>
          <w:sz w:val="22"/>
          <w:u w:val="single"/>
          <w:lang w:val="en-CA"/>
        </w:rPr>
        <w:t>Even though caution should be exercised in matters of applications to dismiss</w:t>
      </w:r>
      <w:r w:rsidRPr="00324CF1">
        <w:rPr>
          <w:kern w:val="24"/>
          <w:sz w:val="22"/>
          <w:lang w:val="en-CA"/>
        </w:rPr>
        <w:t>, it was</w:t>
      </w:r>
      <w:r w:rsidR="008B720F" w:rsidRPr="008B720F">
        <w:rPr>
          <w:kern w:val="24"/>
          <w:sz w:val="22"/>
          <w:lang w:val="en-CA"/>
        </w:rPr>
        <w:t xml:space="preserve"> </w:t>
      </w:r>
      <w:r w:rsidR="008B720F" w:rsidRPr="00324CF1">
        <w:rPr>
          <w:kern w:val="24"/>
          <w:sz w:val="22"/>
          <w:lang w:val="en-CA"/>
        </w:rPr>
        <w:t>ill-advised</w:t>
      </w:r>
      <w:r w:rsidRPr="00324CF1">
        <w:rPr>
          <w:kern w:val="24"/>
          <w:sz w:val="22"/>
          <w:lang w:val="en-CA"/>
        </w:rPr>
        <w:t xml:space="preserve"> in the circumstances. In </w:t>
      </w:r>
      <w:r w:rsidRPr="00324CF1">
        <w:rPr>
          <w:i/>
          <w:iCs/>
          <w:kern w:val="24"/>
          <w:sz w:val="22"/>
          <w:lang w:val="en-CA"/>
        </w:rPr>
        <w:t>Gillet c. Arthur</w:t>
      </w:r>
      <w:r w:rsidRPr="00324CF1">
        <w:rPr>
          <w:kern w:val="24"/>
          <w:sz w:val="22"/>
          <w:lang w:val="en-CA"/>
        </w:rPr>
        <w:t xml:space="preserve">, the Court recalls that </w:t>
      </w:r>
      <w:r w:rsidR="008B720F">
        <w:rPr>
          <w:kern w:val="24"/>
          <w:sz w:val="22"/>
          <w:lang w:val="en-CA"/>
        </w:rPr>
        <w:t>[</w:t>
      </w:r>
      <w:r w:rsidR="008B720F" w:rsidRPr="005E6EB3">
        <w:rPr>
          <w:smallCaps/>
          <w:kern w:val="24"/>
          <w:sz w:val="22"/>
          <w:lang w:val="en-CA"/>
        </w:rPr>
        <w:t>translation</w:t>
      </w:r>
      <w:r w:rsidR="008B720F">
        <w:rPr>
          <w:kern w:val="24"/>
          <w:sz w:val="22"/>
          <w:lang w:val="en-CA"/>
        </w:rPr>
        <w:t xml:space="preserve">] </w:t>
      </w:r>
      <w:r w:rsidRPr="00324CF1">
        <w:rPr>
          <w:kern w:val="24"/>
          <w:sz w:val="22"/>
          <w:lang w:val="en-CA"/>
        </w:rPr>
        <w:t>“the judge seized of an application to dismiss relating to a specific point of law must decide</w:t>
      </w:r>
      <w:r w:rsidR="000B59C9">
        <w:rPr>
          <w:kern w:val="24"/>
          <w:sz w:val="22"/>
          <w:lang w:val="en-CA"/>
        </w:rPr>
        <w:t>,</w:t>
      </w:r>
      <w:r w:rsidRPr="00324CF1">
        <w:rPr>
          <w:kern w:val="24"/>
          <w:sz w:val="22"/>
          <w:lang w:val="en-CA"/>
        </w:rPr>
        <w:t xml:space="preserve"> whatever the difficulty or complexity of the question may be”. </w:t>
      </w:r>
      <w:r w:rsidRPr="00324CF1">
        <w:rPr>
          <w:kern w:val="24"/>
          <w:sz w:val="22"/>
          <w:u w:val="single"/>
          <w:lang w:val="en-CA"/>
        </w:rPr>
        <w:t xml:space="preserve">The question of a foreign state’s immunity from the jurisdiction of the courts is a question of public order that, </w:t>
      </w:r>
      <w:r w:rsidR="008B720F">
        <w:rPr>
          <w:kern w:val="24"/>
          <w:sz w:val="22"/>
          <w:u w:val="single"/>
          <w:lang w:val="en-CA"/>
        </w:rPr>
        <w:t>save</w:t>
      </w:r>
      <w:r w:rsidR="008B720F" w:rsidRPr="00324CF1">
        <w:rPr>
          <w:kern w:val="24"/>
          <w:sz w:val="22"/>
          <w:u w:val="single"/>
          <w:lang w:val="en-CA"/>
        </w:rPr>
        <w:t xml:space="preserve"> </w:t>
      </w:r>
      <w:r w:rsidRPr="00324CF1">
        <w:rPr>
          <w:kern w:val="24"/>
          <w:sz w:val="22"/>
          <w:u w:val="single"/>
          <w:lang w:val="en-CA"/>
        </w:rPr>
        <w:t xml:space="preserve">in exceptional circumstances, must be decided immediately, </w:t>
      </w:r>
      <w:r w:rsidR="008B720F">
        <w:rPr>
          <w:kern w:val="24"/>
          <w:sz w:val="22"/>
          <w:u w:val="single"/>
          <w:lang w:val="en-CA"/>
        </w:rPr>
        <w:t>at</w:t>
      </w:r>
      <w:r w:rsidRPr="00324CF1">
        <w:rPr>
          <w:kern w:val="24"/>
          <w:sz w:val="22"/>
          <w:u w:val="single"/>
          <w:lang w:val="en-CA"/>
        </w:rPr>
        <w:t xml:space="preserve"> the stage of the application to dismiss</w:t>
      </w:r>
      <w:r w:rsidR="008B720F">
        <w:rPr>
          <w:kern w:val="24"/>
          <w:sz w:val="22"/>
          <w:u w:val="single"/>
          <w:lang w:val="en-CA"/>
        </w:rPr>
        <w:t>,</w:t>
      </w:r>
      <w:r w:rsidRPr="00324CF1">
        <w:rPr>
          <w:kern w:val="24"/>
          <w:sz w:val="22"/>
          <w:u w:val="single"/>
          <w:lang w:val="en-CA"/>
        </w:rPr>
        <w:t xml:space="preserve"> in the same way, for example, as </w:t>
      </w:r>
      <w:r w:rsidR="008B720F">
        <w:rPr>
          <w:kern w:val="24"/>
          <w:sz w:val="22"/>
          <w:u w:val="single"/>
          <w:lang w:val="en-CA"/>
        </w:rPr>
        <w:t>would the question</w:t>
      </w:r>
      <w:r w:rsidR="008B720F" w:rsidRPr="00324CF1">
        <w:rPr>
          <w:kern w:val="24"/>
          <w:sz w:val="22"/>
          <w:u w:val="single"/>
          <w:lang w:val="en-CA"/>
        </w:rPr>
        <w:t xml:space="preserve"> </w:t>
      </w:r>
      <w:r w:rsidRPr="00324CF1">
        <w:rPr>
          <w:kern w:val="24"/>
          <w:sz w:val="22"/>
          <w:u w:val="single"/>
          <w:lang w:val="en-CA"/>
        </w:rPr>
        <w:t xml:space="preserve">of the court’s </w:t>
      </w:r>
      <w:r w:rsidR="00025FC1">
        <w:rPr>
          <w:kern w:val="24"/>
          <w:sz w:val="22"/>
          <w:u w:val="single"/>
          <w:lang w:val="en-CA"/>
        </w:rPr>
        <w:t>ratione materiae</w:t>
      </w:r>
      <w:r w:rsidR="00025FC1" w:rsidRPr="00324CF1">
        <w:rPr>
          <w:kern w:val="24"/>
          <w:sz w:val="22"/>
          <w:u w:val="single"/>
          <w:lang w:val="en-CA"/>
        </w:rPr>
        <w:t xml:space="preserve"> </w:t>
      </w:r>
      <w:r w:rsidRPr="00324CF1">
        <w:rPr>
          <w:kern w:val="24"/>
          <w:sz w:val="22"/>
          <w:u w:val="single"/>
          <w:lang w:val="en-CA"/>
        </w:rPr>
        <w:t>jurisdiction.</w:t>
      </w:r>
      <w:r w:rsidRPr="00324CF1">
        <w:rPr>
          <w:kern w:val="24"/>
          <w:sz w:val="22"/>
          <w:u w:val="single"/>
          <w:vertAlign w:val="superscript"/>
          <w:lang w:val="en-CA"/>
        </w:rPr>
        <w:t xml:space="preserve"> </w:t>
      </w:r>
    </w:p>
    <w:p w14:paraId="0627D7B0" w14:textId="77777777" w:rsidR="00FE03A4" w:rsidRPr="00324CF1" w:rsidRDefault="00ED47F8" w:rsidP="00FB5A91">
      <w:pPr>
        <w:spacing w:before="120" w:after="120" w:line="240" w:lineRule="auto"/>
        <w:ind w:left="720" w:right="720"/>
        <w:jc w:val="right"/>
        <w:rPr>
          <w:kern w:val="24"/>
          <w:sz w:val="22"/>
        </w:rPr>
      </w:pPr>
      <w:r w:rsidRPr="00324CF1">
        <w:rPr>
          <w:kern w:val="24"/>
          <w:sz w:val="22"/>
          <w:lang w:val="en-CA"/>
        </w:rPr>
        <w:t>[References omitted; emphasis added]</w:t>
      </w:r>
    </w:p>
    <w:p w14:paraId="418A3622" w14:textId="5269F239" w:rsidR="00FC25A6" w:rsidRPr="00324CF1" w:rsidRDefault="00ED47F8" w:rsidP="00FB5A91">
      <w:pPr>
        <w:pStyle w:val="Paragraphe"/>
        <w:spacing w:line="240" w:lineRule="auto"/>
        <w:rPr>
          <w:lang w:val="en-US"/>
        </w:rPr>
      </w:pPr>
      <w:r w:rsidRPr="00324CF1">
        <w:rPr>
          <w:lang w:val="en-CA"/>
        </w:rPr>
        <w:t>Chamberland</w:t>
      </w:r>
      <w:r w:rsidR="000B59C9">
        <w:rPr>
          <w:lang w:val="en-CA"/>
        </w:rPr>
        <w:t>,</w:t>
      </w:r>
      <w:r w:rsidRPr="00324CF1">
        <w:rPr>
          <w:lang w:val="en-CA"/>
        </w:rPr>
        <w:t xml:space="preserve"> J.A. also echoed Doherty J.A. of the Court of Appeal for Ontario in </w:t>
      </w:r>
      <w:r w:rsidRPr="00324CF1">
        <w:rPr>
          <w:i/>
          <w:iCs/>
          <w:lang w:val="en-CA"/>
        </w:rPr>
        <w:t>Schreiber</w:t>
      </w:r>
      <w:r w:rsidRPr="00324CF1">
        <w:rPr>
          <w:lang w:val="en-CA"/>
        </w:rPr>
        <w:t xml:space="preserve"> concerning the need to immediately decide the issue of jurisdictional immunity raised in an application to dismiss:</w:t>
      </w:r>
    </w:p>
    <w:p w14:paraId="7DE351DA" w14:textId="6C8BBD3A" w:rsidR="00DA6BC8" w:rsidRDefault="00DA6BC8" w:rsidP="00FB5A91">
      <w:pPr>
        <w:spacing w:before="120" w:after="120" w:line="240" w:lineRule="auto"/>
        <w:ind w:left="720" w:right="720"/>
        <w:jc w:val="both"/>
        <w:rPr>
          <w:rFonts w:cs="Arial"/>
          <w:sz w:val="22"/>
          <w:szCs w:val="22"/>
          <w:lang w:val="en-CA"/>
        </w:rPr>
      </w:pPr>
      <w:r>
        <w:rPr>
          <w:rFonts w:cs="Arial"/>
          <w:sz w:val="22"/>
          <w:szCs w:val="22"/>
          <w:lang w:val="en-CA"/>
        </w:rPr>
        <w:t>[</w:t>
      </w:r>
      <w:r w:rsidRPr="005E6EB3">
        <w:rPr>
          <w:rFonts w:cs="Arial"/>
          <w:smallCaps/>
          <w:sz w:val="22"/>
          <w:szCs w:val="22"/>
          <w:lang w:val="en-CA"/>
        </w:rPr>
        <w:t>translation</w:t>
      </w:r>
      <w:r>
        <w:rPr>
          <w:rFonts w:cs="Arial"/>
          <w:sz w:val="22"/>
          <w:szCs w:val="22"/>
          <w:lang w:val="en-CA"/>
        </w:rPr>
        <w:t>]</w:t>
      </w:r>
    </w:p>
    <w:p w14:paraId="6E4B7CDB" w14:textId="6651DA92" w:rsidR="003959D5" w:rsidRPr="00324CF1" w:rsidRDefault="00ED47F8" w:rsidP="00FB5A91">
      <w:pPr>
        <w:spacing w:before="120" w:after="120" w:line="240" w:lineRule="auto"/>
        <w:ind w:left="720" w:right="720"/>
        <w:jc w:val="both"/>
        <w:rPr>
          <w:rFonts w:cs="Arial"/>
          <w:sz w:val="22"/>
          <w:szCs w:val="22"/>
          <w:lang w:val="en-US"/>
        </w:rPr>
      </w:pPr>
      <w:r w:rsidRPr="00324CF1">
        <w:rPr>
          <w:rFonts w:cs="Arial"/>
          <w:sz w:val="22"/>
          <w:szCs w:val="22"/>
          <w:lang w:val="en-CA"/>
        </w:rPr>
        <w:t>[26]</w:t>
      </w:r>
      <w:r w:rsidRPr="00324CF1">
        <w:rPr>
          <w:rFonts w:cs="Arial"/>
          <w:sz w:val="22"/>
          <w:szCs w:val="22"/>
          <w:lang w:val="en-CA"/>
        </w:rPr>
        <w:tab/>
      </w:r>
      <w:r w:rsidR="00DA6BC8">
        <w:rPr>
          <w:rFonts w:cs="Arial"/>
          <w:sz w:val="22"/>
          <w:szCs w:val="22"/>
          <w:lang w:val="en-CA"/>
        </w:rPr>
        <w:t>Also in</w:t>
      </w:r>
      <w:r w:rsidRPr="00324CF1">
        <w:rPr>
          <w:rFonts w:cs="Arial"/>
          <w:sz w:val="22"/>
          <w:szCs w:val="22"/>
          <w:lang w:val="en-CA"/>
        </w:rPr>
        <w:t xml:space="preserve"> </w:t>
      </w:r>
      <w:r w:rsidRPr="00324CF1">
        <w:rPr>
          <w:rFonts w:cs="Arial"/>
          <w:i/>
          <w:iCs/>
          <w:sz w:val="22"/>
          <w:szCs w:val="22"/>
          <w:lang w:val="en-CA"/>
        </w:rPr>
        <w:t>Schreiber</w:t>
      </w:r>
      <w:r w:rsidR="00DA6BC8">
        <w:rPr>
          <w:rFonts w:cs="Arial"/>
          <w:sz w:val="22"/>
          <w:szCs w:val="22"/>
          <w:lang w:val="en-CA"/>
        </w:rPr>
        <w:t>,</w:t>
      </w:r>
      <w:r w:rsidRPr="00324CF1">
        <w:rPr>
          <w:rFonts w:cs="Arial"/>
          <w:i/>
          <w:iCs/>
          <w:sz w:val="22"/>
          <w:szCs w:val="22"/>
          <w:lang w:val="en-CA"/>
        </w:rPr>
        <w:t xml:space="preserve"> </w:t>
      </w:r>
      <w:r w:rsidR="00DA6BC8">
        <w:rPr>
          <w:rFonts w:cs="Arial"/>
          <w:sz w:val="22"/>
          <w:szCs w:val="22"/>
          <w:lang w:val="en-CA"/>
        </w:rPr>
        <w:t xml:space="preserve">but before </w:t>
      </w:r>
      <w:r w:rsidRPr="00324CF1">
        <w:rPr>
          <w:rFonts w:cs="Arial"/>
          <w:sz w:val="22"/>
          <w:szCs w:val="22"/>
          <w:lang w:val="en-CA"/>
        </w:rPr>
        <w:t>the Court of Appeal for Ontario, Doherty</w:t>
      </w:r>
      <w:r w:rsidR="000B59C9">
        <w:rPr>
          <w:rFonts w:cs="Arial"/>
          <w:sz w:val="22"/>
          <w:szCs w:val="22"/>
          <w:lang w:val="en-CA"/>
        </w:rPr>
        <w:t>,</w:t>
      </w:r>
      <w:r w:rsidRPr="00324CF1">
        <w:rPr>
          <w:rFonts w:cs="Arial"/>
          <w:sz w:val="22"/>
          <w:szCs w:val="22"/>
          <w:lang w:val="en-CA"/>
        </w:rPr>
        <w:t xml:space="preserve"> J.A. explained why, in his opinion, the need to immediately decide the question of jurisdictional immunity is based as much on the wording of the law as</w:t>
      </w:r>
      <w:r w:rsidR="000B59C9">
        <w:rPr>
          <w:rFonts w:cs="Arial"/>
          <w:sz w:val="22"/>
          <w:szCs w:val="22"/>
          <w:lang w:val="en-CA"/>
        </w:rPr>
        <w:t xml:space="preserve"> it is</w:t>
      </w:r>
      <w:r w:rsidRPr="00324CF1">
        <w:rPr>
          <w:rFonts w:cs="Arial"/>
          <w:sz w:val="22"/>
          <w:szCs w:val="22"/>
          <w:lang w:val="en-CA"/>
        </w:rPr>
        <w:t xml:space="preserve"> on practical considerations:</w:t>
      </w:r>
    </w:p>
    <w:p w14:paraId="6101DAD6" w14:textId="5BEBF5F5" w:rsidR="003959D5" w:rsidRPr="000B59C9" w:rsidRDefault="00ED47F8" w:rsidP="00FB5A91">
      <w:pPr>
        <w:spacing w:before="120" w:after="120" w:line="240" w:lineRule="auto"/>
        <w:ind w:left="1440" w:right="720"/>
        <w:jc w:val="both"/>
        <w:rPr>
          <w:rFonts w:cs="Arial"/>
          <w:sz w:val="20"/>
          <w:lang w:val="en-CA"/>
        </w:rPr>
      </w:pPr>
      <w:r w:rsidRPr="000B59C9">
        <w:rPr>
          <w:rFonts w:cs="Arial"/>
          <w:sz w:val="20"/>
          <w:lang w:val="en-CA"/>
        </w:rPr>
        <w:t xml:space="preserve">[16] </w:t>
      </w:r>
      <w:r w:rsidRPr="000B59C9">
        <w:rPr>
          <w:rFonts w:cs="Arial"/>
          <w:sz w:val="20"/>
          <w:u w:val="single"/>
          <w:lang w:val="en-CA"/>
        </w:rPr>
        <w:t xml:space="preserve">The </w:t>
      </w:r>
      <w:r w:rsidR="000A1C96" w:rsidRPr="000B59C9">
        <w:rPr>
          <w:rFonts w:cs="Arial"/>
          <w:sz w:val="20"/>
          <w:u w:val="single"/>
          <w:lang w:val="en-CA" w:eastAsia="fr-CA"/>
        </w:rPr>
        <w:t>“</w:t>
      </w:r>
      <w:r w:rsidRPr="000B59C9">
        <w:rPr>
          <w:rFonts w:cs="Arial"/>
          <w:sz w:val="20"/>
          <w:u w:val="single"/>
          <w:lang w:val="en-CA"/>
        </w:rPr>
        <w:t>plain and obvious</w:t>
      </w:r>
      <w:r w:rsidR="000A1C96" w:rsidRPr="000B59C9">
        <w:rPr>
          <w:rFonts w:cs="Arial"/>
          <w:sz w:val="20"/>
          <w:u w:val="single"/>
          <w:lang w:val="en-CA" w:eastAsia="fr-CA"/>
        </w:rPr>
        <w:t>”</w:t>
      </w:r>
      <w:r w:rsidRPr="000B59C9">
        <w:rPr>
          <w:rFonts w:cs="Arial"/>
          <w:sz w:val="20"/>
          <w:u w:val="single"/>
          <w:lang w:val="en-CA"/>
        </w:rPr>
        <w:t xml:space="preserve"> approach cannot be applied to a motion to dismiss founded on a claim of sovereign immunity</w:t>
      </w:r>
      <w:r w:rsidRPr="000B59C9">
        <w:rPr>
          <w:rFonts w:cs="Arial"/>
          <w:sz w:val="20"/>
          <w:lang w:val="en-CA"/>
        </w:rPr>
        <w:t xml:space="preserve">. That claim challenges the obligation of the foreign state to submit to the court’s jurisdiction. Until that challenge is decided, the action cannot proceed. Unlike a court faced with an allegation that a claim does not disclose a cause of action, a court faced with an immunity claim cannot withhold its decision until the end of the trial. </w:t>
      </w:r>
      <w:r w:rsidRPr="000B59C9">
        <w:rPr>
          <w:rFonts w:cs="Arial"/>
          <w:sz w:val="20"/>
          <w:u w:val="single"/>
          <w:lang w:val="en-CA"/>
        </w:rPr>
        <w:t>There can be no trial until the court decides whether the foreign state is subject to the court’s jurisdiction</w:t>
      </w:r>
      <w:r w:rsidRPr="000B59C9">
        <w:rPr>
          <w:rFonts w:cs="Arial"/>
          <w:sz w:val="20"/>
          <w:lang w:val="en-CA"/>
        </w:rPr>
        <w:t>.</w:t>
      </w:r>
    </w:p>
    <w:p w14:paraId="1F35388F" w14:textId="3E7B86FB" w:rsidR="003959D5" w:rsidRPr="000B59C9" w:rsidRDefault="00ED47F8" w:rsidP="00FB5A91">
      <w:pPr>
        <w:spacing w:before="120" w:after="120" w:line="240" w:lineRule="auto"/>
        <w:ind w:left="1440" w:right="720"/>
        <w:jc w:val="both"/>
        <w:rPr>
          <w:rFonts w:cs="Arial"/>
          <w:sz w:val="20"/>
          <w:lang w:val="en-CA"/>
        </w:rPr>
      </w:pPr>
      <w:r w:rsidRPr="000B59C9">
        <w:rPr>
          <w:rFonts w:cs="Arial"/>
          <w:sz w:val="20"/>
          <w:lang w:val="en-CA"/>
        </w:rPr>
        <w:t xml:space="preserve">[17] </w:t>
      </w:r>
      <w:r w:rsidRPr="000B59C9">
        <w:rPr>
          <w:rFonts w:cs="Arial"/>
          <w:sz w:val="20"/>
          <w:u w:val="single"/>
          <w:lang w:val="en-CA"/>
        </w:rPr>
        <w:t xml:space="preserve">The </w:t>
      </w:r>
      <w:r w:rsidRPr="005E6EB3">
        <w:rPr>
          <w:rFonts w:cs="Arial"/>
          <w:i/>
          <w:iCs/>
          <w:sz w:val="20"/>
          <w:u w:val="single"/>
          <w:lang w:val="en-CA"/>
        </w:rPr>
        <w:t>State Immunity Act</w:t>
      </w:r>
      <w:r w:rsidRPr="000B59C9">
        <w:rPr>
          <w:rFonts w:cs="Arial"/>
          <w:sz w:val="20"/>
          <w:u w:val="single"/>
          <w:lang w:val="en-CA"/>
        </w:rPr>
        <w:t xml:space="preserve"> clearly contemplates that any claim of sovereign immunity will be decided on its merits before the action proceeds any further</w:t>
      </w:r>
      <w:r w:rsidRPr="000B59C9">
        <w:rPr>
          <w:rFonts w:cs="Arial"/>
          <w:sz w:val="20"/>
          <w:lang w:val="en-CA"/>
        </w:rPr>
        <w:t xml:space="preserve">. Section 4(2)(c) provides that a state submits to the jurisdiction of a court where it </w:t>
      </w:r>
      <w:r w:rsidR="000A1C96" w:rsidRPr="000B59C9">
        <w:rPr>
          <w:rFonts w:cs="Arial"/>
          <w:sz w:val="20"/>
          <w:lang w:val="en-CA" w:eastAsia="fr-CA"/>
        </w:rPr>
        <w:t>“</w:t>
      </w:r>
      <w:r w:rsidRPr="000B59C9">
        <w:rPr>
          <w:rFonts w:cs="Arial"/>
          <w:sz w:val="20"/>
          <w:lang w:val="en-CA"/>
        </w:rPr>
        <w:t>takes any step in the proceedings before the court</w:t>
      </w:r>
      <w:r w:rsidR="000A1C96" w:rsidRPr="000B59C9">
        <w:rPr>
          <w:rFonts w:cs="Arial"/>
          <w:sz w:val="20"/>
          <w:lang w:val="en-CA" w:eastAsia="fr-CA"/>
        </w:rPr>
        <w:t>”</w:t>
      </w:r>
      <w:r w:rsidRPr="000B59C9">
        <w:rPr>
          <w:rFonts w:cs="Arial"/>
          <w:sz w:val="20"/>
          <w:lang w:val="en-CA"/>
        </w:rPr>
        <w:t>. Section 4(3)(b), however, permits the foreign state to appear in the proceedings strictly for the purpose of asserting sovereign immunity without thereby submitting to the court’s jurisdiction. Participation beyond a claim of immunity may, however, result in the loss of any immunity to which the foreign state might otherwise have been entitled.</w:t>
      </w:r>
    </w:p>
    <w:p w14:paraId="57C7803E" w14:textId="10A7C5E6" w:rsidR="003959D5" w:rsidRPr="00324CF1" w:rsidRDefault="00ED47F8" w:rsidP="00FB5A91">
      <w:pPr>
        <w:spacing w:before="120" w:after="120" w:line="240" w:lineRule="auto"/>
        <w:ind w:left="1440" w:right="720"/>
        <w:jc w:val="both"/>
        <w:rPr>
          <w:rFonts w:cs="Arial"/>
          <w:sz w:val="20"/>
          <w:lang w:val="en-CA"/>
        </w:rPr>
      </w:pPr>
      <w:r w:rsidRPr="000B59C9">
        <w:rPr>
          <w:rFonts w:cs="Arial"/>
          <w:sz w:val="20"/>
          <w:lang w:val="en-CA"/>
        </w:rPr>
        <w:lastRenderedPageBreak/>
        <w:t xml:space="preserve">[18] If, </w:t>
      </w:r>
      <w:r w:rsidRPr="000B59C9">
        <w:rPr>
          <w:rFonts w:cs="Arial"/>
          <w:sz w:val="20"/>
          <w:u w:val="single"/>
          <w:lang w:val="en-CA"/>
        </w:rPr>
        <w:t>on a motion to dismiss based on a sovereign immunity claim</w:t>
      </w:r>
      <w:r w:rsidRPr="000B59C9">
        <w:rPr>
          <w:rFonts w:cs="Arial"/>
          <w:sz w:val="20"/>
          <w:lang w:val="en-CA"/>
        </w:rPr>
        <w:t xml:space="preserve">, a court were to conclude that it was not </w:t>
      </w:r>
      <w:r w:rsidR="000A1C96" w:rsidRPr="000B59C9">
        <w:rPr>
          <w:rFonts w:cs="Arial"/>
          <w:sz w:val="20"/>
          <w:lang w:val="en-CA" w:eastAsia="fr-CA"/>
        </w:rPr>
        <w:t>“</w:t>
      </w:r>
      <w:r w:rsidRPr="000B59C9">
        <w:rPr>
          <w:rFonts w:cs="Arial"/>
          <w:sz w:val="20"/>
          <w:lang w:val="en-CA"/>
        </w:rPr>
        <w:t>plain and obvious</w:t>
      </w:r>
      <w:r w:rsidR="000A1C96" w:rsidRPr="000B59C9">
        <w:rPr>
          <w:rFonts w:cs="Arial"/>
          <w:sz w:val="20"/>
          <w:lang w:val="en-CA" w:eastAsia="fr-CA"/>
        </w:rPr>
        <w:t>”</w:t>
      </w:r>
      <w:r w:rsidRPr="000B59C9">
        <w:rPr>
          <w:rFonts w:cs="Arial"/>
          <w:sz w:val="20"/>
          <w:lang w:val="en-CA"/>
        </w:rPr>
        <w:t xml:space="preserve"> that the claim should succeed and direct that the matter proceed to trial, the foreign state would be in the untenable position of either not participating in the trial and risking an adverse result, or participating in the trial and thereby losing its immunity claim. The scheme set out in the </w:t>
      </w:r>
      <w:r w:rsidRPr="005E6EB3">
        <w:rPr>
          <w:rFonts w:cs="Arial"/>
          <w:i/>
          <w:iCs/>
          <w:sz w:val="20"/>
          <w:lang w:val="en-CA"/>
        </w:rPr>
        <w:t>State Immunity Act</w:t>
      </w:r>
      <w:r w:rsidRPr="000B59C9">
        <w:rPr>
          <w:rFonts w:cs="Arial"/>
          <w:sz w:val="20"/>
          <w:lang w:val="en-CA"/>
        </w:rPr>
        <w:t xml:space="preserve"> is workable only if immunity claims are decided on their merits before any further step is taken in the action.</w:t>
      </w:r>
      <w:r w:rsidRPr="000B59C9">
        <w:rPr>
          <w:rStyle w:val="Appelnotedebasdep"/>
        </w:rPr>
        <w:footnoteReference w:id="119"/>
      </w:r>
    </w:p>
    <w:p w14:paraId="1B8FB081" w14:textId="77777777" w:rsidR="00C858C2" w:rsidRPr="00324CF1" w:rsidRDefault="00ED47F8" w:rsidP="00FB5A91">
      <w:pPr>
        <w:spacing w:before="120" w:after="120" w:line="240" w:lineRule="auto"/>
        <w:ind w:left="720" w:right="720"/>
        <w:jc w:val="right"/>
        <w:rPr>
          <w:rFonts w:cs="Arial"/>
          <w:sz w:val="20"/>
        </w:rPr>
      </w:pPr>
      <w:r w:rsidRPr="00324CF1">
        <w:rPr>
          <w:rFonts w:cs="Arial"/>
          <w:sz w:val="22"/>
          <w:szCs w:val="22"/>
          <w:lang w:val="en-CA"/>
        </w:rPr>
        <w:t>[References omitted; emphasis added]</w:t>
      </w:r>
    </w:p>
    <w:p w14:paraId="72730081" w14:textId="09591D02" w:rsidR="003959D5" w:rsidRPr="00324CF1" w:rsidRDefault="00ED47F8" w:rsidP="00FB5A91">
      <w:pPr>
        <w:pStyle w:val="Paragraphe"/>
        <w:spacing w:line="240" w:lineRule="auto"/>
        <w:rPr>
          <w:lang w:val="en-US"/>
        </w:rPr>
      </w:pPr>
      <w:r w:rsidRPr="00324CF1">
        <w:rPr>
          <w:lang w:val="en-CA"/>
        </w:rPr>
        <w:t xml:space="preserve">It should be noted that the Court of Appeal for Ontario’s judgment was </w:t>
      </w:r>
      <w:r w:rsidR="004B2368">
        <w:rPr>
          <w:lang w:val="en-CA"/>
        </w:rPr>
        <w:t>upheld</w:t>
      </w:r>
      <w:r w:rsidR="004B2368" w:rsidRPr="00324CF1">
        <w:rPr>
          <w:lang w:val="en-CA"/>
        </w:rPr>
        <w:t xml:space="preserve"> </w:t>
      </w:r>
      <w:r w:rsidRPr="00324CF1">
        <w:rPr>
          <w:lang w:val="en-CA"/>
        </w:rPr>
        <w:t xml:space="preserve">by the Supreme Court of Canada, which did not rule directly on the question of inadmissibility but referred to the Court of Appeal’s reasons on this subject without </w:t>
      </w:r>
      <w:r w:rsidR="004B2368">
        <w:rPr>
          <w:lang w:val="en-CA"/>
        </w:rPr>
        <w:t>calling</w:t>
      </w:r>
      <w:r w:rsidR="004B2368" w:rsidRPr="00324CF1">
        <w:rPr>
          <w:lang w:val="en-CA"/>
        </w:rPr>
        <w:t xml:space="preserve"> </w:t>
      </w:r>
      <w:r w:rsidRPr="00324CF1">
        <w:rPr>
          <w:lang w:val="en-CA"/>
        </w:rPr>
        <w:t>them</w:t>
      </w:r>
      <w:r w:rsidR="004B2368">
        <w:rPr>
          <w:lang w:val="en-CA"/>
        </w:rPr>
        <w:t xml:space="preserve"> into question</w:t>
      </w:r>
      <w:r w:rsidRPr="00324CF1">
        <w:rPr>
          <w:lang w:val="en-CA"/>
        </w:rPr>
        <w:t>.</w:t>
      </w:r>
      <w:r w:rsidRPr="00324CF1">
        <w:rPr>
          <w:vertAlign w:val="superscript"/>
          <w:lang w:val="en-CA"/>
        </w:rPr>
        <w:footnoteReference w:id="120"/>
      </w:r>
    </w:p>
    <w:p w14:paraId="40E7452E" w14:textId="1BDBAEF2" w:rsidR="008F01AB" w:rsidRPr="00324CF1" w:rsidRDefault="00ED47F8" w:rsidP="00FB5A91">
      <w:pPr>
        <w:pStyle w:val="Paragraphe"/>
        <w:spacing w:line="240" w:lineRule="auto"/>
        <w:rPr>
          <w:lang w:val="en-US"/>
        </w:rPr>
      </w:pPr>
      <w:r w:rsidRPr="00324CF1">
        <w:rPr>
          <w:lang w:val="en-CA"/>
        </w:rPr>
        <w:t xml:space="preserve">In several other judgments on </w:t>
      </w:r>
      <w:r w:rsidR="003316A4">
        <w:rPr>
          <w:lang w:val="en-CA"/>
        </w:rPr>
        <w:t>orders</w:t>
      </w:r>
      <w:r w:rsidR="003316A4" w:rsidRPr="00324CF1">
        <w:rPr>
          <w:lang w:val="en-CA"/>
        </w:rPr>
        <w:t xml:space="preserve"> </w:t>
      </w:r>
      <w:r w:rsidR="003316A4">
        <w:rPr>
          <w:lang w:val="en-CA"/>
        </w:rPr>
        <w:t>for</w:t>
      </w:r>
      <w:r w:rsidRPr="00324CF1">
        <w:rPr>
          <w:lang w:val="en-CA"/>
        </w:rPr>
        <w:t xml:space="preserve"> seizure before judgment, the question of the jurisdiction of the court and, more broadly, of state immunity from such jurisdiction, was discussed </w:t>
      </w:r>
      <w:r w:rsidR="00B95A5B" w:rsidRPr="00324CF1">
        <w:rPr>
          <w:lang w:val="en-CA"/>
        </w:rPr>
        <w:t xml:space="preserve">only </w:t>
      </w:r>
      <w:r w:rsidRPr="00324CF1">
        <w:rPr>
          <w:lang w:val="en-CA"/>
        </w:rPr>
        <w:t xml:space="preserve">at the time of the application to quash the </w:t>
      </w:r>
      <w:r w:rsidR="00B95A5B">
        <w:rPr>
          <w:lang w:val="en-CA"/>
        </w:rPr>
        <w:t>order for</w:t>
      </w:r>
      <w:r w:rsidRPr="00324CF1">
        <w:rPr>
          <w:lang w:val="en-CA"/>
        </w:rPr>
        <w:t xml:space="preserve"> seizure,</w:t>
      </w:r>
      <w:bookmarkStart w:id="106" w:name="_Ref174523828"/>
      <w:r w:rsidRPr="00324CF1">
        <w:rPr>
          <w:rStyle w:val="Appelnotedebasdep"/>
          <w:lang w:val="en-CA"/>
        </w:rPr>
        <w:footnoteReference w:id="121"/>
      </w:r>
      <w:bookmarkEnd w:id="106"/>
      <w:r w:rsidRPr="00324CF1">
        <w:rPr>
          <w:lang w:val="en-CA"/>
        </w:rPr>
        <w:t xml:space="preserve"> without the jurisdiction of the judge who </w:t>
      </w:r>
      <w:r w:rsidR="006979B6">
        <w:rPr>
          <w:lang w:val="en-CA"/>
        </w:rPr>
        <w:t>made</w:t>
      </w:r>
      <w:r w:rsidRPr="00324CF1">
        <w:rPr>
          <w:lang w:val="en-CA"/>
        </w:rPr>
        <w:t xml:space="preserve"> the </w:t>
      </w:r>
      <w:r w:rsidR="004A1748">
        <w:rPr>
          <w:lang w:val="en-CA"/>
        </w:rPr>
        <w:t>order for</w:t>
      </w:r>
      <w:r w:rsidRPr="00324CF1">
        <w:rPr>
          <w:lang w:val="en-CA"/>
        </w:rPr>
        <w:t xml:space="preserve"> seizure being called into question.</w:t>
      </w:r>
    </w:p>
    <w:p w14:paraId="0355DA58" w14:textId="3DAA8923" w:rsidR="005D472E" w:rsidRPr="00324CF1" w:rsidRDefault="00ED47F8" w:rsidP="00FB5A91">
      <w:pPr>
        <w:pStyle w:val="Paragraphe"/>
        <w:spacing w:line="240" w:lineRule="auto"/>
        <w:rPr>
          <w:lang w:val="en-US"/>
        </w:rPr>
      </w:pPr>
      <w:r w:rsidRPr="00324CF1">
        <w:rPr>
          <w:lang w:val="en-CA"/>
        </w:rPr>
        <w:t xml:space="preserve">It should also be noted that in </w:t>
      </w:r>
      <w:r w:rsidRPr="00324CF1">
        <w:rPr>
          <w:i/>
          <w:iCs/>
          <w:lang w:val="en-CA"/>
        </w:rPr>
        <w:t>Canada (Procureur général) c. Tremblay,</w:t>
      </w:r>
      <w:r w:rsidRPr="00324CF1">
        <w:rPr>
          <w:rStyle w:val="Appelnotedebasdep"/>
          <w:lang w:val="en-CA"/>
        </w:rPr>
        <w:footnoteReference w:id="122"/>
      </w:r>
      <w:r w:rsidRPr="00324CF1">
        <w:rPr>
          <w:lang w:val="en-CA"/>
        </w:rPr>
        <w:t xml:space="preserve"> following a seizure before judgment carried out </w:t>
      </w:r>
      <w:r w:rsidR="00A0000D">
        <w:rPr>
          <w:lang w:val="en-CA"/>
        </w:rPr>
        <w:t>in the hands of</w:t>
      </w:r>
      <w:r w:rsidR="00A0000D" w:rsidRPr="00324CF1">
        <w:rPr>
          <w:lang w:val="en-CA"/>
        </w:rPr>
        <w:t xml:space="preserve"> </w:t>
      </w:r>
      <w:r w:rsidRPr="00324CF1">
        <w:rPr>
          <w:lang w:val="en-CA"/>
        </w:rPr>
        <w:t>the Royal Canadian Mounted Police, the Court recognized that the Crown should have benefited from immunity against all execution measures, including seizure before judgment,</w:t>
      </w:r>
      <w:r w:rsidRPr="00324CF1">
        <w:rPr>
          <w:rStyle w:val="Appelnotedebasdep"/>
          <w:lang w:val="en-CA"/>
        </w:rPr>
        <w:footnoteReference w:id="123"/>
      </w:r>
      <w:r w:rsidRPr="00324CF1">
        <w:rPr>
          <w:lang w:val="en-CA"/>
        </w:rPr>
        <w:t xml:space="preserve"> and ordered that this seizure be quashed </w:t>
      </w:r>
      <w:r w:rsidR="00A0000D">
        <w:rPr>
          <w:lang w:val="en-CA"/>
        </w:rPr>
        <w:t xml:space="preserve">at the stage of the </w:t>
      </w:r>
      <w:r w:rsidRPr="00324CF1">
        <w:rPr>
          <w:lang w:val="en-CA"/>
        </w:rPr>
        <w:t>application to quash the seizure, without the authoriz</w:t>
      </w:r>
      <w:r w:rsidR="00A0000D">
        <w:rPr>
          <w:lang w:val="en-CA"/>
        </w:rPr>
        <w:t>ing</w:t>
      </w:r>
      <w:r w:rsidRPr="00324CF1">
        <w:rPr>
          <w:lang w:val="en-CA"/>
        </w:rPr>
        <w:t xml:space="preserve"> judge being </w:t>
      </w:r>
      <w:r w:rsidR="006979B6">
        <w:rPr>
          <w:lang w:val="en-CA"/>
        </w:rPr>
        <w:t>reproached for</w:t>
      </w:r>
      <w:r w:rsidRPr="00324CF1">
        <w:rPr>
          <w:lang w:val="en-CA"/>
        </w:rPr>
        <w:t xml:space="preserve"> failing to </w:t>
      </w:r>
      <w:r w:rsidR="00A0000D" w:rsidRPr="00324CF1">
        <w:rPr>
          <w:lang w:val="en-CA"/>
        </w:rPr>
        <w:t xml:space="preserve">first </w:t>
      </w:r>
      <w:r w:rsidRPr="00324CF1">
        <w:rPr>
          <w:lang w:val="en-CA"/>
        </w:rPr>
        <w:t>decide the question of immunity.</w:t>
      </w:r>
      <w:r w:rsidRPr="00324CF1">
        <w:rPr>
          <w:rStyle w:val="Appelnotedebasdep"/>
          <w:lang w:val="en-CA"/>
        </w:rPr>
        <w:footnoteReference w:id="124"/>
      </w:r>
    </w:p>
    <w:p w14:paraId="0FA61346" w14:textId="64347D17" w:rsidR="005D472E" w:rsidRPr="00324CF1" w:rsidRDefault="00ED47F8" w:rsidP="00FB5A91">
      <w:pPr>
        <w:pStyle w:val="Paragraphe"/>
        <w:spacing w:line="240" w:lineRule="auto"/>
        <w:rPr>
          <w:lang w:val="en-US"/>
        </w:rPr>
      </w:pPr>
      <w:r w:rsidRPr="00324CF1">
        <w:rPr>
          <w:lang w:val="en-CA"/>
        </w:rPr>
        <w:lastRenderedPageBreak/>
        <w:t xml:space="preserve">Similar reasoning was also adopted by the Court in </w:t>
      </w:r>
      <w:r w:rsidRPr="00324CF1">
        <w:rPr>
          <w:i/>
          <w:iCs/>
          <w:lang w:val="en-CA"/>
        </w:rPr>
        <w:t>Instrubel.</w:t>
      </w:r>
      <w:bookmarkStart w:id="107" w:name="_Ref174522417"/>
      <w:r w:rsidRPr="00324CF1">
        <w:rPr>
          <w:rStyle w:val="Appelnotedebasdep"/>
          <w:lang w:val="en-CA"/>
        </w:rPr>
        <w:footnoteReference w:id="125"/>
      </w:r>
      <w:bookmarkEnd w:id="107"/>
      <w:r w:rsidRPr="00324CF1">
        <w:rPr>
          <w:i/>
          <w:iCs/>
          <w:lang w:val="en-CA"/>
        </w:rPr>
        <w:t xml:space="preserve"> </w:t>
      </w:r>
      <w:r w:rsidRPr="00324CF1">
        <w:rPr>
          <w:lang w:val="en-CA"/>
        </w:rPr>
        <w:t xml:space="preserve">In that case, an international arbitral award was rendered </w:t>
      </w:r>
      <w:r w:rsidR="004A1748">
        <w:rPr>
          <w:lang w:val="en-CA"/>
        </w:rPr>
        <w:t>condemning</w:t>
      </w:r>
      <w:r w:rsidR="004A1748" w:rsidRPr="00324CF1">
        <w:rPr>
          <w:lang w:val="en-CA"/>
        </w:rPr>
        <w:t xml:space="preserve"> </w:t>
      </w:r>
      <w:r w:rsidRPr="00324CF1">
        <w:rPr>
          <w:lang w:val="en-CA"/>
        </w:rPr>
        <w:t xml:space="preserve">Iraq to compensate Instrubel, a Dutch company. Instrubel had obtained a seizure before judgment in Quebec </w:t>
      </w:r>
      <w:r w:rsidR="004A1748">
        <w:rPr>
          <w:lang w:val="en-CA"/>
        </w:rPr>
        <w:t>in the hands of</w:t>
      </w:r>
      <w:r w:rsidR="004A1748" w:rsidRPr="00324CF1">
        <w:rPr>
          <w:lang w:val="en-CA"/>
        </w:rPr>
        <w:t xml:space="preserve"> </w:t>
      </w:r>
      <w:r w:rsidRPr="00324CF1">
        <w:rPr>
          <w:lang w:val="en-CA"/>
        </w:rPr>
        <w:t xml:space="preserve">IATA. Iraq </w:t>
      </w:r>
      <w:r w:rsidR="004A1748">
        <w:rPr>
          <w:lang w:val="en-CA"/>
        </w:rPr>
        <w:t xml:space="preserve">was seeking to have it </w:t>
      </w:r>
      <w:r w:rsidRPr="00324CF1">
        <w:rPr>
          <w:lang w:val="en-CA"/>
        </w:rPr>
        <w:t>quash</w:t>
      </w:r>
      <w:r w:rsidR="004A1748">
        <w:rPr>
          <w:lang w:val="en-CA"/>
        </w:rPr>
        <w:t>ed</w:t>
      </w:r>
      <w:r w:rsidRPr="00324CF1">
        <w:rPr>
          <w:lang w:val="en-CA"/>
        </w:rPr>
        <w:t xml:space="preserve">, invoking in particular the lack of jurisdiction of the Quebec courts over property located outside Quebec. The Court nevertheless concluded that the </w:t>
      </w:r>
      <w:r w:rsidR="004A1748">
        <w:rPr>
          <w:lang w:val="en-CA"/>
        </w:rPr>
        <w:t>order for</w:t>
      </w:r>
      <w:r w:rsidRPr="00324CF1">
        <w:rPr>
          <w:lang w:val="en-CA"/>
        </w:rPr>
        <w:t xml:space="preserve"> seizure was valid after determining that</w:t>
      </w:r>
      <w:r w:rsidR="00DA5467">
        <w:rPr>
          <w:lang w:val="en-CA"/>
        </w:rPr>
        <w:t xml:space="preserve"> the</w:t>
      </w:r>
      <w:r w:rsidRPr="00324CF1">
        <w:rPr>
          <w:lang w:val="en-CA"/>
        </w:rPr>
        <w:t xml:space="preserve"> sum held by IATA could be seized by a third party. </w:t>
      </w:r>
      <w:r w:rsidRPr="00826F2F">
        <w:rPr>
          <w:lang w:val="en-CA"/>
        </w:rPr>
        <w:t>At the same time, the Court clarified the principles</w:t>
      </w:r>
      <w:r w:rsidRPr="00324CF1">
        <w:rPr>
          <w:lang w:val="en-CA"/>
        </w:rPr>
        <w:t xml:space="preserve"> applicable to seizure</w:t>
      </w:r>
      <w:r w:rsidR="00DA5467">
        <w:rPr>
          <w:lang w:val="en-CA"/>
        </w:rPr>
        <w:t>s</w:t>
      </w:r>
      <w:r w:rsidRPr="00324CF1">
        <w:rPr>
          <w:lang w:val="en-CA"/>
        </w:rPr>
        <w:t xml:space="preserve"> before judgment, including that a lack of jurisdiction is a reason to quash the seizure rather than a criterion required to justify granting the seizure.</w:t>
      </w:r>
      <w:r w:rsidRPr="00324CF1">
        <w:rPr>
          <w:rStyle w:val="Appelnotedebasdep"/>
          <w:lang w:val="en-CA"/>
        </w:rPr>
        <w:footnoteReference w:id="126"/>
      </w:r>
      <w:r w:rsidRPr="00324CF1">
        <w:rPr>
          <w:lang w:val="en-CA"/>
        </w:rPr>
        <w:t xml:space="preserve"> It should be noted that in that particular case, the debate concerned the Superior Court’s jurisdiction to authorize </w:t>
      </w:r>
      <w:r w:rsidR="00343454">
        <w:rPr>
          <w:lang w:val="en-CA"/>
        </w:rPr>
        <w:t xml:space="preserve">the </w:t>
      </w:r>
      <w:r w:rsidRPr="00324CF1">
        <w:rPr>
          <w:lang w:val="en-CA"/>
        </w:rPr>
        <w:t>seizure of property located outside Quebec and the parties had agreed to discuss the question of immunity at a later stage.</w:t>
      </w:r>
      <w:r w:rsidRPr="00324CF1">
        <w:rPr>
          <w:rStyle w:val="Appelnotedebasdep"/>
          <w:lang w:val="en-CA"/>
        </w:rPr>
        <w:footnoteReference w:id="127"/>
      </w:r>
      <w:r w:rsidRPr="00324CF1">
        <w:rPr>
          <w:lang w:val="en-CA"/>
        </w:rPr>
        <w:t xml:space="preserve"> </w:t>
      </w:r>
      <w:r w:rsidR="00343454">
        <w:rPr>
          <w:lang w:val="en-CA"/>
        </w:rPr>
        <w:t>I</w:t>
      </w:r>
      <w:r w:rsidRPr="00324CF1">
        <w:rPr>
          <w:lang w:val="en-CA"/>
        </w:rPr>
        <w:t>t can be inferred</w:t>
      </w:r>
      <w:r w:rsidR="00343454">
        <w:rPr>
          <w:lang w:val="en-CA"/>
        </w:rPr>
        <w:t>, however,</w:t>
      </w:r>
      <w:r w:rsidRPr="00324CF1">
        <w:rPr>
          <w:lang w:val="en-CA"/>
        </w:rPr>
        <w:t xml:space="preserve"> that if jurisdictional immunity had been a </w:t>
      </w:r>
      <w:r w:rsidR="00343454">
        <w:rPr>
          <w:lang w:val="en-CA"/>
        </w:rPr>
        <w:t>bar</w:t>
      </w:r>
      <w:r w:rsidR="00343454" w:rsidRPr="00324CF1">
        <w:rPr>
          <w:lang w:val="en-CA"/>
        </w:rPr>
        <w:t xml:space="preserve"> </w:t>
      </w:r>
      <w:r w:rsidRPr="00324CF1">
        <w:rPr>
          <w:lang w:val="en-CA"/>
        </w:rPr>
        <w:t xml:space="preserve">to the </w:t>
      </w:r>
      <w:r w:rsidR="004A1748">
        <w:rPr>
          <w:lang w:val="en-CA"/>
        </w:rPr>
        <w:t>order for</w:t>
      </w:r>
      <w:r w:rsidRPr="00324CF1">
        <w:rPr>
          <w:lang w:val="en-CA"/>
        </w:rPr>
        <w:t xml:space="preserve"> seizure before judgment, it would necessarily have been raised </w:t>
      </w:r>
      <w:r w:rsidRPr="00324CF1">
        <w:rPr>
          <w:i/>
          <w:iCs/>
          <w:lang w:val="en-CA"/>
        </w:rPr>
        <w:t>proprio motu</w:t>
      </w:r>
      <w:r w:rsidRPr="00324CF1">
        <w:rPr>
          <w:lang w:val="en-CA"/>
        </w:rPr>
        <w:t xml:space="preserve"> by the </w:t>
      </w:r>
      <w:r w:rsidR="00DA5467">
        <w:rPr>
          <w:lang w:val="en-CA"/>
        </w:rPr>
        <w:t xml:space="preserve">Quebec </w:t>
      </w:r>
      <w:r w:rsidRPr="00324CF1">
        <w:rPr>
          <w:lang w:val="en-CA"/>
        </w:rPr>
        <w:t>Superior Court, the Court of Appeal of Qu</w:t>
      </w:r>
      <w:r w:rsidR="00DA5467">
        <w:rPr>
          <w:lang w:val="en-CA"/>
        </w:rPr>
        <w:t>e</w:t>
      </w:r>
      <w:r w:rsidRPr="00324CF1">
        <w:rPr>
          <w:lang w:val="en-CA"/>
        </w:rPr>
        <w:t>bec</w:t>
      </w:r>
      <w:r w:rsidR="00DA5467">
        <w:rPr>
          <w:lang w:val="en-CA"/>
        </w:rPr>
        <w:t>,</w:t>
      </w:r>
      <w:r w:rsidRPr="00324CF1">
        <w:rPr>
          <w:lang w:val="en-CA"/>
        </w:rPr>
        <w:t xml:space="preserve"> or even the Supreme Court of Canada, which was not the case.</w:t>
      </w:r>
    </w:p>
    <w:p w14:paraId="713E2BD5" w14:textId="6D0B0092" w:rsidR="00E454B1" w:rsidRPr="00324CF1" w:rsidRDefault="00ED47F8" w:rsidP="00FB5A91">
      <w:pPr>
        <w:pStyle w:val="Paragraphe"/>
        <w:spacing w:line="240" w:lineRule="auto"/>
        <w:rPr>
          <w:lang w:val="en-US"/>
        </w:rPr>
      </w:pPr>
      <w:r w:rsidRPr="00324CF1">
        <w:rPr>
          <w:lang w:val="en-CA"/>
        </w:rPr>
        <w:t xml:space="preserve">The judge also relied on </w:t>
      </w:r>
      <w:r w:rsidRPr="00324CF1">
        <w:rPr>
          <w:i/>
          <w:iCs/>
          <w:lang w:val="en-CA"/>
        </w:rPr>
        <w:t>Barer v. Knight Brothers LLC</w:t>
      </w:r>
      <w:r w:rsidRPr="00324CF1">
        <w:rPr>
          <w:rStyle w:val="Appelnotedebasdep"/>
          <w:lang w:val="en-CA"/>
        </w:rPr>
        <w:footnoteReference w:id="128"/>
      </w:r>
      <w:r w:rsidRPr="00324CF1">
        <w:rPr>
          <w:lang w:val="en-CA"/>
        </w:rPr>
        <w:t xml:space="preserve"> to affirm that </w:t>
      </w:r>
      <w:r w:rsidR="00343454">
        <w:rPr>
          <w:lang w:val="en-CA"/>
        </w:rPr>
        <w:t>with respect to</w:t>
      </w:r>
      <w:r w:rsidRPr="00324CF1">
        <w:rPr>
          <w:lang w:val="en-CA"/>
        </w:rPr>
        <w:t xml:space="preserve"> recognizing foreign judgments, jurisdictional issues must always be decided first. However, th</w:t>
      </w:r>
      <w:r w:rsidR="00343454">
        <w:rPr>
          <w:lang w:val="en-CA"/>
        </w:rPr>
        <w:t>at</w:t>
      </w:r>
      <w:r w:rsidRPr="00324CF1">
        <w:rPr>
          <w:lang w:val="en-CA"/>
        </w:rPr>
        <w:t xml:space="preserve"> judgment was also rendered in the context of an application to dismiss. It stated that the first grounds of inadmissibility to be raised and decided </w:t>
      </w:r>
      <w:r w:rsidR="00343454">
        <w:rPr>
          <w:lang w:val="en-CA"/>
        </w:rPr>
        <w:t>are</w:t>
      </w:r>
      <w:r w:rsidR="00343454" w:rsidRPr="00324CF1">
        <w:rPr>
          <w:lang w:val="en-CA"/>
        </w:rPr>
        <w:t xml:space="preserve"> </w:t>
      </w:r>
      <w:r w:rsidRPr="00324CF1">
        <w:rPr>
          <w:lang w:val="en-CA"/>
        </w:rPr>
        <w:t xml:space="preserve">those relating to jurisdiction, a logical conclusion since it would be incongruous for a court to rule on specific grounds of inadmissibility without ensuring that it had the jurisdiction necessary to adjudicate them. </w:t>
      </w:r>
      <w:r w:rsidR="00343454">
        <w:rPr>
          <w:lang w:val="en-CA"/>
        </w:rPr>
        <w:t>Yet</w:t>
      </w:r>
      <w:r w:rsidRPr="00324CF1">
        <w:rPr>
          <w:lang w:val="en-CA"/>
        </w:rPr>
        <w:t xml:space="preserve">, this ruling does not support the </w:t>
      </w:r>
      <w:r w:rsidR="00343454">
        <w:rPr>
          <w:lang w:val="en-CA"/>
        </w:rPr>
        <w:t>trial</w:t>
      </w:r>
      <w:r w:rsidRPr="00324CF1">
        <w:rPr>
          <w:lang w:val="en-CA"/>
        </w:rPr>
        <w:t xml:space="preserve"> judge’s </w:t>
      </w:r>
      <w:r w:rsidR="00343454">
        <w:rPr>
          <w:lang w:val="en-CA"/>
        </w:rPr>
        <w:t>statement</w:t>
      </w:r>
      <w:r w:rsidR="00343454" w:rsidRPr="00324CF1">
        <w:rPr>
          <w:lang w:val="en-CA"/>
        </w:rPr>
        <w:t xml:space="preserve"> </w:t>
      </w:r>
      <w:r w:rsidRPr="00324CF1">
        <w:rPr>
          <w:lang w:val="en-CA"/>
        </w:rPr>
        <w:t xml:space="preserve">that the question of jurisdiction must be decided </w:t>
      </w:r>
      <w:r w:rsidR="00343454">
        <w:rPr>
          <w:lang w:val="en-CA"/>
        </w:rPr>
        <w:t>at the stage of</w:t>
      </w:r>
      <w:r w:rsidRPr="00324CF1">
        <w:rPr>
          <w:lang w:val="en-CA"/>
        </w:rPr>
        <w:t xml:space="preserve"> the application for </w:t>
      </w:r>
      <w:r w:rsidR="00DA5467">
        <w:rPr>
          <w:lang w:val="en-CA"/>
        </w:rPr>
        <w:t xml:space="preserve">a </w:t>
      </w:r>
      <w:r w:rsidRPr="00324CF1">
        <w:rPr>
          <w:lang w:val="en-CA"/>
        </w:rPr>
        <w:t xml:space="preserve">seizure before judgment presented </w:t>
      </w:r>
      <w:r w:rsidRPr="00324CF1">
        <w:rPr>
          <w:i/>
          <w:iCs/>
          <w:lang w:val="en-CA"/>
        </w:rPr>
        <w:t>ex parte</w:t>
      </w:r>
      <w:r w:rsidRPr="00324CF1">
        <w:rPr>
          <w:lang w:val="en-CA"/>
        </w:rPr>
        <w:t>.</w:t>
      </w:r>
    </w:p>
    <w:p w14:paraId="79248E8D" w14:textId="5A21C777" w:rsidR="006B5D46" w:rsidRPr="00324CF1" w:rsidRDefault="00ED47F8" w:rsidP="00FB5A91">
      <w:pPr>
        <w:pStyle w:val="Paragraphe"/>
        <w:spacing w:line="240" w:lineRule="auto"/>
        <w:rPr>
          <w:lang w:val="en-US"/>
        </w:rPr>
      </w:pPr>
      <w:r w:rsidRPr="00324CF1">
        <w:rPr>
          <w:lang w:val="en-CA"/>
        </w:rPr>
        <w:t>In addition, although it has been established in the debate that in terms of dismissing the case, the judge must decide the legal arguments invoked [</w:t>
      </w:r>
      <w:r w:rsidR="00096E40" w:rsidRPr="005E6EB3">
        <w:rPr>
          <w:smallCaps/>
          <w:lang w:val="en-CA"/>
        </w:rPr>
        <w:t>translation</w:t>
      </w:r>
      <w:r w:rsidRPr="00324CF1">
        <w:rPr>
          <w:lang w:val="en-CA"/>
        </w:rPr>
        <w:t xml:space="preserve">] “immediately”, whether this concerns the limitation period, a court’s lack of absolute jurisdiction, or state immunity from the jurisdiction of the court under the </w:t>
      </w:r>
      <w:r w:rsidRPr="00324CF1">
        <w:rPr>
          <w:i/>
          <w:iCs/>
          <w:lang w:val="en-CA"/>
        </w:rPr>
        <w:t>SIA</w:t>
      </w:r>
      <w:r w:rsidRPr="00324CF1">
        <w:rPr>
          <w:lang w:val="en-CA"/>
        </w:rPr>
        <w:t>, this is not necessarily the case for a seizure before judgment, as the court does not always have all the elements available to rule on immunity</w:t>
      </w:r>
      <w:r w:rsidRPr="00324CF1">
        <w:rPr>
          <w:rStyle w:val="Appelnotedebasdep"/>
          <w:lang w:val="en-CA"/>
        </w:rPr>
        <w:footnoteReference w:id="129"/>
      </w:r>
      <w:r w:rsidRPr="00324CF1">
        <w:rPr>
          <w:lang w:val="en-CA"/>
        </w:rPr>
        <w:t xml:space="preserve"> and decide the question [</w:t>
      </w:r>
      <w:r w:rsidR="00755995" w:rsidRPr="005E6EB3">
        <w:rPr>
          <w:smallCaps/>
          <w:lang w:val="en-CA"/>
        </w:rPr>
        <w:t>translation</w:t>
      </w:r>
      <w:r w:rsidRPr="00324CF1">
        <w:rPr>
          <w:lang w:val="en-CA"/>
        </w:rPr>
        <w:t xml:space="preserve">] “on the merits”, as the </w:t>
      </w:r>
      <w:r w:rsidR="00C40483">
        <w:rPr>
          <w:lang w:val="en-CA"/>
        </w:rPr>
        <w:t>trial</w:t>
      </w:r>
      <w:r w:rsidRPr="00324CF1">
        <w:rPr>
          <w:lang w:val="en-CA"/>
        </w:rPr>
        <w:t xml:space="preserve"> judge suggests. </w:t>
      </w:r>
    </w:p>
    <w:p w14:paraId="0A7DA0F3" w14:textId="5989DDBA" w:rsidR="00E454B1" w:rsidRPr="00324CF1" w:rsidRDefault="00ED47F8" w:rsidP="00FB5A91">
      <w:pPr>
        <w:pStyle w:val="Paragraphe"/>
        <w:spacing w:line="240" w:lineRule="auto"/>
        <w:rPr>
          <w:lang w:val="en-US"/>
        </w:rPr>
      </w:pPr>
      <w:r w:rsidRPr="00324CF1">
        <w:rPr>
          <w:lang w:val="en-CA"/>
        </w:rPr>
        <w:lastRenderedPageBreak/>
        <w:t xml:space="preserve">The </w:t>
      </w:r>
      <w:r w:rsidR="00077A33">
        <w:rPr>
          <w:lang w:val="en-CA"/>
        </w:rPr>
        <w:t>trial</w:t>
      </w:r>
      <w:r w:rsidRPr="00324CF1">
        <w:rPr>
          <w:lang w:val="en-CA"/>
        </w:rPr>
        <w:t xml:space="preserve"> judge therefore </w:t>
      </w:r>
      <w:r w:rsidR="00077A33">
        <w:rPr>
          <w:lang w:val="en-CA"/>
        </w:rPr>
        <w:t>erred in</w:t>
      </w:r>
      <w:r w:rsidRPr="00324CF1">
        <w:rPr>
          <w:lang w:val="en-CA"/>
        </w:rPr>
        <w:t xml:space="preserve"> law by transposing the judge’s obligation to </w:t>
      </w:r>
      <w:r w:rsidR="00077A33">
        <w:rPr>
          <w:lang w:val="en-CA"/>
        </w:rPr>
        <w:t>rule on</w:t>
      </w:r>
      <w:r w:rsidR="00077A33" w:rsidRPr="00324CF1">
        <w:rPr>
          <w:lang w:val="en-CA"/>
        </w:rPr>
        <w:t xml:space="preserve"> </w:t>
      </w:r>
      <w:r w:rsidRPr="00324CF1">
        <w:rPr>
          <w:lang w:val="en-CA"/>
        </w:rPr>
        <w:t>the question of immunity at the application to dismiss</w:t>
      </w:r>
      <w:r w:rsidR="003C2ADF">
        <w:rPr>
          <w:lang w:val="en-CA"/>
        </w:rPr>
        <w:t xml:space="preserve"> stage</w:t>
      </w:r>
      <w:r w:rsidRPr="00324CF1">
        <w:rPr>
          <w:lang w:val="en-CA"/>
        </w:rPr>
        <w:t xml:space="preserve"> </w:t>
      </w:r>
      <w:r w:rsidR="004D2729">
        <w:rPr>
          <w:lang w:val="en-CA"/>
        </w:rPr>
        <w:t>to</w:t>
      </w:r>
      <w:r w:rsidRPr="00324CF1">
        <w:rPr>
          <w:lang w:val="en-CA"/>
        </w:rPr>
        <w:t xml:space="preserve"> the context of a seizure before judgment, </w:t>
      </w:r>
      <w:r w:rsidR="003C2ADF">
        <w:rPr>
          <w:lang w:val="en-CA"/>
        </w:rPr>
        <w:t>when that seizure</w:t>
      </w:r>
      <w:r w:rsidRPr="00324CF1">
        <w:rPr>
          <w:lang w:val="en-CA"/>
        </w:rPr>
        <w:t xml:space="preserve"> can always be quashed on a legal ground,</w:t>
      </w:r>
      <w:r w:rsidRPr="00324CF1">
        <w:rPr>
          <w:vertAlign w:val="superscript"/>
          <w:lang w:val="en-CA"/>
        </w:rPr>
        <w:footnoteReference w:id="130"/>
      </w:r>
      <w:r w:rsidRPr="00324CF1">
        <w:rPr>
          <w:lang w:val="en-CA"/>
        </w:rPr>
        <w:t xml:space="preserve"> including a question of jurisdiction</w:t>
      </w:r>
      <w:r w:rsidRPr="00324CF1">
        <w:rPr>
          <w:vertAlign w:val="superscript"/>
          <w:lang w:val="en-CA"/>
        </w:rPr>
        <w:footnoteReference w:id="131"/>
      </w:r>
      <w:r w:rsidRPr="00324CF1">
        <w:rPr>
          <w:lang w:val="en-CA"/>
        </w:rPr>
        <w:t xml:space="preserve"> and, </w:t>
      </w:r>
      <w:r w:rsidRPr="00324CF1">
        <w:rPr>
          <w:i/>
          <w:iCs/>
          <w:lang w:val="en-CA"/>
        </w:rPr>
        <w:t>a fortiori</w:t>
      </w:r>
      <w:r w:rsidRPr="00324CF1">
        <w:rPr>
          <w:lang w:val="en-CA"/>
        </w:rPr>
        <w:t xml:space="preserve">, a question of immunity. </w:t>
      </w:r>
      <w:r w:rsidR="003C2ADF">
        <w:rPr>
          <w:lang w:val="en-CA"/>
        </w:rPr>
        <w:t>Because a</w:t>
      </w:r>
      <w:r w:rsidRPr="00324CF1">
        <w:rPr>
          <w:lang w:val="en-CA"/>
        </w:rPr>
        <w:t xml:space="preserve"> party d</w:t>
      </w:r>
      <w:r w:rsidR="003C2ADF">
        <w:rPr>
          <w:lang w:val="en-CA"/>
        </w:rPr>
        <w:t>oes</w:t>
      </w:r>
      <w:r w:rsidRPr="00324CF1">
        <w:rPr>
          <w:lang w:val="en-CA"/>
        </w:rPr>
        <w:t xml:space="preserve"> not waive its immunity </w:t>
      </w:r>
      <w:r w:rsidR="003C2ADF">
        <w:rPr>
          <w:lang w:val="en-CA"/>
        </w:rPr>
        <w:t xml:space="preserve">when </w:t>
      </w:r>
      <w:r w:rsidRPr="00324CF1">
        <w:rPr>
          <w:lang w:val="en-CA"/>
        </w:rPr>
        <w:t>it fil</w:t>
      </w:r>
      <w:r w:rsidR="003C2ADF">
        <w:rPr>
          <w:lang w:val="en-CA"/>
        </w:rPr>
        <w:t>es</w:t>
      </w:r>
      <w:r w:rsidRPr="00324CF1">
        <w:rPr>
          <w:lang w:val="en-CA"/>
        </w:rPr>
        <w:t xml:space="preserve"> an application to quash on this ground, in </w:t>
      </w:r>
      <w:r w:rsidR="003C2ADF">
        <w:rPr>
          <w:lang w:val="en-CA"/>
        </w:rPr>
        <w:t>accordance</w:t>
      </w:r>
      <w:r w:rsidR="003C2ADF" w:rsidRPr="00324CF1">
        <w:rPr>
          <w:lang w:val="en-CA"/>
        </w:rPr>
        <w:t xml:space="preserve"> </w:t>
      </w:r>
      <w:r w:rsidRPr="00324CF1">
        <w:rPr>
          <w:lang w:val="en-CA"/>
        </w:rPr>
        <w:t xml:space="preserve">with the wording of </w:t>
      </w:r>
      <w:r w:rsidR="003C2ADF">
        <w:rPr>
          <w:lang w:val="en-CA"/>
        </w:rPr>
        <w:t>section</w:t>
      </w:r>
      <w:r w:rsidR="003C2ADF" w:rsidRPr="00324CF1">
        <w:rPr>
          <w:lang w:val="en-CA"/>
        </w:rPr>
        <w:t xml:space="preserve"> </w:t>
      </w:r>
      <w:r w:rsidRPr="00324CF1">
        <w:rPr>
          <w:lang w:val="en-CA"/>
        </w:rPr>
        <w:t xml:space="preserve">4(3) of the </w:t>
      </w:r>
      <w:r w:rsidRPr="00324CF1">
        <w:rPr>
          <w:i/>
          <w:iCs/>
          <w:lang w:val="en-CA"/>
        </w:rPr>
        <w:t>SIA,</w:t>
      </w:r>
      <w:r w:rsidRPr="00324CF1">
        <w:rPr>
          <w:rStyle w:val="Appelnotedebasdep"/>
          <w:lang w:val="en-CA"/>
        </w:rPr>
        <w:footnoteReference w:id="132"/>
      </w:r>
      <w:r w:rsidRPr="00324CF1">
        <w:rPr>
          <w:lang w:val="en-CA"/>
        </w:rPr>
        <w:t xml:space="preserve"> it was incorrect</w:t>
      </w:r>
      <w:r w:rsidR="003C2ADF">
        <w:rPr>
          <w:lang w:val="en-CA"/>
        </w:rPr>
        <w:t>, moreover,</w:t>
      </w:r>
      <w:r w:rsidRPr="00324CF1">
        <w:rPr>
          <w:lang w:val="en-CA"/>
        </w:rPr>
        <w:t xml:space="preserve"> to argue that the state would be forced to make a choice </w:t>
      </w:r>
      <w:r w:rsidR="003C2ADF">
        <w:rPr>
          <w:lang w:val="en-CA"/>
        </w:rPr>
        <w:t>resulting in</w:t>
      </w:r>
      <w:r w:rsidRPr="00324CF1">
        <w:rPr>
          <w:lang w:val="en-CA"/>
        </w:rPr>
        <w:t xml:space="preserve"> a waiver of </w:t>
      </w:r>
      <w:r w:rsidR="003C2ADF">
        <w:rPr>
          <w:lang w:val="en-CA"/>
        </w:rPr>
        <w:t xml:space="preserve">its right to raise </w:t>
      </w:r>
      <w:r w:rsidRPr="00324CF1">
        <w:rPr>
          <w:lang w:val="en-CA"/>
        </w:rPr>
        <w:t>state immunity.</w:t>
      </w:r>
    </w:p>
    <w:p w14:paraId="10944925" w14:textId="1F6AC343" w:rsidR="000B7ADE" w:rsidRPr="00324CF1" w:rsidRDefault="00ED47F8" w:rsidP="00FB5A91">
      <w:pPr>
        <w:pStyle w:val="Paragraphe"/>
        <w:spacing w:line="240" w:lineRule="auto"/>
        <w:rPr>
          <w:lang w:val="en-US"/>
        </w:rPr>
      </w:pPr>
      <w:r w:rsidRPr="00324CF1">
        <w:rPr>
          <w:lang w:val="en-CA"/>
        </w:rPr>
        <w:t xml:space="preserve">Moreover, contrary to what the judge noted, leaving the question of immunity unanswered does not make it necessary to hold an unnecessary trial. Indeed, the party </w:t>
      </w:r>
      <w:r w:rsidR="00B732B9">
        <w:rPr>
          <w:lang w:val="en-CA"/>
        </w:rPr>
        <w:t xml:space="preserve">claiming </w:t>
      </w:r>
      <w:r w:rsidRPr="00324CF1">
        <w:rPr>
          <w:lang w:val="en-CA"/>
        </w:rPr>
        <w:t xml:space="preserve">to be immune </w:t>
      </w:r>
      <w:r w:rsidR="00B732B9">
        <w:rPr>
          <w:lang w:val="en-CA"/>
        </w:rPr>
        <w:t>from</w:t>
      </w:r>
      <w:r w:rsidR="00B732B9" w:rsidRPr="00324CF1">
        <w:rPr>
          <w:lang w:val="en-CA"/>
        </w:rPr>
        <w:t xml:space="preserve"> </w:t>
      </w:r>
      <w:r w:rsidRPr="00324CF1">
        <w:rPr>
          <w:lang w:val="en-CA"/>
        </w:rPr>
        <w:t>the jurisdiction of the courts may file an application to quash the seizure within five days or an application to dismiss the appeal on the merits based on this legal argument.</w:t>
      </w:r>
      <w:r w:rsidRPr="00324CF1">
        <w:rPr>
          <w:rStyle w:val="Appelnotedebasdep"/>
          <w:lang w:val="en-CA"/>
        </w:rPr>
        <w:footnoteReference w:id="133"/>
      </w:r>
      <w:r w:rsidRPr="00324CF1">
        <w:rPr>
          <w:lang w:val="en-CA"/>
        </w:rPr>
        <w:t xml:space="preserve"> It is only at that time, in the presence of the parties and </w:t>
      </w:r>
      <w:r w:rsidR="00FB7785">
        <w:rPr>
          <w:lang w:val="en-CA"/>
        </w:rPr>
        <w:t>a joined issue</w:t>
      </w:r>
      <w:r w:rsidRPr="00324CF1">
        <w:rPr>
          <w:lang w:val="en-CA"/>
        </w:rPr>
        <w:t>, that the court can and must decide the matter [</w:t>
      </w:r>
      <w:r w:rsidR="00755995" w:rsidRPr="005E6EB3">
        <w:rPr>
          <w:smallCaps/>
          <w:lang w:val="en-CA"/>
        </w:rPr>
        <w:t>translation</w:t>
      </w:r>
      <w:r w:rsidRPr="00324CF1">
        <w:rPr>
          <w:lang w:val="en-CA"/>
        </w:rPr>
        <w:t xml:space="preserve">] “immediately”, without being able to refer it to the </w:t>
      </w:r>
      <w:r w:rsidR="00FB7785">
        <w:rPr>
          <w:lang w:val="en-CA"/>
        </w:rPr>
        <w:t>trial</w:t>
      </w:r>
      <w:r w:rsidRPr="00324CF1">
        <w:rPr>
          <w:lang w:val="en-CA"/>
        </w:rPr>
        <w:t xml:space="preserve"> judge.</w:t>
      </w:r>
    </w:p>
    <w:p w14:paraId="23C6D321" w14:textId="3954D2A0" w:rsidR="000B7ADE" w:rsidRPr="00324CF1" w:rsidRDefault="00ED47F8" w:rsidP="00FB5A91">
      <w:pPr>
        <w:pStyle w:val="Paragraphe"/>
        <w:spacing w:line="240" w:lineRule="auto"/>
        <w:rPr>
          <w:lang w:val="en-US"/>
        </w:rPr>
      </w:pPr>
      <w:r w:rsidRPr="00324CF1">
        <w:rPr>
          <w:lang w:val="en-CA"/>
        </w:rPr>
        <w:t xml:space="preserve">As CCDM/Devas argue, postponing the </w:t>
      </w:r>
      <w:r w:rsidR="004A1748">
        <w:rPr>
          <w:lang w:val="en-CA"/>
        </w:rPr>
        <w:t>order for</w:t>
      </w:r>
      <w:r w:rsidRPr="00324CF1">
        <w:rPr>
          <w:lang w:val="en-CA"/>
        </w:rPr>
        <w:t xml:space="preserve"> seizure before judgment pending a ruling on the question of immunity runs the obvious risk that the assets will no longer be available to the creditor when the question is decided on the merits, thus stripping this action of its </w:t>
      </w:r>
      <w:r w:rsidR="00644F1C">
        <w:rPr>
          <w:lang w:val="en-CA"/>
        </w:rPr>
        <w:t>usefulness</w:t>
      </w:r>
      <w:r w:rsidR="00644F1C" w:rsidRPr="00324CF1">
        <w:rPr>
          <w:lang w:val="en-CA"/>
        </w:rPr>
        <w:t xml:space="preserve"> </w:t>
      </w:r>
      <w:r w:rsidRPr="00324CF1">
        <w:rPr>
          <w:lang w:val="en-CA"/>
        </w:rPr>
        <w:t>as a conservatory measure.</w:t>
      </w:r>
      <w:bookmarkStart w:id="108" w:name="_Ref174523567"/>
      <w:r w:rsidRPr="00324CF1">
        <w:rPr>
          <w:rStyle w:val="Appelnotedebasdep"/>
          <w:lang w:val="en-CA"/>
        </w:rPr>
        <w:footnoteReference w:id="134"/>
      </w:r>
      <w:bookmarkEnd w:id="108"/>
      <w:r w:rsidRPr="00324CF1">
        <w:rPr>
          <w:lang w:val="en-CA"/>
        </w:rPr>
        <w:t xml:space="preserve"> This is a real risk that the judge did not consider in this case, simply mentioning the lack of urgency due to the fact that AAI and IATA are in</w:t>
      </w:r>
      <w:r w:rsidR="00644F1C">
        <w:rPr>
          <w:lang w:val="en-CA"/>
        </w:rPr>
        <w:t xml:space="preserve"> no</w:t>
      </w:r>
      <w:r w:rsidRPr="00324CF1">
        <w:rPr>
          <w:lang w:val="en-CA"/>
        </w:rPr>
        <w:t xml:space="preserve"> danger of disappearing in the meantime. Although they are not likely to disappear, it is nevertheless likely that the assets held by IATA on behalf of AAI will be returned to it before the debate on the merits takes place and will therefore no longer be available to the creditor when </w:t>
      </w:r>
      <w:r w:rsidR="00644F1C">
        <w:rPr>
          <w:lang w:val="en-CA"/>
        </w:rPr>
        <w:t>the time comes</w:t>
      </w:r>
      <w:r w:rsidRPr="00324CF1">
        <w:rPr>
          <w:lang w:val="en-CA"/>
        </w:rPr>
        <w:t xml:space="preserve">. It should also be noted that as of the date of the seizure, AAI stopped using IATA’s services and remitting funds to </w:t>
      </w:r>
      <w:r w:rsidR="00644F1C">
        <w:rPr>
          <w:lang w:val="en-CA"/>
        </w:rPr>
        <w:t>that organization</w:t>
      </w:r>
      <w:r w:rsidRPr="00324CF1">
        <w:rPr>
          <w:lang w:val="en-CA"/>
        </w:rPr>
        <w:t>.</w:t>
      </w:r>
    </w:p>
    <w:p w14:paraId="1D9E65CB" w14:textId="658053F2" w:rsidR="000B7ADE" w:rsidRPr="00324CF1" w:rsidRDefault="00ED47F8" w:rsidP="00FB5A91">
      <w:pPr>
        <w:pStyle w:val="Paragraphe"/>
        <w:spacing w:line="240" w:lineRule="auto"/>
        <w:rPr>
          <w:lang w:val="en-US"/>
        </w:rPr>
      </w:pPr>
      <w:r w:rsidRPr="00324CF1">
        <w:rPr>
          <w:lang w:val="en-CA"/>
        </w:rPr>
        <w:t xml:space="preserve">However, </w:t>
      </w:r>
      <w:r w:rsidR="002E4734">
        <w:rPr>
          <w:lang w:val="en-CA"/>
        </w:rPr>
        <w:t>at the stage of</w:t>
      </w:r>
      <w:r w:rsidR="002E4734" w:rsidRPr="00324CF1">
        <w:rPr>
          <w:lang w:val="en-CA"/>
        </w:rPr>
        <w:t xml:space="preserve"> </w:t>
      </w:r>
      <w:r w:rsidRPr="00324CF1">
        <w:rPr>
          <w:lang w:val="en-CA"/>
        </w:rPr>
        <w:t xml:space="preserve">dismissing or quashing the seizure before judgment, the risk is no longer that the assets will not be available to the </w:t>
      </w:r>
      <w:r w:rsidR="002E4734" w:rsidRPr="00324CF1">
        <w:rPr>
          <w:lang w:val="en-CA"/>
        </w:rPr>
        <w:t>creditor</w:t>
      </w:r>
      <w:r w:rsidR="002E4734">
        <w:rPr>
          <w:lang w:val="en-CA"/>
        </w:rPr>
        <w:t xml:space="preserve"> through </w:t>
      </w:r>
      <w:r w:rsidRPr="00324CF1">
        <w:rPr>
          <w:lang w:val="en-CA"/>
        </w:rPr>
        <w:t xml:space="preserve">some manoeuvre. The risk is instead that of </w:t>
      </w:r>
      <w:r w:rsidR="002E4734">
        <w:rPr>
          <w:lang w:val="en-CA"/>
        </w:rPr>
        <w:t>imposing</w:t>
      </w:r>
      <w:r w:rsidR="002E4734" w:rsidRPr="00324CF1">
        <w:rPr>
          <w:lang w:val="en-CA"/>
        </w:rPr>
        <w:t xml:space="preserve"> </w:t>
      </w:r>
      <w:r w:rsidRPr="00324CF1">
        <w:rPr>
          <w:lang w:val="en-CA"/>
        </w:rPr>
        <w:t xml:space="preserve">legal proceedings, including a trial, when the court </w:t>
      </w:r>
      <w:r w:rsidR="002E4734">
        <w:rPr>
          <w:lang w:val="en-CA"/>
        </w:rPr>
        <w:t>may</w:t>
      </w:r>
      <w:r w:rsidR="002E4734" w:rsidRPr="00324CF1">
        <w:rPr>
          <w:lang w:val="en-CA"/>
        </w:rPr>
        <w:t xml:space="preserve"> </w:t>
      </w:r>
      <w:r w:rsidRPr="00324CF1">
        <w:rPr>
          <w:lang w:val="en-CA"/>
        </w:rPr>
        <w:t xml:space="preserve">not have the jurisdiction required vis-à-vis one of the parties, due to </w:t>
      </w:r>
      <w:r w:rsidR="002E4734">
        <w:rPr>
          <w:lang w:val="en-CA"/>
        </w:rPr>
        <w:t xml:space="preserve">that </w:t>
      </w:r>
      <w:r w:rsidR="002E4734">
        <w:rPr>
          <w:lang w:val="en-CA"/>
        </w:rPr>
        <w:lastRenderedPageBreak/>
        <w:t>party’s</w:t>
      </w:r>
      <w:r w:rsidRPr="00324CF1">
        <w:rPr>
          <w:lang w:val="en-CA"/>
        </w:rPr>
        <w:t xml:space="preserve"> immunity, and</w:t>
      </w:r>
      <w:r w:rsidR="002E4734">
        <w:rPr>
          <w:lang w:val="en-CA"/>
        </w:rPr>
        <w:t xml:space="preserve"> that</w:t>
      </w:r>
      <w:r w:rsidRPr="00324CF1">
        <w:rPr>
          <w:lang w:val="en-CA"/>
        </w:rPr>
        <w:t xml:space="preserve"> the judgment rendered may not be enforceable against it.</w:t>
      </w:r>
      <w:bookmarkStart w:id="109" w:name="_Ref174525125"/>
      <w:r w:rsidRPr="00324CF1">
        <w:rPr>
          <w:rStyle w:val="Appelnotedebasdep"/>
          <w:lang w:val="en-CA"/>
        </w:rPr>
        <w:footnoteReference w:id="135"/>
      </w:r>
      <w:bookmarkEnd w:id="109"/>
      <w:r w:rsidRPr="00324CF1">
        <w:rPr>
          <w:lang w:val="en-CA"/>
        </w:rPr>
        <w:t xml:space="preserve"> At such a stage, it is clear that the question of immunity must be decided immediately</w:t>
      </w:r>
      <w:r w:rsidR="002E4734">
        <w:rPr>
          <w:lang w:val="en-CA"/>
        </w:rPr>
        <w:t>, without delay</w:t>
      </w:r>
      <w:r w:rsidRPr="00324CF1">
        <w:rPr>
          <w:lang w:val="en-CA"/>
        </w:rPr>
        <w:t xml:space="preserve">, </w:t>
      </w:r>
      <w:r w:rsidR="002E4734">
        <w:rPr>
          <w:lang w:val="en-CA"/>
        </w:rPr>
        <w:t>or run</w:t>
      </w:r>
      <w:r w:rsidR="002E4734" w:rsidRPr="00324CF1">
        <w:rPr>
          <w:lang w:val="en-CA"/>
        </w:rPr>
        <w:t xml:space="preserve"> </w:t>
      </w:r>
      <w:r w:rsidRPr="00324CF1">
        <w:rPr>
          <w:lang w:val="en-CA"/>
        </w:rPr>
        <w:t xml:space="preserve">the risk </w:t>
      </w:r>
      <w:r w:rsidR="002E4734">
        <w:rPr>
          <w:lang w:val="en-CA"/>
        </w:rPr>
        <w:t xml:space="preserve">that the trial would </w:t>
      </w:r>
      <w:r w:rsidRPr="00324CF1">
        <w:rPr>
          <w:lang w:val="en-CA"/>
        </w:rPr>
        <w:t>los</w:t>
      </w:r>
      <w:r w:rsidR="002E4734">
        <w:rPr>
          <w:lang w:val="en-CA"/>
        </w:rPr>
        <w:t>e</w:t>
      </w:r>
      <w:r w:rsidRPr="00324CF1">
        <w:rPr>
          <w:lang w:val="en-CA"/>
        </w:rPr>
        <w:t xml:space="preserve"> </w:t>
      </w:r>
      <w:r w:rsidR="002E4734">
        <w:rPr>
          <w:lang w:val="en-CA"/>
        </w:rPr>
        <w:t>any usefulness should</w:t>
      </w:r>
      <w:r w:rsidRPr="00324CF1">
        <w:rPr>
          <w:lang w:val="en-CA"/>
        </w:rPr>
        <w:t xml:space="preserve"> Quebec courts </w:t>
      </w:r>
      <w:r w:rsidR="004D2729">
        <w:rPr>
          <w:lang w:val="en-CA"/>
        </w:rPr>
        <w:t>lack</w:t>
      </w:r>
      <w:r w:rsidRPr="00324CF1">
        <w:rPr>
          <w:lang w:val="en-CA"/>
        </w:rPr>
        <w:t xml:space="preserve"> jurisdiction.</w:t>
      </w:r>
      <w:r w:rsidRPr="00324CF1">
        <w:rPr>
          <w:rStyle w:val="Appelnotedebasdep"/>
          <w:lang w:val="en-CA"/>
        </w:rPr>
        <w:footnoteReference w:id="136"/>
      </w:r>
      <w:r w:rsidRPr="00324CF1">
        <w:rPr>
          <w:lang w:val="en-CA"/>
        </w:rPr>
        <w:t xml:space="preserve"> No such risk exists, however, </w:t>
      </w:r>
      <w:r w:rsidR="002E4734">
        <w:rPr>
          <w:lang w:val="en-CA"/>
        </w:rPr>
        <w:t>at the stage of</w:t>
      </w:r>
      <w:r w:rsidR="002E4734" w:rsidRPr="00324CF1">
        <w:rPr>
          <w:lang w:val="en-CA"/>
        </w:rPr>
        <w:t xml:space="preserve"> </w:t>
      </w:r>
      <w:r w:rsidRPr="00324CF1">
        <w:rPr>
          <w:lang w:val="en-CA"/>
        </w:rPr>
        <w:t xml:space="preserve">an </w:t>
      </w:r>
      <w:r w:rsidRPr="00324CF1">
        <w:rPr>
          <w:i/>
          <w:iCs/>
          <w:lang w:val="en-CA"/>
        </w:rPr>
        <w:t xml:space="preserve">ex parte </w:t>
      </w:r>
      <w:r w:rsidR="004A1748">
        <w:rPr>
          <w:lang w:val="en-CA"/>
        </w:rPr>
        <w:t>order for</w:t>
      </w:r>
      <w:r w:rsidRPr="00324CF1">
        <w:rPr>
          <w:lang w:val="en-CA"/>
        </w:rPr>
        <w:t xml:space="preserve"> seizure before judgment.</w:t>
      </w:r>
    </w:p>
    <w:p w14:paraId="60B3D730" w14:textId="021BD1AB" w:rsidR="005544D7" w:rsidRPr="00324CF1" w:rsidRDefault="00ED47F8" w:rsidP="00FB5A91">
      <w:pPr>
        <w:pStyle w:val="Paragraphe"/>
        <w:spacing w:line="240" w:lineRule="auto"/>
        <w:rPr>
          <w:lang w:val="en-US"/>
        </w:rPr>
      </w:pPr>
      <w:r w:rsidRPr="00324CF1">
        <w:rPr>
          <w:lang w:val="en-CA"/>
        </w:rPr>
        <w:t>It should be noted that the criteria that justify authoriz</w:t>
      </w:r>
      <w:r w:rsidR="00C235CB">
        <w:rPr>
          <w:lang w:val="en-CA"/>
        </w:rPr>
        <w:t>ing a</w:t>
      </w:r>
      <w:r w:rsidRPr="00324CF1">
        <w:rPr>
          <w:lang w:val="en-CA"/>
        </w:rPr>
        <w:t xml:space="preserve"> seizure before judgment are completely different from the criteria that apply </w:t>
      </w:r>
      <w:r w:rsidR="00C235CB">
        <w:rPr>
          <w:lang w:val="en-CA"/>
        </w:rPr>
        <w:t>at the dismissal stage</w:t>
      </w:r>
      <w:r w:rsidRPr="00324CF1">
        <w:rPr>
          <w:lang w:val="en-CA"/>
        </w:rPr>
        <w:t xml:space="preserve">. </w:t>
      </w:r>
      <w:bookmarkStart w:id="110" w:name="_Hlk183509450"/>
      <w:r w:rsidRPr="00324CF1">
        <w:rPr>
          <w:lang w:val="en-CA"/>
        </w:rPr>
        <w:t>In terms of seizure</w:t>
      </w:r>
      <w:r w:rsidR="00C235CB">
        <w:rPr>
          <w:lang w:val="en-CA"/>
        </w:rPr>
        <w:t>s</w:t>
      </w:r>
      <w:r w:rsidRPr="00324CF1">
        <w:rPr>
          <w:lang w:val="en-CA"/>
        </w:rPr>
        <w:t xml:space="preserve"> before judgment, the following must be demonstrated: (1) the existence of a </w:t>
      </w:r>
      <w:r w:rsidRPr="00324CF1">
        <w:rPr>
          <w:i/>
          <w:iCs/>
          <w:lang w:val="en-CA"/>
        </w:rPr>
        <w:t>prima facie</w:t>
      </w:r>
      <w:r w:rsidRPr="00324CF1">
        <w:rPr>
          <w:lang w:val="en-CA"/>
        </w:rPr>
        <w:t xml:space="preserve"> debt, (2) the applicant’s fear that it </w:t>
      </w:r>
      <w:r w:rsidR="00C235CB">
        <w:rPr>
          <w:lang w:val="en-CA"/>
        </w:rPr>
        <w:t>will</w:t>
      </w:r>
      <w:r w:rsidR="00C235CB" w:rsidRPr="00324CF1">
        <w:rPr>
          <w:lang w:val="en-CA"/>
        </w:rPr>
        <w:t xml:space="preserve"> </w:t>
      </w:r>
      <w:r w:rsidRPr="00324CF1">
        <w:rPr>
          <w:lang w:val="en-CA"/>
        </w:rPr>
        <w:t>not be able to collect its debt, (3) that this fear is based on</w:t>
      </w:r>
      <w:r w:rsidR="00C235CB">
        <w:rPr>
          <w:lang w:val="en-CA"/>
        </w:rPr>
        <w:t xml:space="preserve"> the debtor</w:t>
      </w:r>
      <w:r w:rsidR="00461231">
        <w:rPr>
          <w:lang w:val="en-CA"/>
        </w:rPr>
        <w:t xml:space="preserve"> </w:t>
      </w:r>
      <w:r w:rsidR="00C235CB">
        <w:rPr>
          <w:lang w:val="en-CA"/>
        </w:rPr>
        <w:t>manoeuvring</w:t>
      </w:r>
      <w:r w:rsidRPr="00324CF1">
        <w:rPr>
          <w:lang w:val="en-CA"/>
        </w:rPr>
        <w:t xml:space="preserve"> to </w:t>
      </w:r>
      <w:r w:rsidR="00C235CB">
        <w:rPr>
          <w:lang w:val="en-CA"/>
        </w:rPr>
        <w:t>protect</w:t>
      </w:r>
      <w:r w:rsidR="00C235CB" w:rsidRPr="00324CF1">
        <w:rPr>
          <w:lang w:val="en-CA"/>
        </w:rPr>
        <w:t xml:space="preserve"> </w:t>
      </w:r>
      <w:r w:rsidRPr="00324CF1">
        <w:rPr>
          <w:lang w:val="en-CA"/>
        </w:rPr>
        <w:t xml:space="preserve">its assets </w:t>
      </w:r>
      <w:r w:rsidR="00C235CB">
        <w:rPr>
          <w:lang w:val="en-CA"/>
        </w:rPr>
        <w:t>from</w:t>
      </w:r>
      <w:r w:rsidRPr="00324CF1">
        <w:rPr>
          <w:lang w:val="en-CA"/>
        </w:rPr>
        <w:t xml:space="preserve"> a </w:t>
      </w:r>
      <w:r w:rsidR="00C235CB">
        <w:rPr>
          <w:lang w:val="en-CA"/>
        </w:rPr>
        <w:t>possible</w:t>
      </w:r>
      <w:r w:rsidR="00C235CB" w:rsidRPr="00324CF1">
        <w:rPr>
          <w:lang w:val="en-CA"/>
        </w:rPr>
        <w:t xml:space="preserve"> </w:t>
      </w:r>
      <w:r w:rsidRPr="00324CF1">
        <w:rPr>
          <w:lang w:val="en-CA"/>
        </w:rPr>
        <w:t>judgment.</w:t>
      </w:r>
      <w:bookmarkEnd w:id="110"/>
      <w:r w:rsidRPr="00324CF1">
        <w:rPr>
          <w:rStyle w:val="Appelnotedebasdep"/>
          <w:lang w:val="en-CA"/>
        </w:rPr>
        <w:footnoteReference w:id="137"/>
      </w:r>
      <w:r w:rsidRPr="00324CF1">
        <w:rPr>
          <w:lang w:val="en-CA"/>
        </w:rPr>
        <w:t xml:space="preserve"> At </w:t>
      </w:r>
      <w:r w:rsidR="00C235CB">
        <w:rPr>
          <w:lang w:val="en-CA"/>
        </w:rPr>
        <w:t>that point</w:t>
      </w:r>
      <w:r w:rsidRPr="00324CF1">
        <w:rPr>
          <w:lang w:val="en-CA"/>
        </w:rPr>
        <w:t xml:space="preserve">, there was nothing to indicate that the judge </w:t>
      </w:r>
      <w:r w:rsidR="00C235CB">
        <w:rPr>
          <w:lang w:val="en-CA"/>
        </w:rPr>
        <w:t>had</w:t>
      </w:r>
      <w:r w:rsidRPr="00324CF1">
        <w:rPr>
          <w:lang w:val="en-CA"/>
        </w:rPr>
        <w:t xml:space="preserve"> to rule on his jurisdiction or that he had to postpone examining the application for seizure pending a</w:t>
      </w:r>
      <w:r w:rsidR="00C235CB">
        <w:rPr>
          <w:lang w:val="en-CA"/>
        </w:rPr>
        <w:t>n adversarial</w:t>
      </w:r>
      <w:r w:rsidRPr="00324CF1">
        <w:rPr>
          <w:lang w:val="en-CA"/>
        </w:rPr>
        <w:t xml:space="preserve"> debate on his jurisdiction or the immunity that the debtor may wish to invoke. The </w:t>
      </w:r>
      <w:r w:rsidR="00C235CB" w:rsidRPr="00324CF1">
        <w:rPr>
          <w:lang w:val="en-CA"/>
        </w:rPr>
        <w:t>authoriz</w:t>
      </w:r>
      <w:r w:rsidR="00C235CB">
        <w:rPr>
          <w:lang w:val="en-CA"/>
        </w:rPr>
        <w:t>ing</w:t>
      </w:r>
      <w:r w:rsidR="00C235CB" w:rsidRPr="00324CF1">
        <w:rPr>
          <w:lang w:val="en-CA"/>
        </w:rPr>
        <w:t xml:space="preserve"> </w:t>
      </w:r>
      <w:r w:rsidRPr="00324CF1">
        <w:rPr>
          <w:lang w:val="en-CA"/>
        </w:rPr>
        <w:t xml:space="preserve">judge’s role was limited to ruling based on the three criteria, which form </w:t>
      </w:r>
      <w:r w:rsidR="00461231">
        <w:rPr>
          <w:lang w:val="en-CA"/>
        </w:rPr>
        <w:t xml:space="preserve">a </w:t>
      </w:r>
      <w:r w:rsidR="00222EE4">
        <w:rPr>
          <w:lang w:val="en-CA"/>
        </w:rPr>
        <w:t>complete</w:t>
      </w:r>
      <w:r w:rsidRPr="00324CF1">
        <w:rPr>
          <w:lang w:val="en-CA"/>
        </w:rPr>
        <w:t xml:space="preserve"> list. </w:t>
      </w:r>
    </w:p>
    <w:p w14:paraId="6E534059" w14:textId="6F3D0239" w:rsidR="002E6E4D" w:rsidRPr="00461231" w:rsidRDefault="00ED47F8" w:rsidP="00FB5A91">
      <w:pPr>
        <w:pStyle w:val="Paragraphe"/>
        <w:spacing w:line="240" w:lineRule="auto"/>
        <w:rPr>
          <w:lang w:val="en-CA"/>
        </w:rPr>
      </w:pPr>
      <w:r w:rsidRPr="00324CF1">
        <w:rPr>
          <w:lang w:val="en-CA"/>
        </w:rPr>
        <w:t>As noted above, Pinsonnault</w:t>
      </w:r>
      <w:r w:rsidR="00461231">
        <w:rPr>
          <w:lang w:val="en-CA"/>
        </w:rPr>
        <w:t>,</w:t>
      </w:r>
      <w:r w:rsidRPr="00324CF1">
        <w:rPr>
          <w:lang w:val="en-CA"/>
        </w:rPr>
        <w:t xml:space="preserve"> J. concluded that these criteria were met based on the procedures, exhibits and affidavits filed in support of the applications for seizure. He wrote:</w:t>
      </w:r>
    </w:p>
    <w:p w14:paraId="0AD89677" w14:textId="1103F5F2" w:rsidR="002E6E4D" w:rsidRPr="00461231" w:rsidRDefault="000A1C96" w:rsidP="00FB5A91">
      <w:pPr>
        <w:pStyle w:val="Citationenretrait"/>
        <w:spacing w:line="240" w:lineRule="auto"/>
        <w:rPr>
          <w:lang w:val="en-CA"/>
        </w:rPr>
      </w:pPr>
      <w:r w:rsidRPr="00461231">
        <w:rPr>
          <w:lang w:val="en-CA"/>
        </w:rPr>
        <w:t>[53]</w:t>
      </w:r>
      <w:r w:rsidRPr="00461231">
        <w:rPr>
          <w:lang w:val="en-CA"/>
        </w:rPr>
        <w:tab/>
        <w:t xml:space="preserve">Again, with all due respect, its own perusal of the same proceedings, affidavits and exhibits has satisfied the Court that from a strict sufficiency standpoint and on a </w:t>
      </w:r>
      <w:r w:rsidRPr="00461231">
        <w:rPr>
          <w:i/>
          <w:iCs/>
          <w:lang w:val="en-CA"/>
        </w:rPr>
        <w:t>prima facie</w:t>
      </w:r>
      <w:r w:rsidRPr="00461231">
        <w:rPr>
          <w:lang w:val="en-CA"/>
        </w:rPr>
        <w:t xml:space="preserve"> basis, the Authorization Judges were right to consider and conclude that </w:t>
      </w:r>
      <w:r w:rsidRPr="00461231">
        <w:rPr>
          <w:rFonts w:eastAsia="Yu Mincho"/>
          <w:iCs/>
          <w:lang w:val="en-CA" w:eastAsia="fr-CA"/>
        </w:rPr>
        <w:t>there were objective and serious reasons to fear that recovery of Plaintiffs’ claim against the Republic of India might be jeopardized without the Seizures regardless of the behaviour of AAI and Air India.</w:t>
      </w:r>
    </w:p>
    <w:p w14:paraId="3210F7B9" w14:textId="77777777" w:rsidR="002E6E4D" w:rsidRPr="00461231" w:rsidRDefault="00ED47F8" w:rsidP="00FB5A91">
      <w:pPr>
        <w:pStyle w:val="Citationenretrait"/>
        <w:spacing w:line="240" w:lineRule="auto"/>
        <w:rPr>
          <w:lang w:val="en-CA"/>
        </w:rPr>
      </w:pPr>
      <w:r w:rsidRPr="00461231">
        <w:rPr>
          <w:rFonts w:eastAsia="Yu Mincho"/>
          <w:lang w:val="en-CA"/>
        </w:rPr>
        <w:t>[54]</w:t>
      </w:r>
      <w:r w:rsidRPr="00461231">
        <w:rPr>
          <w:rFonts w:eastAsia="Yu Mincho"/>
          <w:lang w:val="en-CA"/>
        </w:rPr>
        <w:tab/>
        <w:t xml:space="preserve">Without going into detail into the extensive factual allegations aiming to establish India’s wrongful and abusive conduct towards Plaintiffs, the many actions, direct or indirect, of India within its country’s boundaries to attack, </w:t>
      </w:r>
      <w:r w:rsidRPr="00461231">
        <w:rPr>
          <w:rFonts w:eastAsia="Yu Mincho"/>
          <w:i/>
          <w:iCs/>
          <w:lang w:val="en-CA"/>
        </w:rPr>
        <w:t>inter alia</w:t>
      </w:r>
      <w:r w:rsidRPr="00461231">
        <w:rPr>
          <w:rFonts w:eastAsia="Yu Mincho"/>
          <w:lang w:val="en-CA"/>
        </w:rPr>
        <w:t xml:space="preserve">, the Treaty Awards and to prevent their execution by Plaintiffs is simply mind-boggling to say the very least on a </w:t>
      </w:r>
      <w:r w:rsidRPr="00461231">
        <w:rPr>
          <w:rFonts w:eastAsia="Yu Mincho"/>
          <w:i/>
          <w:iCs/>
          <w:lang w:val="en-CA"/>
        </w:rPr>
        <w:t>prima facie</w:t>
      </w:r>
      <w:r w:rsidRPr="00461231">
        <w:rPr>
          <w:rFonts w:eastAsia="Yu Mincho"/>
          <w:lang w:val="en-CA"/>
        </w:rPr>
        <w:t xml:space="preserve"> basis and leaves very little doubt in the mind of the Court that it would be next to impossible to execute the Treaty Awards within India leaving Plaintiffs with the sole realistic alternative but to execute the same on assets located outside that country.</w:t>
      </w:r>
    </w:p>
    <w:p w14:paraId="4FFC394A" w14:textId="77777777" w:rsidR="002E6E4D" w:rsidRPr="00461231" w:rsidRDefault="00ED47F8" w:rsidP="00FB5A91">
      <w:pPr>
        <w:pStyle w:val="Citationenretrait"/>
        <w:spacing w:line="240" w:lineRule="auto"/>
        <w:rPr>
          <w:lang w:val="en-CA"/>
        </w:rPr>
      </w:pPr>
      <w:r w:rsidRPr="00461231">
        <w:rPr>
          <w:lang w:val="en-CA"/>
        </w:rPr>
        <w:lastRenderedPageBreak/>
        <w:t>[55]</w:t>
      </w:r>
      <w:r w:rsidRPr="00461231">
        <w:rPr>
          <w:lang w:val="en-CA"/>
        </w:rPr>
        <w:tab/>
        <w:t>The Court understands that even though the Treaty Awards have been homologated so far in five other countries, Plaintiffs have yet to collect a single penny from the Republic of India on account of the Treaty Awards.</w:t>
      </w:r>
    </w:p>
    <w:p w14:paraId="1A2EB7DB" w14:textId="77777777" w:rsidR="002E6E4D" w:rsidRPr="00461231" w:rsidRDefault="00ED47F8" w:rsidP="00FB5A91">
      <w:pPr>
        <w:pStyle w:val="Citationenretrait"/>
        <w:spacing w:line="240" w:lineRule="auto"/>
        <w:rPr>
          <w:lang w:val="en-CA"/>
        </w:rPr>
      </w:pPr>
      <w:r w:rsidRPr="00461231">
        <w:rPr>
          <w:lang w:val="en-CA"/>
        </w:rPr>
        <w:t>[56]</w:t>
      </w:r>
      <w:r w:rsidRPr="00461231">
        <w:rPr>
          <w:lang w:val="en-CA"/>
        </w:rPr>
        <w:tab/>
        <w:t>These actions made and the measures adopted by India within its jurisdiction, directly or indirectly via its wholly state-owned corporation Antrix as detailed in the sworn declarations go way beyond a legitimate contestation of the validity of the Treaty Awards before international courts and tribunals.</w:t>
      </w:r>
    </w:p>
    <w:p w14:paraId="0D501C96" w14:textId="77777777" w:rsidR="002E6E4D" w:rsidRPr="00461231" w:rsidRDefault="00ED47F8" w:rsidP="00FB5A91">
      <w:pPr>
        <w:pStyle w:val="Citationenretrait"/>
        <w:spacing w:line="240" w:lineRule="auto"/>
        <w:rPr>
          <w:lang w:val="en-CA"/>
        </w:rPr>
      </w:pPr>
      <w:r w:rsidRPr="00461231">
        <w:rPr>
          <w:lang w:val="en-CA"/>
        </w:rPr>
        <w:t>[57]</w:t>
      </w:r>
      <w:r w:rsidRPr="00461231">
        <w:rPr>
          <w:lang w:val="en-CA"/>
        </w:rPr>
        <w:tab/>
        <w:t xml:space="preserve">In short, the highly detailed and compelling allegations contained in the sworn declarations in support of the two Seizures taken, at this juncture, as truthful overwhelmingly satisfy the criterion of the objective fear that the recovery of the amounts due under the Treaty Awards to Plaintiffs would be seriously in peril and jeopardy if the Seizures were denied. </w:t>
      </w:r>
    </w:p>
    <w:p w14:paraId="556559AB" w14:textId="77777777" w:rsidR="002E6E4D" w:rsidRPr="00324CF1" w:rsidRDefault="00ED47F8" w:rsidP="00FB5A91">
      <w:pPr>
        <w:pStyle w:val="Citationenretrait"/>
        <w:spacing w:line="240" w:lineRule="auto"/>
        <w:rPr>
          <w:lang w:val="en-CA"/>
        </w:rPr>
      </w:pPr>
      <w:r w:rsidRPr="00461231">
        <w:rPr>
          <w:lang w:val="en-CA"/>
        </w:rPr>
        <w:t>[58]</w:t>
      </w:r>
      <w:r w:rsidRPr="00461231">
        <w:rPr>
          <w:lang w:val="en-CA"/>
        </w:rPr>
        <w:tab/>
        <w:t xml:space="preserve">The other criterion of the existence of a valid claim against the Republic of India has also been satisfied on a </w:t>
      </w:r>
      <w:r w:rsidRPr="00461231">
        <w:rPr>
          <w:i/>
          <w:iCs/>
          <w:lang w:val="en-CA"/>
        </w:rPr>
        <w:t>prima facie</w:t>
      </w:r>
      <w:r w:rsidRPr="00461231">
        <w:rPr>
          <w:lang w:val="en-CA"/>
        </w:rPr>
        <w:t xml:space="preserve"> basis. At this stage, the fact that the Republic of India is still contesting the Treaty Awards and their enforcement by Plaintiffs in other jurisdictions does not impede the legal process initiated by Plaintiffs in the present instance insofar as the Applications for seizure before judgment by garnishment are concerned.</w:t>
      </w:r>
      <w:r w:rsidRPr="00461231">
        <w:rPr>
          <w:rStyle w:val="Appelnotedebasdep"/>
        </w:rPr>
        <w:footnoteReference w:id="138"/>
      </w:r>
    </w:p>
    <w:p w14:paraId="2C2DD149" w14:textId="2D6E0886" w:rsidR="000B7ADE" w:rsidRPr="00C30E91" w:rsidRDefault="00ED47F8" w:rsidP="00FB5A91">
      <w:pPr>
        <w:pStyle w:val="Paragraphe"/>
        <w:spacing w:line="240" w:lineRule="auto"/>
        <w:rPr>
          <w:lang w:val="en-CA"/>
        </w:rPr>
      </w:pPr>
      <w:r w:rsidRPr="00324CF1">
        <w:rPr>
          <w:lang w:val="en-CA"/>
        </w:rPr>
        <w:t xml:space="preserve">It is only </w:t>
      </w:r>
      <w:r w:rsidR="009B69D7">
        <w:rPr>
          <w:lang w:val="en-CA"/>
        </w:rPr>
        <w:t>at the stage of</w:t>
      </w:r>
      <w:r w:rsidR="009B69D7" w:rsidRPr="00324CF1">
        <w:rPr>
          <w:lang w:val="en-CA"/>
        </w:rPr>
        <w:t xml:space="preserve"> </w:t>
      </w:r>
      <w:r w:rsidRPr="00324CF1">
        <w:rPr>
          <w:lang w:val="en-CA"/>
        </w:rPr>
        <w:t xml:space="preserve">a </w:t>
      </w:r>
      <w:r w:rsidR="009B69D7">
        <w:rPr>
          <w:lang w:val="en-CA"/>
        </w:rPr>
        <w:t>possible</w:t>
      </w:r>
      <w:r w:rsidR="009B69D7" w:rsidRPr="00324CF1">
        <w:rPr>
          <w:lang w:val="en-CA"/>
        </w:rPr>
        <w:t xml:space="preserve"> </w:t>
      </w:r>
      <w:r w:rsidRPr="00324CF1">
        <w:rPr>
          <w:lang w:val="en-CA"/>
        </w:rPr>
        <w:t xml:space="preserve">application to quash the seizure that questions of jurisdiction and immunity </w:t>
      </w:r>
      <w:r w:rsidR="0008103B">
        <w:rPr>
          <w:lang w:val="en-CA"/>
        </w:rPr>
        <w:t>must</w:t>
      </w:r>
      <w:r w:rsidR="009B69D7" w:rsidRPr="00324CF1">
        <w:rPr>
          <w:lang w:val="en-CA"/>
        </w:rPr>
        <w:t xml:space="preserve"> </w:t>
      </w:r>
      <w:r w:rsidRPr="00324CF1">
        <w:rPr>
          <w:lang w:val="en-CA"/>
        </w:rPr>
        <w:t>be decided.</w:t>
      </w:r>
      <w:r w:rsidRPr="00324CF1">
        <w:rPr>
          <w:rStyle w:val="Appelnotedebasdep"/>
          <w:lang w:val="en-CA"/>
        </w:rPr>
        <w:footnoteReference w:id="139"/>
      </w:r>
      <w:r w:rsidRPr="00324CF1">
        <w:rPr>
          <w:lang w:val="en-CA"/>
        </w:rPr>
        <w:t xml:space="preserve"> At th</w:t>
      </w:r>
      <w:r w:rsidR="009B69D7">
        <w:rPr>
          <w:lang w:val="en-CA"/>
        </w:rPr>
        <w:t>at</w:t>
      </w:r>
      <w:r w:rsidRPr="00324CF1">
        <w:rPr>
          <w:lang w:val="en-CA"/>
        </w:rPr>
        <w:t xml:space="preserve"> </w:t>
      </w:r>
      <w:r w:rsidR="0008103B">
        <w:rPr>
          <w:lang w:val="en-CA"/>
        </w:rPr>
        <w:t>point</w:t>
      </w:r>
      <w:r w:rsidRPr="00324CF1">
        <w:rPr>
          <w:lang w:val="en-CA"/>
        </w:rPr>
        <w:t xml:space="preserve">, the urgency of the situation will have been tempered by the </w:t>
      </w:r>
      <w:r w:rsidR="004A1748">
        <w:rPr>
          <w:lang w:val="en-CA"/>
        </w:rPr>
        <w:t>order for</w:t>
      </w:r>
      <w:r w:rsidRPr="00324CF1">
        <w:rPr>
          <w:lang w:val="en-CA"/>
        </w:rPr>
        <w:t xml:space="preserve"> </w:t>
      </w:r>
      <w:r w:rsidR="009B69D7">
        <w:rPr>
          <w:lang w:val="en-CA"/>
        </w:rPr>
        <w:t xml:space="preserve">a </w:t>
      </w:r>
      <w:r w:rsidRPr="00324CF1">
        <w:rPr>
          <w:lang w:val="en-CA"/>
        </w:rPr>
        <w:t xml:space="preserve">seizure </w:t>
      </w:r>
      <w:r w:rsidR="004A1748">
        <w:rPr>
          <w:lang w:val="en-CA"/>
        </w:rPr>
        <w:t>made</w:t>
      </w:r>
      <w:r w:rsidRPr="00324CF1">
        <w:rPr>
          <w:lang w:val="en-CA"/>
        </w:rPr>
        <w:t>. The judge should then have all the information</w:t>
      </w:r>
      <w:r w:rsidR="009B69D7">
        <w:rPr>
          <w:lang w:val="en-CA"/>
        </w:rPr>
        <w:t xml:space="preserve"> required</w:t>
      </w:r>
      <w:r w:rsidRPr="00324CF1">
        <w:rPr>
          <w:lang w:val="en-CA"/>
        </w:rPr>
        <w:t xml:space="preserve"> to decide the question of immunity </w:t>
      </w:r>
      <w:r w:rsidR="009B69D7">
        <w:rPr>
          <w:lang w:val="en-CA"/>
        </w:rPr>
        <w:t>but</w:t>
      </w:r>
      <w:r w:rsidR="009B69D7" w:rsidRPr="00324CF1">
        <w:rPr>
          <w:lang w:val="en-CA"/>
        </w:rPr>
        <w:t xml:space="preserve"> </w:t>
      </w:r>
      <w:r w:rsidRPr="00324CF1">
        <w:rPr>
          <w:lang w:val="en-CA"/>
        </w:rPr>
        <w:t xml:space="preserve">could, </w:t>
      </w:r>
      <w:r w:rsidR="009B69D7" w:rsidRPr="00324CF1">
        <w:rPr>
          <w:lang w:val="en-CA"/>
        </w:rPr>
        <w:t>if he</w:t>
      </w:r>
      <w:r w:rsidR="00C30E91">
        <w:rPr>
          <w:lang w:val="en-CA"/>
        </w:rPr>
        <w:t xml:space="preserve"> or she</w:t>
      </w:r>
      <w:r w:rsidR="009B69D7" w:rsidRPr="00324CF1">
        <w:rPr>
          <w:lang w:val="en-CA"/>
        </w:rPr>
        <w:t xml:space="preserve"> </w:t>
      </w:r>
      <w:r w:rsidR="009B69D7">
        <w:rPr>
          <w:lang w:val="en-CA"/>
        </w:rPr>
        <w:t>does</w:t>
      </w:r>
      <w:r w:rsidR="009B69D7" w:rsidRPr="00324CF1">
        <w:rPr>
          <w:lang w:val="en-CA"/>
        </w:rPr>
        <w:t xml:space="preserve"> not have all the information required </w:t>
      </w:r>
      <w:r w:rsidR="009B69D7">
        <w:rPr>
          <w:lang w:val="en-CA"/>
        </w:rPr>
        <w:t>and</w:t>
      </w:r>
      <w:r w:rsidR="009B69D7" w:rsidRPr="00324CF1">
        <w:rPr>
          <w:lang w:val="en-CA"/>
        </w:rPr>
        <w:t xml:space="preserve"> </w:t>
      </w:r>
      <w:r w:rsidRPr="00324CF1">
        <w:rPr>
          <w:lang w:val="en-CA"/>
        </w:rPr>
        <w:t xml:space="preserve">if necessary, supplement the seizure with orders intended to </w:t>
      </w:r>
      <w:r w:rsidR="009B69D7">
        <w:rPr>
          <w:lang w:val="en-CA"/>
        </w:rPr>
        <w:t>balance</w:t>
      </w:r>
      <w:r w:rsidR="009B69D7" w:rsidRPr="00324CF1">
        <w:rPr>
          <w:lang w:val="en-CA"/>
        </w:rPr>
        <w:t xml:space="preserve"> </w:t>
      </w:r>
      <w:r w:rsidRPr="00324CF1">
        <w:rPr>
          <w:lang w:val="en-CA"/>
        </w:rPr>
        <w:t xml:space="preserve">its effect pending </w:t>
      </w:r>
      <w:r w:rsidR="00C30E91">
        <w:rPr>
          <w:lang w:val="en-CA"/>
        </w:rPr>
        <w:t>a</w:t>
      </w:r>
      <w:r w:rsidRPr="00324CF1">
        <w:rPr>
          <w:lang w:val="en-CA"/>
        </w:rPr>
        <w:t xml:space="preserve"> decision on immunity.</w:t>
      </w:r>
      <w:r w:rsidRPr="00324CF1">
        <w:rPr>
          <w:vertAlign w:val="superscript"/>
          <w:lang w:val="en-CA"/>
        </w:rPr>
        <w:footnoteReference w:id="140"/>
      </w:r>
      <w:r w:rsidRPr="00324CF1">
        <w:rPr>
          <w:lang w:val="en-CA"/>
        </w:rPr>
        <w:t xml:space="preserve"> </w:t>
      </w:r>
      <w:r w:rsidR="00C30E91">
        <w:rPr>
          <w:lang w:val="en-CA"/>
        </w:rPr>
        <w:t>A judge</w:t>
      </w:r>
      <w:r w:rsidRPr="00324CF1">
        <w:rPr>
          <w:lang w:val="en-CA"/>
        </w:rPr>
        <w:t xml:space="preserve"> may otherwise decide if the new elements filed by the debtor or the third-party garnishee justify quashing the ordered seizure.</w:t>
      </w:r>
      <w:r w:rsidRPr="00324CF1">
        <w:rPr>
          <w:rStyle w:val="Appelnotedebasdep"/>
          <w:lang w:val="en-CA"/>
        </w:rPr>
        <w:footnoteReference w:id="141"/>
      </w:r>
      <w:r w:rsidRPr="00324CF1">
        <w:rPr>
          <w:lang w:val="en-CA"/>
        </w:rPr>
        <w:t xml:space="preserve"> However, this exercise must not turn into an appeal </w:t>
      </w:r>
      <w:r w:rsidR="00C30E91">
        <w:rPr>
          <w:lang w:val="en-CA"/>
        </w:rPr>
        <w:t>from</w:t>
      </w:r>
      <w:r w:rsidRPr="00324CF1">
        <w:rPr>
          <w:lang w:val="en-CA"/>
        </w:rPr>
        <w:t xml:space="preserve"> the decision ordering the seizure.</w:t>
      </w:r>
      <w:r w:rsidRPr="00324CF1">
        <w:rPr>
          <w:rStyle w:val="Appelnotedebasdep"/>
          <w:lang w:val="en-CA"/>
        </w:rPr>
        <w:footnoteReference w:id="142"/>
      </w:r>
      <w:r w:rsidRPr="00324CF1">
        <w:rPr>
          <w:lang w:val="en-CA"/>
        </w:rPr>
        <w:t xml:space="preserve"> Such an approach is supported by consistent case law.</w:t>
      </w:r>
      <w:r w:rsidRPr="00324CF1">
        <w:rPr>
          <w:rStyle w:val="Appelnotedebasdep"/>
          <w:lang w:val="en-CA"/>
        </w:rPr>
        <w:footnoteReference w:id="143"/>
      </w:r>
    </w:p>
    <w:p w14:paraId="74C2A107" w14:textId="221F7CBA" w:rsidR="000B7ADE" w:rsidRPr="00324CF1" w:rsidRDefault="00ED47F8" w:rsidP="00FB5A91">
      <w:pPr>
        <w:pStyle w:val="Paragraphe"/>
        <w:spacing w:line="240" w:lineRule="auto"/>
        <w:rPr>
          <w:lang w:val="en-US"/>
        </w:rPr>
      </w:pPr>
      <w:r w:rsidRPr="00324CF1">
        <w:rPr>
          <w:lang w:val="en-CA"/>
        </w:rPr>
        <w:t xml:space="preserve">The specific </w:t>
      </w:r>
      <w:r w:rsidR="00222EE4">
        <w:rPr>
          <w:lang w:val="en-CA"/>
        </w:rPr>
        <w:t>scheme</w:t>
      </w:r>
      <w:r w:rsidR="006C6E7A" w:rsidRPr="00324CF1">
        <w:rPr>
          <w:lang w:val="en-CA"/>
        </w:rPr>
        <w:t xml:space="preserve"> </w:t>
      </w:r>
      <w:r w:rsidRPr="00324CF1">
        <w:rPr>
          <w:lang w:val="en-CA"/>
        </w:rPr>
        <w:t xml:space="preserve">of the </w:t>
      </w:r>
      <w:r w:rsidRPr="00324CF1">
        <w:rPr>
          <w:i/>
          <w:iCs/>
          <w:lang w:val="en-CA"/>
        </w:rPr>
        <w:t>SIA</w:t>
      </w:r>
      <w:r w:rsidRPr="00324CF1">
        <w:rPr>
          <w:lang w:val="en-CA"/>
        </w:rPr>
        <w:t xml:space="preserve"> does not in any way change this approach with regard to seizu</w:t>
      </w:r>
      <w:r w:rsidR="00222EE4">
        <w:rPr>
          <w:lang w:val="en-CA"/>
        </w:rPr>
        <w:t>r</w:t>
      </w:r>
      <w:r w:rsidRPr="00324CF1">
        <w:rPr>
          <w:lang w:val="en-CA"/>
        </w:rPr>
        <w:t>e</w:t>
      </w:r>
      <w:r w:rsidR="00222EE4">
        <w:rPr>
          <w:lang w:val="en-CA"/>
        </w:rPr>
        <w:t>s</w:t>
      </w:r>
      <w:r w:rsidRPr="00324CF1">
        <w:rPr>
          <w:lang w:val="en-CA"/>
        </w:rPr>
        <w:t xml:space="preserve"> before judgment. Notwithstanding the strong presumption of state immunity from jurisdiction of the courts, which only </w:t>
      </w:r>
      <w:r w:rsidR="006C6E7A">
        <w:rPr>
          <w:lang w:val="en-CA"/>
        </w:rPr>
        <w:t>the state</w:t>
      </w:r>
      <w:r w:rsidR="006C6E7A" w:rsidRPr="00324CF1">
        <w:rPr>
          <w:lang w:val="en-CA"/>
        </w:rPr>
        <w:t xml:space="preserve"> </w:t>
      </w:r>
      <w:r w:rsidRPr="00324CF1">
        <w:rPr>
          <w:lang w:val="en-CA"/>
        </w:rPr>
        <w:t>can waive,</w:t>
      </w:r>
      <w:r w:rsidRPr="00324CF1">
        <w:rPr>
          <w:rStyle w:val="Appelnotedebasdep"/>
          <w:lang w:val="en-CA"/>
        </w:rPr>
        <w:footnoteReference w:id="144"/>
      </w:r>
      <w:r w:rsidRPr="00324CF1">
        <w:rPr>
          <w:lang w:val="en-CA"/>
        </w:rPr>
        <w:t xml:space="preserve"> </w:t>
      </w:r>
      <w:r w:rsidR="006C6E7A">
        <w:rPr>
          <w:lang w:val="en-CA"/>
        </w:rPr>
        <w:t>it</w:t>
      </w:r>
      <w:r w:rsidR="006C6E7A" w:rsidRPr="00324CF1">
        <w:rPr>
          <w:lang w:val="en-CA"/>
        </w:rPr>
        <w:t xml:space="preserve"> </w:t>
      </w:r>
      <w:r w:rsidRPr="00324CF1">
        <w:rPr>
          <w:lang w:val="en-CA"/>
        </w:rPr>
        <w:t xml:space="preserve">is a question </w:t>
      </w:r>
      <w:r w:rsidRPr="00324CF1">
        <w:rPr>
          <w:lang w:val="en-CA"/>
        </w:rPr>
        <w:lastRenderedPageBreak/>
        <w:t xml:space="preserve">of jurisdiction, which </w:t>
      </w:r>
      <w:r w:rsidR="00222EE4">
        <w:rPr>
          <w:lang w:val="en-CA"/>
        </w:rPr>
        <w:t xml:space="preserve">need not </w:t>
      </w:r>
      <w:r w:rsidRPr="00324CF1">
        <w:rPr>
          <w:lang w:val="en-CA"/>
        </w:rPr>
        <w:t xml:space="preserve">be analyzed </w:t>
      </w:r>
      <w:r w:rsidR="00222EE4">
        <w:rPr>
          <w:lang w:val="en-CA"/>
        </w:rPr>
        <w:t>at</w:t>
      </w:r>
      <w:r w:rsidRPr="00324CF1">
        <w:rPr>
          <w:lang w:val="en-CA"/>
        </w:rPr>
        <w:t xml:space="preserve"> the</w:t>
      </w:r>
      <w:r w:rsidR="00222EE4">
        <w:rPr>
          <w:lang w:val="en-CA"/>
        </w:rPr>
        <w:t xml:space="preserve"> stage of the</w:t>
      </w:r>
      <w:r w:rsidRPr="00324CF1">
        <w:rPr>
          <w:lang w:val="en-CA"/>
        </w:rPr>
        <w:t xml:space="preserve"> seizure before judgment, as our Court noted in </w:t>
      </w:r>
      <w:r w:rsidRPr="00324CF1">
        <w:rPr>
          <w:i/>
          <w:iCs/>
          <w:lang w:val="en-CA"/>
        </w:rPr>
        <w:t>DDH Aviation</w:t>
      </w:r>
      <w:r w:rsidRPr="00324CF1">
        <w:rPr>
          <w:lang w:val="en-CA"/>
        </w:rPr>
        <w:t>, otherwise there is a risk of going against the legislator’s clear intention with regard to seizure</w:t>
      </w:r>
      <w:r w:rsidR="006C6E7A">
        <w:rPr>
          <w:lang w:val="en-CA"/>
        </w:rPr>
        <w:t>s</w:t>
      </w:r>
      <w:r w:rsidRPr="00324CF1">
        <w:rPr>
          <w:lang w:val="en-CA"/>
        </w:rPr>
        <w:t xml:space="preserve"> before judgment:</w:t>
      </w:r>
    </w:p>
    <w:p w14:paraId="69A87CA1" w14:textId="77777777" w:rsidR="000B7ADE" w:rsidRPr="00324CF1" w:rsidRDefault="00ED47F8" w:rsidP="00FB5A91">
      <w:pPr>
        <w:pStyle w:val="Citationenretrait"/>
        <w:spacing w:line="240" w:lineRule="auto"/>
        <w:rPr>
          <w:lang w:val="en-CA"/>
        </w:rPr>
      </w:pPr>
      <w:r w:rsidRPr="00222EE4">
        <w:rPr>
          <w:lang w:val="en-CA"/>
        </w:rPr>
        <w:t>[47]</w:t>
      </w:r>
      <w:r w:rsidRPr="00222EE4">
        <w:rPr>
          <w:lang w:val="en-CA"/>
        </w:rPr>
        <w:tab/>
        <w:t>Appellants argue that a provisional or conservatory measure cannot be authorized under article 3138 C.C.Q. unless it is shown that there is already an action instituted before the Court of another jurisdiction and unless the request emanates from that Court. I do not agree. The text of the article contains no such limitations. It is sometimes very difficult, if not impossible, to first file an action in another jurisdiction before seeking the protection of a provisional or conservatory measure contemplated by our Civil Code or Code of Civil Procedure. The purpose of the legislation, and the intent of the legislator, could be defeated if the interpretation advanced by Appellants was accepted, because the time required to institute the action in another jurisdiction might allow the defendant to take a course of action which would render the provisional or conservatory measures useless, ineffective, or academic. The submission that the request must be made by the Court outside of Quebec, rather than by the interested party (plaintiff), is entirely without merit.</w:t>
      </w:r>
      <w:r w:rsidRPr="00222EE4">
        <w:rPr>
          <w:rStyle w:val="Appelnotedebasdep"/>
          <w:szCs w:val="22"/>
        </w:rPr>
        <w:footnoteReference w:id="145"/>
      </w:r>
    </w:p>
    <w:p w14:paraId="7FC22CB0" w14:textId="182639F8" w:rsidR="00F35881" w:rsidRPr="00324CF1" w:rsidRDefault="00ED47F8" w:rsidP="00FB5A91">
      <w:pPr>
        <w:pStyle w:val="Paragraphe"/>
        <w:spacing w:line="240" w:lineRule="auto"/>
        <w:rPr>
          <w:lang w:val="en-US"/>
        </w:rPr>
      </w:pPr>
      <w:bookmarkStart w:id="111" w:name="_Ref183591109"/>
      <w:r w:rsidRPr="00324CF1">
        <w:rPr>
          <w:lang w:val="en-CA"/>
        </w:rPr>
        <w:t>In th</w:t>
      </w:r>
      <w:r w:rsidR="00542A1B">
        <w:rPr>
          <w:lang w:val="en-CA"/>
        </w:rPr>
        <w:t>at</w:t>
      </w:r>
      <w:r w:rsidRPr="00324CF1">
        <w:rPr>
          <w:lang w:val="en-CA"/>
        </w:rPr>
        <w:t xml:space="preserve"> case, the Court further concluded that it was not necessary for </w:t>
      </w:r>
      <w:r w:rsidR="00542A1B">
        <w:rPr>
          <w:lang w:val="en-CA"/>
        </w:rPr>
        <w:t>an underlying</w:t>
      </w:r>
      <w:r w:rsidRPr="00324CF1">
        <w:rPr>
          <w:lang w:val="en-CA"/>
        </w:rPr>
        <w:t xml:space="preserve"> proceeding to have already been initiated outside Quebec </w:t>
      </w:r>
      <w:r w:rsidR="00542A1B">
        <w:rPr>
          <w:lang w:val="en-CA"/>
        </w:rPr>
        <w:t>to order the seizure</w:t>
      </w:r>
      <w:r w:rsidRPr="00324CF1">
        <w:rPr>
          <w:lang w:val="en-CA"/>
        </w:rPr>
        <w:t xml:space="preserve">, based in particular on the rules of private international law </w:t>
      </w:r>
      <w:r w:rsidR="00542A1B">
        <w:rPr>
          <w:lang w:val="en-CA"/>
        </w:rPr>
        <w:t>set out under</w:t>
      </w:r>
      <w:r w:rsidRPr="00324CF1">
        <w:rPr>
          <w:lang w:val="en-CA"/>
        </w:rPr>
        <w:t xml:space="preserve"> the CCQ, article 3138</w:t>
      </w:r>
      <w:r w:rsidR="00E66253">
        <w:rPr>
          <w:lang w:val="en-CA"/>
        </w:rPr>
        <w:t xml:space="preserve"> in particular</w:t>
      </w:r>
      <w:r w:rsidRPr="00324CF1">
        <w:rPr>
          <w:lang w:val="en-CA"/>
        </w:rPr>
        <w:t>, which clearly states that the lack of jurisdiction does not bar courts from ordering provisional or conservatory measures:</w:t>
      </w:r>
      <w:bookmarkEnd w:id="111"/>
    </w:p>
    <w:tbl>
      <w:tblPr>
        <w:tblW w:w="0" w:type="auto"/>
        <w:tblCellMar>
          <w:left w:w="70" w:type="dxa"/>
          <w:right w:w="70" w:type="dxa"/>
        </w:tblCellMar>
        <w:tblLook w:val="0000" w:firstRow="0" w:lastRow="0" w:firstColumn="0" w:lastColumn="0" w:noHBand="0" w:noVBand="0"/>
      </w:tblPr>
      <w:tblGrid>
        <w:gridCol w:w="4684"/>
        <w:gridCol w:w="4678"/>
      </w:tblGrid>
      <w:tr w:rsidR="00291C6F" w:rsidRPr="00542A1B" w14:paraId="29CB22CD" w14:textId="77777777" w:rsidTr="008B5535">
        <w:trPr>
          <w:trHeight w:val="1302"/>
        </w:trPr>
        <w:tc>
          <w:tcPr>
            <w:tcW w:w="4684" w:type="dxa"/>
          </w:tcPr>
          <w:p w14:paraId="573953F9" w14:textId="52E38F77" w:rsidR="00F35881" w:rsidRPr="00E66253" w:rsidRDefault="00ED47F8" w:rsidP="00FB5A91">
            <w:pPr>
              <w:pStyle w:val="Tableaugauchefranais"/>
              <w:tabs>
                <w:tab w:val="left" w:pos="4320"/>
              </w:tabs>
              <w:spacing w:line="240" w:lineRule="auto"/>
              <w:jc w:val="both"/>
              <w:rPr>
                <w:lang w:val="en-CA"/>
              </w:rPr>
            </w:pPr>
            <w:r w:rsidRPr="00E66253">
              <w:rPr>
                <w:b/>
                <w:bCs/>
                <w:lang w:val="en-CA"/>
              </w:rPr>
              <w:t xml:space="preserve">3138. </w:t>
            </w:r>
            <w:r w:rsidR="00542A1B" w:rsidRPr="005E6EB3">
              <w:rPr>
                <w:lang w:val="en-CA"/>
              </w:rPr>
              <w:t xml:space="preserve">A Québec authority may order provisional or conservatory measures even if it has no jurisdiction over the merits of the dispute. </w:t>
            </w:r>
          </w:p>
        </w:tc>
        <w:tc>
          <w:tcPr>
            <w:tcW w:w="4678" w:type="dxa"/>
          </w:tcPr>
          <w:p w14:paraId="4D5750FF" w14:textId="382BD333" w:rsidR="00F35881" w:rsidRPr="005E6EB3" w:rsidRDefault="00ED47F8" w:rsidP="00FB5A91">
            <w:pPr>
              <w:pStyle w:val="Tableaudroiteanglais"/>
              <w:spacing w:line="240" w:lineRule="auto"/>
              <w:rPr>
                <w:lang w:val="fr-CA"/>
              </w:rPr>
            </w:pPr>
            <w:r w:rsidRPr="00E66253">
              <w:rPr>
                <w:b/>
                <w:bCs/>
                <w:lang w:val="fr-CA"/>
              </w:rPr>
              <w:t xml:space="preserve">3138. </w:t>
            </w:r>
            <w:r w:rsidR="00542A1B" w:rsidRPr="005E6EB3">
              <w:rPr>
                <w:lang w:val="fr-CA"/>
              </w:rPr>
              <w:t>L’autorité québécoise peut ordonner des mesures provisoires ou conservatoires, même si elle n’est pas compétente pour connaître du fond du litige.</w:t>
            </w:r>
          </w:p>
        </w:tc>
      </w:tr>
    </w:tbl>
    <w:p w14:paraId="7102D5FB" w14:textId="23BCD7CC" w:rsidR="000B7ADE" w:rsidRPr="00324CF1" w:rsidRDefault="00ED47F8" w:rsidP="00FB5A91">
      <w:pPr>
        <w:pStyle w:val="Paragraphe"/>
        <w:spacing w:line="240" w:lineRule="auto"/>
        <w:rPr>
          <w:lang w:val="en-US"/>
        </w:rPr>
      </w:pPr>
      <w:r w:rsidRPr="00324CF1">
        <w:rPr>
          <w:lang w:val="en-CA"/>
        </w:rPr>
        <w:t xml:space="preserve">As Professor Gérald Goldstein explained, summarizing the Court’s </w:t>
      </w:r>
      <w:r w:rsidR="007A3043">
        <w:rPr>
          <w:lang w:val="en-CA"/>
        </w:rPr>
        <w:t>conclusions</w:t>
      </w:r>
      <w:r w:rsidR="007A3043" w:rsidRPr="00324CF1">
        <w:rPr>
          <w:lang w:val="en-CA"/>
        </w:rPr>
        <w:t xml:space="preserve"> </w:t>
      </w:r>
      <w:r w:rsidRPr="00324CF1">
        <w:rPr>
          <w:lang w:val="en-CA"/>
        </w:rPr>
        <w:t xml:space="preserve">in </w:t>
      </w:r>
      <w:r w:rsidRPr="00324CF1">
        <w:rPr>
          <w:i/>
          <w:iCs/>
          <w:lang w:val="en-CA"/>
        </w:rPr>
        <w:t>DDH Aviation</w:t>
      </w:r>
      <w:r w:rsidRPr="00324CF1">
        <w:rPr>
          <w:lang w:val="en-CA"/>
        </w:rPr>
        <w:t>, the require</w:t>
      </w:r>
      <w:r w:rsidR="007A3043">
        <w:rPr>
          <w:lang w:val="en-CA"/>
        </w:rPr>
        <w:t xml:space="preserve">d </w:t>
      </w:r>
      <w:r w:rsidRPr="00324CF1">
        <w:rPr>
          <w:lang w:val="en-CA"/>
        </w:rPr>
        <w:t>prerequisites such as that a debate has been initiated in another jurisdiction [</w:t>
      </w:r>
      <w:r w:rsidR="00E66253">
        <w:rPr>
          <w:smallCaps/>
          <w:lang w:val="en-CA"/>
        </w:rPr>
        <w:t>translation</w:t>
      </w:r>
      <w:r w:rsidRPr="00324CF1">
        <w:rPr>
          <w:lang w:val="en-CA"/>
        </w:rPr>
        <w:t xml:space="preserve">] “is </w:t>
      </w:r>
      <w:r w:rsidR="007A3043">
        <w:rPr>
          <w:lang w:val="en-CA"/>
        </w:rPr>
        <w:t>inconsistent</w:t>
      </w:r>
      <w:r w:rsidR="007A3043" w:rsidRPr="00324CF1">
        <w:rPr>
          <w:lang w:val="en-CA"/>
        </w:rPr>
        <w:t xml:space="preserve"> </w:t>
      </w:r>
      <w:r w:rsidRPr="00324CF1">
        <w:rPr>
          <w:lang w:val="en-CA"/>
        </w:rPr>
        <w:t xml:space="preserve">with the very </w:t>
      </w:r>
      <w:r w:rsidR="007A3043">
        <w:rPr>
          <w:lang w:val="en-CA"/>
        </w:rPr>
        <w:t>purpose</w:t>
      </w:r>
      <w:r w:rsidR="007A3043" w:rsidRPr="00324CF1">
        <w:rPr>
          <w:lang w:val="en-CA"/>
        </w:rPr>
        <w:t xml:space="preserve"> </w:t>
      </w:r>
      <w:r w:rsidRPr="00324CF1">
        <w:rPr>
          <w:lang w:val="en-CA"/>
        </w:rPr>
        <w:t xml:space="preserve">of provisional measures, since the time required to </w:t>
      </w:r>
      <w:r w:rsidR="007A3043">
        <w:rPr>
          <w:lang w:val="en-CA"/>
        </w:rPr>
        <w:t>institute</w:t>
      </w:r>
      <w:r w:rsidR="007A3043" w:rsidRPr="00324CF1">
        <w:rPr>
          <w:lang w:val="en-CA"/>
        </w:rPr>
        <w:t xml:space="preserve"> </w:t>
      </w:r>
      <w:r w:rsidR="007A3043">
        <w:rPr>
          <w:lang w:val="en-CA"/>
        </w:rPr>
        <w:t>the</w:t>
      </w:r>
      <w:r w:rsidRPr="00324CF1">
        <w:rPr>
          <w:lang w:val="en-CA"/>
        </w:rPr>
        <w:t xml:space="preserve"> action would allow the defendant abroad to </w:t>
      </w:r>
      <w:r w:rsidR="007A3043">
        <w:rPr>
          <w:lang w:val="en-CA"/>
        </w:rPr>
        <w:t>take a course of action</w:t>
      </w:r>
      <w:r w:rsidRPr="00324CF1">
        <w:rPr>
          <w:lang w:val="en-CA"/>
        </w:rPr>
        <w:t xml:space="preserve"> that</w:t>
      </w:r>
      <w:r w:rsidR="007A3043">
        <w:rPr>
          <w:lang w:val="en-CA"/>
        </w:rPr>
        <w:t xml:space="preserve"> would render</w:t>
      </w:r>
      <w:r w:rsidRPr="00324CF1">
        <w:rPr>
          <w:lang w:val="en-CA"/>
        </w:rPr>
        <w:t xml:space="preserve"> the provisional measure useless or ineffective”.</w:t>
      </w:r>
      <w:bookmarkStart w:id="112" w:name="_Ref174524336"/>
      <w:r w:rsidRPr="00324CF1">
        <w:rPr>
          <w:rStyle w:val="Appelnotedebasdep"/>
          <w:lang w:val="en-CA"/>
        </w:rPr>
        <w:footnoteReference w:id="146"/>
      </w:r>
      <w:bookmarkEnd w:id="112"/>
      <w:r w:rsidRPr="00324CF1">
        <w:rPr>
          <w:lang w:val="en-CA"/>
        </w:rPr>
        <w:t xml:space="preserve"> Drawing on case law, he </w:t>
      </w:r>
      <w:r w:rsidR="00DD5DC7">
        <w:rPr>
          <w:lang w:val="en-CA"/>
        </w:rPr>
        <w:t xml:space="preserve">also </w:t>
      </w:r>
      <w:r w:rsidRPr="00324CF1">
        <w:rPr>
          <w:lang w:val="en-CA"/>
        </w:rPr>
        <w:t xml:space="preserve">confirmed that the procedure for </w:t>
      </w:r>
      <w:r w:rsidR="00DD5DC7">
        <w:rPr>
          <w:lang w:val="en-CA"/>
        </w:rPr>
        <w:t xml:space="preserve">a </w:t>
      </w:r>
      <w:r w:rsidRPr="00324CF1">
        <w:rPr>
          <w:lang w:val="en-CA"/>
        </w:rPr>
        <w:t>seizure before judgment is one of the provisional and conservatory measures referred to in article 3138 CCQ</w:t>
      </w:r>
      <w:r w:rsidR="00DD5DC7">
        <w:rPr>
          <w:lang w:val="en-CA"/>
        </w:rPr>
        <w:t>.</w:t>
      </w:r>
      <w:r w:rsidRPr="00324CF1">
        <w:rPr>
          <w:rStyle w:val="Appelnotedebasdep"/>
          <w:lang w:val="en-CA"/>
        </w:rPr>
        <w:footnoteReference w:id="147"/>
      </w:r>
    </w:p>
    <w:p w14:paraId="14D7F147" w14:textId="77777777" w:rsidR="000B7ADE" w:rsidRPr="00324CF1" w:rsidRDefault="00ED47F8" w:rsidP="00FB5A91">
      <w:pPr>
        <w:pStyle w:val="Paragraphe"/>
        <w:spacing w:line="240" w:lineRule="auto"/>
        <w:rPr>
          <w:lang w:val="en-US"/>
        </w:rPr>
      </w:pPr>
      <w:r w:rsidRPr="00324CF1">
        <w:rPr>
          <w:lang w:val="en-CA"/>
        </w:rPr>
        <w:lastRenderedPageBreak/>
        <w:t xml:space="preserve">More recently, in </w:t>
      </w:r>
      <w:r w:rsidRPr="00324CF1">
        <w:rPr>
          <w:i/>
          <w:iCs/>
          <w:lang w:val="en-CA"/>
        </w:rPr>
        <w:t>Ortega Figueroa c. Jenckel</w:t>
      </w:r>
      <w:r w:rsidRPr="00324CF1">
        <w:rPr>
          <w:lang w:val="en-CA"/>
        </w:rPr>
        <w:t>, our Court quoted Professor Goldstein’s comments with approval,</w:t>
      </w:r>
      <w:bookmarkStart w:id="113" w:name="_Ref174524919"/>
      <w:r w:rsidRPr="00324CF1">
        <w:rPr>
          <w:rStyle w:val="Appelnotedebasdep"/>
          <w:lang w:val="en-CA"/>
        </w:rPr>
        <w:footnoteReference w:id="148"/>
      </w:r>
      <w:bookmarkEnd w:id="113"/>
      <w:r w:rsidRPr="00324CF1">
        <w:rPr>
          <w:lang w:val="en-CA"/>
        </w:rPr>
        <w:t xml:space="preserve"> affirming that the Quebec court had jurisdiction to order provisional measures even if it had no jurisdiction over the merits of the dispute:</w:t>
      </w:r>
    </w:p>
    <w:p w14:paraId="665266F3" w14:textId="6BDE0283" w:rsidR="00755995" w:rsidRDefault="00755995" w:rsidP="00FB5A91">
      <w:pPr>
        <w:pStyle w:val="Citationenretrait"/>
        <w:spacing w:before="80" w:after="80" w:line="240" w:lineRule="auto"/>
        <w:rPr>
          <w:lang w:val="en-CA"/>
        </w:rPr>
      </w:pPr>
      <w:r w:rsidRPr="00324CF1">
        <w:rPr>
          <w:lang w:val="en-CA"/>
        </w:rPr>
        <w:t>[</w:t>
      </w:r>
      <w:r w:rsidRPr="005E6EB3">
        <w:rPr>
          <w:smallCaps/>
          <w:lang w:val="en-CA"/>
        </w:rPr>
        <w:t>translation</w:t>
      </w:r>
      <w:r w:rsidRPr="00324CF1">
        <w:rPr>
          <w:lang w:val="en-CA"/>
        </w:rPr>
        <w:t xml:space="preserve">] </w:t>
      </w:r>
    </w:p>
    <w:p w14:paraId="3B4FE445" w14:textId="1EAF7E1C" w:rsidR="000B7ADE" w:rsidRPr="00324CF1" w:rsidRDefault="00ED47F8" w:rsidP="00FB5A91">
      <w:pPr>
        <w:pStyle w:val="Citationenretrait"/>
        <w:spacing w:before="80" w:after="80" w:line="240" w:lineRule="auto"/>
        <w:rPr>
          <w:lang w:val="en-US"/>
        </w:rPr>
      </w:pPr>
      <w:r w:rsidRPr="00324CF1">
        <w:rPr>
          <w:lang w:val="en-CA"/>
        </w:rPr>
        <w:t>[25]</w:t>
      </w:r>
      <w:r w:rsidRPr="00324CF1">
        <w:rPr>
          <w:lang w:val="en-CA"/>
        </w:rPr>
        <w:tab/>
        <w:t>Article 3164 CCQ also enshrines the principle of jurisdictional reciprocity, also referred to as the “mirror principle”, according to which the authority granted to Quebec courts is extended to foreign authorities when the dispute is substantially connected with the state whose authority is seized of the matter.</w:t>
      </w:r>
    </w:p>
    <w:p w14:paraId="02F4FCBE" w14:textId="1E1F1992" w:rsidR="000B7ADE" w:rsidRPr="00324CF1" w:rsidRDefault="00ED47F8" w:rsidP="00FB5A91">
      <w:pPr>
        <w:pStyle w:val="Citationenretrait"/>
        <w:spacing w:before="80" w:after="80" w:line="240" w:lineRule="auto"/>
        <w:rPr>
          <w:lang w:val="en-US"/>
        </w:rPr>
      </w:pPr>
      <w:r w:rsidRPr="00324CF1">
        <w:rPr>
          <w:lang w:val="en-CA"/>
        </w:rPr>
        <w:t>...</w:t>
      </w:r>
    </w:p>
    <w:p w14:paraId="0B90B80E" w14:textId="70F4BF1A" w:rsidR="000B7ADE" w:rsidRPr="00324CF1" w:rsidRDefault="00ED47F8" w:rsidP="00FB5A91">
      <w:pPr>
        <w:pStyle w:val="Citationenretrait"/>
        <w:spacing w:before="80" w:after="80" w:line="240" w:lineRule="auto"/>
        <w:rPr>
          <w:u w:val="single"/>
          <w:lang w:val="en-US"/>
        </w:rPr>
      </w:pPr>
      <w:r w:rsidRPr="00324CF1">
        <w:rPr>
          <w:lang w:val="en-CA"/>
        </w:rPr>
        <w:t>[31]</w:t>
      </w:r>
      <w:r w:rsidRPr="00324CF1">
        <w:rPr>
          <w:lang w:val="en-CA"/>
        </w:rPr>
        <w:tab/>
      </w:r>
      <w:r w:rsidRPr="00324CF1">
        <w:rPr>
          <w:u w:val="single"/>
          <w:lang w:val="en-CA"/>
        </w:rPr>
        <w:t>Professor Goldstein notes</w:t>
      </w:r>
      <w:r w:rsidR="00444193">
        <w:rPr>
          <w:u w:val="single"/>
          <w:lang w:val="en-CA"/>
        </w:rPr>
        <w:t>, in this respect,</w:t>
      </w:r>
      <w:r w:rsidRPr="00324CF1">
        <w:rPr>
          <w:u w:val="single"/>
          <w:lang w:val="en-CA"/>
        </w:rPr>
        <w:t xml:space="preserve">, </w:t>
      </w:r>
      <w:r w:rsidR="00444193">
        <w:rPr>
          <w:u w:val="single"/>
          <w:lang w:val="en-CA"/>
        </w:rPr>
        <w:t xml:space="preserve">that </w:t>
      </w:r>
      <w:r w:rsidRPr="00324CF1">
        <w:rPr>
          <w:u w:val="single"/>
          <w:lang w:val="en-CA"/>
        </w:rPr>
        <w:t>article 3138 CCQ</w:t>
      </w:r>
      <w:r w:rsidR="00444193">
        <w:rPr>
          <w:u w:val="single"/>
          <w:lang w:val="en-CA"/>
        </w:rPr>
        <w:t xml:space="preserve"> can be distinguished from article 3140 CCQ by its </w:t>
      </w:r>
      <w:r w:rsidRPr="00324CF1">
        <w:rPr>
          <w:u w:val="single"/>
          <w:lang w:val="en-CA"/>
        </w:rPr>
        <w:t xml:space="preserve">broader scope. Article 3140 CCQ is, </w:t>
      </w:r>
      <w:r w:rsidR="00444193">
        <w:rPr>
          <w:u w:val="single"/>
          <w:lang w:val="en-CA"/>
        </w:rPr>
        <w:t>indeed</w:t>
      </w:r>
      <w:r w:rsidRPr="00324CF1">
        <w:rPr>
          <w:u w:val="single"/>
          <w:lang w:val="en-CA"/>
        </w:rPr>
        <w:t xml:space="preserve">, expressly limited in that it applies exclusively (1) in an emergency or serious inconvenience and (2) for the sole purpose of protecting a person who is present in Quebec or protecting the person’s property if it is </w:t>
      </w:r>
      <w:r w:rsidR="00444193">
        <w:rPr>
          <w:u w:val="single"/>
          <w:lang w:val="en-CA"/>
        </w:rPr>
        <w:t>situated there</w:t>
      </w:r>
      <w:r w:rsidRPr="00324CF1">
        <w:rPr>
          <w:u w:val="single"/>
          <w:lang w:val="en-CA"/>
        </w:rPr>
        <w:t>.</w:t>
      </w:r>
    </w:p>
    <w:p w14:paraId="49F198F3" w14:textId="5643321C" w:rsidR="000B7ADE" w:rsidRPr="00324CF1" w:rsidRDefault="00ED47F8" w:rsidP="0093047A">
      <w:pPr>
        <w:pStyle w:val="Citationenretrait"/>
        <w:spacing w:before="80" w:after="80" w:line="240" w:lineRule="auto"/>
        <w:rPr>
          <w:lang w:val="en-US"/>
        </w:rPr>
      </w:pPr>
      <w:r w:rsidRPr="00324CF1">
        <w:rPr>
          <w:lang w:val="en-CA"/>
        </w:rPr>
        <w:t>[32]</w:t>
      </w:r>
      <w:r w:rsidRPr="00324CF1">
        <w:rPr>
          <w:lang w:val="en-CA"/>
        </w:rPr>
        <w:tab/>
      </w:r>
      <w:r w:rsidRPr="00324CF1">
        <w:rPr>
          <w:u w:val="single"/>
          <w:lang w:val="en-CA"/>
        </w:rPr>
        <w:t xml:space="preserve">The text of article 3138 CCQ is not restricted </w:t>
      </w:r>
      <w:r w:rsidR="006534F0">
        <w:rPr>
          <w:u w:val="single"/>
          <w:lang w:val="en-CA"/>
        </w:rPr>
        <w:t xml:space="preserve">in this way </w:t>
      </w:r>
      <w:r w:rsidRPr="00324CF1">
        <w:rPr>
          <w:u w:val="single"/>
          <w:lang w:val="en-CA"/>
        </w:rPr>
        <w:t>and would therefore allow</w:t>
      </w:r>
      <w:r w:rsidR="006534F0">
        <w:rPr>
          <w:u w:val="single"/>
          <w:lang w:val="en-CA"/>
        </w:rPr>
        <w:t xml:space="preserve"> the</w:t>
      </w:r>
      <w:r w:rsidRPr="00324CF1">
        <w:rPr>
          <w:u w:val="single"/>
          <w:lang w:val="en-CA"/>
        </w:rPr>
        <w:t xml:space="preserve"> implementation of extraterritorial conservatory measures</w:t>
      </w:r>
      <w:r w:rsidRPr="00324CF1">
        <w:rPr>
          <w:lang w:val="en-CA"/>
        </w:rPr>
        <w:t xml:space="preserve"> …</w:t>
      </w:r>
    </w:p>
    <w:p w14:paraId="54858506" w14:textId="6AE632A3" w:rsidR="000B7ADE" w:rsidRPr="00324CF1" w:rsidRDefault="00ED47F8" w:rsidP="00FB5A91">
      <w:pPr>
        <w:pStyle w:val="Citationenretrait"/>
        <w:spacing w:before="80" w:after="80" w:line="240" w:lineRule="auto"/>
        <w:rPr>
          <w:lang w:val="en-US"/>
        </w:rPr>
      </w:pPr>
      <w:r w:rsidRPr="00324CF1">
        <w:rPr>
          <w:lang w:val="en-CA"/>
        </w:rPr>
        <w:t>[33]</w:t>
      </w:r>
      <w:r w:rsidRPr="00324CF1">
        <w:rPr>
          <w:lang w:val="en-CA"/>
        </w:rPr>
        <w:tab/>
        <w:t xml:space="preserve">It follows from the application of the “mirror principle” that the German court would have, like a Quebec court, jurisdiction to order provisional measures for the conservation of the deceased’s assets </w:t>
      </w:r>
      <w:r w:rsidR="006534F0">
        <w:rPr>
          <w:lang w:val="en-CA"/>
        </w:rPr>
        <w:t>situated</w:t>
      </w:r>
      <w:r w:rsidR="006534F0" w:rsidRPr="00324CF1">
        <w:rPr>
          <w:lang w:val="en-CA"/>
        </w:rPr>
        <w:t xml:space="preserve"> </w:t>
      </w:r>
      <w:r w:rsidRPr="00324CF1">
        <w:rPr>
          <w:lang w:val="en-CA"/>
        </w:rPr>
        <w:t>outside its borders even if it does not have jurisdiction over the merits of the dispute.</w:t>
      </w:r>
      <w:r w:rsidRPr="00324CF1">
        <w:rPr>
          <w:rStyle w:val="Appelnotedebasdep"/>
          <w:lang w:val="en-CA"/>
        </w:rPr>
        <w:footnoteReference w:id="149"/>
      </w:r>
    </w:p>
    <w:p w14:paraId="214D112C" w14:textId="77777777" w:rsidR="000B7ADE" w:rsidRPr="00324CF1" w:rsidRDefault="00ED47F8" w:rsidP="00FB5A91">
      <w:pPr>
        <w:pStyle w:val="Citationenretrait"/>
        <w:spacing w:before="80" w:after="80" w:line="240" w:lineRule="auto"/>
        <w:ind w:left="0"/>
        <w:jc w:val="right"/>
      </w:pPr>
      <w:r w:rsidRPr="00324CF1">
        <w:rPr>
          <w:lang w:val="en-CA"/>
        </w:rPr>
        <w:t>[References omitted; emphasis added]</w:t>
      </w:r>
    </w:p>
    <w:p w14:paraId="24987E3B" w14:textId="7FBACEF4" w:rsidR="00C147DD" w:rsidRPr="00324CF1" w:rsidRDefault="00ED47F8" w:rsidP="00FB5A91">
      <w:pPr>
        <w:pStyle w:val="Paragraphe"/>
        <w:spacing w:line="240" w:lineRule="auto"/>
        <w:rPr>
          <w:lang w:val="en-US"/>
        </w:rPr>
      </w:pPr>
      <w:r w:rsidRPr="00324CF1">
        <w:rPr>
          <w:lang w:val="en-CA"/>
        </w:rPr>
        <w:t>These principles of private international law must be reflected in the issue of state immunity from the jurisdiction of the courts, with the necessary adaptations</w:t>
      </w:r>
      <w:r w:rsidRPr="00324CF1">
        <w:rPr>
          <w:rStyle w:val="Appelnotedebasdep"/>
          <w:lang w:val="en-CA"/>
        </w:rPr>
        <w:footnoteReference w:id="150"/>
      </w:r>
      <w:r w:rsidRPr="00324CF1">
        <w:rPr>
          <w:lang w:val="en-CA"/>
        </w:rPr>
        <w:t xml:space="preserve"> since Quebec courts, </w:t>
      </w:r>
      <w:r w:rsidR="003D7BF5">
        <w:rPr>
          <w:lang w:val="en-CA"/>
        </w:rPr>
        <w:t>while</w:t>
      </w:r>
      <w:r w:rsidR="003D7BF5" w:rsidRPr="00324CF1">
        <w:rPr>
          <w:lang w:val="en-CA"/>
        </w:rPr>
        <w:t xml:space="preserve"> </w:t>
      </w:r>
      <w:r w:rsidRPr="00324CF1">
        <w:rPr>
          <w:lang w:val="en-CA"/>
        </w:rPr>
        <w:t>aware that they do not have the jurisdiction required to hear a dispute on the merits, have nevertheless acknowledged that they have jurisdiction to order conservatory measures under the rules of private international law.</w:t>
      </w:r>
      <w:r w:rsidRPr="00324CF1">
        <w:rPr>
          <w:rStyle w:val="Appelnotedebasdep"/>
          <w:lang w:val="en-CA"/>
        </w:rPr>
        <w:footnoteReference w:id="151"/>
      </w:r>
      <w:r w:rsidRPr="00324CF1">
        <w:rPr>
          <w:lang w:val="en-CA"/>
        </w:rPr>
        <w:t xml:space="preserve"> It seems logical that a court would also be able to order such conservatory measures, even when state immunity from the jurisdiction of the courts is involved, unless these questions are, </w:t>
      </w:r>
      <w:r w:rsidR="003D7BF5" w:rsidRPr="00CE4463">
        <w:rPr>
          <w:i/>
          <w:iCs/>
          <w:lang w:val="en-CA"/>
        </w:rPr>
        <w:t>prima facie</w:t>
      </w:r>
      <w:r w:rsidRPr="00324CF1">
        <w:rPr>
          <w:lang w:val="en-CA"/>
        </w:rPr>
        <w:t xml:space="preserve">, so obvious </w:t>
      </w:r>
      <w:r w:rsidR="00CE4463">
        <w:rPr>
          <w:lang w:val="en-CA"/>
        </w:rPr>
        <w:t>as to be a</w:t>
      </w:r>
      <w:r w:rsidRPr="00324CF1">
        <w:rPr>
          <w:lang w:val="en-CA"/>
        </w:rPr>
        <w:t xml:space="preserve"> bar</w:t>
      </w:r>
      <w:r w:rsidR="00CE4463">
        <w:rPr>
          <w:lang w:val="en-CA"/>
        </w:rPr>
        <w:t xml:space="preserve"> to</w:t>
      </w:r>
      <w:r w:rsidRPr="00324CF1">
        <w:rPr>
          <w:lang w:val="en-CA"/>
        </w:rPr>
        <w:t xml:space="preserve"> such measures</w:t>
      </w:r>
      <w:r w:rsidR="00CE4463">
        <w:rPr>
          <w:lang w:val="en-CA"/>
        </w:rPr>
        <w:t xml:space="preserve">, </w:t>
      </w:r>
      <w:r w:rsidRPr="00324CF1">
        <w:rPr>
          <w:lang w:val="en-CA"/>
        </w:rPr>
        <w:t xml:space="preserve">provided that these issues can </w:t>
      </w:r>
      <w:r w:rsidRPr="00324CF1">
        <w:rPr>
          <w:lang w:val="en-CA"/>
        </w:rPr>
        <w:lastRenderedPageBreak/>
        <w:t xml:space="preserve">be </w:t>
      </w:r>
      <w:r w:rsidR="003D7BF5">
        <w:rPr>
          <w:lang w:val="en-CA"/>
        </w:rPr>
        <w:t>more fully debated</w:t>
      </w:r>
      <w:r w:rsidR="003D7BF5" w:rsidRPr="00324CF1">
        <w:rPr>
          <w:lang w:val="en-CA"/>
        </w:rPr>
        <w:t xml:space="preserve"> </w:t>
      </w:r>
      <w:r w:rsidRPr="00324CF1">
        <w:rPr>
          <w:lang w:val="en-CA"/>
        </w:rPr>
        <w:t>at a later date, as</w:t>
      </w:r>
      <w:r w:rsidR="00CE4463">
        <w:rPr>
          <w:lang w:val="en-CA"/>
        </w:rPr>
        <w:t xml:space="preserve"> is the case with respect to</w:t>
      </w:r>
      <w:r w:rsidRPr="00324CF1">
        <w:rPr>
          <w:lang w:val="en-CA"/>
        </w:rPr>
        <w:t xml:space="preserve"> an application to quash </w:t>
      </w:r>
      <w:r w:rsidR="003D7BF5">
        <w:rPr>
          <w:lang w:val="en-CA"/>
        </w:rPr>
        <w:t>a</w:t>
      </w:r>
      <w:r w:rsidR="003D7BF5" w:rsidRPr="00324CF1">
        <w:rPr>
          <w:lang w:val="en-CA"/>
        </w:rPr>
        <w:t xml:space="preserve"> </w:t>
      </w:r>
      <w:r w:rsidRPr="00324CF1">
        <w:rPr>
          <w:lang w:val="en-CA"/>
        </w:rPr>
        <w:t>seizure.</w:t>
      </w:r>
      <w:r w:rsidRPr="00324CF1">
        <w:rPr>
          <w:rStyle w:val="Appelnotedebasdep"/>
          <w:lang w:val="en-CA"/>
        </w:rPr>
        <w:footnoteReference w:id="152"/>
      </w:r>
      <w:r w:rsidRPr="00324CF1">
        <w:rPr>
          <w:lang w:val="en-CA"/>
        </w:rPr>
        <w:t xml:space="preserve"> </w:t>
      </w:r>
    </w:p>
    <w:p w14:paraId="092F6E96" w14:textId="4F9251A4" w:rsidR="00E6436C" w:rsidRPr="00324CF1" w:rsidRDefault="00ED47F8" w:rsidP="00FB5A91">
      <w:pPr>
        <w:pStyle w:val="Paragraphe"/>
        <w:spacing w:line="240" w:lineRule="auto"/>
        <w:rPr>
          <w:lang w:val="en-US"/>
        </w:rPr>
      </w:pPr>
      <w:r w:rsidRPr="00324CF1">
        <w:rPr>
          <w:lang w:val="en-CA"/>
        </w:rPr>
        <w:t>To conclude otherwise would lead to an incoherent and contradictory result that the legislator cannot have desired, under the rules of interpretation of laws</w:t>
      </w:r>
      <w:bookmarkStart w:id="114" w:name="_Ref174540745"/>
      <w:r w:rsidRPr="00324CF1">
        <w:rPr>
          <w:rStyle w:val="Appelnotedebasdep"/>
          <w:lang w:val="en-CA"/>
        </w:rPr>
        <w:footnoteReference w:id="153"/>
      </w:r>
      <w:bookmarkEnd w:id="114"/>
      <w:r w:rsidRPr="00324CF1">
        <w:rPr>
          <w:lang w:val="en-CA"/>
        </w:rPr>
        <w:t xml:space="preserve"> since, on the one hand, following the interpretation of the </w:t>
      </w:r>
      <w:r w:rsidRPr="00324CF1">
        <w:rPr>
          <w:i/>
          <w:iCs/>
          <w:lang w:val="en-CA"/>
        </w:rPr>
        <w:t>SIA</w:t>
      </w:r>
      <w:r w:rsidRPr="00324CF1">
        <w:rPr>
          <w:lang w:val="en-CA"/>
        </w:rPr>
        <w:t xml:space="preserve"> proposed by AAI, the</w:t>
      </w:r>
      <w:r w:rsidR="009216E9">
        <w:rPr>
          <w:lang w:val="en-CA"/>
        </w:rPr>
        <w:t xml:space="preserve"> Quebec</w:t>
      </w:r>
      <w:r w:rsidRPr="00324CF1">
        <w:rPr>
          <w:lang w:val="en-CA"/>
        </w:rPr>
        <w:t xml:space="preserve"> Superior Court would be prevented from deciding an application for </w:t>
      </w:r>
      <w:r w:rsidR="009216E9">
        <w:rPr>
          <w:lang w:val="en-CA"/>
        </w:rPr>
        <w:t xml:space="preserve">a </w:t>
      </w:r>
      <w:r w:rsidRPr="00324CF1">
        <w:rPr>
          <w:lang w:val="en-CA"/>
        </w:rPr>
        <w:t xml:space="preserve">seizure before judgment concerning assets </w:t>
      </w:r>
      <w:r w:rsidR="009224DC">
        <w:rPr>
          <w:lang w:val="en-CA"/>
        </w:rPr>
        <w:t>situated</w:t>
      </w:r>
      <w:r w:rsidR="009224DC" w:rsidRPr="00324CF1">
        <w:rPr>
          <w:lang w:val="en-CA"/>
        </w:rPr>
        <w:t xml:space="preserve"> </w:t>
      </w:r>
      <w:r w:rsidRPr="00324CF1">
        <w:rPr>
          <w:lang w:val="en-CA"/>
        </w:rPr>
        <w:t xml:space="preserve">in Quebec in a case that is before it, </w:t>
      </w:r>
      <w:r w:rsidR="009216E9">
        <w:rPr>
          <w:lang w:val="en-CA"/>
        </w:rPr>
        <w:t>until</w:t>
      </w:r>
      <w:r w:rsidR="009224DC" w:rsidRPr="00324CF1">
        <w:rPr>
          <w:lang w:val="en-CA"/>
        </w:rPr>
        <w:t xml:space="preserve"> </w:t>
      </w:r>
      <w:r w:rsidRPr="00324CF1">
        <w:rPr>
          <w:lang w:val="en-CA"/>
        </w:rPr>
        <w:t xml:space="preserve">the debate on immunity </w:t>
      </w:r>
      <w:r w:rsidR="009224DC">
        <w:rPr>
          <w:lang w:val="en-CA"/>
        </w:rPr>
        <w:t>has</w:t>
      </w:r>
      <w:r w:rsidRPr="00324CF1">
        <w:rPr>
          <w:lang w:val="en-CA"/>
        </w:rPr>
        <w:t xml:space="preserve"> taken place. However, it could, on the other hand, under article 3138 CCQ</w:t>
      </w:r>
      <w:r w:rsidRPr="00324CF1">
        <w:rPr>
          <w:i/>
          <w:iCs/>
          <w:lang w:val="en-CA"/>
        </w:rPr>
        <w:t>,</w:t>
      </w:r>
      <w:r w:rsidRPr="00324CF1">
        <w:rPr>
          <w:lang w:val="en-CA"/>
        </w:rPr>
        <w:t xml:space="preserve"> render </w:t>
      </w:r>
      <w:r w:rsidR="004A1748">
        <w:rPr>
          <w:lang w:val="en-CA"/>
        </w:rPr>
        <w:t>an order for</w:t>
      </w:r>
      <w:r w:rsidRPr="00324CF1">
        <w:rPr>
          <w:lang w:val="en-CA"/>
        </w:rPr>
        <w:t xml:space="preserve"> seizure before judgment concerning assets </w:t>
      </w:r>
      <w:r w:rsidR="009224DC">
        <w:rPr>
          <w:lang w:val="en-CA"/>
        </w:rPr>
        <w:t>situated</w:t>
      </w:r>
      <w:r w:rsidR="009224DC" w:rsidRPr="00324CF1">
        <w:rPr>
          <w:lang w:val="en-CA"/>
        </w:rPr>
        <w:t xml:space="preserve"> </w:t>
      </w:r>
      <w:r w:rsidRPr="00324CF1">
        <w:rPr>
          <w:lang w:val="en-CA"/>
        </w:rPr>
        <w:t xml:space="preserve">in Quebec in a case over which it has no jurisdiction on the merits and that is not </w:t>
      </w:r>
      <w:r w:rsidR="009224DC">
        <w:rPr>
          <w:lang w:val="en-CA"/>
        </w:rPr>
        <w:t>before it</w:t>
      </w:r>
      <w:r w:rsidRPr="00324CF1">
        <w:rPr>
          <w:lang w:val="en-CA"/>
        </w:rPr>
        <w:t>.</w:t>
      </w:r>
    </w:p>
    <w:p w14:paraId="7BB2191A" w14:textId="2BE9AE70" w:rsidR="000B7ADE" w:rsidRPr="00324CF1" w:rsidRDefault="00ED47F8" w:rsidP="00FB5A91">
      <w:pPr>
        <w:pStyle w:val="Paragraphe"/>
        <w:spacing w:line="240" w:lineRule="auto"/>
        <w:rPr>
          <w:lang w:val="en-US"/>
        </w:rPr>
      </w:pPr>
      <w:r w:rsidRPr="00324CF1">
        <w:rPr>
          <w:lang w:val="en-CA"/>
        </w:rPr>
        <w:t xml:space="preserve">Certainly, in this case, at the stage of the application for </w:t>
      </w:r>
      <w:r w:rsidR="009216E9">
        <w:rPr>
          <w:lang w:val="en-CA"/>
        </w:rPr>
        <w:t xml:space="preserve">a </w:t>
      </w:r>
      <w:r w:rsidRPr="00324CF1">
        <w:rPr>
          <w:lang w:val="en-CA"/>
        </w:rPr>
        <w:t xml:space="preserve">seizure before judgment by garnishment, the jurisdiction of Quebec courts remained uncertain since it depended on the debate on immunity from jurisdiction. However, since the </w:t>
      </w:r>
      <w:r w:rsidRPr="00324CF1">
        <w:rPr>
          <w:i/>
          <w:iCs/>
          <w:lang w:val="en-CA"/>
        </w:rPr>
        <w:t>ex parte</w:t>
      </w:r>
      <w:r w:rsidRPr="00324CF1">
        <w:rPr>
          <w:lang w:val="en-CA"/>
        </w:rPr>
        <w:t xml:space="preserve"> conservatory measures were [</w:t>
      </w:r>
      <w:r w:rsidR="00755995" w:rsidRPr="005E6EB3">
        <w:rPr>
          <w:smallCaps/>
          <w:lang w:val="en-CA"/>
        </w:rPr>
        <w:t>translation</w:t>
      </w:r>
      <w:r w:rsidRPr="00324CF1">
        <w:rPr>
          <w:lang w:val="en-CA"/>
        </w:rPr>
        <w:t xml:space="preserve">] “essentially temporary, </w:t>
      </w:r>
      <w:r w:rsidR="009920FC">
        <w:rPr>
          <w:lang w:val="en-CA"/>
        </w:rPr>
        <w:t>liable to revision</w:t>
      </w:r>
      <w:r w:rsidRPr="00324CF1">
        <w:rPr>
          <w:lang w:val="en-CA"/>
        </w:rPr>
        <w:t>” and [</w:t>
      </w:r>
      <w:r w:rsidR="00755995" w:rsidRPr="005E6EB3">
        <w:rPr>
          <w:smallCaps/>
          <w:lang w:val="en-CA"/>
        </w:rPr>
        <w:t>translation</w:t>
      </w:r>
      <w:r w:rsidRPr="00324CF1">
        <w:rPr>
          <w:lang w:val="en-CA"/>
        </w:rPr>
        <w:t>] “ordered only to help the main proceedings progress”, as the Minister of Justice’s comments on article 3138 CCQ show,</w:t>
      </w:r>
      <w:r w:rsidRPr="00324CF1">
        <w:rPr>
          <w:rStyle w:val="Appelnotedebasdep"/>
          <w:lang w:val="en-CA"/>
        </w:rPr>
        <w:footnoteReference w:id="154"/>
      </w:r>
      <w:r w:rsidRPr="00324CF1">
        <w:rPr>
          <w:lang w:val="en-CA"/>
        </w:rPr>
        <w:t xml:space="preserve"> they do not determine under any circumstances the outcome of the debate</w:t>
      </w:r>
      <w:r w:rsidR="009920FC">
        <w:rPr>
          <w:lang w:val="en-CA"/>
        </w:rPr>
        <w:t xml:space="preserve"> to be held at a later date</w:t>
      </w:r>
      <w:r w:rsidRPr="00324CF1">
        <w:rPr>
          <w:lang w:val="en-CA"/>
        </w:rPr>
        <w:t>, on the merits or immunity.</w:t>
      </w:r>
      <w:r w:rsidRPr="00324CF1">
        <w:rPr>
          <w:rStyle w:val="Appelnotedebasdep"/>
          <w:lang w:val="en-CA"/>
        </w:rPr>
        <w:footnoteReference w:id="155"/>
      </w:r>
    </w:p>
    <w:p w14:paraId="7A79E584" w14:textId="6B8A15CA" w:rsidR="000B7ADE" w:rsidRPr="00324CF1" w:rsidRDefault="00ED47F8" w:rsidP="00FB5A91">
      <w:pPr>
        <w:pStyle w:val="Paragraphe"/>
        <w:spacing w:line="240" w:lineRule="auto"/>
        <w:rPr>
          <w:lang w:val="en-US"/>
        </w:rPr>
      </w:pPr>
      <w:r w:rsidRPr="00324CF1">
        <w:rPr>
          <w:lang w:val="en-CA"/>
        </w:rPr>
        <w:t>It should be recalled</w:t>
      </w:r>
      <w:r w:rsidR="00265CFB">
        <w:rPr>
          <w:lang w:val="en-CA"/>
        </w:rPr>
        <w:t xml:space="preserve"> in this respect</w:t>
      </w:r>
      <w:r w:rsidRPr="00324CF1">
        <w:rPr>
          <w:lang w:val="en-CA"/>
        </w:rPr>
        <w:t xml:space="preserve"> that according to Pinsonnault</w:t>
      </w:r>
      <w:r w:rsidR="00635491">
        <w:rPr>
          <w:lang w:val="en-CA"/>
        </w:rPr>
        <w:t>,</w:t>
      </w:r>
      <w:r w:rsidRPr="00324CF1">
        <w:rPr>
          <w:lang w:val="en-CA"/>
        </w:rPr>
        <w:t xml:space="preserve"> J., CCDM/Devas provided sufficient elements to meet the criteria for</w:t>
      </w:r>
      <w:r w:rsidR="00265CFB">
        <w:rPr>
          <w:lang w:val="en-CA"/>
        </w:rPr>
        <w:t xml:space="preserve"> a</w:t>
      </w:r>
      <w:r w:rsidRPr="00324CF1">
        <w:rPr>
          <w:lang w:val="en-CA"/>
        </w:rPr>
        <w:t xml:space="preserve"> seizure before judgment and he concluded that the </w:t>
      </w:r>
      <w:r w:rsidR="00265CFB" w:rsidRPr="00324CF1">
        <w:rPr>
          <w:lang w:val="en-CA"/>
        </w:rPr>
        <w:t>authoriz</w:t>
      </w:r>
      <w:r w:rsidR="00265CFB">
        <w:rPr>
          <w:lang w:val="en-CA"/>
        </w:rPr>
        <w:t>ing</w:t>
      </w:r>
      <w:r w:rsidR="00265CFB" w:rsidRPr="00324CF1">
        <w:rPr>
          <w:lang w:val="en-CA"/>
        </w:rPr>
        <w:t xml:space="preserve"> </w:t>
      </w:r>
      <w:r w:rsidRPr="00324CF1">
        <w:rPr>
          <w:lang w:val="en-CA"/>
        </w:rPr>
        <w:t xml:space="preserve">judges would have been justified in granting these seizures, if it had not been for the question of state immunity that should have been decided </w:t>
      </w:r>
      <w:r w:rsidR="00635491">
        <w:rPr>
          <w:lang w:val="en-CA"/>
        </w:rPr>
        <w:t>first</w:t>
      </w:r>
      <w:r w:rsidRPr="00324CF1">
        <w:rPr>
          <w:lang w:val="en-CA"/>
        </w:rPr>
        <w:t>.</w:t>
      </w:r>
      <w:r w:rsidRPr="00324CF1">
        <w:rPr>
          <w:rStyle w:val="Appelnotedebasdep"/>
          <w:lang w:val="en-CA"/>
        </w:rPr>
        <w:footnoteReference w:id="156"/>
      </w:r>
      <w:r w:rsidRPr="00324CF1">
        <w:rPr>
          <w:lang w:val="en-CA"/>
        </w:rPr>
        <w:t xml:space="preserve"> </w:t>
      </w:r>
    </w:p>
    <w:p w14:paraId="3166E886" w14:textId="715861FF" w:rsidR="0024555C" w:rsidRPr="00324CF1" w:rsidRDefault="00ED47F8" w:rsidP="00FB5A91">
      <w:pPr>
        <w:pStyle w:val="Paragraphe"/>
        <w:spacing w:line="240" w:lineRule="auto"/>
        <w:rPr>
          <w:lang w:val="en-US"/>
        </w:rPr>
      </w:pPr>
      <w:r w:rsidRPr="00324CF1">
        <w:rPr>
          <w:lang w:val="en-CA"/>
        </w:rPr>
        <w:lastRenderedPageBreak/>
        <w:t xml:space="preserve">However, the Court considers that in this case, CCDM/Devas did not have to demonstrate that the Quebec courts had jurisdiction under the </w:t>
      </w:r>
      <w:r w:rsidRPr="00324CF1">
        <w:rPr>
          <w:i/>
          <w:iCs/>
          <w:lang w:val="en-CA"/>
        </w:rPr>
        <w:t>SIA</w:t>
      </w:r>
      <w:r w:rsidRPr="00324CF1">
        <w:rPr>
          <w:lang w:val="en-CA"/>
        </w:rPr>
        <w:t xml:space="preserve"> at th</w:t>
      </w:r>
      <w:r w:rsidR="00CE1FE4">
        <w:rPr>
          <w:lang w:val="en-CA"/>
        </w:rPr>
        <w:t>at</w:t>
      </w:r>
      <w:r w:rsidRPr="00324CF1">
        <w:rPr>
          <w:lang w:val="en-CA"/>
        </w:rPr>
        <w:t xml:space="preserve"> point and that this question should have been raised and discussed at a later date, when the application to quash the seizure was before Pinsonnault</w:t>
      </w:r>
      <w:r w:rsidR="00CE1FE4">
        <w:rPr>
          <w:lang w:val="en-CA"/>
        </w:rPr>
        <w:t>,</w:t>
      </w:r>
      <w:r w:rsidRPr="00324CF1">
        <w:rPr>
          <w:lang w:val="en-CA"/>
        </w:rPr>
        <w:t xml:space="preserve"> J. in January 2022. AAI did not </w:t>
      </w:r>
      <w:r w:rsidR="00152B05">
        <w:rPr>
          <w:lang w:val="en-CA"/>
        </w:rPr>
        <w:t>seek</w:t>
      </w:r>
      <w:r w:rsidRPr="00324CF1">
        <w:rPr>
          <w:lang w:val="en-CA"/>
        </w:rPr>
        <w:t xml:space="preserve"> to quash the seizure on the basis of its immunity. Instead, it attempted to shift the focus of the debate by questioning whether an </w:t>
      </w:r>
      <w:r w:rsidRPr="00324CF1">
        <w:rPr>
          <w:i/>
          <w:iCs/>
          <w:lang w:val="en-CA"/>
        </w:rPr>
        <w:t>ex parte</w:t>
      </w:r>
      <w:r w:rsidRPr="00324CF1">
        <w:rPr>
          <w:lang w:val="en-CA"/>
        </w:rPr>
        <w:t xml:space="preserve"> order should be made at this stage, without debating the question of immunity [</w:t>
      </w:r>
      <w:r w:rsidR="00C90ACB" w:rsidRPr="005E6EB3">
        <w:rPr>
          <w:smallCaps/>
          <w:lang w:val="en-CA"/>
        </w:rPr>
        <w:t>translation</w:t>
      </w:r>
      <w:r w:rsidRPr="00324CF1">
        <w:rPr>
          <w:lang w:val="en-CA"/>
        </w:rPr>
        <w:t xml:space="preserve">] “immediately” as the case law </w:t>
      </w:r>
      <w:r w:rsidR="00CE1FE4">
        <w:rPr>
          <w:lang w:val="en-CA"/>
        </w:rPr>
        <w:t>states</w:t>
      </w:r>
      <w:r w:rsidRPr="00324CF1">
        <w:rPr>
          <w:lang w:val="en-CA"/>
        </w:rPr>
        <w:t xml:space="preserve">. This approach is the result of a misinterpretation of the </w:t>
      </w:r>
      <w:r w:rsidRPr="00324CF1">
        <w:rPr>
          <w:i/>
          <w:iCs/>
          <w:lang w:val="en-CA"/>
        </w:rPr>
        <w:t>SIA</w:t>
      </w:r>
      <w:r w:rsidRPr="00324CF1">
        <w:rPr>
          <w:lang w:val="en-CA"/>
        </w:rPr>
        <w:t xml:space="preserve"> and case law rendered at the dismissal stage. It disregards the </w:t>
      </w:r>
      <w:r w:rsidR="00152B05">
        <w:rPr>
          <w:lang w:val="en-CA"/>
        </w:rPr>
        <w:t>particular</w:t>
      </w:r>
      <w:r w:rsidR="00152B05" w:rsidRPr="00324CF1">
        <w:rPr>
          <w:lang w:val="en-CA"/>
        </w:rPr>
        <w:t xml:space="preserve"> </w:t>
      </w:r>
      <w:r w:rsidRPr="00324CF1">
        <w:rPr>
          <w:lang w:val="en-CA"/>
        </w:rPr>
        <w:t>nature and objectives of seizure</w:t>
      </w:r>
      <w:r w:rsidR="00152B05">
        <w:rPr>
          <w:lang w:val="en-CA"/>
        </w:rPr>
        <w:t>s</w:t>
      </w:r>
      <w:r w:rsidRPr="00324CF1">
        <w:rPr>
          <w:lang w:val="en-CA"/>
        </w:rPr>
        <w:t xml:space="preserve"> before judgment and the legislator’s clear intention not to impose a series of requirements on the process that would deprive it of its effectiveness.</w:t>
      </w:r>
      <w:r w:rsidRPr="00324CF1">
        <w:rPr>
          <w:rStyle w:val="Appelnotedebasdep"/>
          <w:lang w:val="en-CA"/>
        </w:rPr>
        <w:footnoteReference w:id="157"/>
      </w:r>
    </w:p>
    <w:p w14:paraId="53F321FD" w14:textId="77487EF6" w:rsidR="000B7ADE" w:rsidRPr="00324CF1" w:rsidRDefault="00ED47F8" w:rsidP="00FB5A91">
      <w:pPr>
        <w:pStyle w:val="Paragraphe"/>
        <w:spacing w:line="240" w:lineRule="auto"/>
        <w:rPr>
          <w:lang w:val="en-US"/>
        </w:rPr>
      </w:pPr>
      <w:r w:rsidRPr="00324CF1">
        <w:rPr>
          <w:lang w:val="en-CA"/>
        </w:rPr>
        <w:t xml:space="preserve"> </w:t>
      </w:r>
      <w:r w:rsidR="00BD55A3">
        <w:rPr>
          <w:lang w:val="en-CA"/>
        </w:rPr>
        <w:t>By a</w:t>
      </w:r>
      <w:r w:rsidRPr="00324CF1">
        <w:rPr>
          <w:lang w:val="en-CA"/>
        </w:rPr>
        <w:t xml:space="preserve">greeing with AAI on this point, the </w:t>
      </w:r>
      <w:r w:rsidR="00BD55A3">
        <w:rPr>
          <w:lang w:val="en-CA"/>
        </w:rPr>
        <w:t>trial</w:t>
      </w:r>
      <w:r w:rsidRPr="00324CF1">
        <w:rPr>
          <w:lang w:val="en-CA"/>
        </w:rPr>
        <w:t xml:space="preserve"> judge erred in law and expanded the scope of immunity case law </w:t>
      </w:r>
      <w:r w:rsidR="00697CAF">
        <w:rPr>
          <w:lang w:val="en-CA"/>
        </w:rPr>
        <w:t>at</w:t>
      </w:r>
      <w:r w:rsidR="00697CAF" w:rsidRPr="00324CF1">
        <w:rPr>
          <w:lang w:val="en-CA"/>
        </w:rPr>
        <w:t xml:space="preserve"> </w:t>
      </w:r>
      <w:r w:rsidRPr="00324CF1">
        <w:rPr>
          <w:lang w:val="en-CA"/>
        </w:rPr>
        <w:t>the preliminary stage of dismissal by includ</w:t>
      </w:r>
      <w:r w:rsidR="00CE1FE4">
        <w:rPr>
          <w:lang w:val="en-CA"/>
        </w:rPr>
        <w:t>ing</w:t>
      </w:r>
      <w:r w:rsidRPr="00324CF1">
        <w:rPr>
          <w:lang w:val="en-CA"/>
        </w:rPr>
        <w:t xml:space="preserve"> seizure</w:t>
      </w:r>
      <w:r w:rsidR="00697CAF">
        <w:rPr>
          <w:lang w:val="en-CA"/>
        </w:rPr>
        <w:t>s</w:t>
      </w:r>
      <w:r w:rsidRPr="00324CF1">
        <w:rPr>
          <w:lang w:val="en-CA"/>
        </w:rPr>
        <w:t xml:space="preserve"> before judgment.</w:t>
      </w:r>
      <w:r w:rsidRPr="00324CF1">
        <w:rPr>
          <w:rStyle w:val="Appelnotedebasdep"/>
          <w:lang w:val="en-CA"/>
        </w:rPr>
        <w:footnoteReference w:id="158"/>
      </w:r>
      <w:r w:rsidRPr="00324CF1">
        <w:rPr>
          <w:lang w:val="en-CA"/>
        </w:rPr>
        <w:t xml:space="preserve"> In doing so, he ventured beyond the grounds for quashing the seizure provided for in article 522 CCP without holding a debate or ruling on the real ground for quashing the seizure, AAI’s immunity.</w:t>
      </w:r>
      <w:r w:rsidRPr="00324CF1">
        <w:rPr>
          <w:rStyle w:val="Appelnotedebasdep"/>
          <w:lang w:val="en-CA"/>
        </w:rPr>
        <w:footnoteReference w:id="159"/>
      </w:r>
    </w:p>
    <w:p w14:paraId="316BC16D" w14:textId="333B92A3" w:rsidR="00E74134" w:rsidRPr="00324CF1" w:rsidRDefault="00ED47F8" w:rsidP="000B6BD5">
      <w:pPr>
        <w:pStyle w:val="Titre3"/>
        <w:spacing w:line="240" w:lineRule="auto"/>
        <w:ind w:left="720"/>
        <w:jc w:val="both"/>
        <w:rPr>
          <w:b/>
          <w:bCs/>
          <w:lang w:val="en-US"/>
        </w:rPr>
      </w:pPr>
      <w:bookmarkStart w:id="115" w:name="_Toc184205622"/>
      <w:bookmarkStart w:id="116" w:name="_Toc256000017"/>
      <w:r w:rsidRPr="00324CF1">
        <w:rPr>
          <w:b/>
          <w:bCs/>
          <w:lang w:val="en-CA"/>
        </w:rPr>
        <w:t xml:space="preserve">3.2. Did the </w:t>
      </w:r>
      <w:r w:rsidR="00C40483">
        <w:rPr>
          <w:b/>
          <w:bCs/>
          <w:lang w:val="en-CA"/>
        </w:rPr>
        <w:t>trial</w:t>
      </w:r>
      <w:r w:rsidRPr="00324CF1">
        <w:rPr>
          <w:b/>
          <w:bCs/>
          <w:lang w:val="en-CA"/>
        </w:rPr>
        <w:t xml:space="preserve"> judge err in fact and in law by finding that the presumption of immunity applied separately to AAI after concluding that India could not benefit from this presumption, and by determining that CCDM/Devas had not demonstrated that the exceptions provided for under the </w:t>
      </w:r>
      <w:r w:rsidRPr="00324CF1">
        <w:rPr>
          <w:b/>
          <w:bCs/>
          <w:i/>
          <w:iCs/>
          <w:lang w:val="en-CA"/>
        </w:rPr>
        <w:t>SIA</w:t>
      </w:r>
      <w:r w:rsidRPr="00324CF1">
        <w:rPr>
          <w:b/>
          <w:bCs/>
          <w:lang w:val="en-CA"/>
        </w:rPr>
        <w:t xml:space="preserve"> applied to AAI?</w:t>
      </w:r>
      <w:bookmarkEnd w:id="115"/>
      <w:bookmarkEnd w:id="116"/>
      <w:r w:rsidRPr="00324CF1">
        <w:rPr>
          <w:b/>
          <w:bCs/>
          <w:lang w:val="en-CA"/>
        </w:rPr>
        <w:t xml:space="preserve"> </w:t>
      </w:r>
    </w:p>
    <w:p w14:paraId="0DE83643" w14:textId="0F754704" w:rsidR="0081370B" w:rsidRPr="00324CF1" w:rsidRDefault="00ED47F8" w:rsidP="00FB5A91">
      <w:pPr>
        <w:pStyle w:val="Paragraphe"/>
        <w:spacing w:line="240" w:lineRule="auto"/>
        <w:rPr>
          <w:lang w:val="en-US"/>
        </w:rPr>
      </w:pPr>
      <w:r w:rsidRPr="00324CF1">
        <w:rPr>
          <w:lang w:val="en-CA"/>
        </w:rPr>
        <w:t xml:space="preserve">The second ground of appeal concerns AAI’s </w:t>
      </w:r>
      <w:r w:rsidR="00BA3333">
        <w:rPr>
          <w:lang w:val="en-CA"/>
        </w:rPr>
        <w:t>legal characterization</w:t>
      </w:r>
      <w:r w:rsidRPr="00324CF1">
        <w:rPr>
          <w:lang w:val="en-CA"/>
        </w:rPr>
        <w:t xml:space="preserve"> and its relationship with India. In the opinion of Pinsonnault</w:t>
      </w:r>
      <w:r w:rsidR="00BA3333">
        <w:rPr>
          <w:lang w:val="en-CA"/>
        </w:rPr>
        <w:t>,</w:t>
      </w:r>
      <w:r w:rsidRPr="00324CF1">
        <w:rPr>
          <w:lang w:val="en-CA"/>
        </w:rPr>
        <w:t xml:space="preserve"> J., since AAI is a separate legal entity, the presumption of immunity it enjoys under the terms of the </w:t>
      </w:r>
      <w:r w:rsidRPr="00324CF1">
        <w:rPr>
          <w:i/>
          <w:iCs/>
          <w:lang w:val="en-CA"/>
        </w:rPr>
        <w:t>SIA</w:t>
      </w:r>
      <w:r w:rsidRPr="00324CF1">
        <w:rPr>
          <w:lang w:val="en-CA"/>
        </w:rPr>
        <w:t xml:space="preserve"> is independent of India’s. As a result, not only could Granosik</w:t>
      </w:r>
      <w:r w:rsidR="000F4A06">
        <w:rPr>
          <w:lang w:val="en-CA"/>
        </w:rPr>
        <w:t>,</w:t>
      </w:r>
      <w:r w:rsidRPr="00324CF1">
        <w:rPr>
          <w:lang w:val="en-CA"/>
        </w:rPr>
        <w:t xml:space="preserve"> J. not allow a seizure against AAI before the question of its immunity had been decided on the merits, he could also not decide it before AAI had been served.</w:t>
      </w:r>
      <w:r w:rsidRPr="00324CF1">
        <w:rPr>
          <w:rStyle w:val="Appelnotedebasdep"/>
          <w:lang w:val="en-CA"/>
        </w:rPr>
        <w:footnoteReference w:id="160"/>
      </w:r>
    </w:p>
    <w:p w14:paraId="20765CA4" w14:textId="0A4F4979" w:rsidR="00B96B17" w:rsidRPr="00324CF1" w:rsidRDefault="00ED47F8" w:rsidP="00FB5A91">
      <w:pPr>
        <w:pStyle w:val="Paragraphe"/>
        <w:spacing w:line="240" w:lineRule="auto"/>
        <w:rPr>
          <w:lang w:val="en-US"/>
        </w:rPr>
      </w:pPr>
      <w:r w:rsidRPr="00324CF1">
        <w:rPr>
          <w:lang w:val="en-CA"/>
        </w:rPr>
        <w:t>This question is presented</w:t>
      </w:r>
      <w:r w:rsidR="003D2DD4">
        <w:rPr>
          <w:lang w:val="en-CA"/>
        </w:rPr>
        <w:t xml:space="preserve"> to the Court</w:t>
      </w:r>
      <w:r w:rsidRPr="00324CF1">
        <w:rPr>
          <w:lang w:val="en-CA"/>
        </w:rPr>
        <w:t xml:space="preserve"> from a particular angle.</w:t>
      </w:r>
    </w:p>
    <w:p w14:paraId="77CCD12C" w14:textId="578CBDEA" w:rsidR="0081370B" w:rsidRPr="00324CF1" w:rsidRDefault="00ED47F8" w:rsidP="00FB5A91">
      <w:pPr>
        <w:pStyle w:val="Paragraphe"/>
        <w:spacing w:line="240" w:lineRule="auto"/>
        <w:rPr>
          <w:lang w:val="en-US"/>
        </w:rPr>
      </w:pPr>
      <w:r w:rsidRPr="00324CF1">
        <w:rPr>
          <w:lang w:val="en-CA"/>
        </w:rPr>
        <w:lastRenderedPageBreak/>
        <w:t xml:space="preserve">The debate on appeal is now more specific. </w:t>
      </w:r>
      <w:r w:rsidR="000F4A06">
        <w:rPr>
          <w:lang w:val="en-CA"/>
        </w:rPr>
        <w:t>The Court</w:t>
      </w:r>
      <w:r w:rsidR="000F4A06" w:rsidRPr="00324CF1">
        <w:rPr>
          <w:lang w:val="en-CA"/>
        </w:rPr>
        <w:t xml:space="preserve"> </w:t>
      </w:r>
      <w:r w:rsidRPr="00324CF1">
        <w:rPr>
          <w:lang w:val="en-CA"/>
        </w:rPr>
        <w:t xml:space="preserve">concluded, </w:t>
      </w:r>
      <w:r w:rsidR="000F4A06">
        <w:rPr>
          <w:lang w:val="en-CA"/>
        </w:rPr>
        <w:t>o</w:t>
      </w:r>
      <w:r w:rsidRPr="00324CF1">
        <w:rPr>
          <w:lang w:val="en-CA"/>
        </w:rPr>
        <w:t xml:space="preserve">n the previous question, that a judge may authorize a seizure before judgment before the question of state immunity is decided on the merits. Similarly, as AAI agreed, the question of service is no longer </w:t>
      </w:r>
      <w:r w:rsidR="000F4A06">
        <w:rPr>
          <w:lang w:val="en-CA"/>
        </w:rPr>
        <w:t>determinative</w:t>
      </w:r>
      <w:r w:rsidR="000F4A06" w:rsidRPr="00324CF1">
        <w:rPr>
          <w:lang w:val="en-CA"/>
        </w:rPr>
        <w:t xml:space="preserve"> </w:t>
      </w:r>
      <w:r w:rsidRPr="00324CF1">
        <w:rPr>
          <w:lang w:val="en-CA"/>
        </w:rPr>
        <w:t xml:space="preserve">in that it has </w:t>
      </w:r>
      <w:r w:rsidR="000F4A06" w:rsidRPr="00324CF1">
        <w:rPr>
          <w:lang w:val="en-CA"/>
        </w:rPr>
        <w:t xml:space="preserve">since </w:t>
      </w:r>
      <w:r w:rsidRPr="00324CF1">
        <w:rPr>
          <w:lang w:val="en-CA"/>
        </w:rPr>
        <w:t xml:space="preserve">taken place. The only question that remains is whether AAI </w:t>
      </w:r>
      <w:r w:rsidR="00893051">
        <w:rPr>
          <w:lang w:val="en-CA"/>
        </w:rPr>
        <w:t>can be likened to</w:t>
      </w:r>
      <w:r w:rsidRPr="00324CF1">
        <w:rPr>
          <w:lang w:val="en-CA"/>
        </w:rPr>
        <w:t xml:space="preserve"> India to allow CCDM/Devas to seize its assets on the basis of its claim against India. In such a case, the question </w:t>
      </w:r>
      <w:r w:rsidR="00893051">
        <w:rPr>
          <w:lang w:val="en-CA"/>
        </w:rPr>
        <w:t xml:space="preserve">that </w:t>
      </w:r>
      <w:r w:rsidRPr="00324CF1">
        <w:rPr>
          <w:lang w:val="en-CA"/>
        </w:rPr>
        <w:t>must</w:t>
      </w:r>
      <w:r w:rsidR="00893051">
        <w:rPr>
          <w:lang w:val="en-CA"/>
        </w:rPr>
        <w:t xml:space="preserve"> then</w:t>
      </w:r>
      <w:r w:rsidRPr="00324CF1">
        <w:rPr>
          <w:lang w:val="en-CA"/>
        </w:rPr>
        <w:t xml:space="preserve"> be asked, at a later stage, </w:t>
      </w:r>
      <w:r w:rsidR="00893051">
        <w:rPr>
          <w:lang w:val="en-CA"/>
        </w:rPr>
        <w:t xml:space="preserve">is </w:t>
      </w:r>
      <w:r w:rsidRPr="00324CF1">
        <w:rPr>
          <w:lang w:val="en-CA"/>
        </w:rPr>
        <w:t xml:space="preserve">whether AAI can invoke immunity under the terms of the </w:t>
      </w:r>
      <w:r w:rsidRPr="00324CF1">
        <w:rPr>
          <w:i/>
          <w:iCs/>
          <w:lang w:val="en-CA"/>
        </w:rPr>
        <w:t>SIA</w:t>
      </w:r>
      <w:r w:rsidRPr="00324CF1">
        <w:rPr>
          <w:lang w:val="en-CA"/>
        </w:rPr>
        <w:t xml:space="preserve"> even if, as we concluded in the first </w:t>
      </w:r>
      <w:r w:rsidR="00893051">
        <w:rPr>
          <w:lang w:val="en-CA"/>
        </w:rPr>
        <w:t>record</w:t>
      </w:r>
      <w:r w:rsidRPr="00324CF1">
        <w:rPr>
          <w:lang w:val="en-CA"/>
        </w:rPr>
        <w:t>, India does not have immunity, in this case, on the grounds that it waived it.</w:t>
      </w:r>
    </w:p>
    <w:p w14:paraId="07817DC6" w14:textId="2D213CC2" w:rsidR="00B96B17" w:rsidRPr="00324CF1" w:rsidRDefault="00ED47F8" w:rsidP="00FB5A91">
      <w:pPr>
        <w:pStyle w:val="Paragraphe"/>
        <w:spacing w:line="240" w:lineRule="auto"/>
        <w:rPr>
          <w:lang w:val="en-US"/>
        </w:rPr>
      </w:pPr>
      <w:r w:rsidRPr="00324CF1">
        <w:rPr>
          <w:lang w:val="en-CA"/>
        </w:rPr>
        <w:t>However, as the parties indicated at the hearing, this Court is not seized</w:t>
      </w:r>
      <w:r w:rsidR="00DF457F">
        <w:rPr>
          <w:lang w:val="en-CA"/>
        </w:rPr>
        <w:t xml:space="preserve"> of the merits</w:t>
      </w:r>
      <w:r w:rsidRPr="00324CF1">
        <w:rPr>
          <w:lang w:val="en-CA"/>
        </w:rPr>
        <w:t xml:space="preserve"> of this matter</w:t>
      </w:r>
      <w:r w:rsidR="00DF457F">
        <w:rPr>
          <w:lang w:val="en-CA"/>
        </w:rPr>
        <w:t>.</w:t>
      </w:r>
      <w:r w:rsidRPr="00324CF1">
        <w:rPr>
          <w:lang w:val="en-CA"/>
        </w:rPr>
        <w:t xml:space="preserve"> </w:t>
      </w:r>
      <w:r w:rsidR="00DF457F">
        <w:rPr>
          <w:lang w:val="en-CA"/>
        </w:rPr>
        <w:t>T</w:t>
      </w:r>
      <w:r w:rsidRPr="00324CF1">
        <w:rPr>
          <w:lang w:val="en-CA"/>
        </w:rPr>
        <w:t xml:space="preserve">he case is progressing on </w:t>
      </w:r>
      <w:r w:rsidR="00DF457F">
        <w:rPr>
          <w:lang w:val="en-CA"/>
        </w:rPr>
        <w:t>the merits</w:t>
      </w:r>
      <w:r w:rsidRPr="00324CF1">
        <w:rPr>
          <w:lang w:val="en-CA"/>
        </w:rPr>
        <w:t xml:space="preserve"> before the Superior Court. In fact, not only was the case continuing to move along, but this Court learned, just as this judgment was about to be rendered, that the judgment on this specific issue </w:t>
      </w:r>
      <w:r w:rsidR="00DF457F">
        <w:rPr>
          <w:lang w:val="en-CA"/>
        </w:rPr>
        <w:t>was</w:t>
      </w:r>
      <w:r w:rsidRPr="00324CF1">
        <w:rPr>
          <w:lang w:val="en-CA"/>
        </w:rPr>
        <w:t xml:space="preserve"> rendered on August 29, 2024 (“</w:t>
      </w:r>
      <w:r w:rsidRPr="00324CF1">
        <w:rPr>
          <w:b/>
          <w:bCs/>
          <w:lang w:val="en-CA"/>
        </w:rPr>
        <w:t>Judgment of August 29</w:t>
      </w:r>
      <w:r w:rsidRPr="00324CF1">
        <w:rPr>
          <w:lang w:val="en-CA"/>
        </w:rPr>
        <w:t>”).</w:t>
      </w:r>
      <w:r w:rsidRPr="00324CF1">
        <w:rPr>
          <w:rStyle w:val="Appelnotedebasdep"/>
          <w:lang w:val="en-CA"/>
        </w:rPr>
        <w:footnoteReference w:id="161"/>
      </w:r>
      <w:r w:rsidRPr="00324CF1">
        <w:rPr>
          <w:lang w:val="en-CA"/>
        </w:rPr>
        <w:t xml:space="preserve"> It is certainly surprising that the parties did not keep the Court informed of the progress of the case and that they did not wonder why the Superior Court delivered its judgment before hearing the outcome of this appeal.</w:t>
      </w:r>
    </w:p>
    <w:p w14:paraId="0DC2C0EA" w14:textId="22C8567C" w:rsidR="00B96B17" w:rsidRPr="00324CF1" w:rsidRDefault="00ED47F8" w:rsidP="00FB5A91">
      <w:pPr>
        <w:pStyle w:val="Paragraphe"/>
        <w:spacing w:line="240" w:lineRule="auto"/>
        <w:rPr>
          <w:lang w:val="en-US"/>
        </w:rPr>
      </w:pPr>
      <w:r w:rsidRPr="00324CF1">
        <w:rPr>
          <w:lang w:val="en-CA"/>
        </w:rPr>
        <w:t xml:space="preserve">In any event, the situation is quite unusual, since this Court is seized of the question of whether the </w:t>
      </w:r>
      <w:r w:rsidR="00E95FA0" w:rsidRPr="00324CF1">
        <w:rPr>
          <w:lang w:val="en-CA"/>
        </w:rPr>
        <w:t>authoriz</w:t>
      </w:r>
      <w:r w:rsidR="00E95FA0">
        <w:rPr>
          <w:lang w:val="en-CA"/>
        </w:rPr>
        <w:t>ing</w:t>
      </w:r>
      <w:r w:rsidR="00E95FA0" w:rsidRPr="00324CF1">
        <w:rPr>
          <w:lang w:val="en-CA"/>
        </w:rPr>
        <w:t xml:space="preserve"> </w:t>
      </w:r>
      <w:r w:rsidRPr="00324CF1">
        <w:rPr>
          <w:lang w:val="en-CA"/>
        </w:rPr>
        <w:t xml:space="preserve">judge could be convinced, on a </w:t>
      </w:r>
      <w:r w:rsidRPr="00324CF1">
        <w:rPr>
          <w:i/>
          <w:iCs/>
          <w:lang w:val="en-CA"/>
        </w:rPr>
        <w:t>prima facie</w:t>
      </w:r>
      <w:r w:rsidRPr="00324CF1">
        <w:rPr>
          <w:lang w:val="en-CA"/>
        </w:rPr>
        <w:t xml:space="preserve"> basis, that AAI’s funds could be seized on the ground that it is inseparable from the state, </w:t>
      </w:r>
      <w:r w:rsidR="00470046">
        <w:rPr>
          <w:lang w:val="en-CA"/>
        </w:rPr>
        <w:t>when we now know</w:t>
      </w:r>
      <w:r w:rsidRPr="00324CF1">
        <w:rPr>
          <w:lang w:val="en-CA"/>
        </w:rPr>
        <w:t>—</w:t>
      </w:r>
      <w:r w:rsidR="00470046">
        <w:rPr>
          <w:lang w:val="en-CA"/>
        </w:rPr>
        <w:t>despite</w:t>
      </w:r>
      <w:r w:rsidRPr="00324CF1">
        <w:rPr>
          <w:lang w:val="en-CA"/>
        </w:rPr>
        <w:t xml:space="preserve"> CCDM/Devas appeal</w:t>
      </w:r>
      <w:r w:rsidR="00470046">
        <w:rPr>
          <w:lang w:val="en-CA"/>
        </w:rPr>
        <w:t>ing</w:t>
      </w:r>
      <w:r w:rsidRPr="00324CF1">
        <w:rPr>
          <w:lang w:val="en-CA"/>
        </w:rPr>
        <w:t xml:space="preserve"> </w:t>
      </w:r>
      <w:r w:rsidR="00470046">
        <w:rPr>
          <w:lang w:val="en-CA"/>
        </w:rPr>
        <w:t>from</w:t>
      </w:r>
      <w:r w:rsidR="00470046" w:rsidRPr="00324CF1">
        <w:rPr>
          <w:lang w:val="en-CA"/>
        </w:rPr>
        <w:t xml:space="preserve"> </w:t>
      </w:r>
      <w:r w:rsidRPr="00324CF1">
        <w:rPr>
          <w:lang w:val="en-CA"/>
        </w:rPr>
        <w:t>the Judgment of August 29—that the application against AAI was dismissed on the ground that it is indeed a</w:t>
      </w:r>
      <w:r w:rsidR="00470046">
        <w:rPr>
          <w:lang w:val="en-CA"/>
        </w:rPr>
        <w:t>n entity that is</w:t>
      </w:r>
      <w:r w:rsidRPr="00324CF1">
        <w:rPr>
          <w:lang w:val="en-CA"/>
        </w:rPr>
        <w:t xml:space="preserve"> separate from India.</w:t>
      </w:r>
    </w:p>
    <w:p w14:paraId="036F9C64" w14:textId="299CBCB0" w:rsidR="00521D0E" w:rsidRPr="00324CF1" w:rsidRDefault="00ED47F8" w:rsidP="00FB5A91">
      <w:pPr>
        <w:pStyle w:val="Paragraphe"/>
        <w:spacing w:line="240" w:lineRule="auto"/>
        <w:rPr>
          <w:lang w:val="en-US"/>
        </w:rPr>
      </w:pPr>
      <w:r w:rsidRPr="00324CF1">
        <w:rPr>
          <w:lang w:val="en-CA"/>
        </w:rPr>
        <w:t xml:space="preserve">As unique as the situation may be, the Judgment of August 29 does not make this appeal </w:t>
      </w:r>
      <w:r w:rsidR="005B29BC">
        <w:rPr>
          <w:lang w:val="en-CA"/>
        </w:rPr>
        <w:t>moot</w:t>
      </w:r>
      <w:r w:rsidR="005B29BC" w:rsidRPr="00324CF1">
        <w:rPr>
          <w:lang w:val="en-CA"/>
        </w:rPr>
        <w:t xml:space="preserve"> </w:t>
      </w:r>
      <w:r w:rsidRPr="00324CF1">
        <w:rPr>
          <w:lang w:val="en-CA"/>
        </w:rPr>
        <w:t xml:space="preserve">or unnecessary. A seizure before judgment is in effect until the final judgment, and its validity remains relevant to the debate during the appeal </w:t>
      </w:r>
      <w:r w:rsidR="005B29BC">
        <w:rPr>
          <w:lang w:val="en-CA"/>
        </w:rPr>
        <w:t>from</w:t>
      </w:r>
      <w:r w:rsidR="005B29BC" w:rsidRPr="00324CF1">
        <w:rPr>
          <w:lang w:val="en-CA"/>
        </w:rPr>
        <w:t xml:space="preserve"> </w:t>
      </w:r>
      <w:r w:rsidRPr="00324CF1">
        <w:rPr>
          <w:lang w:val="en-CA"/>
        </w:rPr>
        <w:t xml:space="preserve">the Judgment of August 29. If this Court dismisses CCDM/Devas’s appeal and affirms that the seizure before judgment is invalid, AAI’s funds would be released, subject, </w:t>
      </w:r>
      <w:r w:rsidR="005B29BC">
        <w:rPr>
          <w:lang w:val="en-CA"/>
        </w:rPr>
        <w:t>possibly</w:t>
      </w:r>
      <w:r w:rsidRPr="00324CF1">
        <w:rPr>
          <w:lang w:val="en-CA"/>
        </w:rPr>
        <w:t xml:space="preserve">, to CCDM/Devas attempting to file an appeal with the Supreme Court of Canada and obtaining a </w:t>
      </w:r>
      <w:r w:rsidR="005B29BC">
        <w:rPr>
          <w:lang w:val="en-CA"/>
        </w:rPr>
        <w:t>stay</w:t>
      </w:r>
      <w:r w:rsidR="005B29BC" w:rsidRPr="00324CF1">
        <w:rPr>
          <w:lang w:val="en-CA"/>
        </w:rPr>
        <w:t xml:space="preserve"> </w:t>
      </w:r>
      <w:r w:rsidRPr="00324CF1">
        <w:rPr>
          <w:lang w:val="en-CA"/>
        </w:rPr>
        <w:t xml:space="preserve">of the execution of this judgment. Conversely, if this Court </w:t>
      </w:r>
      <w:r w:rsidR="005B29BC">
        <w:rPr>
          <w:lang w:val="en-CA"/>
        </w:rPr>
        <w:t>allows</w:t>
      </w:r>
      <w:r w:rsidR="005B29BC" w:rsidRPr="00324CF1">
        <w:rPr>
          <w:lang w:val="en-CA"/>
        </w:rPr>
        <w:t xml:space="preserve"> </w:t>
      </w:r>
      <w:r w:rsidRPr="00324CF1">
        <w:rPr>
          <w:lang w:val="en-CA"/>
        </w:rPr>
        <w:t xml:space="preserve">the appeal and concludes that the seizure is valid, the funds would then remain seized during the appeal </w:t>
      </w:r>
      <w:r w:rsidR="005B29BC">
        <w:rPr>
          <w:lang w:val="en-CA"/>
        </w:rPr>
        <w:t>from</w:t>
      </w:r>
      <w:r w:rsidRPr="00324CF1">
        <w:rPr>
          <w:lang w:val="en-CA"/>
        </w:rPr>
        <w:t xml:space="preserve"> the Judgment of August 29, provided that AAI obtains an order for provisional </w:t>
      </w:r>
      <w:r w:rsidR="00770BF6">
        <w:rPr>
          <w:lang w:val="en-CA"/>
        </w:rPr>
        <w:t>execution</w:t>
      </w:r>
      <w:r w:rsidRPr="00324CF1">
        <w:rPr>
          <w:lang w:val="en-CA"/>
        </w:rPr>
        <w:t xml:space="preserve"> under article 661 CCP.</w:t>
      </w:r>
    </w:p>
    <w:p w14:paraId="6BCF5176" w14:textId="6D102AC3" w:rsidR="00521D0E" w:rsidRPr="00324CF1" w:rsidRDefault="00ED47F8" w:rsidP="00FB5A91">
      <w:pPr>
        <w:pStyle w:val="Paragraphe"/>
        <w:spacing w:line="240" w:lineRule="auto"/>
        <w:rPr>
          <w:lang w:val="en-US"/>
        </w:rPr>
      </w:pPr>
      <w:r w:rsidRPr="00324CF1">
        <w:rPr>
          <w:lang w:val="en-CA"/>
        </w:rPr>
        <w:t>It is therefore necessary to decide the question, taking care not to encroach on the debate on the merits and looking only at what Granosik</w:t>
      </w:r>
      <w:r w:rsidR="002262B7">
        <w:rPr>
          <w:lang w:val="en-CA"/>
        </w:rPr>
        <w:t>,</w:t>
      </w:r>
      <w:r w:rsidRPr="00324CF1">
        <w:rPr>
          <w:lang w:val="en-CA"/>
        </w:rPr>
        <w:t xml:space="preserve"> J. had before him, as well as the arguments put forward by CCDM/Devas at the time, </w:t>
      </w:r>
      <w:r w:rsidR="002262B7">
        <w:rPr>
          <w:lang w:val="en-CA"/>
        </w:rPr>
        <w:t>which</w:t>
      </w:r>
      <w:r w:rsidRPr="00324CF1">
        <w:rPr>
          <w:lang w:val="en-CA"/>
        </w:rPr>
        <w:t xml:space="preserve"> arguments may have changed since, according to the Judgment of August 29.</w:t>
      </w:r>
    </w:p>
    <w:p w14:paraId="0B75115C" w14:textId="7F6CFAD0" w:rsidR="0081370B" w:rsidRPr="00324CF1" w:rsidRDefault="00ED47F8" w:rsidP="00FB5A91">
      <w:pPr>
        <w:pStyle w:val="Paragraphe"/>
        <w:spacing w:line="240" w:lineRule="auto"/>
        <w:rPr>
          <w:lang w:val="en-US"/>
        </w:rPr>
      </w:pPr>
      <w:r w:rsidRPr="00324CF1">
        <w:rPr>
          <w:lang w:val="en-CA"/>
        </w:rPr>
        <w:lastRenderedPageBreak/>
        <w:t>Sticking strictly to this debate, CCDM/Devas argue</w:t>
      </w:r>
      <w:r w:rsidR="00D130FC">
        <w:rPr>
          <w:lang w:val="en-CA"/>
        </w:rPr>
        <w:t>d</w:t>
      </w:r>
      <w:r w:rsidRPr="00324CF1">
        <w:rPr>
          <w:lang w:val="en-CA"/>
        </w:rPr>
        <w:t xml:space="preserve"> before the Court that, before Granosik</w:t>
      </w:r>
      <w:r w:rsidR="00255F8A">
        <w:rPr>
          <w:lang w:val="en-CA"/>
        </w:rPr>
        <w:t>,</w:t>
      </w:r>
      <w:r w:rsidRPr="00324CF1">
        <w:rPr>
          <w:lang w:val="en-CA"/>
        </w:rPr>
        <w:t xml:space="preserve"> J., </w:t>
      </w:r>
      <w:r w:rsidR="00255F8A">
        <w:rPr>
          <w:lang w:val="en-CA"/>
        </w:rPr>
        <w:t xml:space="preserve">they met </w:t>
      </w:r>
      <w:r w:rsidRPr="00324CF1">
        <w:rPr>
          <w:lang w:val="en-CA"/>
        </w:rPr>
        <w:t xml:space="preserve">their burden of demonstrating </w:t>
      </w:r>
      <w:r w:rsidRPr="00324CF1">
        <w:rPr>
          <w:i/>
          <w:iCs/>
          <w:lang w:val="en-CA"/>
        </w:rPr>
        <w:t>prima facie</w:t>
      </w:r>
      <w:r w:rsidRPr="00324CF1">
        <w:rPr>
          <w:lang w:val="en-CA"/>
        </w:rPr>
        <w:t xml:space="preserve"> that AAI was the </w:t>
      </w:r>
      <w:r w:rsidRPr="00324CF1">
        <w:rPr>
          <w:i/>
          <w:iCs/>
          <w:lang w:val="en-CA"/>
        </w:rPr>
        <w:t>alter ego</w:t>
      </w:r>
      <w:r w:rsidRPr="00324CF1">
        <w:rPr>
          <w:lang w:val="en-CA"/>
        </w:rPr>
        <w:t xml:space="preserve"> of India and that it was inseparable </w:t>
      </w:r>
      <w:r w:rsidR="00255F8A">
        <w:rPr>
          <w:lang w:val="en-CA"/>
        </w:rPr>
        <w:t>from</w:t>
      </w:r>
      <w:r w:rsidRPr="00324CF1">
        <w:rPr>
          <w:lang w:val="en-CA"/>
        </w:rPr>
        <w:t xml:space="preserve"> it. As a result, not only could CCDM/Devas seize AAI’s funds </w:t>
      </w:r>
      <w:r w:rsidR="00255F8A">
        <w:rPr>
          <w:lang w:val="en-CA"/>
        </w:rPr>
        <w:t>for</w:t>
      </w:r>
      <w:r w:rsidR="00255F8A" w:rsidRPr="00324CF1">
        <w:rPr>
          <w:lang w:val="en-CA"/>
        </w:rPr>
        <w:t xml:space="preserve"> </w:t>
      </w:r>
      <w:r w:rsidRPr="00324CF1">
        <w:rPr>
          <w:lang w:val="en-CA"/>
        </w:rPr>
        <w:t xml:space="preserve">the claim they have against India, but AAI could not </w:t>
      </w:r>
      <w:r w:rsidR="00255F8A">
        <w:rPr>
          <w:lang w:val="en-CA"/>
        </w:rPr>
        <w:t>benefit from</w:t>
      </w:r>
      <w:r w:rsidR="00255F8A" w:rsidRPr="00324CF1">
        <w:rPr>
          <w:lang w:val="en-CA"/>
        </w:rPr>
        <w:t xml:space="preserve"> </w:t>
      </w:r>
      <w:r w:rsidRPr="00324CF1">
        <w:rPr>
          <w:lang w:val="en-CA"/>
        </w:rPr>
        <w:t xml:space="preserve">the immunity that India waived either explicitly or by application of the commercial activity exception. This is a question that the </w:t>
      </w:r>
      <w:r w:rsidR="00255F8A" w:rsidRPr="00324CF1">
        <w:rPr>
          <w:lang w:val="en-CA"/>
        </w:rPr>
        <w:t>authoriz</w:t>
      </w:r>
      <w:r w:rsidR="00255F8A">
        <w:rPr>
          <w:lang w:val="en-CA"/>
        </w:rPr>
        <w:t>ing</w:t>
      </w:r>
      <w:r w:rsidR="00255F8A" w:rsidRPr="00324CF1">
        <w:rPr>
          <w:lang w:val="en-CA"/>
        </w:rPr>
        <w:t xml:space="preserve"> </w:t>
      </w:r>
      <w:r w:rsidRPr="00324CF1">
        <w:rPr>
          <w:lang w:val="en-CA"/>
        </w:rPr>
        <w:t>judge could not decide at th</w:t>
      </w:r>
      <w:r w:rsidR="00255F8A">
        <w:rPr>
          <w:lang w:val="en-CA"/>
        </w:rPr>
        <w:t>at</w:t>
      </w:r>
      <w:r w:rsidRPr="00324CF1">
        <w:rPr>
          <w:lang w:val="en-CA"/>
        </w:rPr>
        <w:t xml:space="preserve"> point, but that </w:t>
      </w:r>
      <w:r w:rsidR="00255F8A">
        <w:rPr>
          <w:lang w:val="en-CA"/>
        </w:rPr>
        <w:t>was no bar</w:t>
      </w:r>
      <w:r w:rsidRPr="00324CF1">
        <w:rPr>
          <w:lang w:val="en-CA"/>
        </w:rPr>
        <w:t xml:space="preserve">, as we have seen, </w:t>
      </w:r>
      <w:r w:rsidR="00255F8A">
        <w:rPr>
          <w:lang w:val="en-CA"/>
        </w:rPr>
        <w:t xml:space="preserve">to </w:t>
      </w:r>
      <w:r w:rsidRPr="00324CF1">
        <w:rPr>
          <w:lang w:val="en-CA"/>
        </w:rPr>
        <w:t>the seizure. This argument can be found in paragraph 72 of the application for recognition of arbitral awards filed by CCDM/Devas in support of their application for seizure before judgment:</w:t>
      </w:r>
    </w:p>
    <w:p w14:paraId="2527A2B5" w14:textId="77777777" w:rsidR="0081370B" w:rsidRPr="00324CF1" w:rsidRDefault="00ED47F8" w:rsidP="00FB5A91">
      <w:pPr>
        <w:pStyle w:val="Citationenretrait"/>
        <w:spacing w:line="240" w:lineRule="auto"/>
        <w:rPr>
          <w:lang w:val="en-CA"/>
        </w:rPr>
      </w:pPr>
      <w:r w:rsidRPr="00D130FC">
        <w:rPr>
          <w:lang w:val="en-CA"/>
        </w:rPr>
        <w:t>72.</w:t>
      </w:r>
      <w:r w:rsidRPr="00D130FC">
        <w:rPr>
          <w:lang w:val="en-CA"/>
        </w:rPr>
        <w:tab/>
        <w:t xml:space="preserve">In light of the following, and as will be further demonstrated at trial, AAI is India, insofar as it is an organ of the State of India inseparable from India or is the </w:t>
      </w:r>
      <w:r w:rsidRPr="00D130FC">
        <w:rPr>
          <w:rFonts w:ascii="Arial-ItalicMT" w:hAnsi="Arial-ItalicMT"/>
          <w:i/>
          <w:iCs/>
          <w:lang w:val="en-CA"/>
        </w:rPr>
        <w:t xml:space="preserve">alter ego </w:t>
      </w:r>
      <w:r w:rsidRPr="00D130FC">
        <w:rPr>
          <w:lang w:val="en-CA"/>
        </w:rPr>
        <w:t>of India. As a result, an order from this Honourable Court, recognizing and declaring the Treaty Awards enforceable in Quebec, can be executed on AAI’s assets.</w:t>
      </w:r>
    </w:p>
    <w:p w14:paraId="7C99BAA3" w14:textId="12DEFDEB" w:rsidR="0081370B" w:rsidRPr="005E6EB3" w:rsidRDefault="00ED47F8" w:rsidP="00FB5A91">
      <w:pPr>
        <w:pStyle w:val="Paragraphe"/>
        <w:spacing w:line="240" w:lineRule="auto"/>
        <w:rPr>
          <w:lang w:val="en-CA"/>
        </w:rPr>
      </w:pPr>
      <w:r w:rsidRPr="00324CF1">
        <w:rPr>
          <w:lang w:val="en-CA"/>
        </w:rPr>
        <w:t>CCDM/Devas argue that Pinsonnault</w:t>
      </w:r>
      <w:r w:rsidR="002B5C6F">
        <w:rPr>
          <w:lang w:val="en-CA"/>
        </w:rPr>
        <w:t>,</w:t>
      </w:r>
      <w:r w:rsidRPr="00324CF1">
        <w:rPr>
          <w:lang w:val="en-CA"/>
        </w:rPr>
        <w:t xml:space="preserve"> J.’s conclusions are irreconcilable and that he erred by maintaining, on the one hand, that Granosik</w:t>
      </w:r>
      <w:r w:rsidR="002B5C6F">
        <w:rPr>
          <w:lang w:val="en-CA"/>
        </w:rPr>
        <w:t>,</w:t>
      </w:r>
      <w:r w:rsidRPr="00324CF1">
        <w:rPr>
          <w:lang w:val="en-CA"/>
        </w:rPr>
        <w:t xml:space="preserve"> J. could, on the basis of the case as provided, be convinced that AAI was the </w:t>
      </w:r>
      <w:r w:rsidRPr="00324CF1">
        <w:rPr>
          <w:i/>
          <w:iCs/>
          <w:lang w:val="en-CA"/>
        </w:rPr>
        <w:t>alter ego</w:t>
      </w:r>
      <w:r w:rsidRPr="00324CF1">
        <w:rPr>
          <w:lang w:val="en-CA"/>
        </w:rPr>
        <w:t xml:space="preserve"> of India,</w:t>
      </w:r>
      <w:r w:rsidRPr="00324CF1">
        <w:rPr>
          <w:rStyle w:val="Appelnotedebasdep"/>
          <w:lang w:val="en-CA"/>
        </w:rPr>
        <w:footnoteReference w:id="162"/>
      </w:r>
      <w:r w:rsidRPr="00324CF1">
        <w:rPr>
          <w:lang w:val="en-CA"/>
        </w:rPr>
        <w:t xml:space="preserve"> but on the other hand, that it could only be concluded that if India were found not to have immunity because of one of the exceptions, that the same would necessarily be true for AAI.</w:t>
      </w:r>
      <w:r w:rsidRPr="00324CF1">
        <w:rPr>
          <w:rStyle w:val="Appelnotedebasdep"/>
          <w:lang w:val="en-CA"/>
        </w:rPr>
        <w:footnoteReference w:id="163"/>
      </w:r>
      <w:r w:rsidRPr="00324CF1">
        <w:rPr>
          <w:lang w:val="en-CA"/>
        </w:rPr>
        <w:t xml:space="preserve"> For Pinsonnault</w:t>
      </w:r>
      <w:r w:rsidR="002B5C6F">
        <w:rPr>
          <w:lang w:val="en-CA"/>
        </w:rPr>
        <w:t>,</w:t>
      </w:r>
      <w:r w:rsidRPr="00324CF1">
        <w:rPr>
          <w:lang w:val="en-CA"/>
        </w:rPr>
        <w:t xml:space="preserve"> J., accepting such reasoning amounted to making AAI “guilty by association” of an action—a contravention of the Treaty—committed by India.</w:t>
      </w:r>
      <w:r w:rsidRPr="00324CF1">
        <w:rPr>
          <w:rStyle w:val="Appelnotedebasdep"/>
          <w:lang w:val="en-CA"/>
        </w:rPr>
        <w:footnoteReference w:id="164"/>
      </w:r>
      <w:r w:rsidRPr="00324CF1">
        <w:rPr>
          <w:lang w:val="en-CA"/>
        </w:rPr>
        <w:t xml:space="preserve"> The judge wrote:</w:t>
      </w:r>
    </w:p>
    <w:p w14:paraId="309A0AF5" w14:textId="77777777" w:rsidR="0081370B" w:rsidRPr="00D130FC" w:rsidRDefault="00ED47F8" w:rsidP="00FB5A91">
      <w:pPr>
        <w:pStyle w:val="Citationenretrait"/>
        <w:spacing w:line="240" w:lineRule="auto"/>
        <w:rPr>
          <w:lang w:val="en-CA"/>
        </w:rPr>
      </w:pPr>
      <w:r w:rsidRPr="00D130FC">
        <w:rPr>
          <w:lang w:val="en-CA"/>
        </w:rPr>
        <w:t>[109]</w:t>
      </w:r>
      <w:r w:rsidRPr="00D130FC">
        <w:rPr>
          <w:lang w:val="en-CA"/>
        </w:rPr>
        <w:tab/>
        <w:t>As previously mentioned, six years after the execution of the Devas Agreement, on February 17, 2011, the CCS adopted a policy decision to reserve the S-band for national and societal needs, having regard to the needs of the country’s strategic requirements, thereby deciding not to provide orbit slot in the S-band to Antrix for its commercial activities.</w:t>
      </w:r>
    </w:p>
    <w:p w14:paraId="20A329B4" w14:textId="77777777" w:rsidR="0081370B" w:rsidRPr="00D130FC" w:rsidRDefault="00ED47F8" w:rsidP="00FB5A91">
      <w:pPr>
        <w:pStyle w:val="Citationenretrait"/>
        <w:spacing w:line="240" w:lineRule="auto"/>
        <w:rPr>
          <w:lang w:val="en-CA"/>
        </w:rPr>
      </w:pPr>
      <w:r w:rsidRPr="00D130FC">
        <w:rPr>
          <w:lang w:val="en-CA"/>
        </w:rPr>
        <w:t>[110]</w:t>
      </w:r>
      <w:r w:rsidRPr="00D130FC">
        <w:rPr>
          <w:lang w:val="en-CA"/>
        </w:rPr>
        <w:tab/>
        <w:t>Paragraph 146 of the Merits Award clearly reveals that it was the ROI who decided to annul unilaterally the Devas Agreement:</w:t>
      </w:r>
    </w:p>
    <w:p w14:paraId="2E83A9EB" w14:textId="77777777" w:rsidR="0081370B" w:rsidRPr="00D130FC" w:rsidRDefault="00ED47F8" w:rsidP="00FB5A91">
      <w:pPr>
        <w:pStyle w:val="Citationenretrait"/>
        <w:spacing w:line="240" w:lineRule="auto"/>
        <w:ind w:left="1440"/>
        <w:rPr>
          <w:sz w:val="20"/>
          <w:lang w:val="en-CA"/>
        </w:rPr>
      </w:pPr>
      <w:r w:rsidRPr="00D130FC">
        <w:rPr>
          <w:sz w:val="20"/>
          <w:lang w:val="en-CA"/>
        </w:rPr>
        <w:t xml:space="preserve">146. On February </w:t>
      </w:r>
      <w:r w:rsidRPr="00D130FC">
        <w:rPr>
          <w:color w:val="373737"/>
          <w:sz w:val="20"/>
          <w:lang w:val="en-CA"/>
        </w:rPr>
        <w:t>17</w:t>
      </w:r>
      <w:r w:rsidRPr="00D130FC">
        <w:rPr>
          <w:color w:val="646464"/>
          <w:sz w:val="20"/>
          <w:lang w:val="en-CA"/>
        </w:rPr>
        <w:t xml:space="preserve">, </w:t>
      </w:r>
      <w:r w:rsidRPr="00D130FC">
        <w:rPr>
          <w:sz w:val="20"/>
          <w:lang w:val="en-CA"/>
        </w:rPr>
        <w:t>20</w:t>
      </w:r>
      <w:r w:rsidRPr="00D130FC">
        <w:rPr>
          <w:color w:val="262626"/>
          <w:sz w:val="20"/>
          <w:lang w:val="en-CA"/>
        </w:rPr>
        <w:t>1</w:t>
      </w:r>
      <w:r w:rsidRPr="00D130FC">
        <w:rPr>
          <w:sz w:val="20"/>
          <w:lang w:val="en-CA"/>
        </w:rPr>
        <w:t xml:space="preserve">1, the CCS took the </w:t>
      </w:r>
      <w:r w:rsidRPr="00D130FC">
        <w:rPr>
          <w:color w:val="373737"/>
          <w:sz w:val="20"/>
          <w:lang w:val="en-CA"/>
        </w:rPr>
        <w:t>de</w:t>
      </w:r>
      <w:r w:rsidRPr="00D130FC">
        <w:rPr>
          <w:color w:val="646464"/>
          <w:sz w:val="20"/>
          <w:lang w:val="en-CA"/>
        </w:rPr>
        <w:t>cis</w:t>
      </w:r>
      <w:r w:rsidRPr="00D130FC">
        <w:rPr>
          <w:color w:val="373737"/>
          <w:sz w:val="20"/>
          <w:lang w:val="en-CA"/>
        </w:rPr>
        <w:t xml:space="preserve">ion </w:t>
      </w:r>
      <w:r w:rsidRPr="00D130FC">
        <w:rPr>
          <w:sz w:val="20"/>
          <w:lang w:val="en-CA"/>
        </w:rPr>
        <w:t xml:space="preserve">to annul the </w:t>
      </w:r>
      <w:r w:rsidRPr="00D130FC">
        <w:rPr>
          <w:color w:val="373737"/>
          <w:sz w:val="20"/>
          <w:lang w:val="en-CA"/>
        </w:rPr>
        <w:t xml:space="preserve">Devas </w:t>
      </w:r>
      <w:r w:rsidRPr="00D130FC">
        <w:rPr>
          <w:sz w:val="20"/>
          <w:lang w:val="en-CA"/>
        </w:rPr>
        <w:t xml:space="preserve">Agreement. </w:t>
      </w:r>
      <w:r w:rsidRPr="00D130FC">
        <w:rPr>
          <w:color w:val="373737"/>
          <w:sz w:val="20"/>
          <w:lang w:val="en-CA"/>
        </w:rPr>
        <w:t xml:space="preserve">On </w:t>
      </w:r>
      <w:r w:rsidRPr="00D130FC">
        <w:rPr>
          <w:sz w:val="20"/>
          <w:lang w:val="en-CA"/>
        </w:rPr>
        <w:t xml:space="preserve">the same </w:t>
      </w:r>
      <w:r w:rsidRPr="00D130FC">
        <w:rPr>
          <w:color w:val="373737"/>
          <w:sz w:val="20"/>
          <w:lang w:val="en-CA"/>
        </w:rPr>
        <w:t>day</w:t>
      </w:r>
      <w:r w:rsidRPr="00D130FC">
        <w:rPr>
          <w:color w:val="646464"/>
          <w:sz w:val="20"/>
          <w:lang w:val="en-CA"/>
        </w:rPr>
        <w:t xml:space="preserve">, </w:t>
      </w:r>
      <w:r w:rsidRPr="00D130FC">
        <w:rPr>
          <w:color w:val="373737"/>
          <w:sz w:val="20"/>
          <w:lang w:val="en-CA"/>
        </w:rPr>
        <w:t xml:space="preserve">the </w:t>
      </w:r>
      <w:r w:rsidRPr="00D130FC">
        <w:rPr>
          <w:sz w:val="20"/>
          <w:lang w:val="en-CA"/>
        </w:rPr>
        <w:t>Gove</w:t>
      </w:r>
      <w:r w:rsidRPr="00D130FC">
        <w:rPr>
          <w:color w:val="262626"/>
          <w:sz w:val="20"/>
          <w:lang w:val="en-CA"/>
        </w:rPr>
        <w:t>rnm</w:t>
      </w:r>
      <w:r w:rsidRPr="00D130FC">
        <w:rPr>
          <w:sz w:val="20"/>
          <w:lang w:val="en-CA"/>
        </w:rPr>
        <w:t xml:space="preserve">ent of India </w:t>
      </w:r>
      <w:r w:rsidRPr="00D130FC">
        <w:rPr>
          <w:color w:val="373737"/>
          <w:sz w:val="20"/>
          <w:lang w:val="en-CA"/>
        </w:rPr>
        <w:t>i</w:t>
      </w:r>
      <w:r w:rsidRPr="00D130FC">
        <w:rPr>
          <w:color w:val="646464"/>
          <w:sz w:val="20"/>
          <w:lang w:val="en-CA"/>
        </w:rPr>
        <w:t>ss</w:t>
      </w:r>
      <w:r w:rsidRPr="00D130FC">
        <w:rPr>
          <w:color w:val="262626"/>
          <w:sz w:val="20"/>
          <w:lang w:val="en-CA"/>
        </w:rPr>
        <w:t>u</w:t>
      </w:r>
      <w:r w:rsidRPr="00D130FC">
        <w:rPr>
          <w:sz w:val="20"/>
          <w:lang w:val="en-CA"/>
        </w:rPr>
        <w:t xml:space="preserve">ed a press </w:t>
      </w:r>
      <w:r w:rsidRPr="00D130FC">
        <w:rPr>
          <w:color w:val="262626"/>
          <w:sz w:val="20"/>
          <w:lang w:val="en-CA"/>
        </w:rPr>
        <w:t>r</w:t>
      </w:r>
      <w:r w:rsidRPr="00D130FC">
        <w:rPr>
          <w:sz w:val="20"/>
          <w:lang w:val="en-CA"/>
        </w:rPr>
        <w:t>elease a</w:t>
      </w:r>
      <w:r w:rsidRPr="00D130FC">
        <w:rPr>
          <w:color w:val="262626"/>
          <w:sz w:val="20"/>
          <w:lang w:val="en-CA"/>
        </w:rPr>
        <w:t>nnoun</w:t>
      </w:r>
      <w:r w:rsidRPr="00D130FC">
        <w:rPr>
          <w:sz w:val="20"/>
          <w:lang w:val="en-CA"/>
        </w:rPr>
        <w:t>c</w:t>
      </w:r>
      <w:r w:rsidRPr="00D130FC">
        <w:rPr>
          <w:color w:val="262626"/>
          <w:sz w:val="20"/>
          <w:lang w:val="en-CA"/>
        </w:rPr>
        <w:t>in</w:t>
      </w:r>
      <w:r w:rsidRPr="00D130FC">
        <w:rPr>
          <w:sz w:val="20"/>
          <w:lang w:val="en-CA"/>
        </w:rPr>
        <w:t xml:space="preserve">g that </w:t>
      </w:r>
      <w:r w:rsidRPr="00D130FC">
        <w:rPr>
          <w:color w:val="373737"/>
          <w:sz w:val="20"/>
          <w:lang w:val="en-CA"/>
        </w:rPr>
        <w:t xml:space="preserve">the </w:t>
      </w:r>
      <w:r w:rsidRPr="00D130FC">
        <w:rPr>
          <w:sz w:val="20"/>
          <w:lang w:val="en-CA"/>
        </w:rPr>
        <w:t xml:space="preserve">CCS </w:t>
      </w:r>
      <w:r w:rsidRPr="00D130FC">
        <w:rPr>
          <w:color w:val="262626"/>
          <w:sz w:val="20"/>
          <w:lang w:val="en-CA"/>
        </w:rPr>
        <w:t>h</w:t>
      </w:r>
      <w:r w:rsidRPr="00D130FC">
        <w:rPr>
          <w:sz w:val="20"/>
          <w:lang w:val="en-CA"/>
        </w:rPr>
        <w:t xml:space="preserve">ad </w:t>
      </w:r>
      <w:r w:rsidRPr="00D130FC">
        <w:rPr>
          <w:color w:val="373737"/>
          <w:sz w:val="20"/>
          <w:lang w:val="en-CA"/>
        </w:rPr>
        <w:t xml:space="preserve">decided </w:t>
      </w:r>
      <w:r w:rsidRPr="00D130FC">
        <w:rPr>
          <w:sz w:val="20"/>
          <w:lang w:val="en-CA"/>
        </w:rPr>
        <w:t xml:space="preserve">to </w:t>
      </w:r>
      <w:r w:rsidRPr="00D130FC">
        <w:rPr>
          <w:color w:val="373737"/>
          <w:sz w:val="20"/>
          <w:lang w:val="en-CA"/>
        </w:rPr>
        <w:t xml:space="preserve">annul </w:t>
      </w:r>
      <w:r w:rsidRPr="00D130FC">
        <w:rPr>
          <w:sz w:val="20"/>
          <w:lang w:val="en-CA"/>
        </w:rPr>
        <w:t xml:space="preserve">the </w:t>
      </w:r>
      <w:r w:rsidRPr="00D130FC">
        <w:rPr>
          <w:color w:val="373737"/>
          <w:sz w:val="20"/>
          <w:lang w:val="en-CA"/>
        </w:rPr>
        <w:t>Deva</w:t>
      </w:r>
      <w:r w:rsidRPr="00D130FC">
        <w:rPr>
          <w:color w:val="646464"/>
          <w:sz w:val="20"/>
          <w:lang w:val="en-CA"/>
        </w:rPr>
        <w:t xml:space="preserve">s </w:t>
      </w:r>
      <w:r w:rsidRPr="00D130FC">
        <w:rPr>
          <w:sz w:val="20"/>
          <w:lang w:val="en-CA"/>
        </w:rPr>
        <w:t>Agreement. The press release reads in full:</w:t>
      </w:r>
    </w:p>
    <w:p w14:paraId="0C1A79CF" w14:textId="77777777" w:rsidR="0081370B" w:rsidRPr="00D130FC" w:rsidRDefault="00ED47F8" w:rsidP="00FB5A91">
      <w:pPr>
        <w:pStyle w:val="Citationenretrait"/>
        <w:spacing w:line="240" w:lineRule="auto"/>
        <w:ind w:firstLine="720"/>
        <w:jc w:val="center"/>
        <w:rPr>
          <w:sz w:val="20"/>
          <w:lang w:val="en-CA"/>
        </w:rPr>
      </w:pPr>
      <w:r w:rsidRPr="00D130FC">
        <w:rPr>
          <w:sz w:val="20"/>
          <w:lang w:val="en-CA"/>
        </w:rPr>
        <w:t>CCS Decides to Annul Antrix-Devas Deal</w:t>
      </w:r>
    </w:p>
    <w:p w14:paraId="6EBFC114" w14:textId="77777777" w:rsidR="0081370B" w:rsidRPr="00D130FC" w:rsidRDefault="00ED47F8" w:rsidP="00FB5A91">
      <w:pPr>
        <w:pStyle w:val="Citationenretrait"/>
        <w:spacing w:line="240" w:lineRule="auto"/>
        <w:ind w:left="2160" w:right="998"/>
        <w:rPr>
          <w:sz w:val="20"/>
          <w:lang w:val="en-CA"/>
        </w:rPr>
      </w:pPr>
      <w:r w:rsidRPr="00D130FC">
        <w:rPr>
          <w:sz w:val="20"/>
          <w:lang w:val="en-CA"/>
        </w:rPr>
        <w:t xml:space="preserve">Cabinet Committee on Security (CCS) has decided to annul the Antrix-Devas deal. Following is the statement made by the Law Minister, Shri </w:t>
      </w:r>
      <w:r w:rsidRPr="00D130FC">
        <w:rPr>
          <w:sz w:val="20"/>
          <w:lang w:val="en-CA"/>
        </w:rPr>
        <w:lastRenderedPageBreak/>
        <w:t>M. Veerappa Moily on the decision taken by the CCS which met in New Delhi today:</w:t>
      </w:r>
    </w:p>
    <w:p w14:paraId="4D5F1606" w14:textId="77777777" w:rsidR="0081370B" w:rsidRPr="00D130FC" w:rsidRDefault="00ED47F8" w:rsidP="00FB5A91">
      <w:pPr>
        <w:pStyle w:val="Citationenretrait"/>
        <w:spacing w:line="240" w:lineRule="auto"/>
        <w:ind w:left="2160" w:right="998"/>
        <w:rPr>
          <w:sz w:val="20"/>
          <w:lang w:val="en-CA"/>
        </w:rPr>
      </w:pPr>
      <w:r w:rsidRPr="00D130FC">
        <w:rPr>
          <w:sz w:val="20"/>
          <w:lang w:val="en-CA"/>
        </w:rPr>
        <w:t xml:space="preserve">“Taking note of the fact that Government policies with regard to allocation of spectrum have undergone a change in the last few years and there has been an increased demand for allocation of spectrum for national needs, including for the needs of defence, para-military forces, railways and other public utility services as well as for societal needs, and having regard to the needs of the country’s strategic requirements, </w:t>
      </w:r>
      <w:r w:rsidRPr="00D130FC">
        <w:rPr>
          <w:sz w:val="20"/>
          <w:u w:val="single"/>
          <w:lang w:val="en-CA"/>
        </w:rPr>
        <w:t xml:space="preserve">the Government will not be able to provide orbit slot in S band to Antrix </w:t>
      </w:r>
      <w:r w:rsidRPr="00D130FC">
        <w:rPr>
          <w:b/>
          <w:bCs/>
          <w:sz w:val="20"/>
          <w:u w:val="single"/>
          <w:lang w:val="en-CA"/>
        </w:rPr>
        <w:t>for commercial activities</w:t>
      </w:r>
      <w:r w:rsidRPr="00D130FC">
        <w:rPr>
          <w:sz w:val="20"/>
          <w:u w:val="single"/>
          <w:lang w:val="en-CA"/>
        </w:rPr>
        <w:t>, including for those which are the subject matter of existing contractual obligations for S band</w:t>
      </w:r>
      <w:r w:rsidRPr="00D130FC">
        <w:rPr>
          <w:sz w:val="20"/>
          <w:lang w:val="en-CA"/>
        </w:rPr>
        <w:t>.</w:t>
      </w:r>
    </w:p>
    <w:p w14:paraId="53DCC476" w14:textId="40F0B750" w:rsidR="0081370B" w:rsidRPr="00D130FC" w:rsidRDefault="000A1C96" w:rsidP="00FB5A91">
      <w:pPr>
        <w:pStyle w:val="Citationenretrait"/>
        <w:spacing w:line="240" w:lineRule="auto"/>
        <w:ind w:left="2160" w:right="998"/>
        <w:rPr>
          <w:sz w:val="20"/>
          <w:lang w:val="en-CA"/>
        </w:rPr>
      </w:pPr>
      <w:r w:rsidRPr="00D130FC">
        <w:rPr>
          <w:sz w:val="20"/>
          <w:u w:val="single"/>
          <w:lang w:val="en-CA"/>
        </w:rPr>
        <w:t>In the light of this policy of not providing orbit slot in S Band to Antrix for commercial activities</w:t>
      </w:r>
      <w:r w:rsidRPr="00D130FC">
        <w:rPr>
          <w:sz w:val="20"/>
          <w:lang w:val="en-CA"/>
        </w:rPr>
        <w:t xml:space="preserve">, the “Agreement for the lease of space segment capacity on ISRO/Antrix S-Band spacecraft by Devas Multimedia Pvt. Ltd.” entered into between Antrix Corporation and Devas Multimedia Pvt. Ltd. on 28 January 2005 </w:t>
      </w:r>
      <w:r w:rsidRPr="00D130FC">
        <w:rPr>
          <w:b/>
          <w:bCs/>
          <w:sz w:val="20"/>
          <w:u w:val="single"/>
          <w:lang w:val="en-CA"/>
        </w:rPr>
        <w:t>shall be annulled forthwith</w:t>
      </w:r>
      <w:r w:rsidRPr="00D130FC">
        <w:rPr>
          <w:sz w:val="20"/>
          <w:lang w:val="en-CA"/>
        </w:rPr>
        <w:t>.”</w:t>
      </w:r>
    </w:p>
    <w:p w14:paraId="5769CC5D" w14:textId="77777777" w:rsidR="0081370B" w:rsidRPr="00D130FC" w:rsidRDefault="00ED47F8" w:rsidP="00FB5A91">
      <w:pPr>
        <w:pStyle w:val="Citationenretrait"/>
        <w:spacing w:line="240" w:lineRule="auto"/>
        <w:ind w:right="998"/>
        <w:jc w:val="right"/>
        <w:rPr>
          <w:sz w:val="20"/>
          <w:lang w:val="en-CA"/>
        </w:rPr>
      </w:pPr>
      <w:r w:rsidRPr="00D130FC">
        <w:rPr>
          <w:sz w:val="20"/>
          <w:lang w:val="en-CA"/>
        </w:rPr>
        <w:t>[Emphasis added]</w:t>
      </w:r>
    </w:p>
    <w:p w14:paraId="10D20266" w14:textId="77777777" w:rsidR="0081370B" w:rsidRPr="00324CF1" w:rsidRDefault="00ED47F8" w:rsidP="00FB5A91">
      <w:pPr>
        <w:pStyle w:val="Citationenretrait"/>
        <w:spacing w:line="240" w:lineRule="auto"/>
        <w:rPr>
          <w:lang w:val="en-CA"/>
        </w:rPr>
      </w:pPr>
      <w:r w:rsidRPr="00D130FC">
        <w:rPr>
          <w:lang w:val="en-CA"/>
        </w:rPr>
        <w:t>[111]</w:t>
      </w:r>
      <w:r w:rsidRPr="00D130FC">
        <w:rPr>
          <w:lang w:val="en-CA"/>
        </w:rPr>
        <w:tab/>
        <w:t>On February 25, 2011, citing the decision of the CCS, Antrix gave notice to Devas that the Devas Agreement was terminated pursuant to the provisions of Article 11 entitled “</w:t>
      </w:r>
      <w:r w:rsidRPr="00D130FC">
        <w:rPr>
          <w:i/>
          <w:iCs/>
          <w:lang w:val="en-CA"/>
        </w:rPr>
        <w:t>Force majeure</w:t>
      </w:r>
      <w:r w:rsidRPr="00D130FC">
        <w:rPr>
          <w:lang w:val="en-CA"/>
        </w:rPr>
        <w:t>”.</w:t>
      </w:r>
      <w:r w:rsidRPr="00D130FC">
        <w:rPr>
          <w:rStyle w:val="Appelnotedebasdep"/>
        </w:rPr>
        <w:footnoteReference w:id="165"/>
      </w:r>
    </w:p>
    <w:p w14:paraId="63B2CB22" w14:textId="4E0F336A" w:rsidR="0081370B" w:rsidRPr="00324CF1" w:rsidRDefault="00ED47F8" w:rsidP="00FB5A91">
      <w:pPr>
        <w:pStyle w:val="Paragraphe"/>
        <w:spacing w:line="240" w:lineRule="auto"/>
        <w:rPr>
          <w:lang w:val="en-US"/>
        </w:rPr>
      </w:pPr>
      <w:r w:rsidRPr="00324CF1">
        <w:rPr>
          <w:lang w:val="en-CA"/>
        </w:rPr>
        <w:t>In doing so, Pinsonnault</w:t>
      </w:r>
      <w:r w:rsidR="00BF5F8E">
        <w:rPr>
          <w:lang w:val="en-CA"/>
        </w:rPr>
        <w:t>,</w:t>
      </w:r>
      <w:r w:rsidRPr="00324CF1">
        <w:rPr>
          <w:lang w:val="en-CA"/>
        </w:rPr>
        <w:t xml:space="preserve"> J. highlighted the singular nature of this case in which, contrary to what often happens, such as in </w:t>
      </w:r>
      <w:r w:rsidRPr="00324CF1">
        <w:rPr>
          <w:i/>
          <w:iCs/>
          <w:lang w:val="en-CA"/>
        </w:rPr>
        <w:t>Mallat</w:t>
      </w:r>
      <w:bookmarkStart w:id="117" w:name="_Ref180053414"/>
      <w:r w:rsidRPr="00324CF1">
        <w:rPr>
          <w:rStyle w:val="Appelnotedebasdep"/>
          <w:lang w:val="en-CA"/>
        </w:rPr>
        <w:footnoteReference w:id="166"/>
      </w:r>
      <w:bookmarkEnd w:id="117"/>
      <w:r w:rsidRPr="00324CF1">
        <w:rPr>
          <w:lang w:val="en-CA"/>
        </w:rPr>
        <w:t xml:space="preserve"> for example, the entity </w:t>
      </w:r>
      <w:r w:rsidR="00A97B60">
        <w:rPr>
          <w:lang w:val="en-CA"/>
        </w:rPr>
        <w:t xml:space="preserve">the parties are looking to </w:t>
      </w:r>
      <w:r w:rsidRPr="00324CF1">
        <w:rPr>
          <w:lang w:val="en-CA"/>
        </w:rPr>
        <w:t xml:space="preserve">associate with the state is not the source of the act </w:t>
      </w:r>
      <w:r w:rsidR="00A97B60">
        <w:rPr>
          <w:lang w:val="en-CA"/>
        </w:rPr>
        <w:t>concerned in</w:t>
      </w:r>
      <w:r w:rsidRPr="00324CF1">
        <w:rPr>
          <w:lang w:val="en-CA"/>
        </w:rPr>
        <w:t xml:space="preserve"> the proceedings. AAI is only involved in this case because it holds funds that belong to the state, according to the allegations of CCDM/Devas.</w:t>
      </w:r>
    </w:p>
    <w:p w14:paraId="5D27CD83" w14:textId="6DE3549A" w:rsidR="0081370B" w:rsidRPr="00324CF1" w:rsidRDefault="00ED47F8" w:rsidP="00FB5A91">
      <w:pPr>
        <w:pStyle w:val="Paragraphe"/>
        <w:spacing w:line="240" w:lineRule="auto"/>
        <w:rPr>
          <w:lang w:val="en-US"/>
        </w:rPr>
      </w:pPr>
      <w:r w:rsidRPr="00324CF1">
        <w:rPr>
          <w:lang w:val="en-CA"/>
        </w:rPr>
        <w:t xml:space="preserve">For CCDM/Devas, the question raised by this case is different </w:t>
      </w:r>
      <w:r w:rsidR="00F25412">
        <w:rPr>
          <w:lang w:val="en-CA"/>
        </w:rPr>
        <w:t>from</w:t>
      </w:r>
      <w:r w:rsidRPr="00324CF1">
        <w:rPr>
          <w:lang w:val="en-CA"/>
        </w:rPr>
        <w:t xml:space="preserve"> the question in our Court’s ruling, which quashed the seizure against the Air India funds held by IATA.</w:t>
      </w:r>
      <w:r w:rsidRPr="00324CF1">
        <w:rPr>
          <w:rStyle w:val="Appelnotedebasdep"/>
          <w:lang w:val="en-CA"/>
        </w:rPr>
        <w:footnoteReference w:id="167"/>
      </w:r>
      <w:r w:rsidRPr="00324CF1">
        <w:rPr>
          <w:lang w:val="en-CA"/>
        </w:rPr>
        <w:t xml:space="preserve"> First, th</w:t>
      </w:r>
      <w:r w:rsidR="00A97B60">
        <w:rPr>
          <w:lang w:val="en-CA"/>
        </w:rPr>
        <w:t>at</w:t>
      </w:r>
      <w:r w:rsidRPr="00324CF1">
        <w:rPr>
          <w:lang w:val="en-CA"/>
        </w:rPr>
        <w:t xml:space="preserve"> case did not raise the question of state immunity. Second, Air India is a company incorporated under the Indian </w:t>
      </w:r>
      <w:r w:rsidRPr="00324CF1">
        <w:rPr>
          <w:i/>
          <w:iCs/>
          <w:lang w:val="en-CA"/>
        </w:rPr>
        <w:t>Companies Act</w:t>
      </w:r>
      <w:r w:rsidRPr="00324CF1">
        <w:rPr>
          <w:lang w:val="en-CA"/>
        </w:rPr>
        <w:t xml:space="preserve">, </w:t>
      </w:r>
      <w:r w:rsidR="00A97B60">
        <w:rPr>
          <w:lang w:val="en-CA"/>
        </w:rPr>
        <w:t>and has</w:t>
      </w:r>
      <w:r w:rsidR="00A97B60" w:rsidRPr="00324CF1">
        <w:rPr>
          <w:lang w:val="en-CA"/>
        </w:rPr>
        <w:t xml:space="preserve"> </w:t>
      </w:r>
      <w:r w:rsidRPr="00324CF1">
        <w:rPr>
          <w:lang w:val="en-CA"/>
        </w:rPr>
        <w:t xml:space="preserve">its own legal personality. </w:t>
      </w:r>
      <w:r w:rsidR="00A97B60">
        <w:rPr>
          <w:lang w:val="en-CA"/>
        </w:rPr>
        <w:t>That being said</w:t>
      </w:r>
      <w:r w:rsidRPr="00324CF1">
        <w:rPr>
          <w:lang w:val="en-CA"/>
        </w:rPr>
        <w:t xml:space="preserve">, although Indian law </w:t>
      </w:r>
      <w:r w:rsidR="00A97B60">
        <w:rPr>
          <w:lang w:val="en-CA"/>
        </w:rPr>
        <w:t>characterizes</w:t>
      </w:r>
      <w:r w:rsidR="00A97B60" w:rsidRPr="00324CF1">
        <w:rPr>
          <w:lang w:val="en-CA"/>
        </w:rPr>
        <w:t xml:space="preserve"> </w:t>
      </w:r>
      <w:r w:rsidR="00A97B60">
        <w:rPr>
          <w:lang w:val="en-CA"/>
        </w:rPr>
        <w:t>AAI</w:t>
      </w:r>
      <w:r w:rsidRPr="00324CF1">
        <w:rPr>
          <w:lang w:val="en-CA"/>
        </w:rPr>
        <w:t xml:space="preserve"> as a body corporate, </w:t>
      </w:r>
      <w:r w:rsidR="00A97B60">
        <w:rPr>
          <w:lang w:val="en-CA"/>
        </w:rPr>
        <w:t>it</w:t>
      </w:r>
      <w:r w:rsidR="00A97B60" w:rsidRPr="00324CF1">
        <w:rPr>
          <w:lang w:val="en-CA"/>
        </w:rPr>
        <w:t xml:space="preserve"> </w:t>
      </w:r>
      <w:r w:rsidRPr="00324CF1">
        <w:rPr>
          <w:lang w:val="en-CA"/>
        </w:rPr>
        <w:t xml:space="preserve">is a creation of parliament, established by the </w:t>
      </w:r>
      <w:r w:rsidRPr="00324CF1">
        <w:rPr>
          <w:i/>
          <w:iCs/>
          <w:lang w:val="en-CA"/>
        </w:rPr>
        <w:t>Airports Authority of India Act</w:t>
      </w:r>
      <w:r w:rsidRPr="00324CF1">
        <w:rPr>
          <w:lang w:val="en-CA"/>
        </w:rPr>
        <w:t xml:space="preserve">, </w:t>
      </w:r>
      <w:r w:rsidRPr="00324CF1">
        <w:rPr>
          <w:i/>
          <w:iCs/>
          <w:lang w:val="en-CA"/>
        </w:rPr>
        <w:t>1994</w:t>
      </w:r>
      <w:r w:rsidRPr="00324CF1">
        <w:rPr>
          <w:lang w:val="en-CA"/>
        </w:rPr>
        <w:t xml:space="preserve"> (“</w:t>
      </w:r>
      <w:r w:rsidRPr="00324CF1">
        <w:rPr>
          <w:b/>
          <w:bCs/>
          <w:i/>
          <w:iCs/>
          <w:lang w:val="en-CA"/>
        </w:rPr>
        <w:t>AAI Act</w:t>
      </w:r>
      <w:r w:rsidRPr="00324CF1">
        <w:rPr>
          <w:lang w:val="en-CA"/>
        </w:rPr>
        <w:t xml:space="preserve">”), a law specific to it, and is inseparable </w:t>
      </w:r>
      <w:r w:rsidR="00255F8A">
        <w:rPr>
          <w:lang w:val="en-CA"/>
        </w:rPr>
        <w:t>from</w:t>
      </w:r>
      <w:r w:rsidRPr="00324CF1">
        <w:rPr>
          <w:lang w:val="en-CA"/>
        </w:rPr>
        <w:t xml:space="preserve"> the state.</w:t>
      </w:r>
      <w:r w:rsidRPr="00324CF1">
        <w:rPr>
          <w:rStyle w:val="Appelnotedebasdep"/>
          <w:lang w:val="en-CA"/>
        </w:rPr>
        <w:footnoteReference w:id="168"/>
      </w:r>
    </w:p>
    <w:p w14:paraId="5B040596" w14:textId="746F84BA" w:rsidR="0081370B" w:rsidRPr="00324CF1" w:rsidRDefault="00ED47F8" w:rsidP="00FB5A91">
      <w:pPr>
        <w:pStyle w:val="Paragraphe"/>
        <w:spacing w:line="240" w:lineRule="auto"/>
        <w:rPr>
          <w:lang w:val="en-US"/>
        </w:rPr>
      </w:pPr>
      <w:r w:rsidRPr="00324CF1">
        <w:rPr>
          <w:lang w:val="en-CA"/>
        </w:rPr>
        <w:t>AAI argue</w:t>
      </w:r>
      <w:r w:rsidR="00F25412">
        <w:rPr>
          <w:lang w:val="en-CA"/>
        </w:rPr>
        <w:t>d</w:t>
      </w:r>
      <w:r w:rsidRPr="00324CF1">
        <w:rPr>
          <w:lang w:val="en-CA"/>
        </w:rPr>
        <w:t xml:space="preserve"> that, under the terms of section 2 of the </w:t>
      </w:r>
      <w:r w:rsidRPr="00324CF1">
        <w:rPr>
          <w:i/>
          <w:iCs/>
          <w:lang w:val="en-CA"/>
        </w:rPr>
        <w:t>SIA</w:t>
      </w:r>
      <w:r w:rsidRPr="00324CF1">
        <w:rPr>
          <w:lang w:val="en-CA"/>
        </w:rPr>
        <w:t xml:space="preserve">, </w:t>
      </w:r>
      <w:r w:rsidR="007529C0">
        <w:rPr>
          <w:lang w:val="en-CA"/>
        </w:rPr>
        <w:t xml:space="preserve">it is </w:t>
      </w:r>
      <w:r w:rsidRPr="00324CF1">
        <w:rPr>
          <w:lang w:val="en-CA"/>
        </w:rPr>
        <w:t xml:space="preserve">an agency of India, as it is a separate entity with its own legal personality. As a result, it benefits from the </w:t>
      </w:r>
      <w:r w:rsidRPr="00324CF1">
        <w:rPr>
          <w:lang w:val="en-CA"/>
        </w:rPr>
        <w:lastRenderedPageBreak/>
        <w:t>presumption of immunity regardless of whether India has lost its own based on any of the exceptions. Pinsonnault</w:t>
      </w:r>
      <w:r w:rsidR="007529C0">
        <w:rPr>
          <w:lang w:val="en-CA"/>
        </w:rPr>
        <w:t>,</w:t>
      </w:r>
      <w:r w:rsidRPr="00324CF1">
        <w:rPr>
          <w:lang w:val="en-CA"/>
        </w:rPr>
        <w:t xml:space="preserve"> J. was therefore correct to quash the seizure, as it could not be heard, CCDM/Devas </w:t>
      </w:r>
      <w:r w:rsidR="00F25412">
        <w:rPr>
          <w:lang w:val="en-CA"/>
        </w:rPr>
        <w:t>having failed to</w:t>
      </w:r>
      <w:r w:rsidRPr="00324CF1">
        <w:rPr>
          <w:lang w:val="en-CA"/>
        </w:rPr>
        <w:t xml:space="preserve"> make any submissions to Granosik</w:t>
      </w:r>
      <w:r w:rsidR="007529C0">
        <w:rPr>
          <w:lang w:val="en-CA"/>
        </w:rPr>
        <w:t>,</w:t>
      </w:r>
      <w:r w:rsidRPr="00324CF1">
        <w:rPr>
          <w:lang w:val="en-CA"/>
        </w:rPr>
        <w:t xml:space="preserve"> J. that would justify </w:t>
      </w:r>
      <w:r w:rsidR="007529C0">
        <w:rPr>
          <w:lang w:val="en-CA"/>
        </w:rPr>
        <w:t>setting aside</w:t>
      </w:r>
      <w:r w:rsidRPr="00324CF1">
        <w:rPr>
          <w:lang w:val="en-CA"/>
        </w:rPr>
        <w:t xml:space="preserve"> </w:t>
      </w:r>
      <w:r w:rsidR="007529C0">
        <w:rPr>
          <w:lang w:val="en-CA"/>
        </w:rPr>
        <w:t>its</w:t>
      </w:r>
      <w:r w:rsidR="007529C0" w:rsidRPr="00324CF1">
        <w:rPr>
          <w:lang w:val="en-CA"/>
        </w:rPr>
        <w:t xml:space="preserve"> </w:t>
      </w:r>
      <w:r w:rsidRPr="00324CF1">
        <w:rPr>
          <w:lang w:val="en-CA"/>
        </w:rPr>
        <w:t>presumption of immunity</w:t>
      </w:r>
      <w:r w:rsidR="007529C0">
        <w:rPr>
          <w:lang w:val="en-CA"/>
        </w:rPr>
        <w:t>,</w:t>
      </w:r>
      <w:r w:rsidRPr="00324CF1">
        <w:rPr>
          <w:lang w:val="en-CA"/>
        </w:rPr>
        <w:t xml:space="preserve"> and AAI is neither the entity targeted by the breach of the Treaty nor a party to the arbitration.</w:t>
      </w:r>
    </w:p>
    <w:p w14:paraId="44573404" w14:textId="7543C323" w:rsidR="0081370B" w:rsidRPr="00324CF1" w:rsidRDefault="00ED47F8" w:rsidP="00FB5A91">
      <w:pPr>
        <w:pStyle w:val="Paragraphe"/>
        <w:spacing w:line="240" w:lineRule="auto"/>
        <w:rPr>
          <w:lang w:val="en-US"/>
        </w:rPr>
      </w:pPr>
      <w:r w:rsidRPr="00324CF1">
        <w:rPr>
          <w:lang w:val="en-CA"/>
        </w:rPr>
        <w:t>AAI argue</w:t>
      </w:r>
      <w:r w:rsidR="00F25412">
        <w:rPr>
          <w:lang w:val="en-CA"/>
        </w:rPr>
        <w:t>d</w:t>
      </w:r>
      <w:r w:rsidRPr="00324CF1">
        <w:rPr>
          <w:lang w:val="en-CA"/>
        </w:rPr>
        <w:t xml:space="preserve"> that Pinsonnault</w:t>
      </w:r>
      <w:r w:rsidR="00F25412">
        <w:rPr>
          <w:lang w:val="en-CA"/>
        </w:rPr>
        <w:t>,</w:t>
      </w:r>
      <w:r w:rsidRPr="00324CF1">
        <w:rPr>
          <w:lang w:val="en-CA"/>
        </w:rPr>
        <w:t xml:space="preserve"> J. erred, however, when he concluded </w:t>
      </w:r>
      <w:r w:rsidRPr="00324CF1">
        <w:rPr>
          <w:i/>
          <w:iCs/>
          <w:lang w:val="en-CA"/>
        </w:rPr>
        <w:t>prima facie</w:t>
      </w:r>
      <w:r w:rsidRPr="00324CF1">
        <w:rPr>
          <w:lang w:val="en-CA"/>
        </w:rPr>
        <w:t xml:space="preserve"> that it is the </w:t>
      </w:r>
      <w:r w:rsidRPr="00324CF1">
        <w:rPr>
          <w:i/>
          <w:iCs/>
          <w:lang w:val="en-CA"/>
        </w:rPr>
        <w:t>alter ego</w:t>
      </w:r>
      <w:r w:rsidRPr="00324CF1">
        <w:rPr>
          <w:lang w:val="en-CA"/>
        </w:rPr>
        <w:t xml:space="preserve"> of India. It added that nothing in the application for</w:t>
      </w:r>
      <w:r w:rsidR="00F25412">
        <w:rPr>
          <w:lang w:val="en-CA"/>
        </w:rPr>
        <w:t xml:space="preserve"> a</w:t>
      </w:r>
      <w:r w:rsidRPr="00324CF1">
        <w:rPr>
          <w:lang w:val="en-CA"/>
        </w:rPr>
        <w:t xml:space="preserve"> seizure or the affidavits supporting it demonstrated an exceptional degree of control by India over AAI and that the</w:t>
      </w:r>
      <w:r w:rsidR="00F25412">
        <w:rPr>
          <w:lang w:val="en-CA"/>
        </w:rPr>
        <w:t>y</w:t>
      </w:r>
      <w:r w:rsidRPr="00324CF1">
        <w:rPr>
          <w:lang w:val="en-CA"/>
        </w:rPr>
        <w:t xml:space="preserve"> appear, on the contrary, to be connected in a manner similar to any government corporation.</w:t>
      </w:r>
    </w:p>
    <w:p w14:paraId="60736634" w14:textId="391C0D8E" w:rsidR="0081370B" w:rsidRPr="00324CF1" w:rsidRDefault="00ED47F8" w:rsidP="00FB5A91">
      <w:pPr>
        <w:pStyle w:val="Paragraphe"/>
        <w:spacing w:line="240" w:lineRule="auto"/>
        <w:rPr>
          <w:lang w:val="en-US"/>
        </w:rPr>
      </w:pPr>
      <w:r w:rsidRPr="00324CF1">
        <w:rPr>
          <w:lang w:val="en-CA"/>
        </w:rPr>
        <w:t>AAI argue</w:t>
      </w:r>
      <w:r w:rsidR="00F25412">
        <w:rPr>
          <w:lang w:val="en-CA"/>
        </w:rPr>
        <w:t>d</w:t>
      </w:r>
      <w:r w:rsidRPr="00324CF1">
        <w:rPr>
          <w:lang w:val="en-CA"/>
        </w:rPr>
        <w:t xml:space="preserve"> that this case is identical to the one involving Air India. Consequently, and as our Court decided in that case, the burden was on CCDM/Devas to establish a ground that could justify piercing the corporate veil under article 317 CCQ;</w:t>
      </w:r>
      <w:r w:rsidRPr="00324CF1">
        <w:rPr>
          <w:rStyle w:val="Appelnotedebasdep"/>
          <w:lang w:val="en-CA"/>
        </w:rPr>
        <w:footnoteReference w:id="169"/>
      </w:r>
      <w:r w:rsidRPr="00324CF1">
        <w:rPr>
          <w:lang w:val="en-CA"/>
        </w:rPr>
        <w:t xml:space="preserve"> otherwise, the assets of a company</w:t>
      </w:r>
      <w:r w:rsidR="00F25412">
        <w:rPr>
          <w:lang w:val="en-CA"/>
        </w:rPr>
        <w:t xml:space="preserve"> cannot be seized</w:t>
      </w:r>
      <w:r w:rsidRPr="00324CF1">
        <w:rPr>
          <w:lang w:val="en-CA"/>
        </w:rPr>
        <w:t xml:space="preserve"> to enforce a claim against its shareholder, even if </w:t>
      </w:r>
      <w:r w:rsidR="004A3877">
        <w:rPr>
          <w:lang w:val="en-CA"/>
        </w:rPr>
        <w:t xml:space="preserve">there </w:t>
      </w:r>
      <w:r w:rsidR="00F25412">
        <w:rPr>
          <w:lang w:val="en-CA"/>
        </w:rPr>
        <w:t>is</w:t>
      </w:r>
      <w:r w:rsidR="004A3877">
        <w:rPr>
          <w:lang w:val="en-CA"/>
        </w:rPr>
        <w:t xml:space="preserve"> a conclusion</w:t>
      </w:r>
      <w:r w:rsidRPr="00324CF1">
        <w:rPr>
          <w:lang w:val="en-CA"/>
        </w:rPr>
        <w:t xml:space="preserve"> that AAI is the </w:t>
      </w:r>
      <w:r w:rsidRPr="00324CF1">
        <w:rPr>
          <w:i/>
          <w:iCs/>
          <w:lang w:val="en-CA"/>
        </w:rPr>
        <w:t xml:space="preserve">alter ego </w:t>
      </w:r>
      <w:r w:rsidRPr="00324CF1">
        <w:rPr>
          <w:lang w:val="en-CA"/>
        </w:rPr>
        <w:t>of India. AAI added that accepting CCDM/Devas’s arguments would result in an absurd outcome where a state agency claiming immunity would be in a more precarious situation than the entity that had not claimed</w:t>
      </w:r>
      <w:r w:rsidR="004A3877">
        <w:rPr>
          <w:lang w:val="en-CA"/>
        </w:rPr>
        <w:t xml:space="preserve"> any</w:t>
      </w:r>
      <w:r w:rsidRPr="00324CF1">
        <w:rPr>
          <w:lang w:val="en-CA"/>
        </w:rPr>
        <w:t xml:space="preserve"> such immunity (such as Air India).</w:t>
      </w:r>
    </w:p>
    <w:p w14:paraId="4624B02F" w14:textId="0440CB38" w:rsidR="0081370B" w:rsidRPr="00324CF1" w:rsidRDefault="004A3877" w:rsidP="00FB5A91">
      <w:pPr>
        <w:pStyle w:val="Paragraphe"/>
        <w:spacing w:line="240" w:lineRule="auto"/>
        <w:rPr>
          <w:lang w:val="en-US"/>
        </w:rPr>
      </w:pPr>
      <w:r>
        <w:rPr>
          <w:lang w:val="en-CA"/>
        </w:rPr>
        <w:t>What is the case here</w:t>
      </w:r>
      <w:r w:rsidR="00ED47F8" w:rsidRPr="00324CF1">
        <w:rPr>
          <w:lang w:val="en-CA"/>
        </w:rPr>
        <w:t>?</w:t>
      </w:r>
    </w:p>
    <w:p w14:paraId="0887C602" w14:textId="44C0D386" w:rsidR="0081370B" w:rsidRPr="00324CF1" w:rsidRDefault="00ED47F8" w:rsidP="00FB5A91">
      <w:pPr>
        <w:pStyle w:val="Paragraphe"/>
        <w:spacing w:line="240" w:lineRule="auto"/>
        <w:rPr>
          <w:lang w:val="en-US"/>
        </w:rPr>
      </w:pPr>
      <w:r w:rsidRPr="00324CF1">
        <w:rPr>
          <w:lang w:val="en-CA"/>
        </w:rPr>
        <w:t xml:space="preserve">It is important to clearly set out the applicable principles. Two obstacles arise in the face of the seizure </w:t>
      </w:r>
      <w:r w:rsidR="00AF1A4D">
        <w:rPr>
          <w:lang w:val="en-CA"/>
        </w:rPr>
        <w:t>carried out</w:t>
      </w:r>
      <w:r w:rsidR="00AF1A4D" w:rsidRPr="00324CF1">
        <w:rPr>
          <w:lang w:val="en-CA"/>
        </w:rPr>
        <w:t xml:space="preserve"> </w:t>
      </w:r>
      <w:r w:rsidRPr="00324CF1">
        <w:rPr>
          <w:lang w:val="en-CA"/>
        </w:rPr>
        <w:t>by CCDM/Devas.</w:t>
      </w:r>
    </w:p>
    <w:p w14:paraId="5BC3E06A" w14:textId="245AE205" w:rsidR="0081370B" w:rsidRPr="00324CF1" w:rsidRDefault="00ED47F8" w:rsidP="00FB5A91">
      <w:pPr>
        <w:pStyle w:val="Paragraphe"/>
        <w:spacing w:line="240" w:lineRule="auto"/>
        <w:rPr>
          <w:lang w:val="en-US"/>
        </w:rPr>
      </w:pPr>
      <w:r w:rsidRPr="00324CF1">
        <w:rPr>
          <w:lang w:val="en-CA"/>
        </w:rPr>
        <w:t>As Pinsonnault</w:t>
      </w:r>
      <w:r w:rsidR="00AF1A4D">
        <w:rPr>
          <w:lang w:val="en-CA"/>
        </w:rPr>
        <w:t>,</w:t>
      </w:r>
      <w:r w:rsidRPr="00324CF1">
        <w:rPr>
          <w:lang w:val="en-CA"/>
        </w:rPr>
        <w:t xml:space="preserve"> J. rightly pointed out, the first </w:t>
      </w:r>
      <w:r w:rsidR="00AF1A4D">
        <w:rPr>
          <w:lang w:val="en-CA"/>
        </w:rPr>
        <w:t>obstacle</w:t>
      </w:r>
      <w:r w:rsidR="00AF1A4D" w:rsidRPr="00324CF1">
        <w:rPr>
          <w:lang w:val="en-CA"/>
        </w:rPr>
        <w:t xml:space="preserve"> </w:t>
      </w:r>
      <w:r w:rsidRPr="00324CF1">
        <w:rPr>
          <w:lang w:val="en-CA"/>
        </w:rPr>
        <w:t xml:space="preserve">is that </w:t>
      </w:r>
      <w:r w:rsidR="00F25412" w:rsidRPr="00324CF1">
        <w:rPr>
          <w:lang w:val="en-CA"/>
        </w:rPr>
        <w:t>according to the Award</w:t>
      </w:r>
      <w:r w:rsidR="00F25412">
        <w:rPr>
          <w:lang w:val="en-CA"/>
        </w:rPr>
        <w:t xml:space="preserve"> on the Merits,</w:t>
      </w:r>
      <w:r w:rsidR="00F25412" w:rsidRPr="00324CF1">
        <w:rPr>
          <w:lang w:val="en-CA"/>
        </w:rPr>
        <w:t xml:space="preserve"> </w:t>
      </w:r>
      <w:r w:rsidRPr="00324CF1">
        <w:rPr>
          <w:lang w:val="en-CA"/>
        </w:rPr>
        <w:t xml:space="preserve">AAI is not a party to the Treaty that India allegedly breached. It is therefore necessary to establish that AAI’s funds can be seized to enforce this award, whereas AAI is not, </w:t>
      </w:r>
      <w:r w:rsidRPr="00324CF1">
        <w:rPr>
          <w:i/>
          <w:iCs/>
          <w:lang w:val="en-CA"/>
        </w:rPr>
        <w:t>a priori</w:t>
      </w:r>
      <w:r w:rsidRPr="00324CF1">
        <w:rPr>
          <w:lang w:val="en-CA"/>
        </w:rPr>
        <w:t>, oblig</w:t>
      </w:r>
      <w:r w:rsidR="00AF1A4D">
        <w:rPr>
          <w:lang w:val="en-CA"/>
        </w:rPr>
        <w:t>ated</w:t>
      </w:r>
      <w:r w:rsidRPr="00324CF1">
        <w:rPr>
          <w:lang w:val="en-CA"/>
        </w:rPr>
        <w:t xml:space="preserve"> </w:t>
      </w:r>
      <w:r w:rsidR="00AF1A4D">
        <w:rPr>
          <w:lang w:val="en-CA"/>
        </w:rPr>
        <w:t>under</w:t>
      </w:r>
      <w:r w:rsidR="00AF1A4D" w:rsidRPr="00324CF1">
        <w:rPr>
          <w:lang w:val="en-CA"/>
        </w:rPr>
        <w:t xml:space="preserve"> </w:t>
      </w:r>
      <w:r w:rsidRPr="00324CF1">
        <w:rPr>
          <w:lang w:val="en-CA"/>
        </w:rPr>
        <w:t xml:space="preserve">it. This first </w:t>
      </w:r>
      <w:r w:rsidR="00AF1A4D">
        <w:rPr>
          <w:lang w:val="en-CA"/>
        </w:rPr>
        <w:t>difficulty was also found</w:t>
      </w:r>
      <w:r w:rsidRPr="00324CF1">
        <w:rPr>
          <w:lang w:val="en-CA"/>
        </w:rPr>
        <w:t xml:space="preserve"> in the Air India seizure case.</w:t>
      </w:r>
    </w:p>
    <w:p w14:paraId="04852A5D" w14:textId="4D9D8F64" w:rsidR="0081370B" w:rsidRPr="005E6EB3" w:rsidRDefault="00ED47F8" w:rsidP="00FB5A91">
      <w:pPr>
        <w:pStyle w:val="Paragraphe"/>
        <w:spacing w:line="240" w:lineRule="auto"/>
        <w:rPr>
          <w:lang w:val="en-CA"/>
        </w:rPr>
      </w:pPr>
      <w:r w:rsidRPr="00324CF1">
        <w:rPr>
          <w:lang w:val="en-CA"/>
        </w:rPr>
        <w:t xml:space="preserve">The second </w:t>
      </w:r>
      <w:r w:rsidR="00AF1A4D">
        <w:rPr>
          <w:lang w:val="en-CA"/>
        </w:rPr>
        <w:t>obstacle</w:t>
      </w:r>
      <w:r w:rsidRPr="00324CF1">
        <w:rPr>
          <w:lang w:val="en-CA"/>
        </w:rPr>
        <w:t xml:space="preserve">, which was not mentioned in the Air India Judgment, concerns AAI’s jurisdictional immunity. Recall the text of section 2 of the </w:t>
      </w:r>
      <w:r w:rsidRPr="00324CF1">
        <w:rPr>
          <w:i/>
          <w:iCs/>
          <w:lang w:val="en-CA"/>
        </w:rPr>
        <w:t>SIA</w:t>
      </w:r>
      <w:r w:rsidRPr="00324CF1">
        <w:rPr>
          <w:lang w:val="en-CA"/>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291C6F" w:rsidRPr="00826F2F" w14:paraId="3E9EDB37" w14:textId="77777777" w:rsidTr="00E658C3">
        <w:tc>
          <w:tcPr>
            <w:tcW w:w="4681" w:type="dxa"/>
            <w:shd w:val="clear" w:color="auto" w:fill="auto"/>
          </w:tcPr>
          <w:p w14:paraId="00D2DD1B" w14:textId="77777777" w:rsidR="00AF1A4D" w:rsidRPr="000A5DC2" w:rsidRDefault="00ED47F8" w:rsidP="00AF1A4D">
            <w:pPr>
              <w:pStyle w:val="Tableaudroiteanglais"/>
              <w:spacing w:line="240" w:lineRule="auto"/>
            </w:pPr>
            <w:r w:rsidRPr="000A5DC2">
              <w:rPr>
                <w:b/>
                <w:bCs/>
              </w:rPr>
              <w:t xml:space="preserve">2 </w:t>
            </w:r>
            <w:r w:rsidR="00AF1A4D" w:rsidRPr="000A5DC2">
              <w:t>In this Act,</w:t>
            </w:r>
          </w:p>
          <w:p w14:paraId="3478F3D4" w14:textId="77777777" w:rsidR="00AF1A4D" w:rsidRPr="000A5DC2" w:rsidRDefault="00AF1A4D" w:rsidP="00AF1A4D">
            <w:pPr>
              <w:pStyle w:val="Tableaudroiteanglais"/>
              <w:spacing w:line="240" w:lineRule="auto"/>
            </w:pPr>
          </w:p>
          <w:p w14:paraId="1F2EED80" w14:textId="77777777" w:rsidR="00AF1A4D" w:rsidRPr="000A5DC2" w:rsidRDefault="00AF1A4D" w:rsidP="00AF1A4D">
            <w:pPr>
              <w:pStyle w:val="Tableaudroiteanglais"/>
              <w:spacing w:line="240" w:lineRule="auto"/>
            </w:pPr>
          </w:p>
          <w:p w14:paraId="665A128A" w14:textId="098170B4" w:rsidR="00AF1A4D" w:rsidRPr="000A5DC2" w:rsidRDefault="00AF1A4D" w:rsidP="00AF1A4D">
            <w:pPr>
              <w:pStyle w:val="Tableaudroiteanglais"/>
              <w:spacing w:line="240" w:lineRule="auto"/>
            </w:pPr>
            <w:r w:rsidRPr="000A5DC2">
              <w:t>…</w:t>
            </w:r>
          </w:p>
          <w:p w14:paraId="288621D2" w14:textId="77777777" w:rsidR="00AF1A4D" w:rsidRPr="000A5DC2" w:rsidRDefault="00AF1A4D" w:rsidP="00AF1A4D">
            <w:pPr>
              <w:pStyle w:val="Tableaudroiteanglais"/>
              <w:spacing w:line="240" w:lineRule="auto"/>
            </w:pPr>
          </w:p>
          <w:p w14:paraId="3CCC43D0" w14:textId="77777777" w:rsidR="00AF1A4D" w:rsidRPr="000A5DC2" w:rsidRDefault="00AF1A4D" w:rsidP="00AF1A4D">
            <w:pPr>
              <w:pStyle w:val="Tableaudroiteanglais"/>
              <w:spacing w:line="240" w:lineRule="auto"/>
            </w:pPr>
            <w:r w:rsidRPr="000A5DC2">
              <w:rPr>
                <w:i/>
                <w:iCs/>
              </w:rPr>
              <w:t>foreign state</w:t>
            </w:r>
            <w:r w:rsidRPr="000A5DC2">
              <w:t> includes</w:t>
            </w:r>
          </w:p>
          <w:p w14:paraId="03526A31" w14:textId="77777777" w:rsidR="00AF1A4D" w:rsidRPr="000A5DC2" w:rsidRDefault="00AF1A4D" w:rsidP="00AF1A4D">
            <w:pPr>
              <w:pStyle w:val="Tableaudroiteanglais"/>
              <w:spacing w:line="240" w:lineRule="auto"/>
            </w:pPr>
          </w:p>
          <w:p w14:paraId="0BC0954C" w14:textId="77777777" w:rsidR="00AF1A4D" w:rsidRPr="000A5DC2" w:rsidRDefault="00AF1A4D" w:rsidP="00AF1A4D">
            <w:pPr>
              <w:pStyle w:val="Tableaudroiteanglais"/>
              <w:spacing w:line="240" w:lineRule="auto"/>
            </w:pPr>
          </w:p>
          <w:p w14:paraId="762C40A0" w14:textId="72456442" w:rsidR="00AF1A4D" w:rsidRPr="000A5DC2" w:rsidRDefault="00AF1A4D" w:rsidP="00AF1A4D">
            <w:pPr>
              <w:pStyle w:val="Tableaudroiteanglais"/>
              <w:spacing w:line="240" w:lineRule="auto"/>
            </w:pPr>
            <w:r w:rsidRPr="000A5DC2">
              <w:t>(a) …</w:t>
            </w:r>
          </w:p>
          <w:p w14:paraId="1AB83DEB" w14:textId="77777777" w:rsidR="00AF1A4D" w:rsidRPr="000A5DC2" w:rsidRDefault="00AF1A4D" w:rsidP="00AF1A4D">
            <w:pPr>
              <w:pStyle w:val="Tableaudroiteanglais"/>
              <w:spacing w:line="240" w:lineRule="auto"/>
            </w:pPr>
          </w:p>
          <w:p w14:paraId="292C180B" w14:textId="77777777" w:rsidR="00AF1A4D" w:rsidRPr="000A5DC2" w:rsidRDefault="00AF1A4D" w:rsidP="00AF1A4D">
            <w:pPr>
              <w:pStyle w:val="Tableaudroiteanglais"/>
              <w:spacing w:line="240" w:lineRule="auto"/>
            </w:pPr>
            <w:r w:rsidRPr="000A5DC2">
              <w:t>(b) any government of the foreign state or of any political subdivision of the foreign state, including any of its departments, and any agency of the foreign state, and</w:t>
            </w:r>
          </w:p>
          <w:p w14:paraId="1BA33644" w14:textId="77777777" w:rsidR="00AF1A4D" w:rsidRPr="000A5DC2" w:rsidRDefault="00AF1A4D" w:rsidP="00AF1A4D">
            <w:pPr>
              <w:pStyle w:val="Tableaudroiteanglais"/>
              <w:spacing w:line="240" w:lineRule="auto"/>
            </w:pPr>
          </w:p>
          <w:p w14:paraId="5F658121" w14:textId="653EC90B" w:rsidR="00AF1A4D" w:rsidRPr="000A5DC2" w:rsidRDefault="00AF1A4D" w:rsidP="00AF1A4D">
            <w:pPr>
              <w:pStyle w:val="Tableaudroiteanglais"/>
              <w:spacing w:line="240" w:lineRule="auto"/>
            </w:pPr>
            <w:r w:rsidRPr="000A5DC2">
              <w:t>(c) …</w:t>
            </w:r>
          </w:p>
          <w:p w14:paraId="5417B231" w14:textId="77777777" w:rsidR="00AF1A4D" w:rsidRPr="000A5DC2" w:rsidRDefault="00AF1A4D" w:rsidP="00AF1A4D">
            <w:pPr>
              <w:pStyle w:val="Tableaudroiteanglais"/>
              <w:spacing w:line="240" w:lineRule="auto"/>
            </w:pPr>
          </w:p>
          <w:p w14:paraId="7E0A00E1" w14:textId="7BFF4D2D" w:rsidR="0081370B" w:rsidRPr="005E6EB3" w:rsidRDefault="00AF1A4D" w:rsidP="00AF1A4D">
            <w:pPr>
              <w:pStyle w:val="Tableaugauchefranais"/>
              <w:spacing w:line="240" w:lineRule="auto"/>
              <w:rPr>
                <w:lang w:val="en-CA"/>
              </w:rPr>
            </w:pPr>
            <w:r w:rsidRPr="005E6EB3">
              <w:rPr>
                <w:i/>
                <w:iCs/>
                <w:lang w:val="en-CA"/>
              </w:rPr>
              <w:t xml:space="preserve">agency of a foreign state  </w:t>
            </w:r>
            <w:r w:rsidRPr="005E6EB3">
              <w:rPr>
                <w:lang w:val="en-CA"/>
              </w:rPr>
              <w:t>means any legal entity that is an organ of the foreign state but that is separate from the foreign state; (</w:t>
            </w:r>
            <w:r w:rsidRPr="005E6EB3">
              <w:rPr>
                <w:i/>
                <w:iCs/>
                <w:lang w:val="en-CA"/>
              </w:rPr>
              <w:t>organisme d’un État étranger</w:t>
            </w:r>
            <w:r w:rsidRPr="005E6EB3">
              <w:rPr>
                <w:lang w:val="en-CA"/>
              </w:rPr>
              <w:t>)</w:t>
            </w:r>
            <w:r w:rsidRPr="000A5DC2">
              <w:rPr>
                <w:lang w:val="en-CA"/>
              </w:rPr>
              <w:t xml:space="preserve"> </w:t>
            </w:r>
          </w:p>
        </w:tc>
        <w:tc>
          <w:tcPr>
            <w:tcW w:w="4681" w:type="dxa"/>
            <w:shd w:val="clear" w:color="auto" w:fill="auto"/>
          </w:tcPr>
          <w:p w14:paraId="69AA837F" w14:textId="77777777" w:rsidR="00AF1A4D" w:rsidRPr="005E6EB3" w:rsidRDefault="00ED47F8" w:rsidP="00AF1A4D">
            <w:pPr>
              <w:pStyle w:val="Tableaugauchefranais"/>
              <w:spacing w:line="240" w:lineRule="auto"/>
            </w:pPr>
            <w:r w:rsidRPr="000A5DC2">
              <w:rPr>
                <w:b/>
                <w:bCs/>
              </w:rPr>
              <w:lastRenderedPageBreak/>
              <w:t>2</w:t>
            </w:r>
            <w:r w:rsidRPr="000A5DC2">
              <w:t xml:space="preserve"> </w:t>
            </w:r>
            <w:r w:rsidR="00AF1A4D" w:rsidRPr="005E6EB3">
              <w:t>Les définitions qui suivent s’appliquent à la présente loi.</w:t>
            </w:r>
          </w:p>
          <w:p w14:paraId="4D839C57" w14:textId="77777777" w:rsidR="00AF1A4D" w:rsidRPr="005E6EB3" w:rsidRDefault="00AF1A4D" w:rsidP="00AF1A4D">
            <w:pPr>
              <w:pStyle w:val="Tableaugauchefranais"/>
              <w:spacing w:line="240" w:lineRule="auto"/>
            </w:pPr>
          </w:p>
          <w:p w14:paraId="4D11A373" w14:textId="77777777" w:rsidR="00AF1A4D" w:rsidRPr="000A5DC2" w:rsidRDefault="00AF1A4D" w:rsidP="00AF1A4D">
            <w:pPr>
              <w:pStyle w:val="Tableaugauchefranais"/>
              <w:spacing w:line="240" w:lineRule="auto"/>
            </w:pPr>
            <w:r w:rsidRPr="000A5DC2">
              <w:t>[…]</w:t>
            </w:r>
          </w:p>
          <w:p w14:paraId="38B8578F" w14:textId="77777777" w:rsidR="00AF1A4D" w:rsidRPr="000A5DC2" w:rsidRDefault="00AF1A4D" w:rsidP="00AF1A4D">
            <w:pPr>
              <w:pStyle w:val="Tableaugauchefranais"/>
              <w:spacing w:line="240" w:lineRule="auto"/>
            </w:pPr>
          </w:p>
          <w:p w14:paraId="1303C831" w14:textId="77777777" w:rsidR="00AF1A4D" w:rsidRPr="000A5DC2" w:rsidRDefault="00AF1A4D" w:rsidP="00AF1A4D">
            <w:pPr>
              <w:pStyle w:val="Tableaugauchefranais"/>
              <w:spacing w:line="240" w:lineRule="auto"/>
            </w:pPr>
            <w:r w:rsidRPr="000A5DC2">
              <w:rPr>
                <w:i/>
                <w:iCs/>
              </w:rPr>
              <w:t>État étranger</w:t>
            </w:r>
            <w:r w:rsidRPr="000A5DC2">
              <w:t> Sont assimilés à un État étranger :</w:t>
            </w:r>
          </w:p>
          <w:p w14:paraId="1323BEF8" w14:textId="77777777" w:rsidR="00AF1A4D" w:rsidRPr="000A5DC2" w:rsidRDefault="00AF1A4D" w:rsidP="00AF1A4D">
            <w:pPr>
              <w:pStyle w:val="Tableaugauchefranais"/>
              <w:spacing w:line="240" w:lineRule="auto"/>
            </w:pPr>
          </w:p>
          <w:p w14:paraId="5D61E84A" w14:textId="77777777" w:rsidR="00AF1A4D" w:rsidRPr="000A5DC2" w:rsidRDefault="00AF1A4D" w:rsidP="00AF1A4D">
            <w:pPr>
              <w:pStyle w:val="Tableaugauchefranais"/>
              <w:spacing w:line="240" w:lineRule="auto"/>
            </w:pPr>
            <w:r w:rsidRPr="000A5DC2">
              <w:t>a) […]</w:t>
            </w:r>
          </w:p>
          <w:p w14:paraId="10194191" w14:textId="77777777" w:rsidR="00AF1A4D" w:rsidRPr="000A5DC2" w:rsidRDefault="00AF1A4D" w:rsidP="00AF1A4D">
            <w:pPr>
              <w:pStyle w:val="Tableaugauchefranais"/>
              <w:spacing w:line="240" w:lineRule="auto"/>
            </w:pPr>
          </w:p>
          <w:p w14:paraId="33F5139F" w14:textId="77777777" w:rsidR="00AF1A4D" w:rsidRPr="000A5DC2" w:rsidRDefault="00AF1A4D" w:rsidP="00AF1A4D">
            <w:pPr>
              <w:pStyle w:val="Tableaugauchefranais"/>
              <w:spacing w:line="240" w:lineRule="auto"/>
            </w:pPr>
            <w:r w:rsidRPr="000A5DC2">
              <w:t>b) le gouvernement et les ministères de cet État ou de ses subdivisions politiques, ainsi que les organismes de cet État;</w:t>
            </w:r>
          </w:p>
          <w:p w14:paraId="5BFE7A39" w14:textId="77777777" w:rsidR="00AF1A4D" w:rsidRPr="000A5DC2" w:rsidRDefault="00AF1A4D" w:rsidP="00AF1A4D">
            <w:pPr>
              <w:pStyle w:val="Tableaugauchefranais"/>
              <w:spacing w:line="240" w:lineRule="auto"/>
            </w:pPr>
          </w:p>
          <w:p w14:paraId="4CA3D724" w14:textId="77777777" w:rsidR="00AF1A4D" w:rsidRPr="000A5DC2" w:rsidRDefault="00AF1A4D" w:rsidP="00AF1A4D">
            <w:pPr>
              <w:pStyle w:val="Tableaugauchefranais"/>
              <w:spacing w:line="240" w:lineRule="auto"/>
            </w:pPr>
          </w:p>
          <w:p w14:paraId="44815246" w14:textId="77777777" w:rsidR="00AF1A4D" w:rsidRPr="000A5DC2" w:rsidRDefault="00AF1A4D" w:rsidP="00AF1A4D">
            <w:pPr>
              <w:pStyle w:val="Tableaugauchefranais"/>
              <w:spacing w:line="240" w:lineRule="auto"/>
            </w:pPr>
            <w:r w:rsidRPr="000A5DC2">
              <w:t>c) […]</w:t>
            </w:r>
          </w:p>
          <w:p w14:paraId="303E2B3C" w14:textId="77777777" w:rsidR="00AF1A4D" w:rsidRPr="000A5DC2" w:rsidRDefault="00AF1A4D" w:rsidP="00AF1A4D">
            <w:pPr>
              <w:pStyle w:val="Tableaugauchefranais"/>
              <w:spacing w:line="240" w:lineRule="auto"/>
            </w:pPr>
          </w:p>
          <w:p w14:paraId="74DF8930" w14:textId="3BDD95CD" w:rsidR="0081370B" w:rsidRPr="000A5DC2" w:rsidRDefault="00AF1A4D" w:rsidP="00AF1A4D">
            <w:pPr>
              <w:pStyle w:val="Tableaudroiteanglais"/>
              <w:spacing w:line="240" w:lineRule="auto"/>
            </w:pPr>
            <w:r w:rsidRPr="005E6EB3">
              <w:rPr>
                <w:i/>
                <w:iCs/>
                <w:lang w:val="fr-CA"/>
              </w:rPr>
              <w:t>organisme d’un État étranger</w:t>
            </w:r>
            <w:r w:rsidRPr="005E6EB3">
              <w:rPr>
                <w:lang w:val="fr-CA"/>
              </w:rPr>
              <w:t> Toute entité juridique distincte qui constitue un organe de l’État étranger. </w:t>
            </w:r>
            <w:r w:rsidRPr="000A5DC2">
              <w:t>(</w:t>
            </w:r>
            <w:r w:rsidRPr="000A5DC2">
              <w:rPr>
                <w:i/>
                <w:iCs/>
              </w:rPr>
              <w:t>agency of a foreign state</w:t>
            </w:r>
            <w:r w:rsidRPr="000A5DC2">
              <w:t>)</w:t>
            </w:r>
          </w:p>
        </w:tc>
      </w:tr>
    </w:tbl>
    <w:p w14:paraId="6F4CB2A8" w14:textId="34B39339" w:rsidR="0081370B" w:rsidRPr="00324CF1" w:rsidRDefault="00191852" w:rsidP="00FB5A91">
      <w:pPr>
        <w:pStyle w:val="Paragraphe"/>
        <w:spacing w:line="240" w:lineRule="auto"/>
        <w:rPr>
          <w:lang w:val="en-US"/>
        </w:rPr>
      </w:pPr>
      <w:r>
        <w:rPr>
          <w:lang w:val="en-CA"/>
        </w:rPr>
        <w:lastRenderedPageBreak/>
        <w:t>T</w:t>
      </w:r>
      <w:r w:rsidR="00ED47F8" w:rsidRPr="006473F6">
        <w:rPr>
          <w:lang w:val="en-CA"/>
        </w:rPr>
        <w:t>his definition</w:t>
      </w:r>
      <w:r>
        <w:rPr>
          <w:lang w:val="en-CA"/>
        </w:rPr>
        <w:t xml:space="preserve"> reveals</w:t>
      </w:r>
      <w:r w:rsidR="00ED47F8" w:rsidRPr="00324CF1">
        <w:rPr>
          <w:lang w:val="en-CA"/>
        </w:rPr>
        <w:t xml:space="preserve"> that the law distinguishes the state and its internal components, such as departments and political subdivisions, from organs with a separate legal personality designated by law as agencies of the state and to which, despite having a separate legal identity, it extends its state immunity.</w:t>
      </w:r>
    </w:p>
    <w:p w14:paraId="6C6EC386" w14:textId="65BFDF05" w:rsidR="0081370B" w:rsidRPr="00324CF1" w:rsidRDefault="00ED47F8" w:rsidP="00FB5A91">
      <w:pPr>
        <w:pStyle w:val="Paragraphe"/>
        <w:spacing w:line="240" w:lineRule="auto"/>
        <w:rPr>
          <w:lang w:val="en-US"/>
        </w:rPr>
      </w:pPr>
      <w:r w:rsidRPr="00324CF1">
        <w:rPr>
          <w:lang w:val="en-CA"/>
        </w:rPr>
        <w:t xml:space="preserve">If it is </w:t>
      </w:r>
      <w:r w:rsidR="008D7B10">
        <w:rPr>
          <w:lang w:val="en-CA"/>
        </w:rPr>
        <w:t>found</w:t>
      </w:r>
      <w:r w:rsidRPr="00324CF1">
        <w:rPr>
          <w:lang w:val="en-CA"/>
        </w:rPr>
        <w:t>, as argued by CCDM/Devas, that AAI is an inseparable organ of India, i.e.</w:t>
      </w:r>
      <w:r w:rsidR="00517D7B">
        <w:rPr>
          <w:lang w:val="en-CA"/>
        </w:rPr>
        <w:t>,</w:t>
      </w:r>
      <w:r w:rsidRPr="00324CF1">
        <w:rPr>
          <w:lang w:val="en-CA"/>
        </w:rPr>
        <w:t xml:space="preserve"> part of the state itself, then its funds may be seized and potentially used to execute a debt of the state. With this in mind, the immunity enjoyed by AAI is necessarily identical to that of the state itself and has the same limits.</w:t>
      </w:r>
      <w:r w:rsidRPr="00324CF1">
        <w:rPr>
          <w:rStyle w:val="Appelnotedebasdep"/>
          <w:lang w:val="en-CA"/>
        </w:rPr>
        <w:footnoteReference w:id="170"/>
      </w:r>
      <w:r w:rsidRPr="00324CF1">
        <w:rPr>
          <w:lang w:val="en-CA"/>
        </w:rPr>
        <w:t xml:space="preserve"> </w:t>
      </w:r>
    </w:p>
    <w:p w14:paraId="704FEC7B" w14:textId="0806FEF4" w:rsidR="004F3E6A" w:rsidRPr="00324CF1" w:rsidRDefault="00ED47F8" w:rsidP="00FB5A91">
      <w:pPr>
        <w:pStyle w:val="Paragraphe"/>
        <w:spacing w:line="240" w:lineRule="auto"/>
        <w:rPr>
          <w:lang w:val="en-US"/>
        </w:rPr>
      </w:pPr>
      <w:r w:rsidRPr="00324CF1">
        <w:rPr>
          <w:lang w:val="en-CA"/>
        </w:rPr>
        <w:t>With respect, Pinsonnault</w:t>
      </w:r>
      <w:r w:rsidR="00517D7B">
        <w:rPr>
          <w:lang w:val="en-CA"/>
        </w:rPr>
        <w:t>,</w:t>
      </w:r>
      <w:r w:rsidRPr="00324CF1">
        <w:rPr>
          <w:lang w:val="en-CA"/>
        </w:rPr>
        <w:t xml:space="preserve"> J. did not correctly distinguish between these various aspects. On the first aspect, he erred, just as he did for Air India, by </w:t>
      </w:r>
      <w:r w:rsidR="00517D7B">
        <w:rPr>
          <w:lang w:val="en-CA"/>
        </w:rPr>
        <w:t>being satisfied with</w:t>
      </w:r>
      <w:r w:rsidRPr="00324CF1">
        <w:rPr>
          <w:lang w:val="en-CA"/>
        </w:rPr>
        <w:t xml:space="preserve"> an </w:t>
      </w:r>
      <w:r w:rsidRPr="00324CF1">
        <w:rPr>
          <w:i/>
          <w:iCs/>
          <w:lang w:val="en-CA"/>
        </w:rPr>
        <w:t>alter ego</w:t>
      </w:r>
      <w:r w:rsidRPr="00324CF1">
        <w:rPr>
          <w:lang w:val="en-CA"/>
        </w:rPr>
        <w:t xml:space="preserve"> situation </w:t>
      </w:r>
      <w:r w:rsidR="008D7B10">
        <w:rPr>
          <w:lang w:val="en-CA"/>
        </w:rPr>
        <w:t>that</w:t>
      </w:r>
      <w:r w:rsidRPr="00324CF1">
        <w:rPr>
          <w:lang w:val="en-CA"/>
        </w:rPr>
        <w:t xml:space="preserve"> ma</w:t>
      </w:r>
      <w:r w:rsidR="008D7B10">
        <w:rPr>
          <w:lang w:val="en-CA"/>
        </w:rPr>
        <w:t>d</w:t>
      </w:r>
      <w:r w:rsidRPr="00324CF1">
        <w:rPr>
          <w:lang w:val="en-CA"/>
        </w:rPr>
        <w:t>e the seizure possible. He should have asked whether AAI’s legal personality is distinct from India’s, a question that presented itself differently for Air India. On the second aspect, Pinsonnault</w:t>
      </w:r>
      <w:r w:rsidR="00517D7B">
        <w:rPr>
          <w:lang w:val="en-CA"/>
        </w:rPr>
        <w:t>,</w:t>
      </w:r>
      <w:r w:rsidRPr="00324CF1">
        <w:rPr>
          <w:lang w:val="en-CA"/>
        </w:rPr>
        <w:t xml:space="preserve"> J. did not decide whether, as an </w:t>
      </w:r>
      <w:r w:rsidRPr="00324CF1">
        <w:rPr>
          <w:i/>
          <w:iCs/>
          <w:lang w:val="en-CA"/>
        </w:rPr>
        <w:t>alter ego—</w:t>
      </w:r>
      <w:r w:rsidR="008D7B10" w:rsidRPr="008D7B10">
        <w:rPr>
          <w:lang w:val="en-CA"/>
        </w:rPr>
        <w:t>a fact</w:t>
      </w:r>
      <w:r w:rsidR="008D7B10">
        <w:rPr>
          <w:i/>
          <w:iCs/>
          <w:lang w:val="en-CA"/>
        </w:rPr>
        <w:t xml:space="preserve"> </w:t>
      </w:r>
      <w:r w:rsidRPr="00324CF1">
        <w:rPr>
          <w:lang w:val="en-CA"/>
        </w:rPr>
        <w:t xml:space="preserve">which he </w:t>
      </w:r>
      <w:r w:rsidR="00517D7B">
        <w:rPr>
          <w:lang w:val="en-CA"/>
        </w:rPr>
        <w:t>accepted</w:t>
      </w:r>
      <w:r w:rsidRPr="00324CF1">
        <w:rPr>
          <w:lang w:val="en-CA"/>
        </w:rPr>
        <w:t xml:space="preserve">—AAI could maintain </w:t>
      </w:r>
      <w:r w:rsidR="00517D7B">
        <w:rPr>
          <w:lang w:val="en-CA"/>
        </w:rPr>
        <w:t xml:space="preserve">its </w:t>
      </w:r>
      <w:r w:rsidRPr="00324CF1">
        <w:rPr>
          <w:lang w:val="en-CA"/>
        </w:rPr>
        <w:t>immunity whe</w:t>
      </w:r>
      <w:r w:rsidR="00517D7B">
        <w:rPr>
          <w:lang w:val="en-CA"/>
        </w:rPr>
        <w:t>n</w:t>
      </w:r>
      <w:r w:rsidRPr="00324CF1">
        <w:rPr>
          <w:lang w:val="en-CA"/>
        </w:rPr>
        <w:t xml:space="preserve"> India had waived it</w:t>
      </w:r>
      <w:r w:rsidR="00587ABF">
        <w:rPr>
          <w:lang w:val="en-CA"/>
        </w:rPr>
        <w:t>s own</w:t>
      </w:r>
      <w:r w:rsidRPr="00324CF1">
        <w:rPr>
          <w:lang w:val="en-CA"/>
        </w:rPr>
        <w:t>.</w:t>
      </w:r>
    </w:p>
    <w:p w14:paraId="45300DD0" w14:textId="7CA82D0D" w:rsidR="0081370B" w:rsidRPr="00324CF1" w:rsidRDefault="00ED47F8" w:rsidP="00FB5A91">
      <w:pPr>
        <w:pStyle w:val="Paragraphe"/>
        <w:spacing w:line="240" w:lineRule="auto"/>
        <w:rPr>
          <w:lang w:val="en-US"/>
        </w:rPr>
      </w:pPr>
      <w:r w:rsidRPr="00324CF1">
        <w:rPr>
          <w:lang w:val="en-CA"/>
        </w:rPr>
        <w:t>Obviously, these questions became secondary for Pinsonnault</w:t>
      </w:r>
      <w:r w:rsidR="00CC43C8">
        <w:rPr>
          <w:lang w:val="en-CA"/>
        </w:rPr>
        <w:t>,</w:t>
      </w:r>
      <w:r w:rsidRPr="00324CF1">
        <w:rPr>
          <w:lang w:val="en-CA"/>
        </w:rPr>
        <w:t xml:space="preserve"> J. insofar as he was of the opinion that Granosik</w:t>
      </w:r>
      <w:r w:rsidR="00CC43C8">
        <w:rPr>
          <w:lang w:val="en-CA"/>
        </w:rPr>
        <w:t>,</w:t>
      </w:r>
      <w:r w:rsidRPr="00324CF1">
        <w:rPr>
          <w:lang w:val="en-CA"/>
        </w:rPr>
        <w:t xml:space="preserve"> J. could not authorize the seizure before judgment before deciding the question of AAI’s immunity on the merits. </w:t>
      </w:r>
      <w:r w:rsidR="008D7B10">
        <w:rPr>
          <w:lang w:val="en-CA"/>
        </w:rPr>
        <w:t>S</w:t>
      </w:r>
      <w:r w:rsidRPr="00324CF1">
        <w:rPr>
          <w:lang w:val="en-CA"/>
        </w:rPr>
        <w:t xml:space="preserve">ince this </w:t>
      </w:r>
      <w:r w:rsidR="008D7B10">
        <w:rPr>
          <w:lang w:val="en-CA"/>
        </w:rPr>
        <w:t>is</w:t>
      </w:r>
      <w:r w:rsidRPr="00324CF1">
        <w:rPr>
          <w:lang w:val="en-CA"/>
        </w:rPr>
        <w:t xml:space="preserve"> not the case,</w:t>
      </w:r>
      <w:r w:rsidR="008D7B10">
        <w:rPr>
          <w:lang w:val="en-CA"/>
        </w:rPr>
        <w:t xml:space="preserve"> however,</w:t>
      </w:r>
      <w:r w:rsidRPr="00324CF1">
        <w:rPr>
          <w:lang w:val="en-CA"/>
        </w:rPr>
        <w:t xml:space="preserve"> as we determined in the previous question, these aspects </w:t>
      </w:r>
      <w:r w:rsidR="00CC43C8">
        <w:rPr>
          <w:lang w:val="en-CA"/>
        </w:rPr>
        <w:t>become</w:t>
      </w:r>
      <w:r w:rsidR="00CC43C8" w:rsidRPr="00324CF1">
        <w:rPr>
          <w:lang w:val="en-CA"/>
        </w:rPr>
        <w:t xml:space="preserve"> </w:t>
      </w:r>
      <w:r w:rsidRPr="00324CF1">
        <w:rPr>
          <w:lang w:val="en-CA"/>
        </w:rPr>
        <w:t>de</w:t>
      </w:r>
      <w:r w:rsidR="00CC43C8">
        <w:rPr>
          <w:lang w:val="en-CA"/>
        </w:rPr>
        <w:t>terminative</w:t>
      </w:r>
      <w:r w:rsidRPr="00324CF1">
        <w:rPr>
          <w:lang w:val="en-CA"/>
        </w:rPr>
        <w:t>. We are</w:t>
      </w:r>
      <w:r w:rsidR="00CC43C8">
        <w:rPr>
          <w:lang w:val="en-CA"/>
        </w:rPr>
        <w:t>, however,</w:t>
      </w:r>
      <w:r w:rsidRPr="00324CF1">
        <w:rPr>
          <w:lang w:val="en-CA"/>
        </w:rPr>
        <w:t xml:space="preserve"> at a preliminary stage of a </w:t>
      </w:r>
      <w:r w:rsidR="00E928F3">
        <w:rPr>
          <w:lang w:val="en-CA"/>
        </w:rPr>
        <w:t xml:space="preserve">conservatory, rather than </w:t>
      </w:r>
      <w:r w:rsidR="008D7B10">
        <w:rPr>
          <w:lang w:val="en-CA"/>
        </w:rPr>
        <w:t xml:space="preserve">an </w:t>
      </w:r>
      <w:r w:rsidR="00E928F3">
        <w:rPr>
          <w:lang w:val="en-CA"/>
        </w:rPr>
        <w:t xml:space="preserve">enforceable, </w:t>
      </w:r>
      <w:r w:rsidRPr="00324CF1">
        <w:rPr>
          <w:lang w:val="en-CA"/>
        </w:rPr>
        <w:t>seizure. The question to be decided is therefore whether Granosik</w:t>
      </w:r>
      <w:r w:rsidR="00853A37">
        <w:rPr>
          <w:lang w:val="en-CA"/>
        </w:rPr>
        <w:t>,</w:t>
      </w:r>
      <w:r w:rsidRPr="00324CF1">
        <w:rPr>
          <w:lang w:val="en-CA"/>
        </w:rPr>
        <w:t xml:space="preserve"> J. could, </w:t>
      </w:r>
      <w:r w:rsidR="00853A37">
        <w:rPr>
          <w:lang w:val="en-CA"/>
        </w:rPr>
        <w:t>based on the</w:t>
      </w:r>
      <w:r w:rsidR="00C86859">
        <w:rPr>
          <w:lang w:val="en-CA"/>
        </w:rPr>
        <w:t xml:space="preserve"> record as constituted</w:t>
      </w:r>
      <w:r w:rsidRPr="00324CF1">
        <w:rPr>
          <w:lang w:val="en-CA"/>
        </w:rPr>
        <w:t xml:space="preserve"> before him, conclude that AAI was, </w:t>
      </w:r>
      <w:r w:rsidRPr="00324CF1">
        <w:rPr>
          <w:i/>
          <w:iCs/>
          <w:lang w:val="en-CA"/>
        </w:rPr>
        <w:t>prima facie</w:t>
      </w:r>
      <w:r w:rsidRPr="00324CF1">
        <w:rPr>
          <w:lang w:val="en-CA"/>
        </w:rPr>
        <w:t>, as CCDM/Devas argue</w:t>
      </w:r>
      <w:r w:rsidR="008D7B10">
        <w:rPr>
          <w:lang w:val="en-CA"/>
        </w:rPr>
        <w:t>d</w:t>
      </w:r>
      <w:r w:rsidRPr="00324CF1">
        <w:rPr>
          <w:lang w:val="en-CA"/>
        </w:rPr>
        <w:t>, an inseparable organ of India, making the seizure possible and associating AAI’s immunity with India’s.</w:t>
      </w:r>
    </w:p>
    <w:p w14:paraId="5F8ECA63" w14:textId="5AD536F2" w:rsidR="0081370B" w:rsidRPr="00324CF1" w:rsidRDefault="00ED47F8" w:rsidP="00FB5A91">
      <w:pPr>
        <w:pStyle w:val="Paragraphe"/>
        <w:spacing w:line="240" w:lineRule="auto"/>
        <w:rPr>
          <w:lang w:val="en-US"/>
        </w:rPr>
      </w:pPr>
      <w:r w:rsidRPr="00324CF1">
        <w:rPr>
          <w:lang w:val="en-CA"/>
        </w:rPr>
        <w:lastRenderedPageBreak/>
        <w:t>However, contrary to what AAI argue</w:t>
      </w:r>
      <w:r w:rsidR="00AB2DC3">
        <w:rPr>
          <w:lang w:val="en-CA"/>
        </w:rPr>
        <w:t>d</w:t>
      </w:r>
      <w:r w:rsidRPr="00324CF1">
        <w:rPr>
          <w:lang w:val="en-CA"/>
        </w:rPr>
        <w:t>, Granosik</w:t>
      </w:r>
      <w:r w:rsidR="00552CBA">
        <w:rPr>
          <w:lang w:val="en-CA"/>
        </w:rPr>
        <w:t>,</w:t>
      </w:r>
      <w:r w:rsidRPr="00324CF1">
        <w:rPr>
          <w:lang w:val="en-CA"/>
        </w:rPr>
        <w:t xml:space="preserve"> J. had sufficient information </w:t>
      </w:r>
      <w:r w:rsidR="00552CBA">
        <w:rPr>
          <w:lang w:val="en-CA"/>
        </w:rPr>
        <w:t>in the record</w:t>
      </w:r>
      <w:r w:rsidRPr="00324CF1">
        <w:rPr>
          <w:lang w:val="en-CA"/>
        </w:rPr>
        <w:t xml:space="preserve"> to conclude, on a </w:t>
      </w:r>
      <w:r w:rsidRPr="00324CF1">
        <w:rPr>
          <w:i/>
          <w:iCs/>
          <w:lang w:val="en-CA"/>
        </w:rPr>
        <w:t>prima facie</w:t>
      </w:r>
      <w:r w:rsidRPr="00324CF1">
        <w:rPr>
          <w:lang w:val="en-CA"/>
        </w:rPr>
        <w:t xml:space="preserve"> basis, that, as CCDM/Devas argued, AAI is an inseparable organ of India, which made it possible to seize its funds and that the exception to the jurisdictional immunity that applied to India also applied to AAI. To support this, he had the text of the </w:t>
      </w:r>
      <w:r w:rsidRPr="00324CF1">
        <w:rPr>
          <w:i/>
          <w:iCs/>
          <w:lang w:val="en-CA"/>
        </w:rPr>
        <w:t>AAI Act</w:t>
      </w:r>
      <w:r w:rsidRPr="00324CF1">
        <w:rPr>
          <w:lang w:val="en-CA"/>
        </w:rPr>
        <w:t>, certain elements of which could suggest such an interpretation. He also had</w:t>
      </w:r>
      <w:r w:rsidRPr="00324CF1">
        <w:rPr>
          <w:kern w:val="0"/>
          <w:lang w:val="en-CA"/>
        </w:rPr>
        <w:t xml:space="preserve"> </w:t>
      </w:r>
      <w:r w:rsidRPr="00324CF1">
        <w:rPr>
          <w:lang w:val="en-CA"/>
        </w:rPr>
        <w:t>affidavits. Two of them contain</w:t>
      </w:r>
      <w:r w:rsidR="00AB2DC3">
        <w:rPr>
          <w:lang w:val="en-CA"/>
        </w:rPr>
        <w:t>ing</w:t>
      </w:r>
      <w:r w:rsidRPr="00324CF1">
        <w:rPr>
          <w:lang w:val="en-CA"/>
        </w:rPr>
        <w:t xml:space="preserve"> elements on which CCDM/Devas based their argument that AAI is inseparable from India.</w:t>
      </w:r>
    </w:p>
    <w:p w14:paraId="03F73267" w14:textId="4A2D3171" w:rsidR="0081370B" w:rsidRPr="00324CF1" w:rsidRDefault="00ED47F8" w:rsidP="00FB5A91">
      <w:pPr>
        <w:pStyle w:val="Paragraphe"/>
        <w:spacing w:line="240" w:lineRule="auto"/>
        <w:rPr>
          <w:lang w:val="en-US"/>
        </w:rPr>
      </w:pPr>
      <w:r w:rsidRPr="00324CF1">
        <w:rPr>
          <w:lang w:val="en-CA"/>
        </w:rPr>
        <w:t>The first of these was the affidavit of</w:t>
      </w:r>
      <w:r w:rsidR="00775A38">
        <w:rPr>
          <w:lang w:val="en-CA"/>
        </w:rPr>
        <w:t xml:space="preserve"> </w:t>
      </w:r>
      <w:r w:rsidRPr="00324CF1">
        <w:rPr>
          <w:lang w:val="en-CA"/>
        </w:rPr>
        <w:t>Anne Champion, American attorney for CCDM/Devas, who highlighted AAI’s functions as India’s civil aviation authority</w:t>
      </w:r>
      <w:r w:rsidR="0029702C">
        <w:rPr>
          <w:lang w:val="en-CA"/>
        </w:rPr>
        <w:t xml:space="preserve"> mandatary</w:t>
      </w:r>
      <w:r w:rsidRPr="00324CF1">
        <w:rPr>
          <w:lang w:val="en-CA"/>
        </w:rPr>
        <w:t>, responsible for controlling air traffic and airspace and collecting the air navigation charges that airlines and foreign states must pay to fly over Indian airspace.</w:t>
      </w:r>
    </w:p>
    <w:p w14:paraId="3D554540" w14:textId="6D4D2888" w:rsidR="0081370B" w:rsidRPr="00324CF1" w:rsidRDefault="00ED47F8" w:rsidP="00FB5A91">
      <w:pPr>
        <w:pStyle w:val="Paragraphe"/>
        <w:spacing w:line="240" w:lineRule="auto"/>
        <w:rPr>
          <w:lang w:val="en-US"/>
        </w:rPr>
      </w:pPr>
      <w:r w:rsidRPr="00324CF1">
        <w:rPr>
          <w:lang w:val="en-CA"/>
        </w:rPr>
        <w:t xml:space="preserve">The second was the affidavit of Anuradha Dutt, an Indian attorney for CCDM/Devas. In addition to </w:t>
      </w:r>
      <w:r w:rsidR="001372B7">
        <w:rPr>
          <w:lang w:val="en-CA"/>
        </w:rPr>
        <w:t>recalling</w:t>
      </w:r>
      <w:r w:rsidR="001372B7" w:rsidRPr="00324CF1">
        <w:rPr>
          <w:lang w:val="en-CA"/>
        </w:rPr>
        <w:t xml:space="preserve"> </w:t>
      </w:r>
      <w:r w:rsidRPr="00324CF1">
        <w:rPr>
          <w:lang w:val="en-CA"/>
        </w:rPr>
        <w:t xml:space="preserve">AAI’s government functions, </w:t>
      </w:r>
      <w:r w:rsidR="00EE7663">
        <w:rPr>
          <w:lang w:val="en-CA"/>
        </w:rPr>
        <w:t>Attorney</w:t>
      </w:r>
      <w:r w:rsidR="00EE7663" w:rsidRPr="00324CF1">
        <w:rPr>
          <w:lang w:val="en-CA"/>
        </w:rPr>
        <w:t xml:space="preserve"> </w:t>
      </w:r>
      <w:r w:rsidRPr="00324CF1">
        <w:rPr>
          <w:lang w:val="en-CA"/>
        </w:rPr>
        <w:t xml:space="preserve">Dutt stated that AAI is fully controlled by India’s Ministry of Civil Aviation, as confirmed by two reports submitted as related </w:t>
      </w:r>
      <w:r w:rsidR="00D10BB8">
        <w:rPr>
          <w:lang w:val="en-CA"/>
        </w:rPr>
        <w:t>exhibits</w:t>
      </w:r>
      <w:r w:rsidRPr="00324CF1">
        <w:rPr>
          <w:lang w:val="en-CA"/>
        </w:rPr>
        <w:t xml:space="preserve">. She also stated the various provisions of the </w:t>
      </w:r>
      <w:r w:rsidRPr="00324CF1">
        <w:rPr>
          <w:i/>
          <w:iCs/>
          <w:lang w:val="en-CA"/>
        </w:rPr>
        <w:t>AAI Act</w:t>
      </w:r>
      <w:r w:rsidRPr="00324CF1">
        <w:rPr>
          <w:lang w:val="en-CA"/>
        </w:rPr>
        <w:t xml:space="preserve"> demonstrating the high degree of control and discretion that India maintains over AAI’s structure, finances, operations and activities.</w:t>
      </w:r>
    </w:p>
    <w:p w14:paraId="0B4E8C0F" w14:textId="589BD8CC" w:rsidR="0081370B" w:rsidRPr="00324CF1" w:rsidRDefault="00ED47F8" w:rsidP="00FB5A91">
      <w:pPr>
        <w:pStyle w:val="Paragraphe"/>
        <w:spacing w:line="240" w:lineRule="auto"/>
        <w:rPr>
          <w:lang w:val="en-US"/>
        </w:rPr>
      </w:pPr>
      <w:r w:rsidRPr="00324CF1">
        <w:rPr>
          <w:lang w:val="en-CA"/>
        </w:rPr>
        <w:t xml:space="preserve">All these elements were also alleged both in the application </w:t>
      </w:r>
      <w:r w:rsidR="00D10BB8">
        <w:rPr>
          <w:lang w:val="en-CA"/>
        </w:rPr>
        <w:t>for</w:t>
      </w:r>
      <w:r w:rsidR="00D10BB8" w:rsidRPr="00324CF1">
        <w:rPr>
          <w:lang w:val="en-CA"/>
        </w:rPr>
        <w:t xml:space="preserve"> </w:t>
      </w:r>
      <w:r w:rsidRPr="00324CF1">
        <w:rPr>
          <w:lang w:val="en-CA"/>
        </w:rPr>
        <w:t>recogni</w:t>
      </w:r>
      <w:r w:rsidR="00D10BB8">
        <w:rPr>
          <w:lang w:val="en-CA"/>
        </w:rPr>
        <w:t>tion of the</w:t>
      </w:r>
      <w:r w:rsidRPr="00324CF1">
        <w:rPr>
          <w:lang w:val="en-CA"/>
        </w:rPr>
        <w:t xml:space="preserve"> arbitral awards and </w:t>
      </w:r>
      <w:r w:rsidR="00D10BB8">
        <w:rPr>
          <w:lang w:val="en-CA"/>
        </w:rPr>
        <w:t xml:space="preserve">in </w:t>
      </w:r>
      <w:r w:rsidRPr="00324CF1">
        <w:rPr>
          <w:lang w:val="en-CA"/>
        </w:rPr>
        <w:t xml:space="preserve">the application to authorize </w:t>
      </w:r>
      <w:r w:rsidR="00D10BB8">
        <w:rPr>
          <w:lang w:val="en-CA"/>
        </w:rPr>
        <w:t>a</w:t>
      </w:r>
      <w:r w:rsidR="00D10BB8" w:rsidRPr="00324CF1">
        <w:rPr>
          <w:lang w:val="en-CA"/>
        </w:rPr>
        <w:t xml:space="preserve"> </w:t>
      </w:r>
      <w:r w:rsidRPr="00324CF1">
        <w:rPr>
          <w:lang w:val="en-CA"/>
        </w:rPr>
        <w:t xml:space="preserve">seizure before judgment, in addition to being repeated in CCDM/Devas’s arguments, which conclude that sufficient evidence exists to demonstrate </w:t>
      </w:r>
      <w:r w:rsidRPr="00324CF1">
        <w:rPr>
          <w:i/>
          <w:iCs/>
          <w:lang w:val="en-CA"/>
        </w:rPr>
        <w:t xml:space="preserve">prima facie </w:t>
      </w:r>
      <w:r w:rsidRPr="00324CF1">
        <w:rPr>
          <w:lang w:val="en-CA"/>
        </w:rPr>
        <w:t>that India is the true owner of AAI’s funds.</w:t>
      </w:r>
    </w:p>
    <w:p w14:paraId="5F5FCCD3" w14:textId="022E76E7" w:rsidR="0081370B" w:rsidRPr="00324CF1" w:rsidRDefault="00ED47F8" w:rsidP="00FB5A91">
      <w:pPr>
        <w:pStyle w:val="Paragraphe"/>
        <w:spacing w:line="240" w:lineRule="auto"/>
        <w:rPr>
          <w:lang w:val="en-US"/>
        </w:rPr>
      </w:pPr>
      <w:r w:rsidRPr="00324CF1">
        <w:rPr>
          <w:lang w:val="en-CA"/>
        </w:rPr>
        <w:t>Granosik</w:t>
      </w:r>
      <w:r w:rsidR="00D10BB8">
        <w:rPr>
          <w:lang w:val="en-CA"/>
        </w:rPr>
        <w:t>,</w:t>
      </w:r>
      <w:r w:rsidRPr="00324CF1">
        <w:rPr>
          <w:lang w:val="en-CA"/>
        </w:rPr>
        <w:t xml:space="preserve"> J. </w:t>
      </w:r>
      <w:r w:rsidR="00D10BB8">
        <w:rPr>
          <w:lang w:val="en-CA"/>
        </w:rPr>
        <w:t>was in possession of all this evidence</w:t>
      </w:r>
      <w:r w:rsidRPr="00324CF1">
        <w:rPr>
          <w:lang w:val="en-CA"/>
        </w:rPr>
        <w:t xml:space="preserve"> and took it into account. He could, </w:t>
      </w:r>
      <w:r w:rsidR="00D10BB8">
        <w:rPr>
          <w:lang w:val="en-CA"/>
        </w:rPr>
        <w:t xml:space="preserve">based on </w:t>
      </w:r>
      <w:r w:rsidR="00610FE1">
        <w:rPr>
          <w:lang w:val="en-CA"/>
        </w:rPr>
        <w:t>this evidence</w:t>
      </w:r>
      <w:r w:rsidRPr="00324CF1">
        <w:rPr>
          <w:lang w:val="en-CA"/>
        </w:rPr>
        <w:t xml:space="preserve"> and, in particular, </w:t>
      </w:r>
      <w:r w:rsidR="00D10BB8">
        <w:rPr>
          <w:lang w:val="en-CA"/>
        </w:rPr>
        <w:t xml:space="preserve">on </w:t>
      </w:r>
      <w:r w:rsidRPr="00324CF1">
        <w:rPr>
          <w:lang w:val="en-CA"/>
        </w:rPr>
        <w:t xml:space="preserve">the </w:t>
      </w:r>
      <w:r w:rsidRPr="00324CF1">
        <w:rPr>
          <w:i/>
          <w:iCs/>
          <w:lang w:val="en-CA"/>
        </w:rPr>
        <w:t>AAI Act</w:t>
      </w:r>
      <w:r w:rsidRPr="00324CF1">
        <w:rPr>
          <w:lang w:val="en-CA"/>
        </w:rPr>
        <w:t>, India’s control over AAI, and AAI’s role with regard to Indian airspace,</w:t>
      </w:r>
      <w:r w:rsidRPr="00324CF1">
        <w:rPr>
          <w:rStyle w:val="Appelnotedebasdep"/>
          <w:lang w:val="en-CA"/>
        </w:rPr>
        <w:footnoteReference w:id="171"/>
      </w:r>
      <w:r w:rsidRPr="00324CF1">
        <w:rPr>
          <w:lang w:val="en-CA"/>
        </w:rPr>
        <w:t xml:space="preserve"> conclude that not only was AAI the </w:t>
      </w:r>
      <w:r w:rsidRPr="00324CF1">
        <w:rPr>
          <w:i/>
          <w:iCs/>
          <w:lang w:val="en-CA"/>
        </w:rPr>
        <w:t>alter ego</w:t>
      </w:r>
      <w:r w:rsidRPr="00324CF1">
        <w:rPr>
          <w:lang w:val="en-CA"/>
        </w:rPr>
        <w:t xml:space="preserve"> of India, but that it was an integral and inseparable organ </w:t>
      </w:r>
      <w:r w:rsidR="00610FE1">
        <w:rPr>
          <w:lang w:val="en-CA"/>
        </w:rPr>
        <w:t>there</w:t>
      </w:r>
      <w:r w:rsidRPr="00324CF1">
        <w:rPr>
          <w:lang w:val="en-CA"/>
        </w:rPr>
        <w:t>of, which made it possible to order a seizure before judgment as a conservatory measure.</w:t>
      </w:r>
    </w:p>
    <w:p w14:paraId="7941AF63" w14:textId="77777777" w:rsidR="0081370B" w:rsidRPr="00324CF1" w:rsidRDefault="00ED47F8" w:rsidP="00FB5A91">
      <w:pPr>
        <w:pStyle w:val="Titre2"/>
        <w:spacing w:line="240" w:lineRule="auto"/>
      </w:pPr>
      <w:bookmarkStart w:id="118" w:name="_Toc184205623"/>
      <w:bookmarkStart w:id="119" w:name="_Toc256000018"/>
      <w:r w:rsidRPr="00324CF1">
        <w:rPr>
          <w:bCs/>
          <w:iCs/>
          <w:lang w:val="en-CA"/>
        </w:rPr>
        <w:t xml:space="preserve">4. </w:t>
      </w:r>
      <w:r w:rsidRPr="00324CF1">
        <w:rPr>
          <w:b w:val="0"/>
          <w:i w:val="0"/>
          <w:lang w:val="en-CA"/>
        </w:rPr>
        <w:tab/>
      </w:r>
      <w:r w:rsidRPr="00324CF1">
        <w:rPr>
          <w:bCs/>
          <w:iCs/>
          <w:lang w:val="en-CA"/>
        </w:rPr>
        <w:t>Conclusion</w:t>
      </w:r>
      <w:bookmarkEnd w:id="118"/>
      <w:bookmarkEnd w:id="119"/>
    </w:p>
    <w:p w14:paraId="67F26904" w14:textId="67BEA438" w:rsidR="0081370B" w:rsidRPr="00324CF1" w:rsidRDefault="00ED47F8" w:rsidP="00FB5A91">
      <w:pPr>
        <w:pStyle w:val="Paragraphe"/>
        <w:spacing w:line="240" w:lineRule="auto"/>
        <w:rPr>
          <w:lang w:val="en-US"/>
        </w:rPr>
      </w:pPr>
      <w:r w:rsidRPr="00324CF1">
        <w:rPr>
          <w:lang w:val="en-CA"/>
        </w:rPr>
        <w:t>For all these reasons, Granosik</w:t>
      </w:r>
      <w:r w:rsidR="00B95CA4">
        <w:rPr>
          <w:lang w:val="en-CA"/>
        </w:rPr>
        <w:t>,</w:t>
      </w:r>
      <w:r w:rsidRPr="00324CF1">
        <w:rPr>
          <w:lang w:val="en-CA"/>
        </w:rPr>
        <w:t xml:space="preserve"> J. could authorize the seizure before judgment</w:t>
      </w:r>
      <w:r w:rsidRPr="00324CF1">
        <w:rPr>
          <w:i/>
          <w:iCs/>
          <w:lang w:val="en-CA"/>
        </w:rPr>
        <w:t xml:space="preserve"> ex parte</w:t>
      </w:r>
      <w:r w:rsidRPr="00324CF1">
        <w:rPr>
          <w:lang w:val="en-CA"/>
        </w:rPr>
        <w:t xml:space="preserve"> before the question of immunity had been decided on the merits. Similarly, </w:t>
      </w:r>
      <w:r w:rsidR="00B95CA4">
        <w:rPr>
          <w:lang w:val="en-CA"/>
        </w:rPr>
        <w:t>it appears from the record as constituted before him</w:t>
      </w:r>
      <w:r w:rsidRPr="00324CF1">
        <w:rPr>
          <w:lang w:val="en-CA"/>
        </w:rPr>
        <w:t xml:space="preserve"> that his conclusion</w:t>
      </w:r>
      <w:r w:rsidR="00B95CA4">
        <w:rPr>
          <w:lang w:val="en-CA"/>
        </w:rPr>
        <w:t xml:space="preserve"> that</w:t>
      </w:r>
      <w:r w:rsidRPr="00324CF1">
        <w:rPr>
          <w:lang w:val="en-CA"/>
        </w:rPr>
        <w:t xml:space="preserve">, </w:t>
      </w:r>
      <w:r w:rsidRPr="00324CF1">
        <w:rPr>
          <w:i/>
          <w:iCs/>
          <w:lang w:val="en-CA"/>
        </w:rPr>
        <w:t>prima facie</w:t>
      </w:r>
      <w:r w:rsidRPr="00324CF1">
        <w:rPr>
          <w:lang w:val="en-CA"/>
        </w:rPr>
        <w:t xml:space="preserve">, the AAI funds belonged to India and that state immunity did not apply due to </w:t>
      </w:r>
      <w:r w:rsidR="00B95CA4">
        <w:rPr>
          <w:lang w:val="en-CA"/>
        </w:rPr>
        <w:t>any</w:t>
      </w:r>
      <w:r w:rsidR="00B95CA4" w:rsidRPr="00324CF1">
        <w:rPr>
          <w:lang w:val="en-CA"/>
        </w:rPr>
        <w:t xml:space="preserve"> </w:t>
      </w:r>
      <w:r w:rsidRPr="00324CF1">
        <w:rPr>
          <w:lang w:val="en-CA"/>
        </w:rPr>
        <w:t xml:space="preserve">of the exceptions set out in </w:t>
      </w:r>
      <w:bookmarkStart w:id="120" w:name="_Hlk179876676"/>
      <w:r w:rsidRPr="00324CF1">
        <w:rPr>
          <w:lang w:val="en-CA"/>
        </w:rPr>
        <w:t xml:space="preserve">subsection 4(2)(a) </w:t>
      </w:r>
      <w:bookmarkEnd w:id="120"/>
      <w:r w:rsidRPr="00324CF1">
        <w:rPr>
          <w:lang w:val="en-CA"/>
        </w:rPr>
        <w:t xml:space="preserve">or section 5 of the </w:t>
      </w:r>
      <w:r w:rsidRPr="00324CF1">
        <w:rPr>
          <w:i/>
          <w:iCs/>
          <w:lang w:val="en-CA"/>
        </w:rPr>
        <w:t>SIA,</w:t>
      </w:r>
      <w:r w:rsidRPr="00324CF1">
        <w:rPr>
          <w:lang w:val="en-CA"/>
        </w:rPr>
        <w:t xml:space="preserve"> was reasonable.</w:t>
      </w:r>
    </w:p>
    <w:p w14:paraId="59B3A8A0" w14:textId="682BCA35" w:rsidR="0081370B" w:rsidRPr="005E6EB3" w:rsidRDefault="00ED47F8" w:rsidP="00FB5A91">
      <w:pPr>
        <w:pStyle w:val="Paragraphe"/>
        <w:spacing w:line="240" w:lineRule="auto"/>
        <w:rPr>
          <w:lang w:val="en-CA"/>
        </w:rPr>
      </w:pPr>
      <w:r w:rsidRPr="00324CF1">
        <w:rPr>
          <w:lang w:val="en-CA"/>
        </w:rPr>
        <w:t xml:space="preserve">Since the other conditions of article 518 CCP had been </w:t>
      </w:r>
      <w:r w:rsidR="00B95CA4">
        <w:rPr>
          <w:lang w:val="en-CA"/>
        </w:rPr>
        <w:t>met</w:t>
      </w:r>
      <w:r w:rsidR="00B95CA4" w:rsidRPr="00324CF1">
        <w:rPr>
          <w:lang w:val="en-CA"/>
        </w:rPr>
        <w:t xml:space="preserve"> </w:t>
      </w:r>
      <w:r w:rsidRPr="00324CF1">
        <w:rPr>
          <w:lang w:val="en-CA"/>
        </w:rPr>
        <w:t xml:space="preserve">and were no longer disputed before the Court, the seizure was </w:t>
      </w:r>
      <w:r w:rsidRPr="00324CF1">
        <w:rPr>
          <w:i/>
          <w:iCs/>
          <w:lang w:val="en-CA"/>
        </w:rPr>
        <w:t xml:space="preserve">a priori </w:t>
      </w:r>
      <w:r w:rsidRPr="00324CF1">
        <w:rPr>
          <w:lang w:val="en-CA"/>
        </w:rPr>
        <w:t>valid and Pinsonnault</w:t>
      </w:r>
      <w:r w:rsidR="00B95CA4">
        <w:rPr>
          <w:lang w:val="en-CA"/>
        </w:rPr>
        <w:t>,</w:t>
      </w:r>
      <w:r w:rsidRPr="00324CF1">
        <w:rPr>
          <w:lang w:val="en-CA"/>
        </w:rPr>
        <w:t xml:space="preserve"> J. should not have quashed it at that stage. The appeal is therefore </w:t>
      </w:r>
      <w:r w:rsidR="00B95CA4">
        <w:rPr>
          <w:lang w:val="en-CA"/>
        </w:rPr>
        <w:t>allowed</w:t>
      </w:r>
      <w:r w:rsidRPr="00324CF1">
        <w:rPr>
          <w:lang w:val="en-CA"/>
        </w:rPr>
        <w:t>.</w:t>
      </w:r>
    </w:p>
    <w:p w14:paraId="5C58EAB9" w14:textId="77777777" w:rsidR="00FB081D" w:rsidRPr="00324CF1" w:rsidRDefault="00ED47F8" w:rsidP="00FB5A91">
      <w:pPr>
        <w:pStyle w:val="Titre1"/>
        <w:numPr>
          <w:ilvl w:val="0"/>
          <w:numId w:val="15"/>
        </w:numPr>
        <w:spacing w:line="240" w:lineRule="auto"/>
        <w:jc w:val="both"/>
        <w:rPr>
          <w:sz w:val="24"/>
          <w:szCs w:val="24"/>
        </w:rPr>
      </w:pPr>
      <w:bookmarkStart w:id="121" w:name="_Toc184205624"/>
      <w:bookmarkStart w:id="122" w:name="_Toc256000019"/>
      <w:r w:rsidRPr="00324CF1">
        <w:rPr>
          <w:bCs/>
          <w:sz w:val="24"/>
          <w:szCs w:val="24"/>
          <w:lang w:val="en-CA"/>
        </w:rPr>
        <w:lastRenderedPageBreak/>
        <w:t>CCDM Holdings et al. c. The Airport Authority of India et al. (500-09-700124-225)</w:t>
      </w:r>
      <w:bookmarkEnd w:id="121"/>
      <w:bookmarkEnd w:id="122"/>
    </w:p>
    <w:p w14:paraId="5A31AAED" w14:textId="7911E45B" w:rsidR="00865233" w:rsidRPr="00324CF1" w:rsidRDefault="00ED47F8" w:rsidP="00FB5A91">
      <w:pPr>
        <w:pStyle w:val="Paragraphe"/>
        <w:spacing w:line="240" w:lineRule="auto"/>
        <w:rPr>
          <w:lang w:val="en-US"/>
        </w:rPr>
      </w:pPr>
      <w:r w:rsidRPr="00324CF1">
        <w:rPr>
          <w:lang w:val="en-CA"/>
        </w:rPr>
        <w:t>This third case, let us recall, concerns the possible effect of the</w:t>
      </w:r>
      <w:r w:rsidRPr="00324CF1">
        <w:rPr>
          <w:i/>
          <w:iCs/>
          <w:lang w:val="en-CA"/>
        </w:rPr>
        <w:t xml:space="preserve"> IATA Act</w:t>
      </w:r>
      <w:r w:rsidRPr="00324CF1">
        <w:rPr>
          <w:lang w:val="en-CA"/>
        </w:rPr>
        <w:t>, assented to on June 2, 2022, on the seizure by garnishment ordered on November 24, 2021, concerning</w:t>
      </w:r>
      <w:r w:rsidR="00DD6B7A">
        <w:rPr>
          <w:lang w:val="en-CA"/>
        </w:rPr>
        <w:t xml:space="preserve"> the</w:t>
      </w:r>
      <w:r w:rsidRPr="00324CF1">
        <w:rPr>
          <w:lang w:val="en-CA"/>
        </w:rPr>
        <w:t xml:space="preserve"> AAI funds that IATA held or could hold in the future. In connection with the </w:t>
      </w:r>
      <w:r w:rsidR="00DD6B7A">
        <w:rPr>
          <w:lang w:val="en-CA"/>
        </w:rPr>
        <w:t>adoption</w:t>
      </w:r>
      <w:r w:rsidR="00DD6B7A" w:rsidRPr="00324CF1">
        <w:rPr>
          <w:lang w:val="en-CA"/>
        </w:rPr>
        <w:t xml:space="preserve"> </w:t>
      </w:r>
      <w:r w:rsidRPr="00324CF1">
        <w:rPr>
          <w:lang w:val="en-CA"/>
        </w:rPr>
        <w:t xml:space="preserve">of this law, on June 27, 2022, AAI </w:t>
      </w:r>
      <w:r w:rsidR="00DD6B7A">
        <w:rPr>
          <w:lang w:val="en-CA"/>
        </w:rPr>
        <w:t>presented</w:t>
      </w:r>
      <w:r w:rsidR="00DD6B7A" w:rsidRPr="00324CF1">
        <w:rPr>
          <w:lang w:val="en-CA"/>
        </w:rPr>
        <w:t xml:space="preserve"> </w:t>
      </w:r>
      <w:r w:rsidRPr="00324CF1">
        <w:rPr>
          <w:lang w:val="en-CA"/>
        </w:rPr>
        <w:t>a second application to quash this seizure. Given that</w:t>
      </w:r>
      <w:r w:rsidR="00775A38">
        <w:rPr>
          <w:lang w:val="en-CA"/>
        </w:rPr>
        <w:t>,</w:t>
      </w:r>
      <w:r w:rsidRPr="00324CF1">
        <w:rPr>
          <w:lang w:val="en-CA"/>
        </w:rPr>
        <w:t xml:space="preserve"> as part of the previous case, the Court dismissed the first application to quash the seizure, it </w:t>
      </w:r>
      <w:r w:rsidR="00DD6B7A">
        <w:rPr>
          <w:lang w:val="en-CA"/>
        </w:rPr>
        <w:t>is</w:t>
      </w:r>
      <w:r w:rsidR="00DD6B7A" w:rsidRPr="00324CF1">
        <w:rPr>
          <w:lang w:val="en-CA"/>
        </w:rPr>
        <w:t xml:space="preserve"> </w:t>
      </w:r>
      <w:r w:rsidRPr="00324CF1">
        <w:rPr>
          <w:lang w:val="en-CA"/>
        </w:rPr>
        <w:t>now necessary to rule on this second application.</w:t>
      </w:r>
    </w:p>
    <w:p w14:paraId="3E771945" w14:textId="4470BAF7" w:rsidR="00865233" w:rsidRPr="00324CF1" w:rsidRDefault="00ED47F8" w:rsidP="00FB5A91">
      <w:pPr>
        <w:pStyle w:val="Paragraphe"/>
        <w:spacing w:line="240" w:lineRule="auto"/>
        <w:rPr>
          <w:lang w:val="en-US"/>
        </w:rPr>
      </w:pPr>
      <w:r w:rsidRPr="00324CF1">
        <w:rPr>
          <w:lang w:val="en-CA"/>
        </w:rPr>
        <w:t xml:space="preserve">For </w:t>
      </w:r>
      <w:r w:rsidR="00DD6B7A">
        <w:rPr>
          <w:lang w:val="en-CA"/>
        </w:rPr>
        <w:t xml:space="preserve">ease </w:t>
      </w:r>
      <w:r w:rsidR="00775A38">
        <w:rPr>
          <w:lang w:val="en-CA"/>
        </w:rPr>
        <w:t>o</w:t>
      </w:r>
      <w:r w:rsidR="00DD6B7A">
        <w:rPr>
          <w:lang w:val="en-CA"/>
        </w:rPr>
        <w:t>f reference</w:t>
      </w:r>
      <w:r w:rsidRPr="00324CF1">
        <w:rPr>
          <w:lang w:val="en-CA"/>
        </w:rPr>
        <w:t xml:space="preserve">, </w:t>
      </w:r>
      <w:r w:rsidR="00DD6B7A">
        <w:rPr>
          <w:lang w:val="en-CA"/>
        </w:rPr>
        <w:t>the wording</w:t>
      </w:r>
      <w:r w:rsidRPr="00324CF1">
        <w:rPr>
          <w:lang w:val="en-CA"/>
        </w:rPr>
        <w:t xml:space="preserve"> of the </w:t>
      </w:r>
      <w:r w:rsidRPr="00324CF1">
        <w:rPr>
          <w:i/>
          <w:iCs/>
          <w:lang w:val="en-CA"/>
        </w:rPr>
        <w:t>IATA Act</w:t>
      </w:r>
      <w:r w:rsidR="00DD6B7A">
        <w:rPr>
          <w:lang w:val="en-CA"/>
        </w:rPr>
        <w:t xml:space="preserve"> is reproduced below</w:t>
      </w:r>
      <w:r w:rsidRPr="00324CF1">
        <w:rPr>
          <w:lang w:val="en-CA"/>
        </w:rPr>
        <w:t>:</w:t>
      </w:r>
    </w:p>
    <w:tbl>
      <w:tblPr>
        <w:tblW w:w="0" w:type="auto"/>
        <w:tblLayout w:type="fixed"/>
        <w:tblCellMar>
          <w:left w:w="70" w:type="dxa"/>
          <w:right w:w="70" w:type="dxa"/>
        </w:tblCellMar>
        <w:tblLook w:val="0000" w:firstRow="0" w:lastRow="0" w:firstColumn="0" w:lastColumn="0" w:noHBand="0" w:noVBand="0"/>
      </w:tblPr>
      <w:tblGrid>
        <w:gridCol w:w="4681"/>
        <w:gridCol w:w="4681"/>
      </w:tblGrid>
      <w:tr w:rsidR="00291C6F" w:rsidRPr="00826F2F" w14:paraId="16A9F761" w14:textId="77777777" w:rsidTr="00E124A8">
        <w:tc>
          <w:tcPr>
            <w:tcW w:w="4681" w:type="dxa"/>
            <w:shd w:val="clear" w:color="auto" w:fill="auto"/>
          </w:tcPr>
          <w:p w14:paraId="0D0134A1" w14:textId="6A04AB63" w:rsidR="00DD6B7A" w:rsidRPr="00775A38" w:rsidRDefault="00DD6B7A" w:rsidP="00DD6B7A">
            <w:pPr>
              <w:pStyle w:val="Tableaudroiteanglais"/>
              <w:spacing w:line="240" w:lineRule="auto"/>
              <w:rPr>
                <w:b/>
                <w:bCs/>
              </w:rPr>
            </w:pPr>
            <w:r w:rsidRPr="00775A38">
              <w:rPr>
                <w:b/>
                <w:bCs/>
              </w:rPr>
              <w:t>AN ACT RESPECTING THE INTERNATIONAL AIR TRANSPORT ASSOCIATION</w:t>
            </w:r>
          </w:p>
          <w:p w14:paraId="024CB8B8" w14:textId="77777777" w:rsidR="00DD6B7A" w:rsidRPr="00775A38" w:rsidRDefault="00DD6B7A" w:rsidP="00DD6B7A">
            <w:pPr>
              <w:pStyle w:val="Tableaudroiteanglais"/>
              <w:spacing w:line="240" w:lineRule="auto"/>
            </w:pPr>
          </w:p>
          <w:p w14:paraId="54570F1C" w14:textId="77777777" w:rsidR="00DD6B7A" w:rsidRPr="00775A38" w:rsidRDefault="00DD6B7A" w:rsidP="00DD6B7A">
            <w:pPr>
              <w:pStyle w:val="Tableaudroiteanglais"/>
              <w:spacing w:line="240" w:lineRule="auto"/>
            </w:pPr>
            <w:r w:rsidRPr="00775A38">
              <w:t>AS the International Air Transport Association was incorporated by the Act to Incorporate the International Air Transport Association (Statutes of Canada, 1945, chapter 51);</w:t>
            </w:r>
          </w:p>
          <w:p w14:paraId="2AEB7BB8" w14:textId="77777777" w:rsidR="00DD6B7A" w:rsidRPr="00775A38" w:rsidRDefault="00DD6B7A" w:rsidP="00DD6B7A">
            <w:pPr>
              <w:pStyle w:val="Tableaudroiteanglais"/>
              <w:spacing w:line="240" w:lineRule="auto"/>
            </w:pPr>
          </w:p>
          <w:p w14:paraId="26F60475" w14:textId="77777777" w:rsidR="00DD6B7A" w:rsidRPr="00775A38" w:rsidRDefault="00DD6B7A" w:rsidP="00DD6B7A">
            <w:pPr>
              <w:pStyle w:val="Tableaudroiteanglais"/>
              <w:spacing w:line="240" w:lineRule="auto"/>
            </w:pPr>
          </w:p>
          <w:p w14:paraId="4715C256" w14:textId="77777777" w:rsidR="00DD6B7A" w:rsidRPr="00775A38" w:rsidRDefault="00DD6B7A" w:rsidP="00DD6B7A">
            <w:pPr>
              <w:pStyle w:val="Tableaudroiteanglais"/>
              <w:spacing w:line="240" w:lineRule="auto"/>
            </w:pPr>
            <w:r w:rsidRPr="00775A38">
              <w:t>AS, under section 1 of the Agreement between the Gouvernement du Québec and the International Air Transport Association relating to the privileges granted by the Gouvernement du Québec to the Association and its non-Canadian employees, signed in Montréal on 27 October 1988, the Association is recognized as an international non-governmental organization;</w:t>
            </w:r>
          </w:p>
          <w:p w14:paraId="28CD422C" w14:textId="77777777" w:rsidR="00DD6B7A" w:rsidRPr="00775A38" w:rsidRDefault="00DD6B7A" w:rsidP="00DD6B7A">
            <w:pPr>
              <w:pStyle w:val="Tableaudroiteanglais"/>
              <w:spacing w:line="240" w:lineRule="auto"/>
            </w:pPr>
          </w:p>
          <w:p w14:paraId="65705F29" w14:textId="77777777" w:rsidR="00DD6B7A" w:rsidRPr="00775A38" w:rsidRDefault="00DD6B7A" w:rsidP="00DD6B7A">
            <w:pPr>
              <w:pStyle w:val="Tableaudroiteanglais"/>
              <w:spacing w:line="240" w:lineRule="auto"/>
            </w:pPr>
          </w:p>
          <w:p w14:paraId="22FF852F" w14:textId="77777777" w:rsidR="00DD6B7A" w:rsidRPr="00775A38" w:rsidRDefault="00DD6B7A" w:rsidP="00DD6B7A">
            <w:pPr>
              <w:pStyle w:val="Tableaudroiteanglais"/>
              <w:spacing w:line="240" w:lineRule="auto"/>
            </w:pPr>
            <w:r w:rsidRPr="00775A38">
              <w:t>AS the head office of the International Air Transport Association is located in Montréal;</w:t>
            </w:r>
          </w:p>
          <w:p w14:paraId="3FA51505" w14:textId="77777777" w:rsidR="00DD6B7A" w:rsidRPr="00775A38" w:rsidRDefault="00DD6B7A" w:rsidP="00DD6B7A">
            <w:pPr>
              <w:pStyle w:val="Tableaudroiteanglais"/>
              <w:spacing w:line="240" w:lineRule="auto"/>
            </w:pPr>
          </w:p>
          <w:p w14:paraId="3B243C74" w14:textId="77777777" w:rsidR="00DD6B7A" w:rsidRPr="00775A38" w:rsidRDefault="00DD6B7A" w:rsidP="00DD6B7A">
            <w:pPr>
              <w:pStyle w:val="Tableaudroiteanglais"/>
              <w:spacing w:line="240" w:lineRule="auto"/>
            </w:pPr>
          </w:p>
          <w:p w14:paraId="78300D99" w14:textId="77777777" w:rsidR="00DD6B7A" w:rsidRPr="00775A38" w:rsidRDefault="00DD6B7A" w:rsidP="00DD6B7A">
            <w:pPr>
              <w:pStyle w:val="Tableaudroiteanglais"/>
              <w:spacing w:line="240" w:lineRule="auto"/>
            </w:pPr>
            <w:r w:rsidRPr="00775A38">
              <w:t>AS, under section 3 of the incorporating act of the International Air Transport Association, the mission of the Association is</w:t>
            </w:r>
          </w:p>
          <w:p w14:paraId="66869027" w14:textId="77777777" w:rsidR="00DD6B7A" w:rsidRPr="00775A38" w:rsidRDefault="00DD6B7A" w:rsidP="00DD6B7A">
            <w:pPr>
              <w:pStyle w:val="Tableaudroiteanglais"/>
              <w:spacing w:line="240" w:lineRule="auto"/>
            </w:pPr>
          </w:p>
          <w:p w14:paraId="535525D2" w14:textId="77777777" w:rsidR="00DD6B7A" w:rsidRPr="00775A38" w:rsidRDefault="00DD6B7A" w:rsidP="00DD6B7A">
            <w:pPr>
              <w:pStyle w:val="Tableaudroiteanglais"/>
              <w:spacing w:line="240" w:lineRule="auto"/>
            </w:pPr>
            <w:r w:rsidRPr="00775A38">
              <w:t xml:space="preserve">(a) to promote safe, regular and economical air transport for the </w:t>
            </w:r>
            <w:r w:rsidRPr="00775A38">
              <w:lastRenderedPageBreak/>
              <w:t xml:space="preserve">benefit of the peoples of the world, to foster air commerce and to study the problems connected therewith; </w:t>
            </w:r>
          </w:p>
          <w:p w14:paraId="0498DA96" w14:textId="77777777" w:rsidR="00DD6B7A" w:rsidRPr="00775A38" w:rsidRDefault="00DD6B7A" w:rsidP="00DD6B7A">
            <w:pPr>
              <w:pStyle w:val="Tableaudroiteanglais"/>
              <w:spacing w:line="240" w:lineRule="auto"/>
            </w:pPr>
          </w:p>
          <w:p w14:paraId="7706522E" w14:textId="77777777" w:rsidR="00DD6B7A" w:rsidRPr="00775A38" w:rsidRDefault="00DD6B7A" w:rsidP="00DD6B7A">
            <w:pPr>
              <w:pStyle w:val="Tableaudroiteanglais"/>
              <w:spacing w:line="240" w:lineRule="auto"/>
            </w:pPr>
            <w:r w:rsidRPr="00775A38">
              <w:t>(b) to provide means for collaboration among the air transport enterprises engaged directly or indirectly in international air transport service; and</w:t>
            </w:r>
          </w:p>
          <w:p w14:paraId="488B9690" w14:textId="77777777" w:rsidR="00DD6B7A" w:rsidRPr="00775A38" w:rsidRDefault="00DD6B7A" w:rsidP="00DD6B7A">
            <w:pPr>
              <w:pStyle w:val="Tableaudroiteanglais"/>
              <w:spacing w:line="240" w:lineRule="auto"/>
            </w:pPr>
          </w:p>
          <w:p w14:paraId="2E1BE2DD" w14:textId="77777777" w:rsidR="00DD6B7A" w:rsidRPr="00775A38" w:rsidRDefault="00DD6B7A" w:rsidP="00DD6B7A">
            <w:pPr>
              <w:pStyle w:val="Tableaudroiteanglais"/>
              <w:spacing w:line="240" w:lineRule="auto"/>
            </w:pPr>
          </w:p>
          <w:p w14:paraId="7EDAF5DF" w14:textId="77777777" w:rsidR="00DD6B7A" w:rsidRPr="00775A38" w:rsidRDefault="00DD6B7A" w:rsidP="00DD6B7A">
            <w:pPr>
              <w:pStyle w:val="Tableaudroiteanglais"/>
              <w:spacing w:line="240" w:lineRule="auto"/>
            </w:pPr>
            <w:r w:rsidRPr="00775A38">
              <w:t>(c) to cooperate with the International Civil Aviation Organization and other international organizations;</w:t>
            </w:r>
          </w:p>
          <w:p w14:paraId="3117780E" w14:textId="77777777" w:rsidR="00DD6B7A" w:rsidRPr="00775A38" w:rsidRDefault="00DD6B7A" w:rsidP="00DD6B7A">
            <w:pPr>
              <w:pStyle w:val="Tableaudroiteanglais"/>
              <w:spacing w:line="240" w:lineRule="auto"/>
            </w:pPr>
          </w:p>
          <w:p w14:paraId="6C65774B" w14:textId="77777777" w:rsidR="00DD6B7A" w:rsidRPr="00775A38" w:rsidRDefault="00DD6B7A" w:rsidP="00DD6B7A">
            <w:pPr>
              <w:pStyle w:val="Tableaudroiteanglais"/>
              <w:spacing w:line="240" w:lineRule="auto"/>
            </w:pPr>
            <w:r w:rsidRPr="00775A38">
              <w:t>AS the International Air Transport Association plays an important role in maintaining and developing standards for air traffic safety and efficiency;</w:t>
            </w:r>
          </w:p>
          <w:p w14:paraId="0B9E59A8" w14:textId="77777777" w:rsidR="00DD6B7A" w:rsidRPr="00775A38" w:rsidRDefault="00DD6B7A" w:rsidP="00DD6B7A">
            <w:pPr>
              <w:pStyle w:val="Tableaudroiteanglais"/>
              <w:spacing w:line="240" w:lineRule="auto"/>
            </w:pPr>
          </w:p>
          <w:p w14:paraId="54E23A9A" w14:textId="77777777" w:rsidR="00DD6B7A" w:rsidRPr="00775A38" w:rsidRDefault="00DD6B7A" w:rsidP="00DD6B7A">
            <w:pPr>
              <w:pStyle w:val="Tableaudroiteanglais"/>
              <w:spacing w:line="240" w:lineRule="auto"/>
            </w:pPr>
          </w:p>
          <w:p w14:paraId="05EF051C" w14:textId="77777777" w:rsidR="00DD6B7A" w:rsidRPr="00775A38" w:rsidRDefault="00DD6B7A" w:rsidP="00DD6B7A">
            <w:pPr>
              <w:pStyle w:val="Tableaudroiteanglais"/>
              <w:spacing w:line="240" w:lineRule="auto"/>
            </w:pPr>
            <w:r w:rsidRPr="00775A38">
              <w:t>AS there is a need to protect the integrity and security of the payment mechanisms and financial services that the International Air Transport Association provides to its members and to other participants;</w:t>
            </w:r>
          </w:p>
          <w:p w14:paraId="3DA3AA82" w14:textId="77777777" w:rsidR="00DD6B7A" w:rsidRPr="00775A38" w:rsidRDefault="00DD6B7A" w:rsidP="00DD6B7A">
            <w:pPr>
              <w:pStyle w:val="Tableaudroiteanglais"/>
              <w:spacing w:line="240" w:lineRule="auto"/>
            </w:pPr>
          </w:p>
          <w:p w14:paraId="4AD124ED" w14:textId="77777777" w:rsidR="00DD6B7A" w:rsidRPr="00775A38" w:rsidRDefault="00DD6B7A" w:rsidP="00DD6B7A">
            <w:pPr>
              <w:pStyle w:val="Tableaudroiteanglais"/>
              <w:spacing w:line="240" w:lineRule="auto"/>
            </w:pPr>
            <w:r w:rsidRPr="00775A38">
              <w:t>THE PARLIAMENT OF QUÉBEC ENACTS AS FOLLOWS</w:t>
            </w:r>
          </w:p>
          <w:p w14:paraId="548280EC" w14:textId="77777777" w:rsidR="00DD6B7A" w:rsidRPr="00775A38" w:rsidRDefault="00DD6B7A" w:rsidP="00DD6B7A">
            <w:pPr>
              <w:pStyle w:val="Tableaudroiteanglais"/>
              <w:spacing w:line="240" w:lineRule="auto"/>
            </w:pPr>
          </w:p>
          <w:p w14:paraId="2D98BBFF" w14:textId="77777777" w:rsidR="00DD6B7A" w:rsidRPr="00775A38" w:rsidRDefault="00DD6B7A" w:rsidP="00DD6B7A">
            <w:pPr>
              <w:pStyle w:val="Tableaudroiteanglais"/>
              <w:spacing w:line="240" w:lineRule="auto"/>
            </w:pPr>
            <w:r w:rsidRPr="00775A38">
              <w:rPr>
                <w:b/>
                <w:bCs/>
              </w:rPr>
              <w:t>1.</w:t>
            </w:r>
            <w:r w:rsidRPr="00775A38">
              <w:t xml:space="preserve"> Despite any provision to the contrary, no sum of money held by the International Air Transport Association and required to be paid to a participant in its financial services may be the subject of a seizure in the hands of a third person or of a measure having the same effect.</w:t>
            </w:r>
          </w:p>
          <w:p w14:paraId="5770EC71" w14:textId="77777777" w:rsidR="00DD6B7A" w:rsidRPr="00775A38" w:rsidRDefault="00DD6B7A" w:rsidP="00DD6B7A">
            <w:pPr>
              <w:pStyle w:val="Tableaudroiteanglais"/>
              <w:spacing w:line="240" w:lineRule="auto"/>
            </w:pPr>
          </w:p>
          <w:p w14:paraId="222B9DD8" w14:textId="77777777" w:rsidR="00DD6B7A" w:rsidRPr="00775A38" w:rsidRDefault="00DD6B7A" w:rsidP="00DD6B7A">
            <w:pPr>
              <w:pStyle w:val="Tableaudroiteanglais"/>
              <w:spacing w:line="240" w:lineRule="auto"/>
            </w:pPr>
            <w:r w:rsidRPr="00775A38">
              <w:t xml:space="preserve">The first paragraph does not apply in the following cases: </w:t>
            </w:r>
          </w:p>
          <w:p w14:paraId="7E53256E" w14:textId="77777777" w:rsidR="00DD6B7A" w:rsidRPr="00775A38" w:rsidRDefault="00DD6B7A" w:rsidP="00DD6B7A">
            <w:pPr>
              <w:pStyle w:val="Tableaudroiteanglais"/>
              <w:spacing w:line="240" w:lineRule="auto"/>
            </w:pPr>
          </w:p>
          <w:p w14:paraId="56CFF57B" w14:textId="77777777" w:rsidR="00DD6B7A" w:rsidRPr="00775A38" w:rsidRDefault="00DD6B7A" w:rsidP="00DD6B7A">
            <w:pPr>
              <w:pStyle w:val="Tableaudroiteanglais"/>
              <w:spacing w:line="240" w:lineRule="auto"/>
            </w:pPr>
            <w:r w:rsidRPr="00775A38">
              <w:t>(1) the Association expressly consents to the seizure in the hands of a third person or to the measure; or</w:t>
            </w:r>
          </w:p>
          <w:p w14:paraId="030947BA" w14:textId="77777777" w:rsidR="00DD6B7A" w:rsidRPr="00775A38" w:rsidRDefault="00DD6B7A" w:rsidP="00DD6B7A">
            <w:pPr>
              <w:pStyle w:val="Tableaudroiteanglais"/>
              <w:spacing w:line="240" w:lineRule="auto"/>
            </w:pPr>
          </w:p>
          <w:p w14:paraId="16116E75" w14:textId="77777777" w:rsidR="00DD6B7A" w:rsidRPr="00775A38" w:rsidRDefault="00DD6B7A" w:rsidP="00DD6B7A">
            <w:pPr>
              <w:pStyle w:val="Tableaudroiteanglais"/>
              <w:spacing w:line="240" w:lineRule="auto"/>
            </w:pPr>
            <w:r w:rsidRPr="00775A38">
              <w:lastRenderedPageBreak/>
              <w:t>(2) the sum of money is in an account held by the Association in a Québec branch of a bank, authorized trust company or financial services cooperative.</w:t>
            </w:r>
          </w:p>
          <w:p w14:paraId="35C747B6" w14:textId="77777777" w:rsidR="00DD6B7A" w:rsidRPr="00775A38" w:rsidRDefault="00DD6B7A" w:rsidP="00DD6B7A">
            <w:pPr>
              <w:pStyle w:val="Tableaudroiteanglais"/>
              <w:spacing w:line="240" w:lineRule="auto"/>
            </w:pPr>
          </w:p>
          <w:p w14:paraId="3916ED5B" w14:textId="77777777" w:rsidR="00DD6B7A" w:rsidRPr="00775A38" w:rsidRDefault="00DD6B7A" w:rsidP="00DD6B7A">
            <w:pPr>
              <w:pStyle w:val="Tableaudroiteanglais"/>
              <w:spacing w:line="240" w:lineRule="auto"/>
            </w:pPr>
          </w:p>
          <w:p w14:paraId="6A90E136" w14:textId="77777777" w:rsidR="00DD6B7A" w:rsidRPr="00775A38" w:rsidRDefault="00DD6B7A" w:rsidP="005E6EB3">
            <w:pPr>
              <w:pStyle w:val="Tableaudroiteanglais"/>
              <w:spacing w:line="240" w:lineRule="auto"/>
            </w:pPr>
            <w:r w:rsidRPr="00775A38">
              <w:t>For the purposes of the first paragraph, “financial services” means all of the Association’s settlement and clearing systems, including, but not limited to, the IATA Enhancement and Financing Services, the IATA Clearing House, the Billing and Settlement Plan, the Cargo Account Settlement Systems and the IATA Currency Clearing Service.</w:t>
            </w:r>
          </w:p>
          <w:p w14:paraId="11EFBE0E" w14:textId="77777777" w:rsidR="00DD6B7A" w:rsidRPr="00775A38" w:rsidRDefault="00DD6B7A" w:rsidP="005E6EB3">
            <w:pPr>
              <w:pStyle w:val="Tableaudroiteanglais"/>
              <w:spacing w:line="240" w:lineRule="auto"/>
            </w:pPr>
          </w:p>
          <w:p w14:paraId="4BF1E08C" w14:textId="355AE944" w:rsidR="00E124A8" w:rsidRPr="00775A38" w:rsidRDefault="00DD6B7A" w:rsidP="005E6EB3">
            <w:pPr>
              <w:pStyle w:val="Tableaudroiteanglais"/>
              <w:spacing w:line="240" w:lineRule="auto"/>
            </w:pPr>
            <w:r w:rsidRPr="005E6EB3">
              <w:t>2.</w:t>
            </w:r>
            <w:r w:rsidRPr="00775A38">
              <w:t xml:space="preserve"> This Act has effect from 5 May 2022. </w:t>
            </w:r>
          </w:p>
        </w:tc>
        <w:tc>
          <w:tcPr>
            <w:tcW w:w="4681" w:type="dxa"/>
            <w:shd w:val="clear" w:color="auto" w:fill="auto"/>
          </w:tcPr>
          <w:p w14:paraId="693A97D2" w14:textId="3E51FA86" w:rsidR="00DD6B7A" w:rsidRPr="005E6EB3" w:rsidRDefault="00DD6B7A" w:rsidP="00DD6B7A">
            <w:pPr>
              <w:pStyle w:val="Tableaugauchefranais"/>
              <w:spacing w:line="240" w:lineRule="auto"/>
              <w:ind w:left="634"/>
              <w:jc w:val="both"/>
              <w:rPr>
                <w:b/>
                <w:bCs/>
              </w:rPr>
            </w:pPr>
            <w:r w:rsidRPr="00775A38">
              <w:rPr>
                <w:b/>
                <w:bCs/>
              </w:rPr>
              <w:lastRenderedPageBreak/>
              <w:t>L</w:t>
            </w:r>
            <w:r w:rsidRPr="005E6EB3">
              <w:rPr>
                <w:b/>
                <w:bCs/>
              </w:rPr>
              <w:t>OI CONCERNANT L’ASSOCIATION DU TRANSPORT AÉRIEN INTERNATIONAL</w:t>
            </w:r>
          </w:p>
          <w:p w14:paraId="07DF311A" w14:textId="77777777" w:rsidR="00DD6B7A" w:rsidRPr="005E6EB3" w:rsidRDefault="00DD6B7A" w:rsidP="00DD6B7A">
            <w:pPr>
              <w:pStyle w:val="Tableaugauchefranais"/>
              <w:spacing w:line="240" w:lineRule="auto"/>
              <w:ind w:left="634"/>
              <w:jc w:val="both"/>
            </w:pPr>
          </w:p>
          <w:p w14:paraId="186B75CF" w14:textId="77777777" w:rsidR="00DD6B7A" w:rsidRPr="00775A38" w:rsidRDefault="00DD6B7A" w:rsidP="00DD6B7A">
            <w:pPr>
              <w:pStyle w:val="Tableaugauchefranais"/>
              <w:spacing w:line="240" w:lineRule="auto"/>
              <w:ind w:left="634"/>
              <w:jc w:val="both"/>
            </w:pPr>
            <w:r w:rsidRPr="00775A38">
              <w:t>ATTENDU que l’Association du Transport Aérien International a été constituée par la Loi constituant en corporation l’Association du Transport Aérien International (Statuts du Canada, 1945, chapitre 51);</w:t>
            </w:r>
          </w:p>
          <w:p w14:paraId="6D9344FD" w14:textId="77777777" w:rsidR="00DD6B7A" w:rsidRPr="00775A38" w:rsidRDefault="00DD6B7A" w:rsidP="00DD6B7A">
            <w:pPr>
              <w:pStyle w:val="Tableaugauchefranais"/>
              <w:spacing w:line="240" w:lineRule="auto"/>
              <w:ind w:left="634"/>
              <w:jc w:val="both"/>
            </w:pPr>
          </w:p>
          <w:p w14:paraId="45CA7FFE" w14:textId="77777777" w:rsidR="00DD6B7A" w:rsidRPr="00775A38" w:rsidRDefault="00DD6B7A" w:rsidP="00DD6B7A">
            <w:pPr>
              <w:pStyle w:val="Tableaugauchefranais"/>
              <w:spacing w:line="240" w:lineRule="auto"/>
              <w:ind w:left="634"/>
              <w:jc w:val="both"/>
            </w:pPr>
            <w:r w:rsidRPr="00775A38">
              <w:t>Qu’en vertu de l’article 1 de l’Accord entre le gouvernement du Québec et l’Association du Transport Aérien International relatif aux privilèges consentis par le gouvernement du Québec à l’Association et à ses employés non canadiens, signé à Montréal le 27 octobre 1988, cette association est reconnue comme un organisme non gouvernemental international;</w:t>
            </w:r>
          </w:p>
          <w:p w14:paraId="049D0446" w14:textId="77777777" w:rsidR="00DD6B7A" w:rsidRPr="00775A38" w:rsidRDefault="00DD6B7A" w:rsidP="00DD6B7A">
            <w:pPr>
              <w:pStyle w:val="Tableaugauchefranais"/>
              <w:spacing w:line="240" w:lineRule="auto"/>
              <w:ind w:left="634"/>
              <w:jc w:val="both"/>
            </w:pPr>
          </w:p>
          <w:p w14:paraId="16B9B278" w14:textId="77777777" w:rsidR="00DD6B7A" w:rsidRPr="00775A38" w:rsidRDefault="00DD6B7A" w:rsidP="00DD6B7A">
            <w:pPr>
              <w:pStyle w:val="Tableaugauchefranais"/>
              <w:spacing w:line="240" w:lineRule="auto"/>
              <w:ind w:left="634"/>
              <w:jc w:val="both"/>
            </w:pPr>
          </w:p>
          <w:p w14:paraId="6D00728B" w14:textId="77777777" w:rsidR="00DD6B7A" w:rsidRPr="00775A38" w:rsidRDefault="00DD6B7A" w:rsidP="00DD6B7A">
            <w:pPr>
              <w:pStyle w:val="Tableaugauchefranais"/>
              <w:spacing w:line="240" w:lineRule="auto"/>
              <w:ind w:left="634"/>
              <w:jc w:val="both"/>
            </w:pPr>
            <w:r w:rsidRPr="00775A38">
              <w:t xml:space="preserve">Que le siège de l’Association du Transport Aérien International est situé à Montréal; </w:t>
            </w:r>
          </w:p>
          <w:p w14:paraId="45372D3D" w14:textId="77777777" w:rsidR="00DD6B7A" w:rsidRPr="00775A38" w:rsidRDefault="00DD6B7A" w:rsidP="00DD6B7A">
            <w:pPr>
              <w:pStyle w:val="Tableaugauchefranais"/>
              <w:spacing w:line="240" w:lineRule="auto"/>
              <w:ind w:left="634"/>
              <w:jc w:val="both"/>
            </w:pPr>
          </w:p>
          <w:p w14:paraId="70CF68FB" w14:textId="77777777" w:rsidR="00DD6B7A" w:rsidRPr="00775A38" w:rsidRDefault="00DD6B7A" w:rsidP="00DD6B7A">
            <w:pPr>
              <w:pStyle w:val="Tableaugauchefranais"/>
              <w:spacing w:line="240" w:lineRule="auto"/>
              <w:ind w:left="634"/>
              <w:jc w:val="both"/>
            </w:pPr>
          </w:p>
          <w:p w14:paraId="5FFB4DA2" w14:textId="77777777" w:rsidR="00DD6B7A" w:rsidRPr="00775A38" w:rsidRDefault="00DD6B7A" w:rsidP="00DD6B7A">
            <w:pPr>
              <w:pStyle w:val="Tableaugauchefranais"/>
              <w:spacing w:line="240" w:lineRule="auto"/>
              <w:ind w:left="634"/>
              <w:jc w:val="both"/>
            </w:pPr>
            <w:r w:rsidRPr="00775A38">
              <w:t>Qu’en vertu de l’article 3 de sa loi constitutive, la mission de l’Association du Transport Aérien International est de :</w:t>
            </w:r>
          </w:p>
          <w:p w14:paraId="46DE21C8" w14:textId="77777777" w:rsidR="00DD6B7A" w:rsidRPr="00775A38" w:rsidRDefault="00DD6B7A" w:rsidP="00DD6B7A">
            <w:pPr>
              <w:pStyle w:val="Tableaugauchefranais"/>
              <w:spacing w:line="240" w:lineRule="auto"/>
              <w:ind w:left="634"/>
              <w:jc w:val="both"/>
            </w:pPr>
          </w:p>
          <w:p w14:paraId="52C2DF01" w14:textId="77777777" w:rsidR="00DD6B7A" w:rsidRPr="00775A38" w:rsidRDefault="00DD6B7A" w:rsidP="00DD6B7A">
            <w:pPr>
              <w:pStyle w:val="Tableaugauchefranais"/>
              <w:spacing w:line="240" w:lineRule="auto"/>
              <w:ind w:left="634"/>
              <w:jc w:val="both"/>
            </w:pPr>
            <w:r w:rsidRPr="00775A38">
              <w:t xml:space="preserve">a) promouvoir des transports aériens sûrs, réguliers et économiques au </w:t>
            </w:r>
            <w:r w:rsidRPr="00775A38">
              <w:lastRenderedPageBreak/>
              <w:t>profit de tous, de favoriser le commerce aérien et d’étudier les problèmes qui s’y rattachent;</w:t>
            </w:r>
          </w:p>
          <w:p w14:paraId="18F2120A" w14:textId="77777777" w:rsidR="00DD6B7A" w:rsidRPr="00775A38" w:rsidRDefault="00DD6B7A" w:rsidP="00DD6B7A">
            <w:pPr>
              <w:pStyle w:val="Tableaugauchefranais"/>
              <w:spacing w:line="240" w:lineRule="auto"/>
              <w:ind w:left="634"/>
              <w:jc w:val="both"/>
            </w:pPr>
          </w:p>
          <w:p w14:paraId="19AAD9F5" w14:textId="77777777" w:rsidR="00DD6B7A" w:rsidRPr="00775A38" w:rsidRDefault="00DD6B7A" w:rsidP="00DD6B7A">
            <w:pPr>
              <w:pStyle w:val="Tableaugauchefranais"/>
              <w:spacing w:line="240" w:lineRule="auto"/>
              <w:ind w:left="634"/>
              <w:jc w:val="both"/>
            </w:pPr>
            <w:r w:rsidRPr="00775A38">
              <w:t>b) fournir des moyens de collaboration entre les entreprises de transport aérien engagées directement ou indirectement dans le service de transport aérien international;</w:t>
            </w:r>
          </w:p>
          <w:p w14:paraId="4A785B0E" w14:textId="77777777" w:rsidR="00DD6B7A" w:rsidRPr="00775A38" w:rsidRDefault="00DD6B7A" w:rsidP="00DD6B7A">
            <w:pPr>
              <w:pStyle w:val="Tableaugauchefranais"/>
              <w:spacing w:line="240" w:lineRule="auto"/>
              <w:ind w:left="634"/>
              <w:jc w:val="both"/>
            </w:pPr>
          </w:p>
          <w:p w14:paraId="0649F3C4" w14:textId="77777777" w:rsidR="00DD6B7A" w:rsidRPr="00775A38" w:rsidRDefault="00DD6B7A" w:rsidP="00DD6B7A">
            <w:pPr>
              <w:pStyle w:val="Tableaugauchefranais"/>
              <w:spacing w:line="240" w:lineRule="auto"/>
              <w:ind w:left="634"/>
              <w:jc w:val="both"/>
            </w:pPr>
            <w:r w:rsidRPr="00775A38">
              <w:t>c) coopérer avec l’Organisation de l’aviation civile internationale et d’autres organisations internationales;</w:t>
            </w:r>
          </w:p>
          <w:p w14:paraId="5E196B36" w14:textId="77777777" w:rsidR="00DD6B7A" w:rsidRPr="00775A38" w:rsidRDefault="00DD6B7A" w:rsidP="00DD6B7A">
            <w:pPr>
              <w:pStyle w:val="Tableaugauchefranais"/>
              <w:spacing w:line="240" w:lineRule="auto"/>
              <w:ind w:left="634"/>
              <w:jc w:val="both"/>
            </w:pPr>
          </w:p>
          <w:p w14:paraId="1032DBA0" w14:textId="77777777" w:rsidR="00DD6B7A" w:rsidRPr="00775A38" w:rsidRDefault="00DD6B7A" w:rsidP="00DD6B7A">
            <w:pPr>
              <w:pStyle w:val="Tableaugauchefranais"/>
              <w:spacing w:line="240" w:lineRule="auto"/>
              <w:ind w:left="634"/>
              <w:jc w:val="both"/>
            </w:pPr>
            <w:r w:rsidRPr="00775A38">
              <w:t xml:space="preserve">Que l’Association du Transport Aérien International joue un rôle important dans le maintien et le développement de standards en matière de sécurité et d’efficacité de la circulation aérienne; </w:t>
            </w:r>
          </w:p>
          <w:p w14:paraId="0A2036E9" w14:textId="77777777" w:rsidR="00DD6B7A" w:rsidRPr="00775A38" w:rsidRDefault="00DD6B7A" w:rsidP="00DD6B7A">
            <w:pPr>
              <w:pStyle w:val="Tableaugauchefranais"/>
              <w:spacing w:line="240" w:lineRule="auto"/>
              <w:ind w:left="634"/>
              <w:jc w:val="both"/>
            </w:pPr>
          </w:p>
          <w:p w14:paraId="10E73B73" w14:textId="77777777" w:rsidR="00DD6B7A" w:rsidRPr="00775A38" w:rsidRDefault="00DD6B7A" w:rsidP="00DD6B7A">
            <w:pPr>
              <w:pStyle w:val="Tableaugauchefranais"/>
              <w:spacing w:line="240" w:lineRule="auto"/>
              <w:ind w:left="634"/>
              <w:jc w:val="both"/>
            </w:pPr>
            <w:r w:rsidRPr="00775A38">
              <w:t>Qu’il y a lieu de protéger l’intégrité et la sécurité des mécanismes de paiements et des services financiers que l’Association du Transport Aérien International offre à ses membres et aux autres participants;</w:t>
            </w:r>
          </w:p>
          <w:p w14:paraId="11E0641A" w14:textId="77777777" w:rsidR="00DD6B7A" w:rsidRPr="00775A38" w:rsidRDefault="00DD6B7A" w:rsidP="00DD6B7A">
            <w:pPr>
              <w:pStyle w:val="Tableaugauchefranais"/>
              <w:spacing w:line="240" w:lineRule="auto"/>
              <w:ind w:left="634"/>
              <w:jc w:val="both"/>
            </w:pPr>
          </w:p>
          <w:p w14:paraId="686CEB32" w14:textId="77777777" w:rsidR="00DD6B7A" w:rsidRPr="00775A38" w:rsidRDefault="00DD6B7A" w:rsidP="00DD6B7A">
            <w:pPr>
              <w:pStyle w:val="Tableaugauchefranais"/>
              <w:spacing w:line="240" w:lineRule="auto"/>
              <w:ind w:left="634"/>
              <w:jc w:val="both"/>
            </w:pPr>
            <w:r w:rsidRPr="00775A38">
              <w:t>LE PARLEMENT DU QUÉBEC DÉCRÈTE CE QUI SUIT :</w:t>
            </w:r>
          </w:p>
          <w:p w14:paraId="3587CE62" w14:textId="77777777" w:rsidR="00DD6B7A" w:rsidRPr="00775A38" w:rsidRDefault="00DD6B7A" w:rsidP="00DD6B7A">
            <w:pPr>
              <w:pStyle w:val="Tableaugauchefranais"/>
              <w:spacing w:line="240" w:lineRule="auto"/>
              <w:ind w:left="634"/>
              <w:jc w:val="both"/>
            </w:pPr>
          </w:p>
          <w:p w14:paraId="36054AB0" w14:textId="77777777" w:rsidR="00DD6B7A" w:rsidRPr="00775A38" w:rsidRDefault="00DD6B7A" w:rsidP="00DD6B7A">
            <w:pPr>
              <w:pStyle w:val="Tableaugauchefranais"/>
              <w:spacing w:line="240" w:lineRule="auto"/>
              <w:ind w:left="634"/>
              <w:jc w:val="both"/>
            </w:pPr>
            <w:r w:rsidRPr="00775A38">
              <w:rPr>
                <w:b/>
                <w:bCs/>
              </w:rPr>
              <w:t>1.</w:t>
            </w:r>
            <w:r w:rsidRPr="00775A38">
              <w:t xml:space="preserve"> Malgré toute disposition contraire, toute somme d’argent détenue par l’Association du Transport Aérien International et devant être payée à un participant à ses services financiers ne peut faire l’objet d’une saisie en mains tierces ou d’une mesure au même effet.</w:t>
            </w:r>
          </w:p>
          <w:p w14:paraId="040F078D" w14:textId="77777777" w:rsidR="00DD6B7A" w:rsidRPr="00775A38" w:rsidRDefault="00DD6B7A" w:rsidP="00DD6B7A">
            <w:pPr>
              <w:pStyle w:val="Tableaugauchefranais"/>
              <w:spacing w:line="240" w:lineRule="auto"/>
              <w:ind w:left="634"/>
              <w:jc w:val="both"/>
            </w:pPr>
          </w:p>
          <w:p w14:paraId="4FA155E2" w14:textId="77777777" w:rsidR="00DD6B7A" w:rsidRPr="00775A38" w:rsidRDefault="00DD6B7A" w:rsidP="00DD6B7A">
            <w:pPr>
              <w:pStyle w:val="Tableaugauchefranais"/>
              <w:spacing w:line="240" w:lineRule="auto"/>
              <w:ind w:left="634"/>
              <w:jc w:val="both"/>
            </w:pPr>
            <w:r w:rsidRPr="00775A38">
              <w:t>Le premier alinéa ne s’applique pas dans les cas suivants :</w:t>
            </w:r>
          </w:p>
          <w:p w14:paraId="7B6898A3" w14:textId="77777777" w:rsidR="00DD6B7A" w:rsidRPr="00775A38" w:rsidRDefault="00DD6B7A" w:rsidP="00DD6B7A">
            <w:pPr>
              <w:pStyle w:val="Tableaugauchefranais"/>
              <w:spacing w:line="240" w:lineRule="auto"/>
              <w:ind w:left="634"/>
              <w:jc w:val="both"/>
            </w:pPr>
          </w:p>
          <w:p w14:paraId="76B4A7BD" w14:textId="77777777" w:rsidR="00DD6B7A" w:rsidRPr="00775A38" w:rsidRDefault="00DD6B7A" w:rsidP="00DD6B7A">
            <w:pPr>
              <w:pStyle w:val="Tableaugauchefranais"/>
              <w:spacing w:line="240" w:lineRule="auto"/>
              <w:ind w:left="634"/>
              <w:jc w:val="both"/>
            </w:pPr>
            <w:r w:rsidRPr="00775A38">
              <w:t>1° l’Association consent expressément à la saisie en mains tierces ou à la mesure;</w:t>
            </w:r>
          </w:p>
          <w:p w14:paraId="0B93E7B0" w14:textId="77777777" w:rsidR="00DD6B7A" w:rsidRPr="00775A38" w:rsidRDefault="00DD6B7A" w:rsidP="00DD6B7A">
            <w:pPr>
              <w:pStyle w:val="Tableaugauchefranais"/>
              <w:spacing w:line="240" w:lineRule="auto"/>
              <w:ind w:left="634"/>
              <w:jc w:val="both"/>
            </w:pPr>
          </w:p>
          <w:p w14:paraId="442BFF50" w14:textId="77777777" w:rsidR="00DD6B7A" w:rsidRPr="00775A38" w:rsidRDefault="00DD6B7A" w:rsidP="00DD6B7A">
            <w:pPr>
              <w:pStyle w:val="Tableaugauchefranais"/>
              <w:spacing w:line="240" w:lineRule="auto"/>
              <w:ind w:left="634"/>
              <w:jc w:val="both"/>
            </w:pPr>
            <w:r w:rsidRPr="00775A38">
              <w:lastRenderedPageBreak/>
              <w:t>2° la somme d’argent est dans un compte détenu par l’Association dans une succursale québécoise d’une banque, d’une société de fiducie autorisée ou d’une coopérative de services financiers.</w:t>
            </w:r>
          </w:p>
          <w:p w14:paraId="66EE78A0" w14:textId="77777777" w:rsidR="00DD6B7A" w:rsidRPr="00775A38" w:rsidRDefault="00DD6B7A" w:rsidP="00DD6B7A">
            <w:pPr>
              <w:pStyle w:val="Tableaugauchefranais"/>
              <w:spacing w:line="240" w:lineRule="auto"/>
              <w:ind w:left="634"/>
              <w:jc w:val="both"/>
            </w:pPr>
          </w:p>
          <w:p w14:paraId="659686C9" w14:textId="77777777" w:rsidR="00DD6B7A" w:rsidRPr="00775A38" w:rsidRDefault="00DD6B7A" w:rsidP="00DD6B7A">
            <w:pPr>
              <w:pStyle w:val="Tableaugauchefranais"/>
              <w:spacing w:line="240" w:lineRule="auto"/>
              <w:ind w:left="634"/>
              <w:jc w:val="both"/>
            </w:pPr>
            <w:r w:rsidRPr="00775A38">
              <w:t>Pour l’application du premier alinéa, on entend par « services financiers » l’ensemble des systèmes de règlement et de compensation de l’Association, incluant notamment les services d’amélioration et de financement de l’IATA (IATA Enhancement and Financing Services), la chambre de compensation financière de l’IATA (IATA Clearing House), le plan de facturation et de règlement (Billing and Settlement Plan), le système de règlement des comptes de fret (Cargo Account Settlement Systems) et le service de compensation de devises de l’IATA (IATA Currency Clearing Service).</w:t>
            </w:r>
          </w:p>
          <w:p w14:paraId="5ABDC61A" w14:textId="77777777" w:rsidR="00DD6B7A" w:rsidRPr="00775A38" w:rsidRDefault="00DD6B7A" w:rsidP="00DD6B7A">
            <w:pPr>
              <w:pStyle w:val="Tableaugauchefranais"/>
              <w:spacing w:line="240" w:lineRule="auto"/>
              <w:ind w:left="634"/>
              <w:jc w:val="both"/>
            </w:pPr>
          </w:p>
          <w:p w14:paraId="1C7BBAA6" w14:textId="09C4B80D" w:rsidR="00E124A8" w:rsidRPr="00775A38" w:rsidRDefault="00DD6B7A" w:rsidP="00FB5A91">
            <w:pPr>
              <w:pStyle w:val="Tableaudroiteanglais"/>
              <w:spacing w:line="240" w:lineRule="auto"/>
              <w:rPr>
                <w:lang w:val="fr-CA"/>
              </w:rPr>
            </w:pPr>
            <w:r w:rsidRPr="005E6EB3">
              <w:rPr>
                <w:b/>
                <w:bCs/>
                <w:lang w:val="fr-CA"/>
              </w:rPr>
              <w:t>2.</w:t>
            </w:r>
            <w:r w:rsidRPr="005E6EB3">
              <w:rPr>
                <w:lang w:val="fr-CA"/>
              </w:rPr>
              <w:t xml:space="preserve"> La présente loi a effet depuis le 5 mai 2022.</w:t>
            </w:r>
          </w:p>
          <w:p w14:paraId="51B43B36" w14:textId="77777777" w:rsidR="00E124A8" w:rsidRPr="00775A38" w:rsidRDefault="00E124A8" w:rsidP="00FB5A91">
            <w:pPr>
              <w:pStyle w:val="Tableaudroiteanglais"/>
              <w:spacing w:line="240" w:lineRule="auto"/>
              <w:rPr>
                <w:lang w:val="fr-CA"/>
              </w:rPr>
            </w:pPr>
          </w:p>
          <w:p w14:paraId="62880162" w14:textId="365F84CF" w:rsidR="00E124A8" w:rsidRPr="00775A38" w:rsidRDefault="00E124A8" w:rsidP="00FB5A91">
            <w:pPr>
              <w:pStyle w:val="Tableaudroiteanglais"/>
              <w:spacing w:line="240" w:lineRule="auto"/>
              <w:rPr>
                <w:lang w:val="fr-CA"/>
              </w:rPr>
            </w:pPr>
          </w:p>
        </w:tc>
      </w:tr>
    </w:tbl>
    <w:p w14:paraId="1183F180" w14:textId="208EEAD8" w:rsidR="00865233" w:rsidRPr="00324CF1" w:rsidRDefault="00ED47F8" w:rsidP="00FB5A91">
      <w:pPr>
        <w:pStyle w:val="Paragraphe"/>
        <w:spacing w:line="240" w:lineRule="auto"/>
        <w:rPr>
          <w:lang w:val="en-US"/>
        </w:rPr>
      </w:pPr>
      <w:r w:rsidRPr="00324CF1">
        <w:rPr>
          <w:lang w:val="en-CA"/>
        </w:rPr>
        <w:lastRenderedPageBreak/>
        <w:t xml:space="preserve">The question </w:t>
      </w:r>
      <w:r w:rsidR="007B063B">
        <w:rPr>
          <w:lang w:val="en-CA"/>
        </w:rPr>
        <w:t xml:space="preserve">this case </w:t>
      </w:r>
      <w:r w:rsidRPr="00324CF1">
        <w:rPr>
          <w:lang w:val="en-CA"/>
        </w:rPr>
        <w:t>raise</w:t>
      </w:r>
      <w:r w:rsidR="007B063B">
        <w:rPr>
          <w:lang w:val="en-CA"/>
        </w:rPr>
        <w:t>s call</w:t>
      </w:r>
      <w:r w:rsidR="00547A28">
        <w:rPr>
          <w:lang w:val="en-CA"/>
        </w:rPr>
        <w:t>s</w:t>
      </w:r>
      <w:r w:rsidR="007B063B">
        <w:rPr>
          <w:lang w:val="en-CA"/>
        </w:rPr>
        <w:t xml:space="preserve"> to mind</w:t>
      </w:r>
      <w:r w:rsidR="007B063B" w:rsidRPr="00324CF1">
        <w:rPr>
          <w:lang w:val="en-CA"/>
        </w:rPr>
        <w:t xml:space="preserve"> </w:t>
      </w:r>
      <w:r w:rsidRPr="00324CF1">
        <w:rPr>
          <w:lang w:val="en-CA"/>
        </w:rPr>
        <w:t xml:space="preserve">the principles </w:t>
      </w:r>
      <w:r w:rsidR="007B063B">
        <w:rPr>
          <w:lang w:val="en-CA"/>
        </w:rPr>
        <w:t>for the</w:t>
      </w:r>
      <w:r w:rsidR="007B063B" w:rsidRPr="00324CF1">
        <w:rPr>
          <w:lang w:val="en-CA"/>
        </w:rPr>
        <w:t xml:space="preserve"> </w:t>
      </w:r>
      <w:r w:rsidRPr="00324CF1">
        <w:rPr>
          <w:lang w:val="en-CA"/>
        </w:rPr>
        <w:t>application of the law in time, in particular the distinction between</w:t>
      </w:r>
      <w:r w:rsidR="007B063B">
        <w:rPr>
          <w:lang w:val="en-CA"/>
        </w:rPr>
        <w:t xml:space="preserve"> its</w:t>
      </w:r>
      <w:r w:rsidRPr="00324CF1">
        <w:rPr>
          <w:lang w:val="en-CA"/>
        </w:rPr>
        <w:t xml:space="preserve"> retroactivity and</w:t>
      </w:r>
      <w:r w:rsidR="007B063B">
        <w:rPr>
          <w:lang w:val="en-CA"/>
        </w:rPr>
        <w:t xml:space="preserve"> its</w:t>
      </w:r>
      <w:r w:rsidRPr="00324CF1">
        <w:rPr>
          <w:lang w:val="en-CA"/>
        </w:rPr>
        <w:t xml:space="preserve"> immediate (or retrospective) effect. In the </w:t>
      </w:r>
      <w:r w:rsidR="00547A28">
        <w:rPr>
          <w:lang w:val="en-CA"/>
        </w:rPr>
        <w:t xml:space="preserve">first </w:t>
      </w:r>
      <w:r w:rsidRPr="00324CF1">
        <w:rPr>
          <w:lang w:val="en-CA"/>
        </w:rPr>
        <w:t xml:space="preserve">instance, AAI argued </w:t>
      </w:r>
      <w:r w:rsidR="00547A28" w:rsidRPr="00324CF1">
        <w:rPr>
          <w:lang w:val="en-CA"/>
        </w:rPr>
        <w:t>in its application to quash the seizure</w:t>
      </w:r>
      <w:r w:rsidR="00547A28" w:rsidRPr="00324CF1" w:rsidDel="000767CE">
        <w:rPr>
          <w:lang w:val="en-CA"/>
        </w:rPr>
        <w:t xml:space="preserve"> </w:t>
      </w:r>
      <w:r w:rsidRPr="00324CF1">
        <w:rPr>
          <w:lang w:val="en-CA"/>
        </w:rPr>
        <w:t>that both the sums held by IATA prior to May 5, 2022</w:t>
      </w:r>
      <w:r w:rsidR="00547A28">
        <w:rPr>
          <w:lang w:val="en-CA"/>
        </w:rPr>
        <w:t>,</w:t>
      </w:r>
      <w:r w:rsidR="000767CE">
        <w:rPr>
          <w:lang w:val="en-CA"/>
        </w:rPr>
        <w:t xml:space="preserve"> when</w:t>
      </w:r>
      <w:r w:rsidRPr="00324CF1">
        <w:rPr>
          <w:lang w:val="en-CA"/>
        </w:rPr>
        <w:t xml:space="preserve"> the </w:t>
      </w:r>
      <w:r w:rsidRPr="00324CF1">
        <w:rPr>
          <w:i/>
          <w:iCs/>
          <w:lang w:val="en-CA"/>
        </w:rPr>
        <w:t xml:space="preserve">IATA Act </w:t>
      </w:r>
      <w:r w:rsidR="00602180">
        <w:rPr>
          <w:lang w:val="en-CA"/>
        </w:rPr>
        <w:t>came</w:t>
      </w:r>
      <w:r w:rsidR="00602180" w:rsidRPr="00324CF1">
        <w:rPr>
          <w:lang w:val="en-CA"/>
        </w:rPr>
        <w:t xml:space="preserve"> </w:t>
      </w:r>
      <w:r w:rsidRPr="00324CF1">
        <w:rPr>
          <w:lang w:val="en-CA"/>
        </w:rPr>
        <w:t>into force</w:t>
      </w:r>
      <w:r w:rsidR="000767CE">
        <w:rPr>
          <w:lang w:val="en-CA"/>
        </w:rPr>
        <w:t>,</w:t>
      </w:r>
      <w:r w:rsidRPr="00324CF1">
        <w:rPr>
          <w:lang w:val="en-CA"/>
        </w:rPr>
        <w:t xml:space="preserve"> and </w:t>
      </w:r>
      <w:r w:rsidR="000767CE">
        <w:rPr>
          <w:lang w:val="en-CA"/>
        </w:rPr>
        <w:t xml:space="preserve">the </w:t>
      </w:r>
      <w:r w:rsidRPr="00324CF1">
        <w:rPr>
          <w:lang w:val="en-CA"/>
        </w:rPr>
        <w:t xml:space="preserve">sums that </w:t>
      </w:r>
      <w:r w:rsidR="000767CE">
        <w:rPr>
          <w:lang w:val="en-CA"/>
        </w:rPr>
        <w:t>could</w:t>
      </w:r>
      <w:r w:rsidR="000767CE" w:rsidRPr="00324CF1">
        <w:rPr>
          <w:lang w:val="en-CA"/>
        </w:rPr>
        <w:t xml:space="preserve"> </w:t>
      </w:r>
      <w:r w:rsidRPr="00324CF1">
        <w:rPr>
          <w:lang w:val="en-CA"/>
        </w:rPr>
        <w:t>be received after th</w:t>
      </w:r>
      <w:r w:rsidR="000767CE">
        <w:rPr>
          <w:lang w:val="en-CA"/>
        </w:rPr>
        <w:t>at</w:t>
      </w:r>
      <w:r w:rsidRPr="00324CF1">
        <w:rPr>
          <w:lang w:val="en-CA"/>
        </w:rPr>
        <w:t xml:space="preserve"> date were subject to the new law and were therefore </w:t>
      </w:r>
      <w:r w:rsidR="000767CE">
        <w:rPr>
          <w:lang w:val="en-CA"/>
        </w:rPr>
        <w:t>henceforth</w:t>
      </w:r>
      <w:r w:rsidR="000767CE" w:rsidRPr="00324CF1">
        <w:rPr>
          <w:lang w:val="en-CA"/>
        </w:rPr>
        <w:t xml:space="preserve"> </w:t>
      </w:r>
      <w:r w:rsidRPr="00324CF1">
        <w:rPr>
          <w:lang w:val="en-CA"/>
        </w:rPr>
        <w:t>invalid. AAI presented its arguments as follows in its application to quash:</w:t>
      </w:r>
    </w:p>
    <w:p w14:paraId="0DD463E4" w14:textId="35FA8173" w:rsidR="00865233" w:rsidRPr="00547A28" w:rsidRDefault="00ED47F8" w:rsidP="00FB5A91">
      <w:pPr>
        <w:pStyle w:val="Citationenretrait"/>
        <w:spacing w:line="240" w:lineRule="auto"/>
        <w:rPr>
          <w:lang w:val="en-CA"/>
        </w:rPr>
      </w:pPr>
      <w:r w:rsidRPr="00547A28">
        <w:rPr>
          <w:lang w:val="en-CA"/>
        </w:rPr>
        <w:t>17.</w:t>
      </w:r>
      <w:r w:rsidRPr="00547A28">
        <w:rPr>
          <w:lang w:val="en-CA"/>
        </w:rPr>
        <w:tab/>
        <w:t>Section 1 of the Act states that, effective May 5, 2022, no sum of money held by IATA may, in the circumstances at hand, “</w:t>
      </w:r>
      <w:r w:rsidRPr="00547A28">
        <w:rPr>
          <w:rFonts w:ascii="Arial-ItalicMT" w:hAnsi="Arial-ItalicMT"/>
          <w:i/>
          <w:iCs/>
          <w:lang w:val="en-CA"/>
        </w:rPr>
        <w:t>be the subject of a seizure in the hands of a third person or of a measure having the same effect</w:t>
      </w:r>
      <w:r w:rsidRPr="00547A28">
        <w:rPr>
          <w:lang w:val="en-CA"/>
        </w:rPr>
        <w:t>.” The text of the Act is clear and unambiguous: not only can new sums of money belonging to AAI and held by IATA not be seized as of May 5, 2022</w:t>
      </w:r>
      <w:r w:rsidR="000A1C96" w:rsidRPr="00547A28">
        <w:rPr>
          <w:lang w:val="en-CA"/>
        </w:rPr>
        <w:t>,</w:t>
      </w:r>
      <w:r w:rsidRPr="00547A28">
        <w:rPr>
          <w:lang w:val="en-CA"/>
        </w:rPr>
        <w:t xml:space="preserve"> but, in addition, as of such date, even sums of money already seized must be released as they may no longer be “the subject of” (“l’objet de”) a seizure, irrespective of whether the seizure order was entered prior to or after May 5, 2022.</w:t>
      </w:r>
    </w:p>
    <w:p w14:paraId="2808D1A2" w14:textId="77777777" w:rsidR="00865233" w:rsidRPr="00547A28" w:rsidRDefault="00ED47F8" w:rsidP="00FB5A91">
      <w:pPr>
        <w:pStyle w:val="Citationenretrait"/>
        <w:spacing w:line="240" w:lineRule="auto"/>
        <w:rPr>
          <w:lang w:val="en-CA"/>
        </w:rPr>
      </w:pPr>
      <w:r w:rsidRPr="00547A28">
        <w:rPr>
          <w:lang w:val="en-CA"/>
        </w:rPr>
        <w:lastRenderedPageBreak/>
        <w:t>18.</w:t>
      </w:r>
      <w:r w:rsidRPr="00547A28">
        <w:rPr>
          <w:lang w:val="en-CA"/>
        </w:rPr>
        <w:tab/>
        <w:t>Notably, the Act does not exclude from the scope of its application ongoing proceedings or ongoing seizures.</w:t>
      </w:r>
    </w:p>
    <w:p w14:paraId="755F0958" w14:textId="77777777" w:rsidR="00865233" w:rsidRPr="00324CF1" w:rsidRDefault="00ED47F8" w:rsidP="00FB5A91">
      <w:pPr>
        <w:pStyle w:val="Citationenretrait"/>
        <w:spacing w:line="240" w:lineRule="auto"/>
        <w:rPr>
          <w:lang w:val="en-CA"/>
        </w:rPr>
      </w:pPr>
      <w:r w:rsidRPr="00547A28">
        <w:rPr>
          <w:lang w:val="en-CA"/>
        </w:rPr>
        <w:t>19.</w:t>
      </w:r>
      <w:r w:rsidRPr="00547A28">
        <w:rPr>
          <w:lang w:val="en-CA"/>
        </w:rPr>
        <w:tab/>
        <w:t>Moreover, the Seizure is only an interim, conservatory measure and would only become final and executory if and when it is declared good and valid by this Court following a judgment on the merits, a declaration that is squarely foreclosed by the Act.</w:t>
      </w:r>
    </w:p>
    <w:p w14:paraId="59F65879" w14:textId="25D42841" w:rsidR="00865233" w:rsidRPr="00324CF1" w:rsidRDefault="00ED47F8" w:rsidP="00FB5A91">
      <w:pPr>
        <w:pStyle w:val="Titre2"/>
        <w:spacing w:line="240" w:lineRule="auto"/>
        <w:rPr>
          <w:lang w:val="en-US"/>
        </w:rPr>
      </w:pPr>
      <w:bookmarkStart w:id="123" w:name="_Toc184205625"/>
      <w:bookmarkStart w:id="124" w:name="_Toc256000020"/>
      <w:r w:rsidRPr="00324CF1">
        <w:rPr>
          <w:bCs/>
          <w:iCs/>
          <w:lang w:val="en-CA"/>
        </w:rPr>
        <w:t>1.</w:t>
      </w:r>
      <w:r w:rsidRPr="00324CF1">
        <w:rPr>
          <w:bCs/>
          <w:iCs/>
          <w:lang w:val="en-CA"/>
        </w:rPr>
        <w:tab/>
        <w:t xml:space="preserve">Judgment on the </w:t>
      </w:r>
      <w:r w:rsidR="00A92438">
        <w:rPr>
          <w:bCs/>
          <w:iCs/>
          <w:lang w:val="en-CA"/>
        </w:rPr>
        <w:t>a</w:t>
      </w:r>
      <w:r w:rsidRPr="00324CF1">
        <w:rPr>
          <w:bCs/>
          <w:iCs/>
          <w:lang w:val="en-CA"/>
        </w:rPr>
        <w:t xml:space="preserve">pplication of the </w:t>
      </w:r>
      <w:r w:rsidRPr="00324CF1">
        <w:rPr>
          <w:bCs/>
          <w:i w:val="0"/>
          <w:lang w:val="en-CA"/>
        </w:rPr>
        <w:t>IATA Act</w:t>
      </w:r>
      <w:bookmarkEnd w:id="123"/>
      <w:bookmarkEnd w:id="124"/>
    </w:p>
    <w:p w14:paraId="5AACFC30" w14:textId="41EE7604" w:rsidR="00865233" w:rsidRPr="005E6EB3" w:rsidRDefault="005B556F" w:rsidP="00FB5A91">
      <w:pPr>
        <w:pStyle w:val="Paragraphe"/>
        <w:spacing w:line="240" w:lineRule="auto"/>
        <w:rPr>
          <w:lang w:val="en-CA"/>
        </w:rPr>
      </w:pPr>
      <w:r>
        <w:rPr>
          <w:lang w:val="en-CA"/>
        </w:rPr>
        <w:t>T</w:t>
      </w:r>
      <w:r w:rsidR="00ED47F8" w:rsidRPr="00324CF1">
        <w:rPr>
          <w:lang w:val="en-CA"/>
        </w:rPr>
        <w:t xml:space="preserve">he judge </w:t>
      </w:r>
      <w:r>
        <w:rPr>
          <w:lang w:val="en-CA"/>
        </w:rPr>
        <w:t>first</w:t>
      </w:r>
      <w:r w:rsidR="00ED47F8" w:rsidRPr="00324CF1">
        <w:rPr>
          <w:lang w:val="en-CA"/>
        </w:rPr>
        <w:t xml:space="preserve"> </w:t>
      </w:r>
      <w:r>
        <w:rPr>
          <w:lang w:val="en-CA"/>
        </w:rPr>
        <w:t>decided</w:t>
      </w:r>
      <w:r w:rsidRPr="00324CF1">
        <w:rPr>
          <w:lang w:val="en-CA"/>
        </w:rPr>
        <w:t xml:space="preserve"> </w:t>
      </w:r>
      <w:r>
        <w:rPr>
          <w:lang w:val="en-CA"/>
        </w:rPr>
        <w:t>a</w:t>
      </w:r>
      <w:r w:rsidR="00ED47F8" w:rsidRPr="00324CF1">
        <w:rPr>
          <w:lang w:val="en-CA"/>
        </w:rPr>
        <w:t xml:space="preserve"> question of jurisdiction. CCDM/Devas </w:t>
      </w:r>
      <w:r w:rsidR="00D255FC">
        <w:rPr>
          <w:lang w:val="en-CA"/>
        </w:rPr>
        <w:t>argued</w:t>
      </w:r>
      <w:r w:rsidR="00ED47F8" w:rsidRPr="00324CF1">
        <w:rPr>
          <w:lang w:val="en-CA"/>
        </w:rPr>
        <w:t xml:space="preserve"> that the judge did not have jurisdiction to hear this new application to quash the seizure since it was </w:t>
      </w:r>
      <w:r w:rsidR="00ED47F8" w:rsidRPr="00324CF1">
        <w:rPr>
          <w:i/>
          <w:iCs/>
          <w:lang w:val="en-CA"/>
        </w:rPr>
        <w:t>functus officio</w:t>
      </w:r>
      <w:r w:rsidR="00ED47F8" w:rsidRPr="00324CF1">
        <w:rPr>
          <w:lang w:val="en-CA"/>
        </w:rPr>
        <w:t xml:space="preserve"> </w:t>
      </w:r>
      <w:r>
        <w:rPr>
          <w:lang w:val="en-CA"/>
        </w:rPr>
        <w:t>ever since</w:t>
      </w:r>
      <w:r w:rsidR="00ED47F8" w:rsidRPr="00324CF1">
        <w:rPr>
          <w:lang w:val="en-CA"/>
        </w:rPr>
        <w:t xml:space="preserve"> the Judgment Quashing the Seizure had been rendered. Conversely, AAI </w:t>
      </w:r>
      <w:r w:rsidR="00D255FC">
        <w:rPr>
          <w:lang w:val="en-CA"/>
        </w:rPr>
        <w:t>argued</w:t>
      </w:r>
      <w:r w:rsidR="00ED47F8" w:rsidRPr="00324CF1">
        <w:rPr>
          <w:lang w:val="en-CA"/>
        </w:rPr>
        <w:t xml:space="preserve"> that this new application raised a different question and was not intended to review or </w:t>
      </w:r>
      <w:r>
        <w:rPr>
          <w:lang w:val="en-CA"/>
        </w:rPr>
        <w:t>vary</w:t>
      </w:r>
      <w:r w:rsidRPr="00324CF1">
        <w:rPr>
          <w:lang w:val="en-CA"/>
        </w:rPr>
        <w:t xml:space="preserve"> </w:t>
      </w:r>
      <w:r w:rsidR="00ED47F8" w:rsidRPr="00324CF1">
        <w:rPr>
          <w:lang w:val="en-CA"/>
        </w:rPr>
        <w:t xml:space="preserve">the judgment </w:t>
      </w:r>
      <w:r>
        <w:rPr>
          <w:lang w:val="en-CA"/>
        </w:rPr>
        <w:t>previously</w:t>
      </w:r>
      <w:r w:rsidR="00ED47F8" w:rsidRPr="00324CF1">
        <w:rPr>
          <w:lang w:val="en-CA"/>
        </w:rPr>
        <w:t xml:space="preserve"> rendered. In this sense, it was not </w:t>
      </w:r>
      <w:r w:rsidR="00ED47F8" w:rsidRPr="00324CF1">
        <w:rPr>
          <w:i/>
          <w:iCs/>
          <w:lang w:val="en-CA"/>
        </w:rPr>
        <w:t>functus officio</w:t>
      </w:r>
      <w:r w:rsidR="00ED47F8" w:rsidRPr="00324CF1">
        <w:rPr>
          <w:lang w:val="en-CA"/>
        </w:rPr>
        <w:t>.</w:t>
      </w:r>
    </w:p>
    <w:p w14:paraId="39539C4C" w14:textId="7905459A" w:rsidR="00865233" w:rsidRPr="00324CF1" w:rsidRDefault="00ED47F8" w:rsidP="00FB5A91">
      <w:pPr>
        <w:pStyle w:val="Paragraphe"/>
        <w:spacing w:line="240" w:lineRule="auto"/>
        <w:rPr>
          <w:lang w:val="en-US"/>
        </w:rPr>
      </w:pPr>
      <w:r w:rsidRPr="00324CF1">
        <w:rPr>
          <w:lang w:val="en-CA"/>
        </w:rPr>
        <w:t xml:space="preserve">The judge partially accepted the respective positions of the parties. He initially concluded that, due to the appeal </w:t>
      </w:r>
      <w:r w:rsidR="005B556F">
        <w:rPr>
          <w:lang w:val="en-CA"/>
        </w:rPr>
        <w:t>from</w:t>
      </w:r>
      <w:r w:rsidR="005B556F" w:rsidRPr="00324CF1">
        <w:rPr>
          <w:lang w:val="en-CA"/>
        </w:rPr>
        <w:t xml:space="preserve"> </w:t>
      </w:r>
      <w:r w:rsidRPr="00324CF1">
        <w:rPr>
          <w:lang w:val="en-CA"/>
        </w:rPr>
        <w:t xml:space="preserve">the Judgment Quashing the Seizure, he did not have jurisdiction to rule on the possible effect of the </w:t>
      </w:r>
      <w:r w:rsidRPr="00324CF1">
        <w:rPr>
          <w:i/>
          <w:iCs/>
          <w:lang w:val="en-CA"/>
        </w:rPr>
        <w:t>IATA Act</w:t>
      </w:r>
      <w:r w:rsidRPr="00324CF1">
        <w:rPr>
          <w:lang w:val="en-CA"/>
        </w:rPr>
        <w:t xml:space="preserve"> on the sums received or collected before May 5, 2022. According to him, it would be up to the Court of Appeal, as part of this same appeal, to decide this new question.</w:t>
      </w:r>
      <w:r w:rsidRPr="00324CF1">
        <w:rPr>
          <w:rStyle w:val="Appelnotedebasdep"/>
          <w:lang w:val="en-CA"/>
        </w:rPr>
        <w:footnoteReference w:id="172"/>
      </w:r>
      <w:r w:rsidRPr="00324CF1">
        <w:rPr>
          <w:lang w:val="en-CA"/>
        </w:rPr>
        <w:t xml:space="preserve"> </w:t>
      </w:r>
      <w:r w:rsidR="005B556F">
        <w:rPr>
          <w:lang w:val="en-CA"/>
        </w:rPr>
        <w:t>Next</w:t>
      </w:r>
      <w:r w:rsidRPr="00324CF1">
        <w:rPr>
          <w:lang w:val="en-CA"/>
        </w:rPr>
        <w:t xml:space="preserve">, the judge </w:t>
      </w:r>
      <w:r w:rsidR="005B556F">
        <w:rPr>
          <w:lang w:val="en-CA"/>
        </w:rPr>
        <w:t>agreed with</w:t>
      </w:r>
      <w:r w:rsidRPr="00324CF1">
        <w:rPr>
          <w:lang w:val="en-CA"/>
        </w:rPr>
        <w:t xml:space="preserve"> AAI and concluded that as </w:t>
      </w:r>
      <w:r w:rsidR="00CD0610">
        <w:rPr>
          <w:lang w:val="en-CA"/>
        </w:rPr>
        <w:t>the</w:t>
      </w:r>
      <w:r w:rsidR="00CD0610" w:rsidRPr="00324CF1">
        <w:rPr>
          <w:lang w:val="en-CA"/>
        </w:rPr>
        <w:t xml:space="preserve"> </w:t>
      </w:r>
      <w:r w:rsidRPr="00324CF1">
        <w:rPr>
          <w:lang w:val="en-CA"/>
        </w:rPr>
        <w:t>judge</w:t>
      </w:r>
      <w:r w:rsidR="00CD0610">
        <w:rPr>
          <w:lang w:val="en-CA"/>
        </w:rPr>
        <w:t xml:space="preserve"> charged with the special management of </w:t>
      </w:r>
      <w:r w:rsidRPr="00324CF1">
        <w:rPr>
          <w:lang w:val="en-CA"/>
        </w:rPr>
        <w:t>the case, he had jurisdiction to rule on the potential effect of the</w:t>
      </w:r>
      <w:r w:rsidRPr="00324CF1">
        <w:rPr>
          <w:i/>
          <w:iCs/>
          <w:lang w:val="en-CA"/>
        </w:rPr>
        <w:t xml:space="preserve"> IATA Act </w:t>
      </w:r>
      <w:r w:rsidRPr="00324CF1">
        <w:rPr>
          <w:lang w:val="en-CA"/>
        </w:rPr>
        <w:t>on the sums held or that would be held by IATA as of May 5, 2022.</w:t>
      </w:r>
      <w:r w:rsidRPr="00324CF1">
        <w:rPr>
          <w:rStyle w:val="Appelnotedebasdep"/>
          <w:lang w:val="en-CA"/>
        </w:rPr>
        <w:footnoteReference w:id="173"/>
      </w:r>
    </w:p>
    <w:p w14:paraId="579FE7CD" w14:textId="2CBAEAD1" w:rsidR="00865233" w:rsidRPr="00324CF1" w:rsidRDefault="00DC2601" w:rsidP="00FB5A91">
      <w:pPr>
        <w:pStyle w:val="Paragraphe"/>
        <w:spacing w:line="240" w:lineRule="auto"/>
        <w:rPr>
          <w:lang w:val="en-US"/>
        </w:rPr>
      </w:pPr>
      <w:r>
        <w:rPr>
          <w:lang w:val="en-CA"/>
        </w:rPr>
        <w:t>T</w:t>
      </w:r>
      <w:r w:rsidR="00ED47F8" w:rsidRPr="00324CF1">
        <w:rPr>
          <w:lang w:val="en-CA"/>
        </w:rPr>
        <w:t>he judge noted</w:t>
      </w:r>
      <w:r>
        <w:rPr>
          <w:lang w:val="en-CA"/>
        </w:rPr>
        <w:t>, however,</w:t>
      </w:r>
      <w:r w:rsidR="00ED47F8" w:rsidRPr="00324CF1">
        <w:rPr>
          <w:lang w:val="en-CA"/>
        </w:rPr>
        <w:t xml:space="preserve"> that no additional sums had passed through IATA</w:t>
      </w:r>
      <w:r w:rsidRPr="00DC2601">
        <w:rPr>
          <w:lang w:val="en-CA"/>
        </w:rPr>
        <w:t xml:space="preserve"> </w:t>
      </w:r>
      <w:r w:rsidRPr="00324CF1">
        <w:rPr>
          <w:lang w:val="en-CA"/>
        </w:rPr>
        <w:t>since May 5, 2022</w:t>
      </w:r>
      <w:r w:rsidR="00ED47F8" w:rsidRPr="00324CF1">
        <w:rPr>
          <w:lang w:val="en-CA"/>
        </w:rPr>
        <w:t xml:space="preserve">, </w:t>
      </w:r>
      <w:r>
        <w:rPr>
          <w:lang w:val="en-CA"/>
        </w:rPr>
        <w:t>as</w:t>
      </w:r>
      <w:r w:rsidRPr="00324CF1">
        <w:rPr>
          <w:lang w:val="en-CA"/>
        </w:rPr>
        <w:t xml:space="preserve"> </w:t>
      </w:r>
      <w:r w:rsidR="00ED47F8" w:rsidRPr="00324CF1">
        <w:rPr>
          <w:lang w:val="en-CA"/>
        </w:rPr>
        <w:t xml:space="preserve">AAI stopped using its financial services </w:t>
      </w:r>
      <w:r>
        <w:rPr>
          <w:lang w:val="en-CA"/>
        </w:rPr>
        <w:t>because of</w:t>
      </w:r>
      <w:r w:rsidR="00ED47F8" w:rsidRPr="00324CF1">
        <w:rPr>
          <w:lang w:val="en-CA"/>
        </w:rPr>
        <w:t xml:space="preserve"> the seizure. Despite this situation, he concluded that the question of </w:t>
      </w:r>
      <w:r w:rsidR="00E808D2">
        <w:rPr>
          <w:lang w:val="en-CA"/>
        </w:rPr>
        <w:t xml:space="preserve">the </w:t>
      </w:r>
      <w:r w:rsidR="00ED47F8" w:rsidRPr="00324CF1">
        <w:rPr>
          <w:lang w:val="en-CA"/>
        </w:rPr>
        <w:t xml:space="preserve">application of the </w:t>
      </w:r>
      <w:r w:rsidR="00ED47F8" w:rsidRPr="00324CF1">
        <w:rPr>
          <w:i/>
          <w:iCs/>
          <w:lang w:val="en-CA"/>
        </w:rPr>
        <w:t xml:space="preserve">IATA Act </w:t>
      </w:r>
      <w:r w:rsidR="00ED47F8" w:rsidRPr="00324CF1">
        <w:rPr>
          <w:lang w:val="en-CA"/>
        </w:rPr>
        <w:t xml:space="preserve">was not </w:t>
      </w:r>
      <w:r w:rsidR="00E808D2">
        <w:rPr>
          <w:lang w:val="en-CA"/>
        </w:rPr>
        <w:t>moot</w:t>
      </w:r>
      <w:r w:rsidR="00E808D2" w:rsidRPr="00324CF1">
        <w:rPr>
          <w:lang w:val="en-CA"/>
        </w:rPr>
        <w:t xml:space="preserve"> </w:t>
      </w:r>
      <w:r w:rsidR="00ED47F8" w:rsidRPr="00324CF1">
        <w:rPr>
          <w:lang w:val="en-CA"/>
        </w:rPr>
        <w:t xml:space="preserve">since AAI could </w:t>
      </w:r>
      <w:r w:rsidR="00E808D2">
        <w:rPr>
          <w:lang w:val="en-CA"/>
        </w:rPr>
        <w:t>resume its dealings</w:t>
      </w:r>
      <w:r w:rsidR="00ED47F8" w:rsidRPr="00324CF1">
        <w:rPr>
          <w:lang w:val="en-CA"/>
        </w:rPr>
        <w:t xml:space="preserve"> with IATA if it had a guarantee that its funds could not be seized</w:t>
      </w:r>
      <w:r w:rsidR="00ED47F8" w:rsidRPr="00324CF1">
        <w:rPr>
          <w:rStyle w:val="Appelnotedebasdep"/>
          <w:lang w:val="en-CA"/>
        </w:rPr>
        <w:footnoteReference w:id="174"/>
      </w:r>
      <w:r w:rsidR="00ED47F8" w:rsidRPr="00324CF1">
        <w:rPr>
          <w:lang w:val="en-CA"/>
        </w:rPr>
        <w:t xml:space="preserve"> and because CCDM/Devas claimed that in the event that new funds were to pass through IATA, they would not be subject to the new law.</w:t>
      </w:r>
      <w:r w:rsidR="00ED47F8" w:rsidRPr="00324CF1">
        <w:rPr>
          <w:vertAlign w:val="superscript"/>
          <w:lang w:val="en-CA"/>
        </w:rPr>
        <w:footnoteReference w:id="175"/>
      </w:r>
      <w:r w:rsidR="00ED47F8" w:rsidRPr="00324CF1">
        <w:rPr>
          <w:lang w:val="en-CA"/>
        </w:rPr>
        <w:t xml:space="preserve"> </w:t>
      </w:r>
    </w:p>
    <w:p w14:paraId="2C8C754C" w14:textId="5E1393AC" w:rsidR="00865233" w:rsidRPr="00324CF1" w:rsidRDefault="00ED47F8" w:rsidP="00FB5A91">
      <w:pPr>
        <w:pStyle w:val="Paragraphe"/>
        <w:spacing w:line="240" w:lineRule="auto"/>
        <w:rPr>
          <w:lang w:val="en-US"/>
        </w:rPr>
      </w:pPr>
      <w:r w:rsidRPr="00324CF1">
        <w:rPr>
          <w:lang w:val="en-CA"/>
        </w:rPr>
        <w:t xml:space="preserve">The judge noted that </w:t>
      </w:r>
      <w:r w:rsidR="003D0BD7">
        <w:rPr>
          <w:lang w:val="en-CA"/>
        </w:rPr>
        <w:t>while</w:t>
      </w:r>
      <w:r w:rsidRPr="00324CF1">
        <w:rPr>
          <w:lang w:val="en-CA"/>
        </w:rPr>
        <w:t xml:space="preserve"> the </w:t>
      </w:r>
      <w:r w:rsidRPr="00324CF1">
        <w:rPr>
          <w:i/>
          <w:iCs/>
          <w:lang w:val="en-CA"/>
        </w:rPr>
        <w:t xml:space="preserve">IATA Act </w:t>
      </w:r>
      <w:r w:rsidRPr="00324CF1">
        <w:rPr>
          <w:lang w:val="en-CA"/>
        </w:rPr>
        <w:t>applied to sums held as of May 5, 2022, the</w:t>
      </w:r>
      <w:r w:rsidR="003D0BD7">
        <w:rPr>
          <w:lang w:val="en-CA"/>
        </w:rPr>
        <w:t>se sums</w:t>
      </w:r>
      <w:r w:rsidRPr="00324CF1">
        <w:rPr>
          <w:lang w:val="en-CA"/>
        </w:rPr>
        <w:t xml:space="preserve"> could not benefit from the exceptions provided </w:t>
      </w:r>
      <w:r w:rsidR="003D0BD7">
        <w:rPr>
          <w:lang w:val="en-CA"/>
        </w:rPr>
        <w:t>under</w:t>
      </w:r>
      <w:r w:rsidR="003D0BD7" w:rsidRPr="00324CF1">
        <w:rPr>
          <w:lang w:val="en-CA"/>
        </w:rPr>
        <w:t xml:space="preserve"> </w:t>
      </w:r>
      <w:r w:rsidRPr="00324CF1">
        <w:rPr>
          <w:lang w:val="en-CA"/>
        </w:rPr>
        <w:t xml:space="preserve">this law. First, not only </w:t>
      </w:r>
      <w:r w:rsidR="001670BB">
        <w:rPr>
          <w:lang w:val="en-CA"/>
        </w:rPr>
        <w:t>did</w:t>
      </w:r>
      <w:r w:rsidR="001670BB" w:rsidRPr="00324CF1">
        <w:rPr>
          <w:lang w:val="en-CA"/>
        </w:rPr>
        <w:t xml:space="preserve"> </w:t>
      </w:r>
      <w:r w:rsidRPr="00324CF1">
        <w:rPr>
          <w:lang w:val="en-CA"/>
        </w:rPr>
        <w:t xml:space="preserve">IATA not consent to such a seizure, but </w:t>
      </w:r>
      <w:r w:rsidR="001670BB">
        <w:rPr>
          <w:lang w:val="en-CA"/>
        </w:rPr>
        <w:t xml:space="preserve">the seizure </w:t>
      </w:r>
      <w:r w:rsidR="00D255FC">
        <w:rPr>
          <w:lang w:val="en-CA"/>
        </w:rPr>
        <w:t>was the impetus for</w:t>
      </w:r>
      <w:r w:rsidRPr="00324CF1">
        <w:rPr>
          <w:lang w:val="en-CA"/>
        </w:rPr>
        <w:t xml:space="preserve"> the </w:t>
      </w:r>
      <w:r w:rsidRPr="00324CF1">
        <w:rPr>
          <w:i/>
          <w:iCs/>
          <w:lang w:val="en-CA"/>
        </w:rPr>
        <w:t>Act</w:t>
      </w:r>
      <w:r w:rsidRPr="00324CF1">
        <w:rPr>
          <w:lang w:val="en-CA"/>
        </w:rPr>
        <w:t xml:space="preserve">, which aims to prevent seizures such as those that occurred in this case from happening again, </w:t>
      </w:r>
      <w:r w:rsidRPr="00324CF1">
        <w:rPr>
          <w:lang w:val="en-CA"/>
        </w:rPr>
        <w:lastRenderedPageBreak/>
        <w:t xml:space="preserve">because they damage </w:t>
      </w:r>
      <w:r w:rsidR="001670BB">
        <w:rPr>
          <w:lang w:val="en-CA"/>
        </w:rPr>
        <w:t>IATA’s</w:t>
      </w:r>
      <w:r w:rsidR="001670BB" w:rsidRPr="00324CF1">
        <w:rPr>
          <w:lang w:val="en-CA"/>
        </w:rPr>
        <w:t xml:space="preserve"> </w:t>
      </w:r>
      <w:r w:rsidRPr="00324CF1">
        <w:rPr>
          <w:lang w:val="en-CA"/>
        </w:rPr>
        <w:t>reputation.</w:t>
      </w:r>
      <w:r w:rsidRPr="00324CF1">
        <w:rPr>
          <w:rStyle w:val="Appelnotedebasdep"/>
          <w:lang w:val="en-CA"/>
        </w:rPr>
        <w:footnoteReference w:id="176"/>
      </w:r>
      <w:r w:rsidRPr="00324CF1">
        <w:rPr>
          <w:lang w:val="en-CA"/>
        </w:rPr>
        <w:t xml:space="preserve"> </w:t>
      </w:r>
      <w:r w:rsidR="001670BB">
        <w:rPr>
          <w:lang w:val="en-CA"/>
        </w:rPr>
        <w:t>Second, n</w:t>
      </w:r>
      <w:r w:rsidRPr="00324CF1">
        <w:rPr>
          <w:lang w:val="en-CA"/>
        </w:rPr>
        <w:t>one of these sums are in an account held by IATA in Quebec.</w:t>
      </w:r>
      <w:r w:rsidRPr="00324CF1">
        <w:rPr>
          <w:rStyle w:val="Appelnotedebasdep"/>
          <w:lang w:val="en-CA"/>
        </w:rPr>
        <w:footnoteReference w:id="177"/>
      </w:r>
      <w:r w:rsidRPr="00324CF1">
        <w:rPr>
          <w:lang w:val="en-CA"/>
        </w:rPr>
        <w:t xml:space="preserve"> </w:t>
      </w:r>
    </w:p>
    <w:p w14:paraId="237CA593" w14:textId="616ABBA9" w:rsidR="00865233" w:rsidRPr="005E6EB3" w:rsidRDefault="00ED47F8" w:rsidP="00FB5A91">
      <w:pPr>
        <w:pStyle w:val="Paragraphe"/>
        <w:spacing w:line="240" w:lineRule="auto"/>
        <w:rPr>
          <w:lang w:val="en-CA"/>
        </w:rPr>
      </w:pPr>
      <w:r w:rsidRPr="00324CF1">
        <w:rPr>
          <w:lang w:val="en-CA"/>
        </w:rPr>
        <w:t xml:space="preserve">The judge then interpreted the text of the </w:t>
      </w:r>
      <w:r w:rsidRPr="00324CF1">
        <w:rPr>
          <w:i/>
          <w:iCs/>
          <w:lang w:val="en-CA"/>
        </w:rPr>
        <w:t>IATA Act</w:t>
      </w:r>
      <w:r w:rsidRPr="00324CF1">
        <w:rPr>
          <w:lang w:val="en-CA"/>
        </w:rPr>
        <w:t xml:space="preserve">. In his opinion, the wording was clear and unambiguous: </w:t>
      </w:r>
      <w:r w:rsidR="001670BB">
        <w:rPr>
          <w:lang w:val="en-CA"/>
        </w:rPr>
        <w:t xml:space="preserve">any </w:t>
      </w:r>
      <w:r w:rsidRPr="00324CF1">
        <w:rPr>
          <w:lang w:val="en-CA"/>
        </w:rPr>
        <w:t xml:space="preserve">sums </w:t>
      </w:r>
      <w:r w:rsidR="001670BB">
        <w:rPr>
          <w:lang w:val="en-CA"/>
        </w:rPr>
        <w:t>paid</w:t>
      </w:r>
      <w:r w:rsidR="001670BB" w:rsidRPr="00324CF1">
        <w:rPr>
          <w:lang w:val="en-CA"/>
        </w:rPr>
        <w:t xml:space="preserve"> </w:t>
      </w:r>
      <w:r w:rsidRPr="00324CF1">
        <w:rPr>
          <w:lang w:val="en-CA"/>
        </w:rPr>
        <w:t xml:space="preserve">to IATA since May 5, 2022, </w:t>
      </w:r>
      <w:r w:rsidR="001670BB">
        <w:rPr>
          <w:lang w:val="en-CA"/>
        </w:rPr>
        <w:t>cannot be seized</w:t>
      </w:r>
      <w:r w:rsidRPr="00324CF1">
        <w:rPr>
          <w:lang w:val="en-CA"/>
        </w:rPr>
        <w:t xml:space="preserve">, despite any provision to the contrary. This last clarification, according to the judge, also applied to the </w:t>
      </w:r>
      <w:r w:rsidR="00EE1771">
        <w:rPr>
          <w:lang w:val="en-CA"/>
        </w:rPr>
        <w:t>conclusions</w:t>
      </w:r>
      <w:r w:rsidR="00EE1771" w:rsidRPr="00324CF1">
        <w:rPr>
          <w:lang w:val="en-CA"/>
        </w:rPr>
        <w:t xml:space="preserve"> </w:t>
      </w:r>
      <w:r w:rsidRPr="00324CF1">
        <w:rPr>
          <w:lang w:val="en-CA"/>
        </w:rPr>
        <w:t xml:space="preserve">of the judgment on </w:t>
      </w:r>
      <w:r w:rsidR="00EE1771">
        <w:rPr>
          <w:lang w:val="en-CA"/>
        </w:rPr>
        <w:t xml:space="preserve">the </w:t>
      </w:r>
      <w:r w:rsidRPr="00324CF1">
        <w:rPr>
          <w:lang w:val="en-CA"/>
        </w:rPr>
        <w:t xml:space="preserve">seizure by garnishment of November 24, 2021, which, </w:t>
      </w:r>
      <w:r w:rsidR="00F32A5F">
        <w:rPr>
          <w:lang w:val="en-CA"/>
        </w:rPr>
        <w:t>it should be</w:t>
      </w:r>
      <w:r w:rsidRPr="00324CF1">
        <w:rPr>
          <w:lang w:val="en-CA"/>
        </w:rPr>
        <w:t xml:space="preserve"> recall</w:t>
      </w:r>
      <w:r w:rsidR="00F32A5F">
        <w:rPr>
          <w:lang w:val="en-CA"/>
        </w:rPr>
        <w:t>ed</w:t>
      </w:r>
      <w:r w:rsidRPr="00324CF1">
        <w:rPr>
          <w:lang w:val="en-CA"/>
        </w:rPr>
        <w:t>, involve all future sums (conclusion C). He wrote:</w:t>
      </w:r>
    </w:p>
    <w:p w14:paraId="164C7F35" w14:textId="7D4C2843" w:rsidR="00C90ACB" w:rsidRDefault="00C90ACB" w:rsidP="00FB5A91">
      <w:pPr>
        <w:pStyle w:val="Citationenretrait"/>
        <w:spacing w:line="240" w:lineRule="auto"/>
        <w:rPr>
          <w:lang w:val="en-CA"/>
        </w:rPr>
      </w:pPr>
      <w:r w:rsidRPr="00324CF1">
        <w:rPr>
          <w:lang w:val="en-CA"/>
        </w:rPr>
        <w:t>[</w:t>
      </w:r>
      <w:r w:rsidRPr="005E6EB3">
        <w:rPr>
          <w:smallCaps/>
          <w:lang w:val="en-CA"/>
        </w:rPr>
        <w:t>translation</w:t>
      </w:r>
      <w:r w:rsidRPr="00324CF1">
        <w:rPr>
          <w:lang w:val="en-CA"/>
        </w:rPr>
        <w:t xml:space="preserve">] </w:t>
      </w:r>
    </w:p>
    <w:p w14:paraId="7FE8BE62" w14:textId="70DFB712" w:rsidR="00865233" w:rsidRPr="00324CF1" w:rsidRDefault="00ED47F8" w:rsidP="00FB5A91">
      <w:pPr>
        <w:pStyle w:val="Citationenretrait"/>
        <w:spacing w:line="240" w:lineRule="auto"/>
        <w:rPr>
          <w:lang w:val="en-US"/>
        </w:rPr>
      </w:pPr>
      <w:r w:rsidRPr="00324CF1">
        <w:rPr>
          <w:lang w:val="en-CA"/>
        </w:rPr>
        <w:t>[71]</w:t>
      </w:r>
      <w:r w:rsidRPr="00324CF1">
        <w:rPr>
          <w:lang w:val="en-CA"/>
        </w:rPr>
        <w:tab/>
        <w:t>The addition of “</w:t>
      </w:r>
      <w:r w:rsidRPr="00324CF1">
        <w:rPr>
          <w:rFonts w:ascii="Arial-ItalicMT" w:hAnsi="Arial-ItalicMT"/>
          <w:i/>
          <w:iCs/>
          <w:u w:val="single"/>
          <w:lang w:val="en-CA"/>
        </w:rPr>
        <w:t>[d]espite any provision to the contrary</w:t>
      </w:r>
      <w:r w:rsidRPr="00324CF1">
        <w:rPr>
          <w:rFonts w:ascii="Arial-ItalicMT" w:hAnsi="Arial-ItalicMT"/>
          <w:lang w:val="en-CA"/>
        </w:rPr>
        <w:t>”</w:t>
      </w:r>
      <w:r w:rsidRPr="00324CF1">
        <w:rPr>
          <w:rFonts w:ascii="Arial-ItalicMT" w:hAnsi="Arial-ItalicMT"/>
          <w:i/>
          <w:iCs/>
          <w:lang w:val="en-CA"/>
        </w:rPr>
        <w:t xml:space="preserve"> </w:t>
      </w:r>
      <w:r w:rsidRPr="00324CF1">
        <w:rPr>
          <w:lang w:val="en-CA"/>
        </w:rPr>
        <w:t xml:space="preserve">necessarily applies to the </w:t>
      </w:r>
      <w:r w:rsidR="00F32A5F">
        <w:rPr>
          <w:lang w:val="en-CA"/>
        </w:rPr>
        <w:t>conclusions</w:t>
      </w:r>
      <w:r w:rsidR="00F32A5F" w:rsidRPr="00324CF1">
        <w:rPr>
          <w:lang w:val="en-CA"/>
        </w:rPr>
        <w:t xml:space="preserve"> </w:t>
      </w:r>
      <w:r w:rsidRPr="00324CF1">
        <w:rPr>
          <w:lang w:val="en-CA"/>
        </w:rPr>
        <w:t>of Granosik</w:t>
      </w:r>
      <w:r w:rsidR="00F32A5F">
        <w:rPr>
          <w:lang w:val="en-CA"/>
        </w:rPr>
        <w:t>,</w:t>
      </w:r>
      <w:r w:rsidRPr="00324CF1">
        <w:rPr>
          <w:lang w:val="en-CA"/>
        </w:rPr>
        <w:t xml:space="preserve"> J.’s judgment authorizing the garnishment on November 24, 2021, when he specified that it applied to </w:t>
      </w:r>
      <w:r w:rsidR="00F32A5F">
        <w:rPr>
          <w:lang w:val="en-CA"/>
        </w:rPr>
        <w:t>[</w:t>
      </w:r>
      <w:r w:rsidR="00F32A5F" w:rsidRPr="005E6EB3">
        <w:rPr>
          <w:smallCaps/>
          <w:lang w:val="en-CA"/>
        </w:rPr>
        <w:t>translation</w:t>
      </w:r>
      <w:r w:rsidR="00F32A5F">
        <w:rPr>
          <w:lang w:val="en-CA"/>
        </w:rPr>
        <w:t xml:space="preserve">] </w:t>
      </w:r>
      <w:r w:rsidRPr="00324CF1">
        <w:rPr>
          <w:lang w:val="en-CA"/>
        </w:rPr>
        <w:t>“</w:t>
      </w:r>
      <w:r w:rsidRPr="00324CF1">
        <w:rPr>
          <w:rFonts w:ascii="Arial-ItalicMT" w:hAnsi="Arial-ItalicMT"/>
          <w:i/>
          <w:iCs/>
          <w:lang w:val="en-CA"/>
        </w:rPr>
        <w:t>all future sums</w:t>
      </w:r>
      <w:r w:rsidRPr="00324CF1">
        <w:rPr>
          <w:lang w:val="en-CA"/>
        </w:rPr>
        <w:t>”.</w:t>
      </w:r>
    </w:p>
    <w:p w14:paraId="1EDCA878" w14:textId="70FE5F8E" w:rsidR="00865233" w:rsidRPr="00324CF1" w:rsidRDefault="00ED47F8" w:rsidP="00FB5A91">
      <w:pPr>
        <w:pStyle w:val="Citationenretrait"/>
        <w:spacing w:line="240" w:lineRule="auto"/>
        <w:rPr>
          <w:lang w:val="en-US"/>
        </w:rPr>
      </w:pPr>
      <w:r w:rsidRPr="00324CF1">
        <w:rPr>
          <w:lang w:val="en-CA"/>
        </w:rPr>
        <w:t>[72]</w:t>
      </w:r>
      <w:r w:rsidRPr="00324CF1">
        <w:rPr>
          <w:lang w:val="en-CA"/>
        </w:rPr>
        <w:tab/>
        <w:t xml:space="preserve">The garnishment as worded is a kind of seizure before judgment </w:t>
      </w:r>
      <w:r w:rsidR="00F32A5F">
        <w:rPr>
          <w:lang w:val="en-CA"/>
        </w:rPr>
        <w:t xml:space="preserve">consisting </w:t>
      </w:r>
      <w:r w:rsidRPr="00324CF1">
        <w:rPr>
          <w:lang w:val="en-CA"/>
        </w:rPr>
        <w:t xml:space="preserve">of successive </w:t>
      </w:r>
      <w:r w:rsidR="00F32A5F">
        <w:rPr>
          <w:lang w:val="en-CA"/>
        </w:rPr>
        <w:t>seizures</w:t>
      </w:r>
      <w:r w:rsidRPr="00324CF1">
        <w:rPr>
          <w:lang w:val="en-CA"/>
        </w:rPr>
        <w:t xml:space="preserve"> </w:t>
      </w:r>
      <w:r w:rsidR="00F32A5F">
        <w:rPr>
          <w:lang w:val="en-CA"/>
        </w:rPr>
        <w:t>compelling</w:t>
      </w:r>
      <w:r w:rsidRPr="00324CF1">
        <w:rPr>
          <w:lang w:val="en-CA"/>
        </w:rPr>
        <w:t xml:space="preserve"> the third-party garnishee (IATA) to retain the sums belonging to or intended for the </w:t>
      </w:r>
      <w:r w:rsidR="00225A23">
        <w:rPr>
          <w:lang w:val="en-CA"/>
        </w:rPr>
        <w:t>person</w:t>
      </w:r>
      <w:r w:rsidR="0021400A">
        <w:rPr>
          <w:lang w:val="en-CA"/>
        </w:rPr>
        <w:t xml:space="preserve"> whose property was</w:t>
      </w:r>
      <w:r w:rsidR="00225A23">
        <w:rPr>
          <w:lang w:val="en-CA"/>
        </w:rPr>
        <w:t xml:space="preserve"> seized</w:t>
      </w:r>
      <w:r w:rsidR="00225A23" w:rsidRPr="00324CF1">
        <w:rPr>
          <w:lang w:val="en-CA"/>
        </w:rPr>
        <w:t xml:space="preserve"> </w:t>
      </w:r>
      <w:r w:rsidRPr="00324CF1">
        <w:rPr>
          <w:lang w:val="en-CA"/>
        </w:rPr>
        <w:t xml:space="preserve">(AAI) </w:t>
      </w:r>
      <w:r w:rsidRPr="00324CF1">
        <w:rPr>
          <w:u w:val="single"/>
          <w:lang w:val="en-CA"/>
        </w:rPr>
        <w:t>as they are received</w:t>
      </w:r>
      <w:r w:rsidR="00225A23">
        <w:rPr>
          <w:u w:val="single"/>
          <w:lang w:val="en-CA"/>
        </w:rPr>
        <w:t xml:space="preserve"> and</w:t>
      </w:r>
      <w:r w:rsidRPr="00324CF1">
        <w:rPr>
          <w:u w:val="single"/>
          <w:lang w:val="en-CA"/>
        </w:rPr>
        <w:t xml:space="preserve"> starting when the third-party garnishee receives or collects the funds for a member or participant</w:t>
      </w:r>
      <w:r w:rsidRPr="005E6EB3">
        <w:rPr>
          <w:lang w:val="en-CA"/>
        </w:rPr>
        <w:t xml:space="preserve">, until it is </w:t>
      </w:r>
      <w:r w:rsidR="00225A23">
        <w:rPr>
          <w:lang w:val="en-CA"/>
        </w:rPr>
        <w:t>granted</w:t>
      </w:r>
      <w:r w:rsidR="00225A23" w:rsidRPr="005E6EB3">
        <w:rPr>
          <w:lang w:val="en-CA"/>
        </w:rPr>
        <w:t xml:space="preserve"> </w:t>
      </w:r>
      <w:r w:rsidRPr="005E6EB3">
        <w:rPr>
          <w:lang w:val="en-CA"/>
        </w:rPr>
        <w:t>a release of seizure or a court orders it.</w:t>
      </w:r>
      <w:r w:rsidRPr="00324CF1">
        <w:rPr>
          <w:lang w:val="en-CA"/>
        </w:rPr>
        <w:t xml:space="preserve"> In the meantime, the third-party garnishee (IATA) must declare all sums it holds for the </w:t>
      </w:r>
      <w:r w:rsidR="0021400A">
        <w:rPr>
          <w:lang w:val="en-CA"/>
        </w:rPr>
        <w:t>person whose property was seized</w:t>
      </w:r>
      <w:r w:rsidR="0021400A" w:rsidRPr="00324CF1">
        <w:rPr>
          <w:lang w:val="en-CA"/>
        </w:rPr>
        <w:t xml:space="preserve"> </w:t>
      </w:r>
      <w:r w:rsidRPr="00324CF1">
        <w:rPr>
          <w:lang w:val="en-CA"/>
        </w:rPr>
        <w:t>(AAI) at the request of the seizing creditor (the Plaintiffs) as was last done on May 10, 2022.</w:t>
      </w:r>
    </w:p>
    <w:p w14:paraId="1237C89B" w14:textId="5FC28629" w:rsidR="00865233" w:rsidRPr="00324CF1" w:rsidRDefault="00ED47F8" w:rsidP="00FB5A91">
      <w:pPr>
        <w:pStyle w:val="Citationenretrait"/>
        <w:spacing w:line="240" w:lineRule="auto"/>
        <w:rPr>
          <w:lang w:val="en-US"/>
        </w:rPr>
      </w:pPr>
      <w:r w:rsidRPr="00324CF1">
        <w:rPr>
          <w:lang w:val="en-CA"/>
        </w:rPr>
        <w:t>[73]</w:t>
      </w:r>
      <w:r w:rsidRPr="00324CF1">
        <w:rPr>
          <w:lang w:val="en-CA"/>
        </w:rPr>
        <w:tab/>
        <w:t xml:space="preserve">This Court is of the opinion that notwithstanding the date </w:t>
      </w:r>
      <w:r w:rsidR="00973468">
        <w:rPr>
          <w:lang w:val="en-CA"/>
        </w:rPr>
        <w:t>on which</w:t>
      </w:r>
      <w:r w:rsidR="00D255FC">
        <w:rPr>
          <w:lang w:val="en-CA"/>
        </w:rPr>
        <w:t xml:space="preserve"> </w:t>
      </w:r>
      <w:r w:rsidRPr="00324CF1">
        <w:rPr>
          <w:lang w:val="en-CA"/>
        </w:rPr>
        <w:t>the garnishment before judgment</w:t>
      </w:r>
      <w:r w:rsidR="00973468">
        <w:rPr>
          <w:lang w:val="en-CA"/>
        </w:rPr>
        <w:t xml:space="preserve"> was authorized</w:t>
      </w:r>
      <w:r w:rsidRPr="00324CF1">
        <w:rPr>
          <w:lang w:val="en-CA"/>
        </w:rPr>
        <w:t xml:space="preserve">, the seizure by garnishment concerning a sum of money intended for the </w:t>
      </w:r>
      <w:r w:rsidR="00973468">
        <w:rPr>
          <w:lang w:val="en-CA"/>
        </w:rPr>
        <w:t>person whose property was seized</w:t>
      </w:r>
      <w:r w:rsidR="00973468" w:rsidRPr="00324CF1">
        <w:rPr>
          <w:lang w:val="en-CA"/>
        </w:rPr>
        <w:t xml:space="preserve"> </w:t>
      </w:r>
      <w:r w:rsidRPr="00324CF1">
        <w:rPr>
          <w:lang w:val="en-CA"/>
        </w:rPr>
        <w:t xml:space="preserve">(AAI) only crystallizes each time the third-party garnishee (IATA) receives such a sum of money, which it would normally remit to the </w:t>
      </w:r>
      <w:r w:rsidR="00973468">
        <w:rPr>
          <w:lang w:val="en-CA"/>
        </w:rPr>
        <w:t>person whose property was seized</w:t>
      </w:r>
      <w:r w:rsidR="00973468" w:rsidRPr="00324CF1">
        <w:rPr>
          <w:lang w:val="en-CA"/>
        </w:rPr>
        <w:t xml:space="preserve"> </w:t>
      </w:r>
      <w:r w:rsidRPr="00324CF1">
        <w:rPr>
          <w:lang w:val="en-CA"/>
        </w:rPr>
        <w:t>(AAI) if it were not for the garnishment before judgment.</w:t>
      </w:r>
    </w:p>
    <w:p w14:paraId="0117A0F4" w14:textId="77777777" w:rsidR="00865233" w:rsidRPr="00324CF1" w:rsidRDefault="00ED47F8" w:rsidP="00FB5A91">
      <w:pPr>
        <w:pStyle w:val="Citationenretrait"/>
        <w:spacing w:line="240" w:lineRule="auto"/>
        <w:rPr>
          <w:lang w:val="en-US"/>
        </w:rPr>
      </w:pPr>
      <w:r w:rsidRPr="00324CF1">
        <w:rPr>
          <w:lang w:val="en-CA"/>
        </w:rPr>
        <w:t>[74]</w:t>
      </w:r>
      <w:r w:rsidRPr="00324CF1">
        <w:rPr>
          <w:lang w:val="en-CA"/>
        </w:rPr>
        <w:tab/>
        <w:t>It is therefore at each of these times:</w:t>
      </w:r>
    </w:p>
    <w:p w14:paraId="02865E6D" w14:textId="44A1BC9E" w:rsidR="00865233" w:rsidRPr="00324CF1" w:rsidRDefault="00ED47F8" w:rsidP="00FB5A91">
      <w:pPr>
        <w:pStyle w:val="Citationenretrait"/>
        <w:spacing w:line="240" w:lineRule="auto"/>
        <w:ind w:left="1440"/>
        <w:rPr>
          <w:lang w:val="en-US"/>
        </w:rPr>
      </w:pPr>
      <w:r w:rsidRPr="00324CF1">
        <w:rPr>
          <w:lang w:val="en-CA"/>
        </w:rPr>
        <w:t xml:space="preserve">- That the Garnishment before judgment takes effect and crystallizes with regard to new sums of money as they are received or collected by IATA for the benefit of its member or participant, the </w:t>
      </w:r>
      <w:r w:rsidR="009472BC">
        <w:rPr>
          <w:lang w:val="en-CA"/>
        </w:rPr>
        <w:t>person whose property was seized</w:t>
      </w:r>
      <w:r w:rsidR="009472BC" w:rsidRPr="00324CF1">
        <w:rPr>
          <w:lang w:val="en-CA"/>
        </w:rPr>
        <w:t xml:space="preserve"> </w:t>
      </w:r>
      <w:r w:rsidRPr="00324CF1">
        <w:rPr>
          <w:lang w:val="en-CA"/>
        </w:rPr>
        <w:t>(AAI); and</w:t>
      </w:r>
    </w:p>
    <w:p w14:paraId="77E12E66" w14:textId="666EE642" w:rsidR="00865233" w:rsidRPr="00324CF1" w:rsidRDefault="00ED47F8" w:rsidP="00FB5A91">
      <w:pPr>
        <w:pStyle w:val="Citationenretrait"/>
        <w:spacing w:line="240" w:lineRule="auto"/>
        <w:ind w:left="1440"/>
        <w:rPr>
          <w:lang w:val="en-US"/>
        </w:rPr>
      </w:pPr>
      <w:r w:rsidRPr="00324CF1">
        <w:rPr>
          <w:lang w:val="en-CA"/>
        </w:rPr>
        <w:t xml:space="preserve">- That </w:t>
      </w:r>
      <w:r w:rsidR="009472BC">
        <w:rPr>
          <w:lang w:val="en-CA"/>
        </w:rPr>
        <w:t>exemption from seizure</w:t>
      </w:r>
      <w:r w:rsidRPr="00324CF1">
        <w:rPr>
          <w:lang w:val="en-CA"/>
        </w:rPr>
        <w:t xml:space="preserve"> of these new sums of money must be determined in </w:t>
      </w:r>
      <w:r w:rsidR="009472BC">
        <w:rPr>
          <w:lang w:val="en-CA"/>
        </w:rPr>
        <w:t>light of</w:t>
      </w:r>
      <w:r w:rsidRPr="00324CF1">
        <w:rPr>
          <w:lang w:val="en-CA"/>
        </w:rPr>
        <w:t xml:space="preserve"> the </w:t>
      </w:r>
      <w:r w:rsidRPr="00324CF1">
        <w:rPr>
          <w:i/>
          <w:iCs/>
          <w:lang w:val="en-CA"/>
        </w:rPr>
        <w:t>IATA Act</w:t>
      </w:r>
      <w:r w:rsidRPr="00324CF1">
        <w:rPr>
          <w:lang w:val="en-CA"/>
        </w:rPr>
        <w:t>, which has been in force since May 5, 2022.</w:t>
      </w:r>
    </w:p>
    <w:p w14:paraId="14BDEA3E" w14:textId="407220D9" w:rsidR="00865233" w:rsidRPr="00324CF1" w:rsidRDefault="00ED47F8" w:rsidP="00FB5A91">
      <w:pPr>
        <w:pStyle w:val="Citationenretrait"/>
        <w:spacing w:line="240" w:lineRule="auto"/>
        <w:rPr>
          <w:lang w:val="en-US"/>
        </w:rPr>
      </w:pPr>
      <w:r w:rsidRPr="00324CF1">
        <w:rPr>
          <w:lang w:val="en-CA"/>
        </w:rPr>
        <w:lastRenderedPageBreak/>
        <w:t>[75]</w:t>
      </w:r>
      <w:r w:rsidRPr="00324CF1">
        <w:rPr>
          <w:lang w:val="en-CA"/>
        </w:rPr>
        <w:tab/>
        <w:t>In other words, the appropriate time to determine whether any “</w:t>
      </w:r>
      <w:r w:rsidRPr="00324CF1">
        <w:rPr>
          <w:rFonts w:ascii="Arial-ItalicMT" w:hAnsi="Arial-ItalicMT"/>
          <w:i/>
          <w:iCs/>
          <w:lang w:val="en-CA"/>
        </w:rPr>
        <w:t xml:space="preserve">sum of money held by the </w:t>
      </w:r>
      <w:r w:rsidRPr="00324CF1">
        <w:rPr>
          <w:lang w:val="en-CA"/>
        </w:rPr>
        <w:t xml:space="preserve">[IATA] </w:t>
      </w:r>
      <w:r w:rsidRPr="00324CF1">
        <w:rPr>
          <w:rFonts w:ascii="Arial-ItalicMT" w:hAnsi="Arial-ItalicMT"/>
          <w:i/>
          <w:iCs/>
          <w:lang w:val="en-CA"/>
        </w:rPr>
        <w:t>and required to be paid to a participant in its financial services</w:t>
      </w:r>
      <w:r w:rsidRPr="00324CF1">
        <w:rPr>
          <w:lang w:val="en-CA"/>
        </w:rPr>
        <w:t xml:space="preserve">” is covered by the declaration of exemption from seizure in section 1 of the </w:t>
      </w:r>
      <w:r w:rsidRPr="00324CF1">
        <w:rPr>
          <w:i/>
          <w:iCs/>
          <w:lang w:val="en-CA"/>
        </w:rPr>
        <w:t>IATA Act</w:t>
      </w:r>
      <w:r w:rsidRPr="00324CF1">
        <w:rPr>
          <w:lang w:val="en-CA"/>
        </w:rPr>
        <w:t xml:space="preserve"> is when IATA receives or collects a sum of money that it would normally have to remit to the member or participant involved, for example, AAI, in this case.</w:t>
      </w:r>
      <w:r w:rsidRPr="00324CF1">
        <w:rPr>
          <w:rStyle w:val="Appelnotedebasdep"/>
          <w:lang w:val="en-CA"/>
        </w:rPr>
        <w:footnoteReference w:id="178"/>
      </w:r>
    </w:p>
    <w:p w14:paraId="54CFF5F5" w14:textId="77777777" w:rsidR="00865233" w:rsidRPr="00324CF1" w:rsidRDefault="00ED47F8" w:rsidP="00FB5A91">
      <w:pPr>
        <w:pStyle w:val="Citationenretrait"/>
        <w:spacing w:line="240" w:lineRule="auto"/>
        <w:jc w:val="right"/>
        <w:rPr>
          <w:lang w:val="en-US"/>
        </w:rPr>
      </w:pPr>
      <w:r w:rsidRPr="00324CF1">
        <w:rPr>
          <w:lang w:val="en-CA"/>
        </w:rPr>
        <w:t>[References omitted; emphasis in original]</w:t>
      </w:r>
    </w:p>
    <w:p w14:paraId="491BA300" w14:textId="47845269" w:rsidR="00865233" w:rsidRPr="00324CF1" w:rsidRDefault="00ED47F8" w:rsidP="00FB5A91">
      <w:pPr>
        <w:pStyle w:val="Paragraphe"/>
        <w:spacing w:line="240" w:lineRule="auto"/>
        <w:rPr>
          <w:lang w:val="en-US"/>
        </w:rPr>
      </w:pPr>
      <w:r w:rsidRPr="00324CF1">
        <w:rPr>
          <w:lang w:val="en-CA"/>
        </w:rPr>
        <w:t xml:space="preserve">He therefore concluded that the sums </w:t>
      </w:r>
      <w:r w:rsidR="00F95905">
        <w:rPr>
          <w:lang w:val="en-CA"/>
        </w:rPr>
        <w:t>paid</w:t>
      </w:r>
      <w:r w:rsidR="00F95905" w:rsidRPr="00324CF1">
        <w:rPr>
          <w:lang w:val="en-CA"/>
        </w:rPr>
        <w:t xml:space="preserve"> </w:t>
      </w:r>
      <w:r w:rsidRPr="00324CF1">
        <w:rPr>
          <w:lang w:val="en-CA"/>
        </w:rPr>
        <w:t>to IATA after May 5, 2022, are exempt from seizure, notwithstanding the orders of November 24, 2021.</w:t>
      </w:r>
    </w:p>
    <w:p w14:paraId="44491F86" w14:textId="77777777" w:rsidR="00865233" w:rsidRPr="00324CF1" w:rsidRDefault="00ED47F8" w:rsidP="00FB5A91">
      <w:pPr>
        <w:pStyle w:val="Titre2"/>
        <w:spacing w:line="240" w:lineRule="auto"/>
      </w:pPr>
      <w:bookmarkStart w:id="125" w:name="_Toc184205626"/>
      <w:bookmarkStart w:id="126" w:name="_Toc256000021"/>
      <w:r w:rsidRPr="00324CF1">
        <w:rPr>
          <w:bCs/>
          <w:iCs/>
          <w:lang w:val="en-CA"/>
        </w:rPr>
        <w:t>2.</w:t>
      </w:r>
      <w:r w:rsidRPr="00324CF1">
        <w:rPr>
          <w:bCs/>
          <w:iCs/>
          <w:lang w:val="en-CA"/>
        </w:rPr>
        <w:tab/>
        <w:t>Grounds of appeal</w:t>
      </w:r>
      <w:bookmarkEnd w:id="125"/>
      <w:bookmarkEnd w:id="126"/>
      <w:r w:rsidRPr="00324CF1">
        <w:rPr>
          <w:bCs/>
          <w:iCs/>
          <w:lang w:val="en-CA"/>
        </w:rPr>
        <w:t xml:space="preserve"> </w:t>
      </w:r>
    </w:p>
    <w:p w14:paraId="444B406E" w14:textId="19D53A04" w:rsidR="00865233" w:rsidRPr="005E6EB3" w:rsidRDefault="00ED47F8" w:rsidP="00FB5A91">
      <w:pPr>
        <w:pStyle w:val="Paragraphe"/>
        <w:spacing w:line="240" w:lineRule="auto"/>
        <w:rPr>
          <w:lang w:val="en-CA"/>
        </w:rPr>
      </w:pPr>
      <w:r w:rsidRPr="00324CF1">
        <w:rPr>
          <w:lang w:val="en-CA"/>
        </w:rPr>
        <w:t>On appeal, all parties invite</w:t>
      </w:r>
      <w:r w:rsidR="00AA6AAB">
        <w:rPr>
          <w:lang w:val="en-CA"/>
        </w:rPr>
        <w:t>d</w:t>
      </w:r>
      <w:r w:rsidRPr="00324CF1">
        <w:rPr>
          <w:lang w:val="en-CA"/>
        </w:rPr>
        <w:t xml:space="preserve"> the Court to rule on the question of the possible effect of the </w:t>
      </w:r>
      <w:r w:rsidRPr="00324CF1">
        <w:rPr>
          <w:i/>
          <w:iCs/>
          <w:lang w:val="en-CA"/>
        </w:rPr>
        <w:t xml:space="preserve">IATA Act </w:t>
      </w:r>
      <w:r w:rsidRPr="00324CF1">
        <w:rPr>
          <w:lang w:val="en-CA"/>
        </w:rPr>
        <w:t xml:space="preserve">on the sums held by IATA prior to May 5, 2022. Even if the Court will not benefit from a decision </w:t>
      </w:r>
      <w:r w:rsidR="00C71DDA">
        <w:rPr>
          <w:lang w:val="en-CA"/>
        </w:rPr>
        <w:t>by</w:t>
      </w:r>
      <w:r w:rsidR="00C71DDA" w:rsidRPr="00324CF1">
        <w:rPr>
          <w:lang w:val="en-CA"/>
        </w:rPr>
        <w:t xml:space="preserve"> </w:t>
      </w:r>
      <w:r w:rsidRPr="00324CF1">
        <w:rPr>
          <w:lang w:val="en-CA"/>
        </w:rPr>
        <w:t xml:space="preserve">the </w:t>
      </w:r>
      <w:r w:rsidR="00C40483">
        <w:rPr>
          <w:lang w:val="en-CA"/>
        </w:rPr>
        <w:t>trial</w:t>
      </w:r>
      <w:r w:rsidRPr="00324CF1">
        <w:rPr>
          <w:lang w:val="en-CA"/>
        </w:rPr>
        <w:t xml:space="preserve"> judge on this point, since he refused to rule on this matter, the parties are right. The proper administration of justice </w:t>
      </w:r>
      <w:r w:rsidR="00C71DDA">
        <w:rPr>
          <w:lang w:val="en-CA"/>
        </w:rPr>
        <w:t>weighs</w:t>
      </w:r>
      <w:r w:rsidR="00C71DDA" w:rsidRPr="00324CF1">
        <w:rPr>
          <w:lang w:val="en-CA"/>
        </w:rPr>
        <w:t xml:space="preserve"> </w:t>
      </w:r>
      <w:r w:rsidRPr="00324CF1">
        <w:rPr>
          <w:lang w:val="en-CA"/>
        </w:rPr>
        <w:t xml:space="preserve">in favour of a decision from the Court on this point to avoid </w:t>
      </w:r>
      <w:r w:rsidR="00C71DDA">
        <w:rPr>
          <w:lang w:val="en-CA"/>
        </w:rPr>
        <w:t>a new</w:t>
      </w:r>
      <w:r w:rsidR="00C71DDA" w:rsidRPr="00324CF1">
        <w:rPr>
          <w:lang w:val="en-CA"/>
        </w:rPr>
        <w:t xml:space="preserve"> </w:t>
      </w:r>
      <w:r w:rsidRPr="00324CF1">
        <w:rPr>
          <w:lang w:val="en-CA"/>
        </w:rPr>
        <w:t xml:space="preserve">debate </w:t>
      </w:r>
      <w:r w:rsidR="00C71DDA">
        <w:rPr>
          <w:lang w:val="en-CA"/>
        </w:rPr>
        <w:t>before</w:t>
      </w:r>
      <w:r w:rsidR="00C71DDA" w:rsidRPr="00324CF1">
        <w:rPr>
          <w:lang w:val="en-CA"/>
        </w:rPr>
        <w:t xml:space="preserve"> </w:t>
      </w:r>
      <w:r w:rsidRPr="00324CF1">
        <w:rPr>
          <w:lang w:val="en-CA"/>
        </w:rPr>
        <w:t xml:space="preserve">the Superior Court and possibly the Court of Appeal. Similarly, the parties were able to put forward all the relevant arguments on this subject, and this issue is intrinsically linked to the matter relating to the effects of the law on sums that </w:t>
      </w:r>
      <w:r w:rsidR="00C71DDA">
        <w:rPr>
          <w:lang w:val="en-CA"/>
        </w:rPr>
        <w:t>could</w:t>
      </w:r>
      <w:r w:rsidR="00C71DDA" w:rsidRPr="00324CF1">
        <w:rPr>
          <w:lang w:val="en-CA"/>
        </w:rPr>
        <w:t xml:space="preserve"> </w:t>
      </w:r>
      <w:r w:rsidRPr="00324CF1">
        <w:rPr>
          <w:lang w:val="en-CA"/>
        </w:rPr>
        <w:t>be held after May 5, 2022. This Court will therefore consider this issue.</w:t>
      </w:r>
    </w:p>
    <w:p w14:paraId="15F39341" w14:textId="40388B0E" w:rsidR="00865233" w:rsidRPr="00324CF1" w:rsidRDefault="00ED47F8" w:rsidP="00FB5A91">
      <w:pPr>
        <w:pStyle w:val="Paragraphe"/>
        <w:spacing w:line="240" w:lineRule="auto"/>
        <w:rPr>
          <w:lang w:val="en-US"/>
        </w:rPr>
      </w:pPr>
      <w:r w:rsidRPr="00324CF1">
        <w:rPr>
          <w:lang w:val="en-CA"/>
        </w:rPr>
        <w:t xml:space="preserve">On the merits of this question, the </w:t>
      </w:r>
      <w:r w:rsidR="00C829C7">
        <w:rPr>
          <w:lang w:val="en-CA"/>
        </w:rPr>
        <w:t xml:space="preserve">parties’ </w:t>
      </w:r>
      <w:r w:rsidRPr="00324CF1">
        <w:rPr>
          <w:lang w:val="en-CA"/>
        </w:rPr>
        <w:t xml:space="preserve">respective positions </w:t>
      </w:r>
      <w:r w:rsidR="008C43BA">
        <w:rPr>
          <w:lang w:val="en-CA"/>
        </w:rPr>
        <w:t>are</w:t>
      </w:r>
      <w:r w:rsidRPr="00324CF1">
        <w:rPr>
          <w:lang w:val="en-CA"/>
        </w:rPr>
        <w:t xml:space="preserve"> diametrically opposed. CCDM/Devas argue</w:t>
      </w:r>
      <w:r w:rsidR="008C43BA">
        <w:rPr>
          <w:lang w:val="en-CA"/>
        </w:rPr>
        <w:t>d</w:t>
      </w:r>
      <w:r w:rsidRPr="00324CF1">
        <w:rPr>
          <w:lang w:val="en-CA"/>
        </w:rPr>
        <w:t xml:space="preserve"> that the effect of the Judgment on the </w:t>
      </w:r>
      <w:r w:rsidR="00A92438">
        <w:rPr>
          <w:lang w:val="en-CA"/>
        </w:rPr>
        <w:t>a</w:t>
      </w:r>
      <w:r w:rsidRPr="00324CF1">
        <w:rPr>
          <w:lang w:val="en-CA"/>
        </w:rPr>
        <w:t xml:space="preserve">pplication of the </w:t>
      </w:r>
      <w:r w:rsidRPr="00324CF1">
        <w:rPr>
          <w:i/>
          <w:iCs/>
          <w:lang w:val="en-CA"/>
        </w:rPr>
        <w:t>IATA Act</w:t>
      </w:r>
      <w:r w:rsidRPr="00324CF1">
        <w:rPr>
          <w:lang w:val="en-CA"/>
        </w:rPr>
        <w:t xml:space="preserve"> is to give the</w:t>
      </w:r>
      <w:r w:rsidRPr="00324CF1">
        <w:rPr>
          <w:i/>
          <w:iCs/>
          <w:lang w:val="en-CA"/>
        </w:rPr>
        <w:t xml:space="preserve"> IATA Act</w:t>
      </w:r>
      <w:r w:rsidRPr="00324CF1">
        <w:rPr>
          <w:lang w:val="en-CA"/>
        </w:rPr>
        <w:t xml:space="preserve"> a retroactive effect, both with regard to sums held before May 5, 2022, and </w:t>
      </w:r>
      <w:r w:rsidR="00C829C7">
        <w:rPr>
          <w:lang w:val="en-CA"/>
        </w:rPr>
        <w:t>those</w:t>
      </w:r>
      <w:r w:rsidR="00C829C7" w:rsidRPr="00324CF1">
        <w:rPr>
          <w:lang w:val="en-CA"/>
        </w:rPr>
        <w:t xml:space="preserve"> </w:t>
      </w:r>
      <w:r w:rsidRPr="00324CF1">
        <w:rPr>
          <w:lang w:val="en-CA"/>
        </w:rPr>
        <w:t>held after that date.</w:t>
      </w:r>
      <w:r w:rsidR="00A16A71">
        <w:rPr>
          <w:lang w:val="en-CA"/>
        </w:rPr>
        <w:t xml:space="preserve"> </w:t>
      </w:r>
      <w:r w:rsidR="00C829C7">
        <w:rPr>
          <w:lang w:val="en-CA"/>
        </w:rPr>
        <w:t>A</w:t>
      </w:r>
      <w:r w:rsidRPr="00324CF1">
        <w:rPr>
          <w:lang w:val="en-CA"/>
        </w:rPr>
        <w:t xml:space="preserve">ccording to CCDM/Devas, the only retroactive effect provided for under the law is for the period between the </w:t>
      </w:r>
      <w:r w:rsidR="00C829C7">
        <w:rPr>
          <w:lang w:val="en-CA"/>
        </w:rPr>
        <w:t>moment</w:t>
      </w:r>
      <w:r w:rsidRPr="00324CF1">
        <w:rPr>
          <w:lang w:val="en-CA"/>
        </w:rPr>
        <w:t xml:space="preserve"> the bill</w:t>
      </w:r>
      <w:r w:rsidR="00C829C7">
        <w:rPr>
          <w:lang w:val="en-CA"/>
        </w:rPr>
        <w:t xml:space="preserve"> was tabled</w:t>
      </w:r>
      <w:r w:rsidRPr="00324CF1">
        <w:rPr>
          <w:lang w:val="en-CA"/>
        </w:rPr>
        <w:t xml:space="preserve">, on May 5, 2022, and the date it received assent, on June 2, 2022, to avoid a </w:t>
      </w:r>
      <w:r w:rsidR="00C829C7">
        <w:rPr>
          <w:lang w:val="en-CA"/>
        </w:rPr>
        <w:t>[</w:t>
      </w:r>
      <w:r w:rsidR="00C829C7" w:rsidRPr="005E6EB3">
        <w:rPr>
          <w:smallCaps/>
          <w:lang w:val="en-CA"/>
        </w:rPr>
        <w:t>translation</w:t>
      </w:r>
      <w:r w:rsidR="00C829C7">
        <w:rPr>
          <w:lang w:val="en-CA"/>
        </w:rPr>
        <w:t xml:space="preserve">] </w:t>
      </w:r>
      <w:r w:rsidRPr="00324CF1">
        <w:rPr>
          <w:lang w:val="en-CA"/>
        </w:rPr>
        <w:t>“</w:t>
      </w:r>
      <w:r w:rsidR="000F73BF">
        <w:rPr>
          <w:lang w:val="en-CA"/>
        </w:rPr>
        <w:t>run</w:t>
      </w:r>
      <w:r w:rsidRPr="00324CF1">
        <w:rPr>
          <w:lang w:val="en-CA"/>
        </w:rPr>
        <w:t xml:space="preserve">” </w:t>
      </w:r>
      <w:r w:rsidR="008C43BA">
        <w:rPr>
          <w:lang w:val="en-CA"/>
        </w:rPr>
        <w:t>to carry out</w:t>
      </w:r>
      <w:r w:rsidR="00C829C7" w:rsidRPr="00324CF1">
        <w:rPr>
          <w:lang w:val="en-CA"/>
        </w:rPr>
        <w:t xml:space="preserve"> </w:t>
      </w:r>
      <w:r w:rsidRPr="00324CF1">
        <w:rPr>
          <w:lang w:val="en-CA"/>
        </w:rPr>
        <w:t xml:space="preserve">multiple seizures. In this case, the seizure crystallized on November 24, 2021, and applying the </w:t>
      </w:r>
      <w:r w:rsidRPr="00324CF1">
        <w:rPr>
          <w:i/>
          <w:iCs/>
          <w:lang w:val="en-CA"/>
        </w:rPr>
        <w:t xml:space="preserve">IATA Act </w:t>
      </w:r>
      <w:r w:rsidRPr="00324CF1">
        <w:rPr>
          <w:lang w:val="en-CA"/>
        </w:rPr>
        <w:t xml:space="preserve">to it would contravene the principle of non-retroactivity of laws since according to articles 711 and 715 CCP, seizures take effect immediately without regard to when the debt justifying the seizure is due. Similarly, the validity of a seizure must be assessed on the date of the seizure, in this case November 24, 2021, and not </w:t>
      </w:r>
      <w:r w:rsidR="00F066E2">
        <w:rPr>
          <w:lang w:val="en-CA"/>
        </w:rPr>
        <w:t>subsequently</w:t>
      </w:r>
      <w:r w:rsidRPr="00324CF1">
        <w:rPr>
          <w:lang w:val="en-CA"/>
        </w:rPr>
        <w:t>. CCDM/Devas add</w:t>
      </w:r>
      <w:r w:rsidR="008C43BA">
        <w:rPr>
          <w:lang w:val="en-CA"/>
        </w:rPr>
        <w:t>ed</w:t>
      </w:r>
      <w:r w:rsidRPr="00324CF1">
        <w:rPr>
          <w:lang w:val="en-CA"/>
        </w:rPr>
        <w:t xml:space="preserve"> that the judge erred by </w:t>
      </w:r>
      <w:r w:rsidR="00F066E2">
        <w:rPr>
          <w:lang w:val="en-CA"/>
        </w:rPr>
        <w:t>accepting</w:t>
      </w:r>
      <w:r w:rsidR="00F066E2" w:rsidRPr="00324CF1">
        <w:rPr>
          <w:lang w:val="en-CA"/>
        </w:rPr>
        <w:t xml:space="preserve"> </w:t>
      </w:r>
      <w:r w:rsidRPr="00324CF1">
        <w:rPr>
          <w:lang w:val="en-CA"/>
        </w:rPr>
        <w:t>that the phrase “despite any provision to the contrary”, included in section 1 of the</w:t>
      </w:r>
      <w:r w:rsidRPr="00324CF1">
        <w:rPr>
          <w:i/>
          <w:iCs/>
          <w:lang w:val="en-CA"/>
        </w:rPr>
        <w:t xml:space="preserve"> IATA Act</w:t>
      </w:r>
      <w:r w:rsidRPr="00324CF1">
        <w:rPr>
          <w:lang w:val="en-CA"/>
        </w:rPr>
        <w:t xml:space="preserve">, also refers to the </w:t>
      </w:r>
      <w:r w:rsidR="00F066E2">
        <w:rPr>
          <w:lang w:val="en-CA"/>
        </w:rPr>
        <w:t>conclusions</w:t>
      </w:r>
      <w:r w:rsidR="00F066E2" w:rsidRPr="00324CF1">
        <w:rPr>
          <w:lang w:val="en-CA"/>
        </w:rPr>
        <w:t xml:space="preserve"> </w:t>
      </w:r>
      <w:r w:rsidRPr="00324CF1">
        <w:rPr>
          <w:lang w:val="en-CA"/>
        </w:rPr>
        <w:t>of the Granosik Judgment allowing the seizure of [</w:t>
      </w:r>
      <w:r w:rsidR="00C90ACB" w:rsidRPr="005E6EB3">
        <w:rPr>
          <w:smallCaps/>
          <w:lang w:val="en-CA"/>
        </w:rPr>
        <w:t>translation</w:t>
      </w:r>
      <w:r w:rsidRPr="00324CF1">
        <w:rPr>
          <w:lang w:val="en-CA"/>
        </w:rPr>
        <w:t>] “all future sums”.</w:t>
      </w:r>
    </w:p>
    <w:p w14:paraId="3C64EF8B" w14:textId="0CD53149" w:rsidR="00865233" w:rsidRPr="00324CF1" w:rsidRDefault="00ED47F8" w:rsidP="00FB5A91">
      <w:pPr>
        <w:pStyle w:val="Paragraphe"/>
        <w:spacing w:line="240" w:lineRule="auto"/>
        <w:rPr>
          <w:lang w:val="en-US"/>
        </w:rPr>
      </w:pPr>
      <w:r w:rsidRPr="00324CF1">
        <w:rPr>
          <w:lang w:val="en-CA"/>
        </w:rPr>
        <w:t>They alternatively argue</w:t>
      </w:r>
      <w:r w:rsidR="008C43BA">
        <w:rPr>
          <w:lang w:val="en-CA"/>
        </w:rPr>
        <w:t>d</w:t>
      </w:r>
      <w:r w:rsidRPr="00324CF1">
        <w:rPr>
          <w:lang w:val="en-CA"/>
        </w:rPr>
        <w:t xml:space="preserve"> that even if the Court conclude</w:t>
      </w:r>
      <w:r w:rsidR="008C43BA">
        <w:rPr>
          <w:lang w:val="en-CA"/>
        </w:rPr>
        <w:t>d</w:t>
      </w:r>
      <w:r w:rsidRPr="00324CF1">
        <w:rPr>
          <w:lang w:val="en-CA"/>
        </w:rPr>
        <w:t xml:space="preserve">, </w:t>
      </w:r>
      <w:r w:rsidR="00F066E2">
        <w:rPr>
          <w:lang w:val="en-CA"/>
        </w:rPr>
        <w:t xml:space="preserve">as </w:t>
      </w:r>
      <w:r w:rsidRPr="00324CF1">
        <w:rPr>
          <w:lang w:val="en-CA"/>
        </w:rPr>
        <w:t xml:space="preserve">the </w:t>
      </w:r>
      <w:r w:rsidR="00C40483">
        <w:rPr>
          <w:lang w:val="en-CA"/>
        </w:rPr>
        <w:t>trial</w:t>
      </w:r>
      <w:r w:rsidRPr="00324CF1">
        <w:rPr>
          <w:lang w:val="en-CA"/>
        </w:rPr>
        <w:t xml:space="preserve"> judge did, that the seizure only crystallizes when sums are received by the third-party garnishee (in this case IATA), </w:t>
      </w:r>
      <w:r w:rsidR="008C43BA">
        <w:rPr>
          <w:lang w:val="en-CA"/>
        </w:rPr>
        <w:t>the trial judge</w:t>
      </w:r>
      <w:r w:rsidRPr="00324CF1">
        <w:rPr>
          <w:lang w:val="en-CA"/>
        </w:rPr>
        <w:t xml:space="preserve"> erred by failing to </w:t>
      </w:r>
      <w:r w:rsidR="00F066E2">
        <w:rPr>
          <w:lang w:val="en-CA"/>
        </w:rPr>
        <w:t>characterize</w:t>
      </w:r>
      <w:r w:rsidR="00F066E2" w:rsidRPr="00324CF1">
        <w:rPr>
          <w:lang w:val="en-CA"/>
        </w:rPr>
        <w:t xml:space="preserve"> </w:t>
      </w:r>
      <w:r w:rsidRPr="00324CF1">
        <w:rPr>
          <w:lang w:val="en-CA"/>
        </w:rPr>
        <w:t xml:space="preserve">the procedural or </w:t>
      </w:r>
      <w:r w:rsidRPr="00324CF1">
        <w:rPr>
          <w:lang w:val="en-CA"/>
        </w:rPr>
        <w:lastRenderedPageBreak/>
        <w:t xml:space="preserve">substantive nature of the </w:t>
      </w:r>
      <w:r w:rsidRPr="00324CF1">
        <w:rPr>
          <w:i/>
          <w:iCs/>
          <w:lang w:val="en-CA"/>
        </w:rPr>
        <w:t>IATA Act</w:t>
      </w:r>
      <w:r w:rsidRPr="00324CF1">
        <w:rPr>
          <w:lang w:val="en-CA"/>
        </w:rPr>
        <w:t xml:space="preserve">, a question that had been </w:t>
      </w:r>
      <w:r w:rsidR="00F066E2">
        <w:rPr>
          <w:lang w:val="en-CA"/>
        </w:rPr>
        <w:t>submitted to him</w:t>
      </w:r>
      <w:r w:rsidRPr="00324CF1">
        <w:rPr>
          <w:lang w:val="en-CA"/>
        </w:rPr>
        <w:t xml:space="preserve"> by the parties and that is </w:t>
      </w:r>
      <w:r w:rsidR="00F066E2">
        <w:rPr>
          <w:lang w:val="en-CA"/>
        </w:rPr>
        <w:t>determinative</w:t>
      </w:r>
      <w:r w:rsidR="00F066E2" w:rsidRPr="00324CF1">
        <w:rPr>
          <w:lang w:val="en-CA"/>
        </w:rPr>
        <w:t xml:space="preserve"> </w:t>
      </w:r>
      <w:r w:rsidRPr="00324CF1">
        <w:rPr>
          <w:lang w:val="en-CA"/>
        </w:rPr>
        <w:t xml:space="preserve">in this case. According to CCDM/Devas, only laws of a purely procedural nature apply </w:t>
      </w:r>
      <w:r w:rsidR="00F066E2">
        <w:rPr>
          <w:lang w:val="en-CA"/>
        </w:rPr>
        <w:t>as soon as they come into force</w:t>
      </w:r>
      <w:r w:rsidRPr="00324CF1">
        <w:rPr>
          <w:lang w:val="en-CA"/>
        </w:rPr>
        <w:t>. According to them, the</w:t>
      </w:r>
      <w:r w:rsidRPr="00324CF1">
        <w:rPr>
          <w:i/>
          <w:iCs/>
          <w:lang w:val="en-CA"/>
        </w:rPr>
        <w:t xml:space="preserve"> IATA Act</w:t>
      </w:r>
      <w:r w:rsidRPr="00324CF1">
        <w:rPr>
          <w:lang w:val="en-CA"/>
        </w:rPr>
        <w:t xml:space="preserve"> is not a purely procedural law, since it affects the very existence of the right to seize sums held by IATA, thereby </w:t>
      </w:r>
      <w:r w:rsidR="00E5762C">
        <w:rPr>
          <w:lang w:val="en-CA"/>
        </w:rPr>
        <w:t>putting</w:t>
      </w:r>
      <w:r w:rsidR="00E5762C" w:rsidRPr="00324CF1">
        <w:rPr>
          <w:lang w:val="en-CA"/>
        </w:rPr>
        <w:t xml:space="preserve"> </w:t>
      </w:r>
      <w:r w:rsidRPr="00324CF1">
        <w:rPr>
          <w:lang w:val="en-CA"/>
        </w:rPr>
        <w:t xml:space="preserve">their ability to recover sums due </w:t>
      </w:r>
      <w:r w:rsidR="00E5762C">
        <w:rPr>
          <w:lang w:val="en-CA"/>
        </w:rPr>
        <w:t xml:space="preserve">by </w:t>
      </w:r>
      <w:r w:rsidRPr="00324CF1">
        <w:rPr>
          <w:lang w:val="en-CA"/>
        </w:rPr>
        <w:t>AAI</w:t>
      </w:r>
      <w:r w:rsidR="00E5762C">
        <w:rPr>
          <w:lang w:val="en-CA"/>
        </w:rPr>
        <w:t xml:space="preserve"> at risk</w:t>
      </w:r>
      <w:r w:rsidRPr="00324CF1">
        <w:rPr>
          <w:lang w:val="en-CA"/>
        </w:rPr>
        <w:t>. The seizure of November 24, 2021, therefore benefit</w:t>
      </w:r>
      <w:r w:rsidR="00E5762C">
        <w:rPr>
          <w:lang w:val="en-CA"/>
        </w:rPr>
        <w:t>s</w:t>
      </w:r>
      <w:r w:rsidRPr="00324CF1">
        <w:rPr>
          <w:lang w:val="en-CA"/>
        </w:rPr>
        <w:t xml:space="preserve"> from a vested right</w:t>
      </w:r>
      <w:r w:rsidR="00E5762C">
        <w:rPr>
          <w:lang w:val="en-CA"/>
        </w:rPr>
        <w:t xml:space="preserve"> that</w:t>
      </w:r>
      <w:r w:rsidRPr="00324CF1">
        <w:rPr>
          <w:lang w:val="en-CA"/>
        </w:rPr>
        <w:t xml:space="preserve"> would allow it to </w:t>
      </w:r>
      <w:r w:rsidR="00E5762C">
        <w:rPr>
          <w:lang w:val="en-CA"/>
        </w:rPr>
        <w:t>have</w:t>
      </w:r>
      <w:r w:rsidR="00E5762C" w:rsidRPr="00324CF1">
        <w:rPr>
          <w:lang w:val="en-CA"/>
        </w:rPr>
        <w:t xml:space="preserve"> </w:t>
      </w:r>
      <w:r w:rsidRPr="00324CF1">
        <w:rPr>
          <w:lang w:val="en-CA"/>
        </w:rPr>
        <w:t>effect</w:t>
      </w:r>
      <w:r w:rsidR="00E5762C">
        <w:rPr>
          <w:lang w:val="en-CA"/>
        </w:rPr>
        <w:t>, even</w:t>
      </w:r>
      <w:r w:rsidRPr="00324CF1">
        <w:rPr>
          <w:lang w:val="en-CA"/>
        </w:rPr>
        <w:t xml:space="preserve"> for sums received after May 5, 2022.</w:t>
      </w:r>
    </w:p>
    <w:p w14:paraId="0746738D" w14:textId="28740319" w:rsidR="00865233" w:rsidRPr="00324CF1" w:rsidRDefault="00ED47F8" w:rsidP="00FB5A91">
      <w:pPr>
        <w:pStyle w:val="Paragraphe"/>
        <w:spacing w:line="240" w:lineRule="auto"/>
        <w:rPr>
          <w:lang w:val="en-US"/>
        </w:rPr>
      </w:pPr>
      <w:r w:rsidRPr="00324CF1">
        <w:rPr>
          <w:lang w:val="en-CA"/>
        </w:rPr>
        <w:t>AAI argue</w:t>
      </w:r>
      <w:r w:rsidR="008C43BA">
        <w:rPr>
          <w:lang w:val="en-CA"/>
        </w:rPr>
        <w:t>d</w:t>
      </w:r>
      <w:r w:rsidRPr="00324CF1">
        <w:rPr>
          <w:lang w:val="en-CA"/>
        </w:rPr>
        <w:t xml:space="preserve"> that the </w:t>
      </w:r>
      <w:r w:rsidRPr="00324CF1">
        <w:rPr>
          <w:i/>
          <w:iCs/>
          <w:lang w:val="en-CA"/>
        </w:rPr>
        <w:t>IATA Act</w:t>
      </w:r>
      <w:r w:rsidRPr="00324CF1">
        <w:rPr>
          <w:lang w:val="en-CA"/>
        </w:rPr>
        <w:t xml:space="preserve"> applie</w:t>
      </w:r>
      <w:r w:rsidR="008C43BA">
        <w:rPr>
          <w:lang w:val="en-CA"/>
        </w:rPr>
        <w:t>s</w:t>
      </w:r>
      <w:r w:rsidRPr="00324CF1">
        <w:rPr>
          <w:lang w:val="en-CA"/>
        </w:rPr>
        <w:t xml:space="preserve"> as soon as it came into force, both because it is a purely procedural law and because it </w:t>
      </w:r>
      <w:r w:rsidR="008C43BA">
        <w:rPr>
          <w:lang w:val="en-CA"/>
        </w:rPr>
        <w:t>appears</w:t>
      </w:r>
      <w:r w:rsidRPr="00324CF1">
        <w:rPr>
          <w:lang w:val="en-CA"/>
        </w:rPr>
        <w:t xml:space="preserve"> </w:t>
      </w:r>
      <w:r w:rsidR="004528CC">
        <w:rPr>
          <w:lang w:val="en-CA"/>
        </w:rPr>
        <w:t>from</w:t>
      </w:r>
      <w:r w:rsidR="004528CC" w:rsidRPr="00324CF1">
        <w:rPr>
          <w:lang w:val="en-CA"/>
        </w:rPr>
        <w:t xml:space="preserve"> </w:t>
      </w:r>
      <w:r w:rsidRPr="00324CF1">
        <w:rPr>
          <w:lang w:val="en-CA"/>
        </w:rPr>
        <w:t xml:space="preserve">the text of the </w:t>
      </w:r>
      <w:r w:rsidRPr="00324CF1">
        <w:rPr>
          <w:i/>
          <w:iCs/>
          <w:lang w:val="en-CA"/>
        </w:rPr>
        <w:t>Act</w:t>
      </w:r>
      <w:r w:rsidRPr="00324CF1">
        <w:rPr>
          <w:lang w:val="en-CA"/>
        </w:rPr>
        <w:t xml:space="preserve"> that such was the </w:t>
      </w:r>
      <w:r w:rsidR="008C43BA">
        <w:rPr>
          <w:lang w:val="en-CA"/>
        </w:rPr>
        <w:t>legislative intent</w:t>
      </w:r>
      <w:r w:rsidRPr="00324CF1">
        <w:rPr>
          <w:lang w:val="en-CA"/>
        </w:rPr>
        <w:t>. According to AAI, seizure</w:t>
      </w:r>
      <w:r w:rsidR="004528CC">
        <w:rPr>
          <w:lang w:val="en-CA"/>
        </w:rPr>
        <w:t>s</w:t>
      </w:r>
      <w:r w:rsidRPr="00324CF1">
        <w:rPr>
          <w:lang w:val="en-CA"/>
        </w:rPr>
        <w:t xml:space="preserve"> before judgment </w:t>
      </w:r>
      <w:r w:rsidR="004528CC">
        <w:rPr>
          <w:lang w:val="en-CA"/>
        </w:rPr>
        <w:t>are</w:t>
      </w:r>
      <w:r w:rsidRPr="00324CF1">
        <w:rPr>
          <w:lang w:val="en-CA"/>
        </w:rPr>
        <w:t xml:space="preserve"> a conservatory procedure intended to execute a substantive </w:t>
      </w:r>
      <w:r w:rsidR="002868F8">
        <w:rPr>
          <w:lang w:val="en-CA"/>
        </w:rPr>
        <w:t>right</w:t>
      </w:r>
      <w:r w:rsidR="002868F8" w:rsidRPr="00324CF1">
        <w:rPr>
          <w:lang w:val="en-CA"/>
        </w:rPr>
        <w:t xml:space="preserve"> </w:t>
      </w:r>
      <w:r w:rsidRPr="00324CF1">
        <w:rPr>
          <w:lang w:val="en-CA"/>
        </w:rPr>
        <w:t xml:space="preserve">without </w:t>
      </w:r>
      <w:r w:rsidR="002868F8">
        <w:rPr>
          <w:lang w:val="en-CA"/>
        </w:rPr>
        <w:t>changing</w:t>
      </w:r>
      <w:r w:rsidR="002868F8" w:rsidRPr="00324CF1">
        <w:rPr>
          <w:lang w:val="en-CA"/>
        </w:rPr>
        <w:t xml:space="preserve"> </w:t>
      </w:r>
      <w:r w:rsidRPr="00324CF1">
        <w:rPr>
          <w:lang w:val="en-CA"/>
        </w:rPr>
        <w:t xml:space="preserve">the content or existence thereof. Consequently, </w:t>
      </w:r>
      <w:r w:rsidR="002868F8">
        <w:rPr>
          <w:lang w:val="en-CA"/>
        </w:rPr>
        <w:t>no</w:t>
      </w:r>
      <w:r w:rsidR="002868F8" w:rsidRPr="00324CF1">
        <w:rPr>
          <w:lang w:val="en-CA"/>
        </w:rPr>
        <w:t xml:space="preserve"> </w:t>
      </w:r>
      <w:r w:rsidRPr="00324CF1">
        <w:rPr>
          <w:lang w:val="en-CA"/>
        </w:rPr>
        <w:t xml:space="preserve">party may argue </w:t>
      </w:r>
      <w:r w:rsidR="002868F8">
        <w:rPr>
          <w:lang w:val="en-CA"/>
        </w:rPr>
        <w:t xml:space="preserve">that they have a </w:t>
      </w:r>
      <w:r w:rsidRPr="00324CF1">
        <w:rPr>
          <w:lang w:val="en-CA"/>
        </w:rPr>
        <w:t xml:space="preserve">vested right </w:t>
      </w:r>
      <w:r w:rsidR="002868F8">
        <w:rPr>
          <w:lang w:val="en-CA"/>
        </w:rPr>
        <w:t>in</w:t>
      </w:r>
      <w:r w:rsidRPr="00324CF1">
        <w:rPr>
          <w:lang w:val="en-CA"/>
        </w:rPr>
        <w:t xml:space="preserve"> </w:t>
      </w:r>
      <w:r w:rsidR="008C43BA">
        <w:rPr>
          <w:lang w:val="en-CA"/>
        </w:rPr>
        <w:t>a</w:t>
      </w:r>
      <w:r w:rsidRPr="00324CF1">
        <w:rPr>
          <w:lang w:val="en-CA"/>
        </w:rPr>
        <w:t xml:space="preserve"> seizure before judgment. </w:t>
      </w:r>
    </w:p>
    <w:p w14:paraId="34CBA9B6" w14:textId="73C93AAC" w:rsidR="00865233" w:rsidRPr="00324CF1" w:rsidRDefault="00ED47F8" w:rsidP="00FB5A91">
      <w:pPr>
        <w:pStyle w:val="Paragraphe"/>
        <w:spacing w:line="240" w:lineRule="auto"/>
        <w:rPr>
          <w:lang w:val="en-US"/>
        </w:rPr>
      </w:pPr>
      <w:r w:rsidRPr="00324CF1">
        <w:rPr>
          <w:lang w:val="en-CA"/>
        </w:rPr>
        <w:t xml:space="preserve">For AAI, the application of the </w:t>
      </w:r>
      <w:r w:rsidRPr="00324CF1">
        <w:rPr>
          <w:i/>
          <w:iCs/>
          <w:lang w:val="en-CA"/>
        </w:rPr>
        <w:t>IATA Act</w:t>
      </w:r>
      <w:r w:rsidRPr="00324CF1">
        <w:rPr>
          <w:lang w:val="en-CA"/>
        </w:rPr>
        <w:t xml:space="preserve"> </w:t>
      </w:r>
      <w:r w:rsidR="002868F8">
        <w:rPr>
          <w:lang w:val="en-CA"/>
        </w:rPr>
        <w:t xml:space="preserve">as soon as it came into force </w:t>
      </w:r>
      <w:r w:rsidRPr="00324CF1">
        <w:rPr>
          <w:lang w:val="en-CA"/>
        </w:rPr>
        <w:t>implies, first, that it produce</w:t>
      </w:r>
      <w:r w:rsidR="002868F8">
        <w:rPr>
          <w:lang w:val="en-CA"/>
        </w:rPr>
        <w:t>s</w:t>
      </w:r>
      <w:r w:rsidRPr="00324CF1">
        <w:rPr>
          <w:lang w:val="en-CA"/>
        </w:rPr>
        <w:t xml:space="preserve"> its effect</w:t>
      </w:r>
      <w:r w:rsidR="002868F8">
        <w:rPr>
          <w:lang w:val="en-CA"/>
        </w:rPr>
        <w:t>s</w:t>
      </w:r>
      <w:r w:rsidRPr="00324CF1">
        <w:rPr>
          <w:lang w:val="en-CA"/>
        </w:rPr>
        <w:t xml:space="preserve"> </w:t>
      </w:r>
      <w:r w:rsidR="002868F8">
        <w:rPr>
          <w:lang w:val="en-CA"/>
        </w:rPr>
        <w:t>on</w:t>
      </w:r>
      <w:r w:rsidR="002868F8" w:rsidRPr="00324CF1">
        <w:rPr>
          <w:lang w:val="en-CA"/>
        </w:rPr>
        <w:t xml:space="preserve"> </w:t>
      </w:r>
      <w:r w:rsidRPr="00324CF1">
        <w:rPr>
          <w:lang w:val="en-CA"/>
        </w:rPr>
        <w:t xml:space="preserve">sums after May 5, 2022, since they </w:t>
      </w:r>
      <w:r w:rsidR="002868F8">
        <w:rPr>
          <w:lang w:val="en-CA"/>
        </w:rPr>
        <w:t>could</w:t>
      </w:r>
      <w:r w:rsidR="002868F8" w:rsidRPr="00324CF1">
        <w:rPr>
          <w:lang w:val="en-CA"/>
        </w:rPr>
        <w:t xml:space="preserve"> </w:t>
      </w:r>
      <w:r w:rsidRPr="00324CF1">
        <w:rPr>
          <w:lang w:val="en-CA"/>
        </w:rPr>
        <w:t>not</w:t>
      </w:r>
      <w:r w:rsidR="002868F8">
        <w:rPr>
          <w:lang w:val="en-CA"/>
        </w:rPr>
        <w:t xml:space="preserve"> be</w:t>
      </w:r>
      <w:r w:rsidRPr="00324CF1">
        <w:rPr>
          <w:lang w:val="en-CA"/>
        </w:rPr>
        <w:t xml:space="preserve"> subject to seizure before this date. </w:t>
      </w:r>
      <w:r w:rsidR="002868F8">
        <w:rPr>
          <w:lang w:val="en-CA"/>
        </w:rPr>
        <w:t>While</w:t>
      </w:r>
      <w:r w:rsidR="002868F8" w:rsidRPr="00324CF1">
        <w:rPr>
          <w:lang w:val="en-CA"/>
        </w:rPr>
        <w:t xml:space="preserve"> </w:t>
      </w:r>
      <w:r w:rsidRPr="00324CF1">
        <w:rPr>
          <w:lang w:val="en-CA"/>
        </w:rPr>
        <w:t xml:space="preserve">articles 711 and 715 CCP refer to possible future sums, for example, in the event of a conditional obligation, it is still necessary for such an obligation to exist, making it reasonably likely that such sums will be held. </w:t>
      </w:r>
      <w:r w:rsidR="002868F8">
        <w:rPr>
          <w:lang w:val="en-CA"/>
        </w:rPr>
        <w:t>Here</w:t>
      </w:r>
      <w:r w:rsidRPr="00324CF1">
        <w:rPr>
          <w:lang w:val="en-CA"/>
        </w:rPr>
        <w:t xml:space="preserve">, this was not the case </w:t>
      </w:r>
      <w:r w:rsidR="0037249B">
        <w:rPr>
          <w:lang w:val="en-CA"/>
        </w:rPr>
        <w:t>because</w:t>
      </w:r>
      <w:r w:rsidRPr="00324CF1">
        <w:rPr>
          <w:lang w:val="en-CA"/>
        </w:rPr>
        <w:t xml:space="preserve"> AAI could cease to do business with IATA at any time, which </w:t>
      </w:r>
      <w:r w:rsidR="0037249B">
        <w:rPr>
          <w:lang w:val="en-CA"/>
        </w:rPr>
        <w:t>has borne out</w:t>
      </w:r>
      <w:r w:rsidRPr="00324CF1">
        <w:rPr>
          <w:lang w:val="en-CA"/>
        </w:rPr>
        <w:t xml:space="preserve">. </w:t>
      </w:r>
    </w:p>
    <w:p w14:paraId="0C61536A" w14:textId="0856FE0B" w:rsidR="00C37596" w:rsidRPr="005E6EB3" w:rsidRDefault="00ED47F8" w:rsidP="00C37596">
      <w:pPr>
        <w:pStyle w:val="Paragraphe"/>
        <w:spacing w:line="240" w:lineRule="auto"/>
        <w:rPr>
          <w:lang w:val="en-US"/>
        </w:rPr>
      </w:pPr>
      <w:r w:rsidRPr="00C37596">
        <w:rPr>
          <w:lang w:val="en-CA"/>
        </w:rPr>
        <w:t xml:space="preserve">AAI also argues that since the </w:t>
      </w:r>
      <w:r w:rsidR="00C37596" w:rsidRPr="00562C7E">
        <w:rPr>
          <w:i/>
          <w:iCs/>
          <w:lang w:val="en-CA"/>
        </w:rPr>
        <w:t>IATA Act</w:t>
      </w:r>
      <w:r w:rsidR="00C37596" w:rsidRPr="00562C7E">
        <w:rPr>
          <w:lang w:val="en-CA"/>
        </w:rPr>
        <w:t xml:space="preserve"> </w:t>
      </w:r>
      <w:r w:rsidRPr="00C37596">
        <w:rPr>
          <w:lang w:val="en-CA"/>
        </w:rPr>
        <w:t xml:space="preserve">applied </w:t>
      </w:r>
      <w:r w:rsidR="00C37596" w:rsidRPr="00562C7E">
        <w:rPr>
          <w:lang w:val="en-CA"/>
        </w:rPr>
        <w:t>as soon as it came into force</w:t>
      </w:r>
      <w:r w:rsidRPr="00C37596">
        <w:rPr>
          <w:lang w:val="en-CA"/>
        </w:rPr>
        <w:t xml:space="preserve">, </w:t>
      </w:r>
      <w:r w:rsidR="00C37596" w:rsidRPr="00562C7E">
        <w:rPr>
          <w:lang w:val="en-CA"/>
        </w:rPr>
        <w:t xml:space="preserve">it </w:t>
      </w:r>
      <w:r w:rsidRPr="00C37596">
        <w:rPr>
          <w:lang w:val="en-CA"/>
        </w:rPr>
        <w:t>also had an effect on the sums held prior to May 5, 2022. According to AAI, a seizure before judgment can be declared valid—and therefore only crystallizes—</w:t>
      </w:r>
      <w:r w:rsidR="00C16887" w:rsidRPr="00C16887">
        <w:rPr>
          <w:lang w:val="en-CA"/>
        </w:rPr>
        <w:t xml:space="preserve"> </w:t>
      </w:r>
      <w:r w:rsidR="00C16887" w:rsidRPr="00C37596">
        <w:rPr>
          <w:lang w:val="en-CA"/>
        </w:rPr>
        <w:t xml:space="preserve">only </w:t>
      </w:r>
      <w:r w:rsidRPr="00C37596">
        <w:rPr>
          <w:lang w:val="en-CA"/>
        </w:rPr>
        <w:t xml:space="preserve">at the time of the judgment on the merits, which allows the seizure to </w:t>
      </w:r>
      <w:r w:rsidR="00C37596" w:rsidRPr="00562C7E">
        <w:rPr>
          <w:lang w:val="en-CA"/>
        </w:rPr>
        <w:t>operate</w:t>
      </w:r>
      <w:r w:rsidRPr="00C37596">
        <w:rPr>
          <w:lang w:val="en-CA"/>
        </w:rPr>
        <w:t xml:space="preserve"> as a</w:t>
      </w:r>
      <w:r w:rsidR="00C37596" w:rsidRPr="00562C7E">
        <w:rPr>
          <w:lang w:val="en-CA"/>
        </w:rPr>
        <w:t>n</w:t>
      </w:r>
      <w:r w:rsidRPr="00C37596">
        <w:rPr>
          <w:lang w:val="en-CA"/>
        </w:rPr>
        <w:t xml:space="preserve"> </w:t>
      </w:r>
      <w:r w:rsidR="00C37596" w:rsidRPr="00562C7E">
        <w:rPr>
          <w:lang w:val="en-CA"/>
        </w:rPr>
        <w:t>assignment</w:t>
      </w:r>
      <w:r w:rsidRPr="00C37596">
        <w:rPr>
          <w:lang w:val="en-CA"/>
        </w:rPr>
        <w:t xml:space="preserve"> of </w:t>
      </w:r>
      <w:r w:rsidR="00C37596" w:rsidRPr="00562C7E">
        <w:rPr>
          <w:lang w:val="en-CA"/>
        </w:rPr>
        <w:t>claims</w:t>
      </w:r>
      <w:r w:rsidRPr="00C37596">
        <w:rPr>
          <w:lang w:val="en-CA"/>
        </w:rPr>
        <w:t>. Before th</w:t>
      </w:r>
      <w:r w:rsidR="00C37596" w:rsidRPr="00562C7E">
        <w:rPr>
          <w:lang w:val="en-CA"/>
        </w:rPr>
        <w:t>at</w:t>
      </w:r>
      <w:r w:rsidRPr="00C37596">
        <w:rPr>
          <w:lang w:val="en-CA"/>
        </w:rPr>
        <w:t xml:space="preserve"> moment, the seizor has no real right to these sums or any current right to these receivables.</w:t>
      </w:r>
      <w:bookmarkStart w:id="127" w:name="_Ref173486546"/>
      <w:r w:rsidRPr="00324CF1">
        <w:rPr>
          <w:rStyle w:val="Appelnotedebasdep"/>
          <w:lang w:val="en-CA"/>
        </w:rPr>
        <w:footnoteReference w:id="179"/>
      </w:r>
      <w:bookmarkEnd w:id="127"/>
      <w:r w:rsidRPr="00C37596">
        <w:rPr>
          <w:lang w:val="en-CA"/>
        </w:rPr>
        <w:t xml:space="preserve"> </w:t>
      </w:r>
      <w:r w:rsidR="00C37596" w:rsidRPr="00C37596">
        <w:rPr>
          <w:lang w:val="en-CA"/>
        </w:rPr>
        <w:t xml:space="preserve"> </w:t>
      </w:r>
    </w:p>
    <w:p w14:paraId="52A14CF8" w14:textId="5E406356" w:rsidR="00865233" w:rsidRPr="00C37596" w:rsidRDefault="00ED47F8" w:rsidP="00C37596">
      <w:pPr>
        <w:pStyle w:val="Paragraphe"/>
        <w:spacing w:line="240" w:lineRule="auto"/>
        <w:rPr>
          <w:lang w:val="en-US"/>
        </w:rPr>
      </w:pPr>
      <w:r w:rsidRPr="00C37596">
        <w:rPr>
          <w:lang w:val="en-CA"/>
        </w:rPr>
        <w:t xml:space="preserve">IATA argues that the aim of the </w:t>
      </w:r>
      <w:r w:rsidRPr="00C37596">
        <w:rPr>
          <w:i/>
          <w:iCs/>
          <w:lang w:val="en-CA"/>
        </w:rPr>
        <w:t xml:space="preserve">IATA Act </w:t>
      </w:r>
      <w:r w:rsidRPr="00C37596">
        <w:rPr>
          <w:lang w:val="en-CA"/>
        </w:rPr>
        <w:t>is to preserve the integrity and security of the financial services it offers while maintaining the trust of</w:t>
      </w:r>
      <w:r w:rsidR="00346E5E">
        <w:rPr>
          <w:lang w:val="en-CA"/>
        </w:rPr>
        <w:t xml:space="preserve"> those who</w:t>
      </w:r>
      <w:r w:rsidRPr="00C37596">
        <w:rPr>
          <w:lang w:val="en-CA"/>
        </w:rPr>
        <w:t xml:space="preserve"> participa</w:t>
      </w:r>
      <w:r w:rsidR="00346E5E">
        <w:rPr>
          <w:lang w:val="en-CA"/>
        </w:rPr>
        <w:t>te</w:t>
      </w:r>
      <w:r w:rsidRPr="00C37596">
        <w:rPr>
          <w:lang w:val="en-CA"/>
        </w:rPr>
        <w:t xml:space="preserve"> in this system by ensuring that their funds cannot be seized. </w:t>
      </w:r>
      <w:r w:rsidR="00C16887">
        <w:rPr>
          <w:lang w:val="en-CA"/>
        </w:rPr>
        <w:t>I</w:t>
      </w:r>
      <w:r w:rsidR="00346E5E">
        <w:rPr>
          <w:lang w:val="en-CA"/>
        </w:rPr>
        <w:t>n connection with</w:t>
      </w:r>
      <w:r w:rsidRPr="00C37596">
        <w:rPr>
          <w:lang w:val="en-CA"/>
        </w:rPr>
        <w:t xml:space="preserve"> this objective, IATA maintains that even if the</w:t>
      </w:r>
      <w:r w:rsidRPr="00C37596">
        <w:rPr>
          <w:i/>
          <w:iCs/>
          <w:lang w:val="en-CA"/>
        </w:rPr>
        <w:t xml:space="preserve"> IATA Act </w:t>
      </w:r>
      <w:r w:rsidRPr="00C37596">
        <w:rPr>
          <w:lang w:val="en-CA"/>
        </w:rPr>
        <w:t xml:space="preserve">is a purely procedural law, this </w:t>
      </w:r>
      <w:r w:rsidR="00346E5E">
        <w:rPr>
          <w:lang w:val="en-CA"/>
        </w:rPr>
        <w:t>characterization</w:t>
      </w:r>
      <w:r w:rsidR="00346E5E" w:rsidRPr="00C37596">
        <w:rPr>
          <w:lang w:val="en-CA"/>
        </w:rPr>
        <w:t xml:space="preserve"> </w:t>
      </w:r>
      <w:r w:rsidRPr="00C37596">
        <w:rPr>
          <w:lang w:val="en-CA"/>
        </w:rPr>
        <w:t xml:space="preserve">is not </w:t>
      </w:r>
      <w:r w:rsidR="00346E5E">
        <w:rPr>
          <w:lang w:val="en-CA"/>
        </w:rPr>
        <w:t>determinative</w:t>
      </w:r>
      <w:r w:rsidR="00346E5E" w:rsidRPr="00C37596">
        <w:rPr>
          <w:lang w:val="en-CA"/>
        </w:rPr>
        <w:t xml:space="preserve"> </w:t>
      </w:r>
      <w:r w:rsidRPr="00C37596">
        <w:rPr>
          <w:lang w:val="en-CA"/>
        </w:rPr>
        <w:t xml:space="preserve">here </w:t>
      </w:r>
      <w:r w:rsidR="00346E5E">
        <w:rPr>
          <w:lang w:val="en-CA"/>
        </w:rPr>
        <w:t>because</w:t>
      </w:r>
      <w:r w:rsidRPr="00C37596">
        <w:rPr>
          <w:lang w:val="en-CA"/>
        </w:rPr>
        <w:t xml:space="preserve">, as the </w:t>
      </w:r>
      <w:r w:rsidR="00C40483" w:rsidRPr="00562C7E">
        <w:rPr>
          <w:lang w:val="en-CA"/>
        </w:rPr>
        <w:t>trial</w:t>
      </w:r>
      <w:r w:rsidRPr="00C37596">
        <w:rPr>
          <w:lang w:val="en-CA"/>
        </w:rPr>
        <w:t xml:space="preserve"> judge rightly decided, its text </w:t>
      </w:r>
      <w:r w:rsidR="00346E5E">
        <w:rPr>
          <w:lang w:val="en-CA"/>
        </w:rPr>
        <w:t>is unequivocal as to the law’s application as soon as it c</w:t>
      </w:r>
      <w:r w:rsidR="00C16887">
        <w:rPr>
          <w:lang w:val="en-CA"/>
        </w:rPr>
        <w:t>ame</w:t>
      </w:r>
      <w:r w:rsidR="00346E5E">
        <w:rPr>
          <w:lang w:val="en-CA"/>
        </w:rPr>
        <w:t xml:space="preserve"> into force</w:t>
      </w:r>
      <w:r w:rsidRPr="00C37596">
        <w:rPr>
          <w:lang w:val="en-CA"/>
        </w:rPr>
        <w:t xml:space="preserve">. In this sense, not only is it intended to prevent any new seizures after May 5, 2022, but it is intended to </w:t>
      </w:r>
      <w:r w:rsidR="00346E5E">
        <w:rPr>
          <w:lang w:val="en-CA"/>
        </w:rPr>
        <w:t xml:space="preserve">put an </w:t>
      </w:r>
      <w:r w:rsidRPr="00C37596">
        <w:rPr>
          <w:lang w:val="en-CA"/>
        </w:rPr>
        <w:t>end</w:t>
      </w:r>
      <w:r w:rsidR="00346E5E">
        <w:rPr>
          <w:lang w:val="en-CA"/>
        </w:rPr>
        <w:t xml:space="preserve"> to</w:t>
      </w:r>
      <w:r w:rsidRPr="00C37596">
        <w:rPr>
          <w:lang w:val="en-CA"/>
        </w:rPr>
        <w:t xml:space="preserve"> </w:t>
      </w:r>
      <w:r w:rsidR="00346E5E">
        <w:rPr>
          <w:lang w:val="en-CA"/>
        </w:rPr>
        <w:t xml:space="preserve">the effects of </w:t>
      </w:r>
      <w:r w:rsidRPr="00C37596">
        <w:rPr>
          <w:lang w:val="en-CA"/>
        </w:rPr>
        <w:t>any existing seizures as of that same date. As for the sums held prior to that date, IATA leaves it to the Court to decide.</w:t>
      </w:r>
    </w:p>
    <w:p w14:paraId="1112B404" w14:textId="1B0D1AFD" w:rsidR="00865233" w:rsidRPr="00324CF1" w:rsidRDefault="00ED47F8" w:rsidP="00FB5A91">
      <w:pPr>
        <w:pStyle w:val="Paragraphe"/>
        <w:spacing w:line="240" w:lineRule="auto"/>
        <w:rPr>
          <w:lang w:val="en-US"/>
        </w:rPr>
      </w:pPr>
      <w:r w:rsidRPr="00324CF1">
        <w:rPr>
          <w:lang w:val="en-CA"/>
        </w:rPr>
        <w:t>In essence, this appeal raises the question of whether, under the principles of transitional law, the</w:t>
      </w:r>
      <w:r w:rsidRPr="00324CF1">
        <w:rPr>
          <w:i/>
          <w:iCs/>
          <w:lang w:val="en-CA"/>
        </w:rPr>
        <w:t xml:space="preserve"> IATA Act </w:t>
      </w:r>
      <w:r w:rsidRPr="00324CF1">
        <w:rPr>
          <w:lang w:val="en-CA"/>
        </w:rPr>
        <w:t xml:space="preserve">applies to sums held by IATA prior to May 5, 2022, and to </w:t>
      </w:r>
      <w:r w:rsidRPr="00324CF1">
        <w:rPr>
          <w:lang w:val="en-CA"/>
        </w:rPr>
        <w:lastRenderedPageBreak/>
        <w:t xml:space="preserve">sums that it </w:t>
      </w:r>
      <w:r w:rsidR="00A01B6C">
        <w:rPr>
          <w:lang w:val="en-CA"/>
        </w:rPr>
        <w:t>could</w:t>
      </w:r>
      <w:r w:rsidR="00A01B6C" w:rsidRPr="00324CF1">
        <w:rPr>
          <w:lang w:val="en-CA"/>
        </w:rPr>
        <w:t xml:space="preserve"> </w:t>
      </w:r>
      <w:r w:rsidRPr="00324CF1">
        <w:rPr>
          <w:lang w:val="en-CA"/>
        </w:rPr>
        <w:t>hold after that date. To answer this question, let us first recall the applicable principles of law, in particular the concepts of retroactivity and immediate application.</w:t>
      </w:r>
    </w:p>
    <w:p w14:paraId="1590C2D7" w14:textId="77777777" w:rsidR="00865233" w:rsidRPr="00324CF1" w:rsidRDefault="00ED47F8" w:rsidP="005D6FD1">
      <w:pPr>
        <w:pStyle w:val="Titre2"/>
        <w:spacing w:before="80" w:after="80" w:line="240" w:lineRule="auto"/>
      </w:pPr>
      <w:bookmarkStart w:id="129" w:name="_Toc184205627"/>
      <w:bookmarkStart w:id="130" w:name="_Toc256000022"/>
      <w:r w:rsidRPr="00324CF1">
        <w:rPr>
          <w:bCs/>
          <w:iCs/>
          <w:lang w:val="en-CA"/>
        </w:rPr>
        <w:t xml:space="preserve">3. </w:t>
      </w:r>
      <w:r w:rsidRPr="00324CF1">
        <w:rPr>
          <w:b w:val="0"/>
          <w:i w:val="0"/>
          <w:lang w:val="en-CA"/>
        </w:rPr>
        <w:tab/>
      </w:r>
      <w:r w:rsidRPr="00324CF1">
        <w:rPr>
          <w:bCs/>
          <w:iCs/>
          <w:lang w:val="en-CA"/>
        </w:rPr>
        <w:t>Applicable legal principles</w:t>
      </w:r>
      <w:bookmarkEnd w:id="129"/>
      <w:bookmarkEnd w:id="130"/>
    </w:p>
    <w:p w14:paraId="6D8F6D39" w14:textId="53592E65" w:rsidR="00865233" w:rsidRPr="00324CF1" w:rsidRDefault="00ED47F8" w:rsidP="005D6FD1">
      <w:pPr>
        <w:pStyle w:val="Paragraphe"/>
        <w:spacing w:before="80" w:after="80" w:line="240" w:lineRule="auto"/>
        <w:rPr>
          <w:lang w:val="en-US"/>
        </w:rPr>
      </w:pPr>
      <w:r w:rsidRPr="00324CF1">
        <w:rPr>
          <w:lang w:val="en-CA"/>
        </w:rPr>
        <w:t>The problems associated with conflict</w:t>
      </w:r>
      <w:r w:rsidR="002F6835">
        <w:rPr>
          <w:lang w:val="en-CA"/>
        </w:rPr>
        <w:t>s</w:t>
      </w:r>
      <w:r w:rsidRPr="00324CF1">
        <w:rPr>
          <w:lang w:val="en-CA"/>
        </w:rPr>
        <w:t xml:space="preserve"> of laws </w:t>
      </w:r>
      <w:r w:rsidR="00C16887">
        <w:rPr>
          <w:lang w:val="en-CA"/>
        </w:rPr>
        <w:t>in</w:t>
      </w:r>
      <w:r w:rsidRPr="00324CF1">
        <w:rPr>
          <w:lang w:val="en-CA"/>
        </w:rPr>
        <w:t xml:space="preserve"> time are not simple, and it </w:t>
      </w:r>
      <w:r w:rsidR="002F6835">
        <w:rPr>
          <w:lang w:val="en-CA"/>
        </w:rPr>
        <w:t xml:space="preserve">would be </w:t>
      </w:r>
      <w:r w:rsidR="00C16887">
        <w:rPr>
          <w:lang w:val="en-CA"/>
        </w:rPr>
        <w:t>appropriate</w:t>
      </w:r>
      <w:r w:rsidR="002F6835" w:rsidRPr="00324CF1">
        <w:rPr>
          <w:lang w:val="en-CA"/>
        </w:rPr>
        <w:t xml:space="preserve"> </w:t>
      </w:r>
      <w:r w:rsidRPr="00324CF1">
        <w:rPr>
          <w:lang w:val="en-CA"/>
        </w:rPr>
        <w:t xml:space="preserve">to </w:t>
      </w:r>
      <w:r w:rsidR="002F6835">
        <w:rPr>
          <w:lang w:val="en-CA"/>
        </w:rPr>
        <w:t>properly</w:t>
      </w:r>
      <w:r w:rsidR="002F6835" w:rsidRPr="00324CF1">
        <w:rPr>
          <w:lang w:val="en-CA"/>
        </w:rPr>
        <w:t xml:space="preserve"> </w:t>
      </w:r>
      <w:r w:rsidRPr="00324CF1">
        <w:rPr>
          <w:lang w:val="en-CA"/>
        </w:rPr>
        <w:t>distinguish the retroactive effect of a law from the retrospective effect that its immediate application</w:t>
      </w:r>
      <w:r w:rsidR="002F6835">
        <w:rPr>
          <w:lang w:val="en-CA"/>
        </w:rPr>
        <w:t xml:space="preserve"> entails</w:t>
      </w:r>
      <w:r w:rsidRPr="00324CF1">
        <w:rPr>
          <w:lang w:val="en-CA"/>
        </w:rPr>
        <w:t>.</w:t>
      </w:r>
    </w:p>
    <w:p w14:paraId="325E099C" w14:textId="77777777" w:rsidR="00865233" w:rsidRPr="00324CF1" w:rsidRDefault="00ED47F8" w:rsidP="005D6FD1">
      <w:pPr>
        <w:pStyle w:val="Paragraphe"/>
        <w:spacing w:before="80" w:after="80" w:line="240" w:lineRule="auto"/>
        <w:rPr>
          <w:lang w:val="en-US"/>
        </w:rPr>
      </w:pPr>
      <w:r w:rsidRPr="00324CF1">
        <w:rPr>
          <w:lang w:val="en-CA"/>
        </w:rPr>
        <w:t>In their reference book on the subject, professors Pierre-André Côté and Mathieu Devinat present the concept of retroactivity as follows:</w:t>
      </w:r>
    </w:p>
    <w:p w14:paraId="650AF6DF" w14:textId="643B5633" w:rsidR="00C90ACB" w:rsidRDefault="00ED47F8" w:rsidP="005D6FD1">
      <w:pPr>
        <w:pStyle w:val="Citationenretrait"/>
        <w:spacing w:before="80" w:after="80" w:line="240" w:lineRule="auto"/>
        <w:rPr>
          <w:lang w:val="en-CA"/>
        </w:rPr>
      </w:pPr>
      <w:r w:rsidRPr="00324CF1">
        <w:rPr>
          <w:lang w:val="en-CA"/>
        </w:rPr>
        <w:t>[</w:t>
      </w:r>
      <w:r w:rsidR="00C90ACB" w:rsidRPr="005E6EB3">
        <w:rPr>
          <w:smallCaps/>
          <w:lang w:val="en-CA"/>
        </w:rPr>
        <w:t>translation</w:t>
      </w:r>
      <w:r w:rsidRPr="00324CF1">
        <w:rPr>
          <w:lang w:val="en-CA"/>
        </w:rPr>
        <w:t>]</w:t>
      </w:r>
    </w:p>
    <w:p w14:paraId="5CA380B5" w14:textId="72D95FFF" w:rsidR="00865233" w:rsidRPr="00324CF1" w:rsidRDefault="000A6E66" w:rsidP="005D6FD1">
      <w:pPr>
        <w:pStyle w:val="Citationenretrait"/>
        <w:spacing w:before="80" w:after="80" w:line="240" w:lineRule="auto"/>
        <w:rPr>
          <w:lang w:val="en-US"/>
        </w:rPr>
      </w:pPr>
      <w:r>
        <w:rPr>
          <w:lang w:val="en-CA"/>
        </w:rPr>
        <w:t>A</w:t>
      </w:r>
      <w:r w:rsidRPr="00324CF1">
        <w:rPr>
          <w:lang w:val="en-CA"/>
        </w:rPr>
        <w:t xml:space="preserve"> </w:t>
      </w:r>
      <w:r w:rsidR="00ED47F8" w:rsidRPr="00324CF1">
        <w:rPr>
          <w:lang w:val="en-CA"/>
        </w:rPr>
        <w:t>law has a retroactive effect when it claims to act in the past (</w:t>
      </w:r>
      <w:r w:rsidR="00ED47F8" w:rsidRPr="00324CF1">
        <w:rPr>
          <w:i/>
          <w:iCs/>
          <w:lang w:val="en-CA"/>
        </w:rPr>
        <w:t>retro agere</w:t>
      </w:r>
      <w:r w:rsidR="00ED47F8" w:rsidRPr="00324CF1">
        <w:rPr>
          <w:lang w:val="en-CA"/>
        </w:rPr>
        <w:t xml:space="preserve">). Roubier defined </w:t>
      </w:r>
      <w:r>
        <w:rPr>
          <w:lang w:val="en-CA"/>
        </w:rPr>
        <w:t xml:space="preserve">a </w:t>
      </w:r>
      <w:r w:rsidR="00ED47F8" w:rsidRPr="00324CF1">
        <w:rPr>
          <w:lang w:val="en-CA"/>
        </w:rPr>
        <w:t xml:space="preserve">retroactive law as </w:t>
      </w:r>
      <w:r>
        <w:rPr>
          <w:lang w:val="en-CA"/>
        </w:rPr>
        <w:t>one</w:t>
      </w:r>
      <w:r w:rsidR="00ED47F8" w:rsidRPr="00324CF1">
        <w:rPr>
          <w:lang w:val="en-CA"/>
        </w:rPr>
        <w:t xml:space="preserve"> that </w:t>
      </w:r>
      <w:r>
        <w:rPr>
          <w:lang w:val="en-CA"/>
        </w:rPr>
        <w:t>[</w:t>
      </w:r>
      <w:r w:rsidRPr="005E6EB3">
        <w:rPr>
          <w:smallCaps/>
          <w:lang w:val="en-CA"/>
        </w:rPr>
        <w:t>translation</w:t>
      </w:r>
      <w:r>
        <w:rPr>
          <w:lang w:val="en-CA"/>
        </w:rPr>
        <w:t xml:space="preserve">] </w:t>
      </w:r>
      <w:r w:rsidR="00ED47F8" w:rsidRPr="00324CF1">
        <w:rPr>
          <w:lang w:val="en-CA"/>
        </w:rPr>
        <w:t xml:space="preserve">“claims to apply to events that have already occurred” and retroactivity as “transferring the application of the law to a date prior to its </w:t>
      </w:r>
      <w:r>
        <w:rPr>
          <w:lang w:val="en-CA"/>
        </w:rPr>
        <w:t>enactment</w:t>
      </w:r>
      <w:r w:rsidR="00ED47F8" w:rsidRPr="00324CF1">
        <w:rPr>
          <w:lang w:val="en-CA"/>
        </w:rPr>
        <w:t xml:space="preserve">, or, as has been said, a fiction of </w:t>
      </w:r>
      <w:r>
        <w:rPr>
          <w:lang w:val="en-CA"/>
        </w:rPr>
        <w:t xml:space="preserve">the </w:t>
      </w:r>
      <w:r w:rsidR="00ED47F8" w:rsidRPr="00324CF1">
        <w:rPr>
          <w:lang w:val="en-CA"/>
        </w:rPr>
        <w:t>pre-existence of the law”</w:t>
      </w:r>
      <w:bookmarkStart w:id="131" w:name="_Ref173486179"/>
      <w:r w:rsidR="00ED47F8" w:rsidRPr="00324CF1">
        <w:rPr>
          <w:lang w:val="en-CA"/>
        </w:rPr>
        <w:t>.</w:t>
      </w:r>
      <w:r w:rsidR="00ED47F8" w:rsidRPr="00324CF1">
        <w:rPr>
          <w:rStyle w:val="Appelnotedebasdep"/>
          <w:lang w:val="en-CA"/>
        </w:rPr>
        <w:footnoteReference w:id="180"/>
      </w:r>
      <w:bookmarkEnd w:id="131"/>
    </w:p>
    <w:p w14:paraId="078D9432" w14:textId="77777777" w:rsidR="00B85CD8" w:rsidRPr="00324CF1" w:rsidRDefault="00ED47F8" w:rsidP="005D6FD1">
      <w:pPr>
        <w:pStyle w:val="Citationenretrait"/>
        <w:spacing w:before="80" w:after="80" w:line="240" w:lineRule="auto"/>
        <w:jc w:val="right"/>
      </w:pPr>
      <w:r w:rsidRPr="00324CF1">
        <w:rPr>
          <w:lang w:val="en-CA"/>
        </w:rPr>
        <w:t>[References omitted]</w:t>
      </w:r>
    </w:p>
    <w:p w14:paraId="5D7AFFFA" w14:textId="0CD66C5E" w:rsidR="00865233" w:rsidRPr="00324CF1" w:rsidRDefault="00ED47F8" w:rsidP="005D6FD1">
      <w:pPr>
        <w:pStyle w:val="Paragraphe"/>
        <w:spacing w:before="80" w:after="80" w:line="240" w:lineRule="auto"/>
        <w:rPr>
          <w:lang w:val="en-US"/>
        </w:rPr>
      </w:pPr>
      <w:r w:rsidRPr="00ED5FCE">
        <w:rPr>
          <w:lang w:val="en-CA"/>
        </w:rPr>
        <w:t xml:space="preserve">Retroactive law therefore </w:t>
      </w:r>
      <w:r w:rsidR="009C33C3">
        <w:rPr>
          <w:lang w:val="en-CA"/>
        </w:rPr>
        <w:t>creates</w:t>
      </w:r>
      <w:r w:rsidRPr="00324CF1">
        <w:rPr>
          <w:lang w:val="en-CA"/>
        </w:rPr>
        <w:t xml:space="preserve"> a fiction and [</w:t>
      </w:r>
      <w:r w:rsidR="00C90ACB" w:rsidRPr="005E6EB3">
        <w:rPr>
          <w:smallCaps/>
          <w:lang w:val="en-CA"/>
        </w:rPr>
        <w:t>translation</w:t>
      </w:r>
      <w:r w:rsidRPr="00324CF1">
        <w:rPr>
          <w:lang w:val="en-CA"/>
        </w:rPr>
        <w:t xml:space="preserve">] “requires </w:t>
      </w:r>
      <w:r w:rsidR="009C33C3">
        <w:rPr>
          <w:lang w:val="en-CA"/>
        </w:rPr>
        <w:t>legal actors and law enforcement</w:t>
      </w:r>
      <w:r w:rsidRPr="00324CF1">
        <w:rPr>
          <w:lang w:val="en-CA"/>
        </w:rPr>
        <w:t xml:space="preserve"> to ‘</w:t>
      </w:r>
      <w:r w:rsidR="009C33C3">
        <w:rPr>
          <w:lang w:val="en-CA"/>
        </w:rPr>
        <w:t>act</w:t>
      </w:r>
      <w:r w:rsidR="009C33C3" w:rsidRPr="00324CF1">
        <w:rPr>
          <w:lang w:val="en-CA"/>
        </w:rPr>
        <w:t xml:space="preserve"> </w:t>
      </w:r>
      <w:r w:rsidRPr="00324CF1">
        <w:rPr>
          <w:lang w:val="en-CA"/>
        </w:rPr>
        <w:t xml:space="preserve">as though’ the law </w:t>
      </w:r>
      <w:r w:rsidR="009C33C3">
        <w:rPr>
          <w:lang w:val="en-CA"/>
        </w:rPr>
        <w:t>was</w:t>
      </w:r>
      <w:r w:rsidRPr="00324CF1">
        <w:rPr>
          <w:lang w:val="en-CA"/>
        </w:rPr>
        <w:t>, in the past, other than</w:t>
      </w:r>
      <w:r w:rsidR="009C33C3">
        <w:rPr>
          <w:lang w:val="en-CA"/>
        </w:rPr>
        <w:t xml:space="preserve"> what</w:t>
      </w:r>
      <w:r w:rsidRPr="00324CF1">
        <w:rPr>
          <w:lang w:val="en-CA"/>
        </w:rPr>
        <w:t xml:space="preserve"> it actually was”.</w:t>
      </w:r>
      <w:r w:rsidRPr="00324CF1">
        <w:rPr>
          <w:rStyle w:val="Appelnotedebasdep"/>
          <w:lang w:val="en-CA"/>
        </w:rPr>
        <w:footnoteReference w:id="181"/>
      </w:r>
      <w:r w:rsidRPr="00324CF1">
        <w:rPr>
          <w:lang w:val="en-CA"/>
        </w:rPr>
        <w:t xml:space="preserve"> This is what section 2 of the </w:t>
      </w:r>
      <w:r w:rsidRPr="00324CF1">
        <w:rPr>
          <w:i/>
          <w:iCs/>
          <w:lang w:val="en-CA"/>
        </w:rPr>
        <w:t>IATA Act</w:t>
      </w:r>
      <w:r w:rsidRPr="00324CF1">
        <w:rPr>
          <w:lang w:val="en-CA"/>
        </w:rPr>
        <w:t xml:space="preserve"> does, in this case, by providing that the law applie</w:t>
      </w:r>
      <w:r w:rsidR="009C33C3">
        <w:rPr>
          <w:lang w:val="en-CA"/>
        </w:rPr>
        <w:t>s</w:t>
      </w:r>
      <w:r w:rsidRPr="00324CF1">
        <w:rPr>
          <w:lang w:val="en-CA"/>
        </w:rPr>
        <w:t xml:space="preserve"> as of the date it was introduced (May 5, 2022) rather than the date it </w:t>
      </w:r>
      <w:r w:rsidR="00C16887">
        <w:rPr>
          <w:lang w:val="en-CA"/>
        </w:rPr>
        <w:t>received</w:t>
      </w:r>
      <w:r w:rsidRPr="00324CF1">
        <w:rPr>
          <w:lang w:val="en-CA"/>
        </w:rPr>
        <w:t xml:space="preserve"> assent (June 2, 2022). The preparatory work shows that this provision was intended to prevent a </w:t>
      </w:r>
      <w:r w:rsidR="000F73BF">
        <w:rPr>
          <w:lang w:val="en-CA"/>
        </w:rPr>
        <w:t xml:space="preserve">run on </w:t>
      </w:r>
      <w:r w:rsidRPr="00324CF1">
        <w:rPr>
          <w:lang w:val="en-CA"/>
        </w:rPr>
        <w:t xml:space="preserve">seizures between the date the law was </w:t>
      </w:r>
      <w:r w:rsidR="009C33C3">
        <w:rPr>
          <w:lang w:val="en-CA"/>
        </w:rPr>
        <w:t>tabled</w:t>
      </w:r>
      <w:r w:rsidR="009C33C3" w:rsidRPr="00324CF1">
        <w:rPr>
          <w:lang w:val="en-CA"/>
        </w:rPr>
        <w:t xml:space="preserve"> </w:t>
      </w:r>
      <w:r w:rsidRPr="00324CF1">
        <w:rPr>
          <w:lang w:val="en-CA"/>
        </w:rPr>
        <w:t xml:space="preserve">and the date </w:t>
      </w:r>
      <w:r w:rsidR="006C142E">
        <w:rPr>
          <w:lang w:val="en-CA"/>
        </w:rPr>
        <w:t xml:space="preserve">of its </w:t>
      </w:r>
      <w:r w:rsidRPr="00324CF1">
        <w:rPr>
          <w:lang w:val="en-CA"/>
        </w:rPr>
        <w:t>assent.</w:t>
      </w:r>
      <w:r w:rsidRPr="00324CF1">
        <w:rPr>
          <w:rStyle w:val="Appelnotedebasdep"/>
          <w:lang w:val="en-CA"/>
        </w:rPr>
        <w:footnoteReference w:id="182"/>
      </w:r>
    </w:p>
    <w:p w14:paraId="52BB1467" w14:textId="00D25EC2" w:rsidR="00865233" w:rsidRPr="00324CF1" w:rsidRDefault="00ED47F8" w:rsidP="005D6FD1">
      <w:pPr>
        <w:pStyle w:val="Paragraphe"/>
        <w:spacing w:before="80" w:after="80" w:line="240" w:lineRule="auto"/>
        <w:rPr>
          <w:lang w:val="en-US"/>
        </w:rPr>
      </w:pPr>
      <w:r w:rsidRPr="00324CF1">
        <w:rPr>
          <w:lang w:val="en-CA"/>
        </w:rPr>
        <w:t>While the retroactive effect concerns facts that entirely pre-date the new law, the immediate (or retrospective) effect concerns legal situations in progress at the time the new standard takes effect.</w:t>
      </w:r>
      <w:r w:rsidRPr="00324CF1">
        <w:rPr>
          <w:rStyle w:val="Appelnotedebasdep"/>
          <w:lang w:val="en-CA"/>
        </w:rPr>
        <w:footnoteReference w:id="183"/>
      </w:r>
      <w:r w:rsidRPr="00324CF1">
        <w:rPr>
          <w:lang w:val="en-CA"/>
        </w:rPr>
        <w:t xml:space="preserve"> The new law will have immediate effect if it governs the future development of an ongoing legal situation without affecting</w:t>
      </w:r>
      <w:r w:rsidR="006C142E">
        <w:rPr>
          <w:lang w:val="en-CA"/>
        </w:rPr>
        <w:t xml:space="preserve"> the</w:t>
      </w:r>
      <w:r w:rsidRPr="00324CF1">
        <w:rPr>
          <w:lang w:val="en-CA"/>
        </w:rPr>
        <w:t xml:space="preserve"> past</w:t>
      </w:r>
      <w:r w:rsidR="006C142E">
        <w:rPr>
          <w:lang w:val="en-CA"/>
        </w:rPr>
        <w:t>,</w:t>
      </w:r>
      <w:r w:rsidRPr="00324CF1">
        <w:rPr>
          <w:lang w:val="en-CA"/>
        </w:rPr>
        <w:t xml:space="preserve"> as a retroactive law would. Professors Côté and Devinat summarize this concept as follows:</w:t>
      </w:r>
    </w:p>
    <w:p w14:paraId="11A952FE" w14:textId="66D7925F" w:rsidR="00BE517A" w:rsidRDefault="00BE517A" w:rsidP="005D6FD1">
      <w:pPr>
        <w:pStyle w:val="Citationenretrait"/>
        <w:spacing w:before="80" w:after="80" w:line="240" w:lineRule="auto"/>
        <w:rPr>
          <w:lang w:val="en-CA"/>
        </w:rPr>
      </w:pPr>
      <w:r>
        <w:rPr>
          <w:lang w:val="en-CA"/>
        </w:rPr>
        <w:t>[</w:t>
      </w:r>
      <w:r w:rsidRPr="005E6EB3">
        <w:rPr>
          <w:smallCaps/>
          <w:lang w:val="en-CA"/>
        </w:rPr>
        <w:t>translation</w:t>
      </w:r>
      <w:r>
        <w:rPr>
          <w:lang w:val="en-CA"/>
        </w:rPr>
        <w:t>]</w:t>
      </w:r>
    </w:p>
    <w:p w14:paraId="6E0A938C" w14:textId="35D4E202" w:rsidR="00865233" w:rsidRPr="00324CF1" w:rsidRDefault="00204BAE" w:rsidP="005D6FD1">
      <w:pPr>
        <w:pStyle w:val="Citationenretrait"/>
        <w:spacing w:before="80" w:after="80" w:line="240" w:lineRule="auto"/>
        <w:rPr>
          <w:lang w:val="en-US"/>
        </w:rPr>
      </w:pPr>
      <w:r>
        <w:rPr>
          <w:lang w:val="en-CA"/>
        </w:rPr>
        <w:t>When</w:t>
      </w:r>
      <w:r w:rsidRPr="00324CF1">
        <w:rPr>
          <w:lang w:val="en-CA"/>
        </w:rPr>
        <w:t xml:space="preserve"> </w:t>
      </w:r>
      <w:r w:rsidR="00ED47F8" w:rsidRPr="00324CF1">
        <w:rPr>
          <w:lang w:val="en-CA"/>
        </w:rPr>
        <w:t xml:space="preserve">a new statute is declared applicable </w:t>
      </w:r>
      <w:r>
        <w:rPr>
          <w:lang w:val="en-CA"/>
        </w:rPr>
        <w:t>going forward</w:t>
      </w:r>
      <w:r w:rsidR="00ED47F8" w:rsidRPr="00324CF1">
        <w:rPr>
          <w:lang w:val="en-CA"/>
        </w:rPr>
        <w:t xml:space="preserve"> to situations </w:t>
      </w:r>
      <w:r>
        <w:rPr>
          <w:lang w:val="en-CA"/>
        </w:rPr>
        <w:t xml:space="preserve">already </w:t>
      </w:r>
      <w:r w:rsidR="00ED47F8" w:rsidRPr="00324CF1">
        <w:rPr>
          <w:lang w:val="en-CA"/>
        </w:rPr>
        <w:t xml:space="preserve">underway, we say it has immediate effect. This notion is used here to describe a situation not only where the facts contemplated by the rule are underway </w:t>
      </w:r>
      <w:r w:rsidR="006C142E">
        <w:rPr>
          <w:lang w:val="en-CA"/>
        </w:rPr>
        <w:t>when</w:t>
      </w:r>
      <w:r w:rsidR="00ED47F8" w:rsidRPr="00324CF1">
        <w:rPr>
          <w:lang w:val="en-CA"/>
        </w:rPr>
        <w:t xml:space="preserve"> the law is </w:t>
      </w:r>
      <w:r>
        <w:rPr>
          <w:lang w:val="en-CA"/>
        </w:rPr>
        <w:t>amended</w:t>
      </w:r>
      <w:r w:rsidRPr="00324CF1">
        <w:rPr>
          <w:lang w:val="en-CA"/>
        </w:rPr>
        <w:t xml:space="preserve"> </w:t>
      </w:r>
      <w:r w:rsidR="00ED47F8" w:rsidRPr="00324CF1">
        <w:rPr>
          <w:lang w:val="en-CA"/>
        </w:rPr>
        <w:t xml:space="preserve">(what Héron calls the general effect of the new statute), but also </w:t>
      </w:r>
      <w:r w:rsidR="00ED47F8" w:rsidRPr="00324CF1">
        <w:rPr>
          <w:lang w:val="en-CA"/>
        </w:rPr>
        <w:lastRenderedPageBreak/>
        <w:t>to describe situations where the legal effects of the rule are underway (what Héron calls the retrospective effect of the statute).</w:t>
      </w:r>
      <w:r w:rsidR="00ED47F8" w:rsidRPr="00324CF1">
        <w:rPr>
          <w:rStyle w:val="Appelnotedebasdep"/>
          <w:lang w:val="en-CA"/>
        </w:rPr>
        <w:footnoteReference w:id="184"/>
      </w:r>
      <w:r w:rsidR="00ED47F8" w:rsidRPr="00324CF1">
        <w:rPr>
          <w:lang w:val="en-CA"/>
        </w:rPr>
        <w:t xml:space="preserve"> </w:t>
      </w:r>
    </w:p>
    <w:p w14:paraId="26CB63C9" w14:textId="77777777" w:rsidR="00B85CD8" w:rsidRPr="00324CF1" w:rsidRDefault="00ED47F8" w:rsidP="00FB5A91">
      <w:pPr>
        <w:pStyle w:val="Citationenretrait"/>
        <w:spacing w:line="240" w:lineRule="auto"/>
        <w:jc w:val="right"/>
      </w:pPr>
      <w:r w:rsidRPr="00324CF1">
        <w:rPr>
          <w:lang w:val="en-CA"/>
        </w:rPr>
        <w:t>[References omitted]</w:t>
      </w:r>
    </w:p>
    <w:p w14:paraId="63BFEEA8" w14:textId="42EF291D" w:rsidR="00865233" w:rsidRPr="00324CF1" w:rsidRDefault="00ED47F8" w:rsidP="00FB5A91">
      <w:pPr>
        <w:pStyle w:val="Paragraphe"/>
        <w:spacing w:line="240" w:lineRule="auto"/>
        <w:rPr>
          <w:lang w:val="en-US"/>
        </w:rPr>
      </w:pPr>
      <w:r w:rsidRPr="00324CF1">
        <w:rPr>
          <w:lang w:val="en-CA"/>
        </w:rPr>
        <w:t xml:space="preserve">Conversely, when the law has no immediate effect, the </w:t>
      </w:r>
      <w:r w:rsidR="00204BAE">
        <w:rPr>
          <w:lang w:val="en-CA"/>
        </w:rPr>
        <w:t xml:space="preserve">legal </w:t>
      </w:r>
      <w:r w:rsidRPr="00324CF1">
        <w:rPr>
          <w:lang w:val="en-CA"/>
        </w:rPr>
        <w:t xml:space="preserve">situation underway remains governed by the old rule and the litigant can </w:t>
      </w:r>
      <w:r w:rsidR="00204BAE">
        <w:rPr>
          <w:lang w:val="en-CA"/>
        </w:rPr>
        <w:t xml:space="preserve">then </w:t>
      </w:r>
      <w:r w:rsidRPr="00324CF1">
        <w:rPr>
          <w:lang w:val="en-CA"/>
        </w:rPr>
        <w:t xml:space="preserve">invoke a vested right. </w:t>
      </w:r>
    </w:p>
    <w:p w14:paraId="55339EA9" w14:textId="7A5E9662" w:rsidR="00865233" w:rsidRPr="00324CF1" w:rsidRDefault="00ED47F8" w:rsidP="00FB5A91">
      <w:pPr>
        <w:pStyle w:val="Paragraphe"/>
        <w:spacing w:line="240" w:lineRule="auto"/>
        <w:rPr>
          <w:lang w:val="en-US"/>
        </w:rPr>
      </w:pPr>
      <w:r w:rsidRPr="00324CF1">
        <w:rPr>
          <w:lang w:val="en-CA"/>
        </w:rPr>
        <w:t xml:space="preserve">In theory, the law applies to facts that </w:t>
      </w:r>
      <w:r w:rsidR="00422F03">
        <w:rPr>
          <w:lang w:val="en-CA"/>
        </w:rPr>
        <w:t>take place</w:t>
      </w:r>
      <w:r w:rsidRPr="00324CF1">
        <w:rPr>
          <w:lang w:val="en-CA"/>
        </w:rPr>
        <w:t xml:space="preserve"> between the </w:t>
      </w:r>
      <w:r w:rsidR="0088208E">
        <w:rPr>
          <w:lang w:val="en-CA"/>
        </w:rPr>
        <w:t>moment</w:t>
      </w:r>
      <w:r w:rsidR="0088208E" w:rsidRPr="00324CF1">
        <w:rPr>
          <w:lang w:val="en-CA"/>
        </w:rPr>
        <w:t xml:space="preserve"> </w:t>
      </w:r>
      <w:r w:rsidRPr="00324CF1">
        <w:rPr>
          <w:lang w:val="en-CA"/>
        </w:rPr>
        <w:t xml:space="preserve">it </w:t>
      </w:r>
      <w:r w:rsidR="00602180">
        <w:rPr>
          <w:lang w:val="en-CA"/>
        </w:rPr>
        <w:t>com</w:t>
      </w:r>
      <w:r w:rsidR="00422F03">
        <w:rPr>
          <w:lang w:val="en-CA"/>
        </w:rPr>
        <w:t>es</w:t>
      </w:r>
      <w:r w:rsidR="00602180" w:rsidRPr="00324CF1">
        <w:rPr>
          <w:lang w:val="en-CA"/>
        </w:rPr>
        <w:t xml:space="preserve"> </w:t>
      </w:r>
      <w:r w:rsidRPr="00324CF1">
        <w:rPr>
          <w:lang w:val="en-CA"/>
        </w:rPr>
        <w:t xml:space="preserve">into force and the </w:t>
      </w:r>
      <w:r w:rsidR="0088208E">
        <w:rPr>
          <w:lang w:val="en-CA"/>
        </w:rPr>
        <w:t>moment</w:t>
      </w:r>
      <w:r w:rsidR="0088208E" w:rsidRPr="00324CF1">
        <w:rPr>
          <w:lang w:val="en-CA"/>
        </w:rPr>
        <w:t xml:space="preserve"> </w:t>
      </w:r>
      <w:r w:rsidRPr="00324CF1">
        <w:rPr>
          <w:lang w:val="en-CA"/>
        </w:rPr>
        <w:t>it is repealed.</w:t>
      </w:r>
      <w:r w:rsidRPr="00324CF1">
        <w:rPr>
          <w:rStyle w:val="Appelnotedebasdep"/>
          <w:lang w:val="en-CA"/>
        </w:rPr>
        <w:footnoteReference w:id="185"/>
      </w:r>
      <w:r w:rsidRPr="00324CF1">
        <w:rPr>
          <w:lang w:val="en-CA"/>
        </w:rPr>
        <w:t xml:space="preserve"> Even though it is not enshrined in any legislative text, a presumption exists against retroactive laws,</w:t>
      </w:r>
      <w:r w:rsidRPr="00324CF1">
        <w:rPr>
          <w:rStyle w:val="Appelnotedebasdep"/>
          <w:lang w:val="en-CA"/>
        </w:rPr>
        <w:footnoteReference w:id="186"/>
      </w:r>
      <w:r w:rsidRPr="00324CF1">
        <w:rPr>
          <w:lang w:val="en-CA"/>
        </w:rPr>
        <w:t xml:space="preserve"> </w:t>
      </w:r>
      <w:r w:rsidR="0088208E">
        <w:rPr>
          <w:lang w:val="en-CA"/>
        </w:rPr>
        <w:t>and</w:t>
      </w:r>
      <w:r w:rsidRPr="00324CF1">
        <w:rPr>
          <w:lang w:val="en-CA"/>
        </w:rPr>
        <w:t xml:space="preserve"> a separate</w:t>
      </w:r>
      <w:r w:rsidRPr="00324CF1">
        <w:rPr>
          <w:rStyle w:val="Appelnotedebasdep"/>
          <w:lang w:val="en-CA"/>
        </w:rPr>
        <w:footnoteReference w:id="187"/>
      </w:r>
      <w:r w:rsidRPr="00324CF1">
        <w:rPr>
          <w:lang w:val="en-CA"/>
        </w:rPr>
        <w:t xml:space="preserve"> </w:t>
      </w:r>
      <w:r w:rsidR="0088208E">
        <w:rPr>
          <w:lang w:val="en-CA"/>
        </w:rPr>
        <w:t>though weaker</w:t>
      </w:r>
      <w:r w:rsidRPr="00324CF1">
        <w:rPr>
          <w:rStyle w:val="Appelnotedebasdep"/>
          <w:lang w:val="en-CA"/>
        </w:rPr>
        <w:footnoteReference w:id="188"/>
      </w:r>
      <w:r w:rsidRPr="00324CF1">
        <w:rPr>
          <w:lang w:val="en-CA"/>
        </w:rPr>
        <w:t xml:space="preserve"> presumption</w:t>
      </w:r>
      <w:r w:rsidR="00422F03">
        <w:rPr>
          <w:lang w:val="en-CA"/>
        </w:rPr>
        <w:t xml:space="preserve"> exists</w:t>
      </w:r>
      <w:r w:rsidRPr="00324CF1">
        <w:rPr>
          <w:lang w:val="en-CA"/>
        </w:rPr>
        <w:t xml:space="preserve"> in favour of maintaining vested rights, and therefore against the immediate application of the new law to situations that are underway.</w:t>
      </w:r>
      <w:r w:rsidRPr="00324CF1">
        <w:rPr>
          <w:rStyle w:val="Appelnotedebasdep"/>
          <w:lang w:val="en-CA"/>
        </w:rPr>
        <w:footnoteReference w:id="189"/>
      </w:r>
      <w:r w:rsidRPr="00324CF1">
        <w:rPr>
          <w:lang w:val="en-CA"/>
        </w:rPr>
        <w:t xml:space="preserve"> </w:t>
      </w:r>
      <w:r w:rsidR="0088208E">
        <w:rPr>
          <w:lang w:val="en-CA"/>
        </w:rPr>
        <w:t>T</w:t>
      </w:r>
      <w:r w:rsidRPr="00324CF1">
        <w:rPr>
          <w:lang w:val="en-CA"/>
        </w:rPr>
        <w:t>his last presumption is reversed</w:t>
      </w:r>
      <w:r w:rsidR="0088208E">
        <w:rPr>
          <w:lang w:val="en-CA"/>
        </w:rPr>
        <w:t>, however,</w:t>
      </w:r>
      <w:r w:rsidRPr="00324CF1">
        <w:rPr>
          <w:lang w:val="en-CA"/>
        </w:rPr>
        <w:t xml:space="preserve"> </w:t>
      </w:r>
      <w:r w:rsidR="0088208E">
        <w:rPr>
          <w:lang w:val="en-CA"/>
        </w:rPr>
        <w:t>with respect to</w:t>
      </w:r>
      <w:r w:rsidRPr="00324CF1">
        <w:rPr>
          <w:lang w:val="en-CA"/>
        </w:rPr>
        <w:t xml:space="preserve"> </w:t>
      </w:r>
      <w:r w:rsidR="0088208E">
        <w:rPr>
          <w:lang w:val="en-CA"/>
        </w:rPr>
        <w:t xml:space="preserve">a </w:t>
      </w:r>
      <w:r w:rsidRPr="00324CF1">
        <w:rPr>
          <w:lang w:val="en-CA"/>
        </w:rPr>
        <w:t>purely procedural law,</w:t>
      </w:r>
      <w:r w:rsidRPr="00324CF1">
        <w:rPr>
          <w:rStyle w:val="Appelnotedebasdep"/>
          <w:lang w:val="en-CA"/>
        </w:rPr>
        <w:footnoteReference w:id="190"/>
      </w:r>
      <w:r w:rsidRPr="00324CF1">
        <w:rPr>
          <w:lang w:val="en-CA"/>
        </w:rPr>
        <w:t xml:space="preserve"> i.e.</w:t>
      </w:r>
      <w:r w:rsidR="0088208E">
        <w:rPr>
          <w:lang w:val="en-CA"/>
        </w:rPr>
        <w:t>,</w:t>
      </w:r>
      <w:r w:rsidRPr="00324CF1">
        <w:rPr>
          <w:lang w:val="en-CA"/>
        </w:rPr>
        <w:t xml:space="preserve"> provisions “designed to govern only the manner in which rights are asserted or enforced [that</w:t>
      </w:r>
      <w:r w:rsidR="0088208E">
        <w:rPr>
          <w:lang w:val="en-CA"/>
        </w:rPr>
        <w:t xml:space="preserve"> </w:t>
      </w:r>
      <w:r w:rsidRPr="00324CF1">
        <w:rPr>
          <w:lang w:val="en-CA"/>
        </w:rPr>
        <w:t>do</w:t>
      </w:r>
      <w:r w:rsidR="0088208E">
        <w:rPr>
          <w:lang w:val="en-CA"/>
        </w:rPr>
        <w:t>]</w:t>
      </w:r>
      <w:r w:rsidRPr="00324CF1">
        <w:rPr>
          <w:lang w:val="en-CA"/>
        </w:rPr>
        <w:t xml:space="preserve"> not affect the substance of those rights”.</w:t>
      </w:r>
      <w:bookmarkStart w:id="132" w:name="_Ref174541306"/>
      <w:r w:rsidRPr="00324CF1">
        <w:rPr>
          <w:rStyle w:val="Appelnotedebasdep"/>
          <w:lang w:val="en-CA"/>
        </w:rPr>
        <w:footnoteReference w:id="191"/>
      </w:r>
      <w:bookmarkEnd w:id="132"/>
    </w:p>
    <w:p w14:paraId="385AAE5C" w14:textId="77777777" w:rsidR="00865233" w:rsidRPr="00324CF1" w:rsidRDefault="00ED47F8" w:rsidP="00FB5A91">
      <w:pPr>
        <w:pStyle w:val="Paragraphe"/>
        <w:spacing w:line="240" w:lineRule="auto"/>
        <w:rPr>
          <w:lang w:val="en-US"/>
        </w:rPr>
      </w:pPr>
      <w:r w:rsidRPr="00324CF1">
        <w:rPr>
          <w:lang w:val="en-CA"/>
        </w:rPr>
        <w:t>While the distinction between a law that is purely procedural and one that is not can be obvious in some cases, it raises serious difficulties in others. Professors Côté and Devinat summed up this issue as follows:</w:t>
      </w:r>
      <w:r w:rsidRPr="00324CF1">
        <w:rPr>
          <w:rStyle w:val="Appelnotedebasdep"/>
          <w:lang w:val="en-CA"/>
        </w:rPr>
        <w:footnoteReference w:id="192"/>
      </w:r>
    </w:p>
    <w:p w14:paraId="6096537E" w14:textId="29806011" w:rsidR="00C90ACB" w:rsidRDefault="00C90ACB" w:rsidP="00FB5A91">
      <w:pPr>
        <w:pStyle w:val="Citationenretrait"/>
        <w:spacing w:line="240" w:lineRule="auto"/>
        <w:rPr>
          <w:lang w:val="en-CA"/>
        </w:rPr>
      </w:pPr>
      <w:r w:rsidRPr="00324CF1">
        <w:rPr>
          <w:lang w:val="en-CA"/>
        </w:rPr>
        <w:t>[</w:t>
      </w:r>
      <w:r w:rsidRPr="005E6EB3">
        <w:rPr>
          <w:smallCaps/>
          <w:lang w:val="en-CA"/>
        </w:rPr>
        <w:t>translation</w:t>
      </w:r>
      <w:r w:rsidRPr="00324CF1">
        <w:rPr>
          <w:lang w:val="en-CA"/>
        </w:rPr>
        <w:t xml:space="preserve">] </w:t>
      </w:r>
    </w:p>
    <w:p w14:paraId="09DFC7A8" w14:textId="377D5BFC" w:rsidR="00865233" w:rsidRPr="00324CF1" w:rsidRDefault="00ED47F8" w:rsidP="00FB5A91">
      <w:pPr>
        <w:pStyle w:val="Citationenretrait"/>
        <w:spacing w:line="240" w:lineRule="auto"/>
        <w:rPr>
          <w:lang w:val="en-US"/>
        </w:rPr>
      </w:pPr>
      <w:r w:rsidRPr="00324CF1">
        <w:rPr>
          <w:lang w:val="en-CA"/>
        </w:rPr>
        <w:t>706.</w:t>
      </w:r>
      <w:r w:rsidRPr="00324CF1">
        <w:rPr>
          <w:lang w:val="en-CA"/>
        </w:rPr>
        <w:tab/>
        <w:t xml:space="preserve">In summary, a law is purely procedural if its application </w:t>
      </w:r>
      <w:r w:rsidR="00422F03">
        <w:rPr>
          <w:lang w:val="en-CA"/>
        </w:rPr>
        <w:t>to</w:t>
      </w:r>
      <w:r w:rsidRPr="00324CF1">
        <w:rPr>
          <w:lang w:val="en-CA"/>
        </w:rPr>
        <w:t xml:space="preserve"> a specific case </w:t>
      </w:r>
      <w:r w:rsidR="00E56CAF">
        <w:rPr>
          <w:lang w:val="en-CA"/>
        </w:rPr>
        <w:t>affects</w:t>
      </w:r>
      <w:r w:rsidRPr="00324CF1">
        <w:rPr>
          <w:lang w:val="en-CA"/>
        </w:rPr>
        <w:t xml:space="preserve"> </w:t>
      </w:r>
      <w:r w:rsidR="00E56CAF" w:rsidRPr="00324CF1">
        <w:rPr>
          <w:lang w:val="en-CA"/>
        </w:rPr>
        <w:t xml:space="preserve">only </w:t>
      </w:r>
      <w:r w:rsidRPr="00324CF1">
        <w:rPr>
          <w:lang w:val="en-CA"/>
        </w:rPr>
        <w:t xml:space="preserve">how a right is exercised. If, on the contrary, the application of a procedural law </w:t>
      </w:r>
      <w:r w:rsidR="00E56CAF">
        <w:rPr>
          <w:lang w:val="en-CA"/>
        </w:rPr>
        <w:t>makes</w:t>
      </w:r>
      <w:r w:rsidRPr="00324CF1">
        <w:rPr>
          <w:lang w:val="en-CA"/>
        </w:rPr>
        <w:t xml:space="preserve"> it practically impossible to exercise a right or otherwise affect</w:t>
      </w:r>
      <w:r w:rsidR="00E56CAF">
        <w:rPr>
          <w:lang w:val="en-CA"/>
        </w:rPr>
        <w:t>s</w:t>
      </w:r>
      <w:r w:rsidRPr="00324CF1">
        <w:rPr>
          <w:lang w:val="en-CA"/>
        </w:rPr>
        <w:t xml:space="preserve"> substantive rights, it is not considered “purely procedural”, because its application would then affect “substantive rights”.</w:t>
      </w:r>
    </w:p>
    <w:p w14:paraId="68FB2F67" w14:textId="77777777" w:rsidR="00865233" w:rsidRPr="00324CF1" w:rsidRDefault="00ED47F8" w:rsidP="00FB5A91">
      <w:pPr>
        <w:pStyle w:val="Citationenretrait"/>
        <w:spacing w:line="240" w:lineRule="auto"/>
        <w:jc w:val="right"/>
      </w:pPr>
      <w:r w:rsidRPr="00324CF1">
        <w:rPr>
          <w:lang w:val="en-CA"/>
        </w:rPr>
        <w:t>[References omitted]</w:t>
      </w:r>
    </w:p>
    <w:p w14:paraId="0756652D" w14:textId="4DFFFE86" w:rsidR="00865233" w:rsidRPr="00324CF1" w:rsidRDefault="00ED47F8" w:rsidP="00FB5A91">
      <w:pPr>
        <w:pStyle w:val="Paragraphe"/>
        <w:spacing w:line="240" w:lineRule="auto"/>
        <w:rPr>
          <w:lang w:val="en-US"/>
        </w:rPr>
      </w:pPr>
      <w:r w:rsidRPr="00324CF1">
        <w:rPr>
          <w:lang w:val="en-CA"/>
        </w:rPr>
        <w:t xml:space="preserve">It goes without saying that these principles and presumptions are only subsidiary. CCDM/Devas were therefore </w:t>
      </w:r>
      <w:r w:rsidR="007D2125">
        <w:rPr>
          <w:lang w:val="en-CA"/>
        </w:rPr>
        <w:t>wrong to</w:t>
      </w:r>
      <w:r w:rsidRPr="00324CF1">
        <w:rPr>
          <w:lang w:val="en-CA"/>
        </w:rPr>
        <w:t xml:space="preserve"> state in their written submissions that only </w:t>
      </w:r>
      <w:r w:rsidRPr="00324CF1">
        <w:rPr>
          <w:lang w:val="en-CA"/>
        </w:rPr>
        <w:lastRenderedPageBreak/>
        <w:t xml:space="preserve">procedural laws apply </w:t>
      </w:r>
      <w:r w:rsidR="007D2125">
        <w:rPr>
          <w:lang w:val="en-CA"/>
        </w:rPr>
        <w:t>as soon as they come into force</w:t>
      </w:r>
      <w:r w:rsidRPr="00324CF1">
        <w:rPr>
          <w:lang w:val="en-CA"/>
        </w:rPr>
        <w:t xml:space="preserve">. While these laws, unlike others, are presumed to apply immediately, </w:t>
      </w:r>
      <w:r w:rsidR="007D2125">
        <w:rPr>
          <w:lang w:val="en-CA"/>
        </w:rPr>
        <w:t>on this question</w:t>
      </w:r>
      <w:r w:rsidRPr="00324CF1">
        <w:rPr>
          <w:lang w:val="en-CA"/>
        </w:rPr>
        <w:t xml:space="preserve">, as </w:t>
      </w:r>
      <w:r w:rsidR="007D2125">
        <w:rPr>
          <w:lang w:val="en-CA"/>
        </w:rPr>
        <w:t>with</w:t>
      </w:r>
      <w:r w:rsidRPr="00324CF1">
        <w:rPr>
          <w:lang w:val="en-CA"/>
        </w:rPr>
        <w:t xml:space="preserve"> all others, </w:t>
      </w:r>
      <w:r w:rsidR="007D2125">
        <w:rPr>
          <w:lang w:val="en-CA"/>
        </w:rPr>
        <w:t>legislative intent</w:t>
      </w:r>
      <w:r w:rsidRPr="00324CF1">
        <w:rPr>
          <w:lang w:val="en-CA"/>
        </w:rPr>
        <w:t xml:space="preserve"> </w:t>
      </w:r>
      <w:r w:rsidR="007D2125">
        <w:rPr>
          <w:lang w:val="en-CA"/>
        </w:rPr>
        <w:t>reigns supreme</w:t>
      </w:r>
      <w:r w:rsidRPr="00324CF1">
        <w:rPr>
          <w:rStyle w:val="Appelnotedebasdep"/>
          <w:lang w:val="en-CA"/>
        </w:rPr>
        <w:footnoteReference w:id="193"/>
      </w:r>
      <w:r w:rsidRPr="00324CF1">
        <w:rPr>
          <w:lang w:val="en-CA"/>
        </w:rPr>
        <w:t xml:space="preserve"> and it is </w:t>
      </w:r>
      <w:r w:rsidR="007D2125">
        <w:rPr>
          <w:lang w:val="en-CA"/>
        </w:rPr>
        <w:t>appropriate to first</w:t>
      </w:r>
      <w:r w:rsidRPr="00324CF1">
        <w:rPr>
          <w:lang w:val="en-CA"/>
        </w:rPr>
        <w:t xml:space="preserve"> interpret the text of the new law to understand the </w:t>
      </w:r>
      <w:r w:rsidR="007D2125">
        <w:rPr>
          <w:lang w:val="en-CA"/>
        </w:rPr>
        <w:t>legislative intent</w:t>
      </w:r>
      <w:r w:rsidRPr="00324CF1">
        <w:rPr>
          <w:lang w:val="en-CA"/>
        </w:rPr>
        <w:t xml:space="preserve"> as to its effect in time. </w:t>
      </w:r>
    </w:p>
    <w:p w14:paraId="18743243" w14:textId="4D8EFABE" w:rsidR="00865233" w:rsidRPr="00324CF1" w:rsidRDefault="00ED47F8" w:rsidP="00FB5A91">
      <w:pPr>
        <w:pStyle w:val="Paragraphe"/>
        <w:spacing w:line="240" w:lineRule="auto"/>
        <w:rPr>
          <w:lang w:val="en-US"/>
        </w:rPr>
      </w:pPr>
      <w:r w:rsidRPr="00324CF1">
        <w:rPr>
          <w:lang w:val="en-CA"/>
        </w:rPr>
        <w:t>Of course, the legislator may have explicitly included transitional provisions, which must then be applied.</w:t>
      </w:r>
      <w:r w:rsidRPr="00324CF1">
        <w:rPr>
          <w:rStyle w:val="Appelnotedebasdep"/>
          <w:lang w:val="en-CA"/>
        </w:rPr>
        <w:footnoteReference w:id="194"/>
      </w:r>
      <w:r w:rsidRPr="00324CF1">
        <w:rPr>
          <w:lang w:val="en-CA"/>
        </w:rPr>
        <w:t xml:space="preserve"> However, the absence of such provisions, as in this case, does not necessarily mean that the solution must be the application of the presumptions outlined above, as the judge may [</w:t>
      </w:r>
      <w:r w:rsidR="00C90ACB" w:rsidRPr="005E6EB3">
        <w:rPr>
          <w:smallCaps/>
          <w:lang w:val="en-CA"/>
        </w:rPr>
        <w:t>translation</w:t>
      </w:r>
      <w:r w:rsidRPr="00324CF1">
        <w:rPr>
          <w:lang w:val="en-CA"/>
        </w:rPr>
        <w:t>] “deduce the legislat</w:t>
      </w:r>
      <w:r w:rsidR="009F6AC4">
        <w:rPr>
          <w:lang w:val="en-CA"/>
        </w:rPr>
        <w:t>ive intent</w:t>
      </w:r>
      <w:r w:rsidRPr="00324CF1">
        <w:rPr>
          <w:lang w:val="en-CA"/>
        </w:rPr>
        <w:t xml:space="preserve"> in this regard </w:t>
      </w:r>
      <w:r w:rsidR="009F6AC4">
        <w:rPr>
          <w:lang w:val="en-CA"/>
        </w:rPr>
        <w:t xml:space="preserve">from the text </w:t>
      </w:r>
      <w:r w:rsidRPr="00324CF1">
        <w:rPr>
          <w:lang w:val="en-CA"/>
        </w:rPr>
        <w:t>and, thanks to the text, determine the facts that fall under the law and those that escape it”.</w:t>
      </w:r>
      <w:r w:rsidRPr="00324CF1">
        <w:rPr>
          <w:rStyle w:val="Appelnotedebasdep"/>
          <w:lang w:val="en-CA"/>
        </w:rPr>
        <w:footnoteReference w:id="195"/>
      </w:r>
      <w:r w:rsidRPr="00324CF1">
        <w:rPr>
          <w:lang w:val="en-CA"/>
        </w:rPr>
        <w:t xml:space="preserve"> It is only [</w:t>
      </w:r>
      <w:r w:rsidR="00C90ACB" w:rsidRPr="005E6EB3">
        <w:rPr>
          <w:smallCaps/>
          <w:lang w:val="en-CA"/>
        </w:rPr>
        <w:t>translation</w:t>
      </w:r>
      <w:r w:rsidRPr="00324CF1">
        <w:rPr>
          <w:lang w:val="en-CA"/>
        </w:rPr>
        <w:t xml:space="preserve">] “[i]f the text is silent or if the indications it provides are </w:t>
      </w:r>
      <w:r w:rsidR="009F6AC4">
        <w:rPr>
          <w:lang w:val="en-CA"/>
        </w:rPr>
        <w:t>in</w:t>
      </w:r>
      <w:r w:rsidRPr="00324CF1">
        <w:rPr>
          <w:lang w:val="en-CA"/>
        </w:rPr>
        <w:t>sufficient to reach a firm conclusion [that] the judge may consider the presum</w:t>
      </w:r>
      <w:r w:rsidR="009F6AC4">
        <w:rPr>
          <w:lang w:val="en-CA"/>
        </w:rPr>
        <w:t>ptions of</w:t>
      </w:r>
      <w:r w:rsidRPr="00324CF1">
        <w:rPr>
          <w:lang w:val="en-CA"/>
        </w:rPr>
        <w:t xml:space="preserve"> </w:t>
      </w:r>
      <w:r w:rsidR="009F6AC4">
        <w:rPr>
          <w:lang w:val="en-CA"/>
        </w:rPr>
        <w:t>legislative intent</w:t>
      </w:r>
      <w:r w:rsidRPr="00324CF1">
        <w:rPr>
          <w:lang w:val="en-CA"/>
        </w:rPr>
        <w:t>”.</w:t>
      </w:r>
      <w:r w:rsidRPr="00324CF1">
        <w:rPr>
          <w:rStyle w:val="Appelnotedebasdep"/>
          <w:lang w:val="en-CA"/>
        </w:rPr>
        <w:footnoteReference w:id="196"/>
      </w:r>
      <w:r w:rsidRPr="00324CF1">
        <w:rPr>
          <w:lang w:val="en-CA"/>
        </w:rPr>
        <w:t xml:space="preserve"> </w:t>
      </w:r>
    </w:p>
    <w:p w14:paraId="3CB8EFAF" w14:textId="77777777" w:rsidR="00865233" w:rsidRPr="00324CF1" w:rsidRDefault="00ED47F8" w:rsidP="00FB5A91">
      <w:pPr>
        <w:pStyle w:val="Paragraphe"/>
        <w:spacing w:line="240" w:lineRule="auto"/>
        <w:rPr>
          <w:lang w:val="en-US"/>
        </w:rPr>
      </w:pPr>
      <w:r w:rsidRPr="00324CF1">
        <w:rPr>
          <w:lang w:val="en-CA"/>
        </w:rPr>
        <w:t>These principles and this approach should now be applied to the facts of this case.</w:t>
      </w:r>
    </w:p>
    <w:p w14:paraId="1DCFE105" w14:textId="77777777" w:rsidR="00865233" w:rsidRPr="00324CF1" w:rsidRDefault="00ED47F8" w:rsidP="00FB5A91">
      <w:pPr>
        <w:pStyle w:val="Titre2"/>
        <w:spacing w:line="240" w:lineRule="auto"/>
      </w:pPr>
      <w:bookmarkStart w:id="133" w:name="_Toc184205628"/>
      <w:bookmarkStart w:id="134" w:name="_Toc256000023"/>
      <w:r w:rsidRPr="00324CF1">
        <w:rPr>
          <w:bCs/>
          <w:iCs/>
          <w:lang w:val="en-CA"/>
        </w:rPr>
        <w:t xml:space="preserve">4. </w:t>
      </w:r>
      <w:r w:rsidRPr="00324CF1">
        <w:rPr>
          <w:b w:val="0"/>
          <w:i w:val="0"/>
          <w:lang w:val="en-CA"/>
        </w:rPr>
        <w:tab/>
      </w:r>
      <w:r w:rsidRPr="00324CF1">
        <w:rPr>
          <w:bCs/>
          <w:iCs/>
          <w:lang w:val="en-CA"/>
        </w:rPr>
        <w:t>Application to the facts</w:t>
      </w:r>
      <w:bookmarkEnd w:id="133"/>
      <w:bookmarkEnd w:id="134"/>
    </w:p>
    <w:p w14:paraId="4AF84B7E" w14:textId="01362C22" w:rsidR="00865233" w:rsidRPr="00324CF1" w:rsidRDefault="00ED47F8" w:rsidP="00FB5A91">
      <w:pPr>
        <w:pStyle w:val="Paragraphe"/>
        <w:spacing w:line="240" w:lineRule="auto"/>
        <w:rPr>
          <w:lang w:val="en-US"/>
        </w:rPr>
      </w:pPr>
      <w:r w:rsidRPr="00324CF1">
        <w:rPr>
          <w:lang w:val="en-CA"/>
        </w:rPr>
        <w:t>The parties rightly agree that section 2 of the</w:t>
      </w:r>
      <w:r w:rsidRPr="00324CF1">
        <w:rPr>
          <w:i/>
          <w:iCs/>
          <w:lang w:val="en-CA"/>
        </w:rPr>
        <w:t xml:space="preserve"> IATA Act</w:t>
      </w:r>
      <w:r w:rsidRPr="00324CF1">
        <w:rPr>
          <w:lang w:val="en-CA"/>
        </w:rPr>
        <w:t xml:space="preserve"> explicitly provides that it has retroactive effect to May 5, 2022. As for the rest, the law </w:t>
      </w:r>
      <w:r w:rsidR="008E2DA1">
        <w:rPr>
          <w:lang w:val="en-CA"/>
        </w:rPr>
        <w:t>contains no</w:t>
      </w:r>
      <w:r w:rsidRPr="00324CF1">
        <w:rPr>
          <w:lang w:val="en-CA"/>
        </w:rPr>
        <w:t xml:space="preserve"> transitional provisions. </w:t>
      </w:r>
    </w:p>
    <w:p w14:paraId="3274EFF9" w14:textId="7F8C1A41" w:rsidR="00865233" w:rsidRPr="00324CF1" w:rsidRDefault="00ED47F8" w:rsidP="00FB5A91">
      <w:pPr>
        <w:pStyle w:val="Paragraphe"/>
        <w:spacing w:line="240" w:lineRule="auto"/>
        <w:rPr>
          <w:lang w:val="en-US"/>
        </w:rPr>
      </w:pPr>
      <w:r w:rsidRPr="00324CF1">
        <w:rPr>
          <w:lang w:val="en-CA"/>
        </w:rPr>
        <w:t>In the</w:t>
      </w:r>
      <w:r w:rsidR="00535D52">
        <w:rPr>
          <w:lang w:val="en-CA"/>
        </w:rPr>
        <w:t xml:space="preserve"> first</w:t>
      </w:r>
      <w:r w:rsidRPr="00324CF1">
        <w:rPr>
          <w:lang w:val="en-CA"/>
        </w:rPr>
        <w:t xml:space="preserve"> instance, the parties put forward</w:t>
      </w:r>
      <w:r w:rsidR="008E2DA1">
        <w:rPr>
          <w:lang w:val="en-CA"/>
        </w:rPr>
        <w:t>, all at once,</w:t>
      </w:r>
      <w:r w:rsidRPr="00324CF1">
        <w:rPr>
          <w:lang w:val="en-CA"/>
        </w:rPr>
        <w:t xml:space="preserve"> arguments</w:t>
      </w:r>
      <w:r w:rsidR="008E2DA1">
        <w:rPr>
          <w:lang w:val="en-CA"/>
        </w:rPr>
        <w:t xml:space="preserve"> </w:t>
      </w:r>
      <w:r w:rsidRPr="00324CF1">
        <w:rPr>
          <w:lang w:val="en-CA"/>
        </w:rPr>
        <w:t xml:space="preserve">related both to the procedural nature of the </w:t>
      </w:r>
      <w:r w:rsidRPr="00324CF1">
        <w:rPr>
          <w:i/>
          <w:iCs/>
          <w:lang w:val="en-CA"/>
        </w:rPr>
        <w:t>IATA Act</w:t>
      </w:r>
      <w:r w:rsidRPr="00324CF1">
        <w:rPr>
          <w:lang w:val="en-CA"/>
        </w:rPr>
        <w:t xml:space="preserve"> and</w:t>
      </w:r>
      <w:r w:rsidR="008E2DA1">
        <w:rPr>
          <w:lang w:val="en-CA"/>
        </w:rPr>
        <w:t xml:space="preserve"> to</w:t>
      </w:r>
      <w:r w:rsidRPr="00324CF1">
        <w:rPr>
          <w:lang w:val="en-CA"/>
        </w:rPr>
        <w:t xml:space="preserve"> the </w:t>
      </w:r>
      <w:r w:rsidR="008E2DA1">
        <w:rPr>
          <w:lang w:val="en-CA"/>
        </w:rPr>
        <w:t>legislative intent</w:t>
      </w:r>
      <w:r w:rsidRPr="00324CF1">
        <w:rPr>
          <w:lang w:val="en-CA"/>
        </w:rPr>
        <w:t xml:space="preserve"> </w:t>
      </w:r>
      <w:r w:rsidR="008E2DA1">
        <w:rPr>
          <w:lang w:val="en-CA"/>
        </w:rPr>
        <w:t>arising from</w:t>
      </w:r>
      <w:r w:rsidRPr="00324CF1">
        <w:rPr>
          <w:lang w:val="en-CA"/>
        </w:rPr>
        <w:t xml:space="preserve"> </w:t>
      </w:r>
      <w:r w:rsidR="008E2DA1">
        <w:rPr>
          <w:lang w:val="en-CA"/>
        </w:rPr>
        <w:t>its</w:t>
      </w:r>
      <w:r w:rsidR="008E2DA1" w:rsidRPr="00324CF1">
        <w:rPr>
          <w:lang w:val="en-CA"/>
        </w:rPr>
        <w:t xml:space="preserve"> </w:t>
      </w:r>
      <w:r w:rsidRPr="00324CF1">
        <w:rPr>
          <w:lang w:val="en-CA"/>
        </w:rPr>
        <w:t xml:space="preserve">text to justify whether or not it </w:t>
      </w:r>
      <w:r w:rsidR="008E2DA1">
        <w:rPr>
          <w:lang w:val="en-CA"/>
        </w:rPr>
        <w:t>applied as soon as it came into force</w:t>
      </w:r>
      <w:r w:rsidRPr="00324CF1">
        <w:rPr>
          <w:lang w:val="en-CA"/>
        </w:rPr>
        <w:t xml:space="preserve">. The judge, however, limited himself to the second aspect of the question to implicitly conclude that the </w:t>
      </w:r>
      <w:r w:rsidRPr="00324CF1">
        <w:rPr>
          <w:i/>
          <w:iCs/>
          <w:lang w:val="en-CA"/>
        </w:rPr>
        <w:t xml:space="preserve">IATA Act </w:t>
      </w:r>
      <w:r w:rsidRPr="00324CF1">
        <w:rPr>
          <w:lang w:val="en-CA"/>
        </w:rPr>
        <w:t>was immediately applicable. Although CCDM/Devas criticized him</w:t>
      </w:r>
      <w:r w:rsidR="008E2DA1">
        <w:rPr>
          <w:lang w:val="en-CA"/>
        </w:rPr>
        <w:t xml:space="preserve"> for this</w:t>
      </w:r>
      <w:r w:rsidRPr="00324CF1">
        <w:rPr>
          <w:lang w:val="en-CA"/>
        </w:rPr>
        <w:t xml:space="preserve"> on appeal, and </w:t>
      </w:r>
      <w:r w:rsidR="008E2DA1">
        <w:rPr>
          <w:lang w:val="en-CA"/>
        </w:rPr>
        <w:t>while</w:t>
      </w:r>
      <w:r w:rsidR="008E2DA1" w:rsidRPr="00324CF1">
        <w:rPr>
          <w:lang w:val="en-CA"/>
        </w:rPr>
        <w:t xml:space="preserve"> </w:t>
      </w:r>
      <w:r w:rsidRPr="00324CF1">
        <w:rPr>
          <w:lang w:val="en-CA"/>
        </w:rPr>
        <w:t xml:space="preserve">some of the judge’s </w:t>
      </w:r>
      <w:r w:rsidR="008E2DA1">
        <w:rPr>
          <w:lang w:val="en-CA"/>
        </w:rPr>
        <w:t>reasons</w:t>
      </w:r>
      <w:r w:rsidR="008E2DA1" w:rsidRPr="00324CF1">
        <w:rPr>
          <w:lang w:val="en-CA"/>
        </w:rPr>
        <w:t xml:space="preserve"> </w:t>
      </w:r>
      <w:r w:rsidRPr="00324CF1">
        <w:rPr>
          <w:lang w:val="en-CA"/>
        </w:rPr>
        <w:t xml:space="preserve">are not immune </w:t>
      </w:r>
      <w:r w:rsidR="00562C7E">
        <w:rPr>
          <w:lang w:val="en-CA"/>
        </w:rPr>
        <w:t xml:space="preserve">from </w:t>
      </w:r>
      <w:r w:rsidR="00535D52">
        <w:rPr>
          <w:lang w:val="en-CA"/>
        </w:rPr>
        <w:t>any</w:t>
      </w:r>
      <w:r w:rsidR="00562C7E" w:rsidRPr="00324CF1">
        <w:rPr>
          <w:lang w:val="en-CA"/>
        </w:rPr>
        <w:t xml:space="preserve"> </w:t>
      </w:r>
      <w:r w:rsidRPr="00324CF1">
        <w:rPr>
          <w:lang w:val="en-CA"/>
        </w:rPr>
        <w:t>criticism, the judge did not commit any errors.</w:t>
      </w:r>
    </w:p>
    <w:p w14:paraId="4B26FD12" w14:textId="33D2D3C7" w:rsidR="00865233" w:rsidRPr="00324CF1" w:rsidRDefault="00ED47F8" w:rsidP="00FB5A91">
      <w:pPr>
        <w:pStyle w:val="Paragraphe"/>
        <w:spacing w:line="240" w:lineRule="auto"/>
        <w:rPr>
          <w:lang w:val="en-US"/>
        </w:rPr>
      </w:pPr>
      <w:r w:rsidRPr="00324CF1">
        <w:rPr>
          <w:lang w:val="en-CA"/>
        </w:rPr>
        <w:t xml:space="preserve">As we have seen, the </w:t>
      </w:r>
      <w:r w:rsidR="00562C7E">
        <w:rPr>
          <w:lang w:val="en-CA"/>
        </w:rPr>
        <w:t>legislative intent</w:t>
      </w:r>
      <w:r w:rsidRPr="00324CF1">
        <w:rPr>
          <w:lang w:val="en-CA"/>
        </w:rPr>
        <w:t xml:space="preserve"> that the new law should apply </w:t>
      </w:r>
      <w:r w:rsidR="00562C7E">
        <w:rPr>
          <w:lang w:val="en-CA"/>
        </w:rPr>
        <w:t>as soon as it comes into force</w:t>
      </w:r>
      <w:r w:rsidR="00562C7E" w:rsidRPr="00324CF1">
        <w:rPr>
          <w:lang w:val="en-CA"/>
        </w:rPr>
        <w:t xml:space="preserve"> </w:t>
      </w:r>
      <w:r w:rsidRPr="00324CF1">
        <w:rPr>
          <w:lang w:val="en-CA"/>
        </w:rPr>
        <w:t xml:space="preserve">to situations that were underway does not necessarily require an explicit provision to this effect. This intention may also, as </w:t>
      </w:r>
      <w:r w:rsidR="00F26E83">
        <w:rPr>
          <w:lang w:val="en-CA"/>
        </w:rPr>
        <w:t>with</w:t>
      </w:r>
      <w:r w:rsidR="00F26E83" w:rsidRPr="00324CF1">
        <w:rPr>
          <w:lang w:val="en-CA"/>
        </w:rPr>
        <w:t xml:space="preserve"> </w:t>
      </w:r>
      <w:r w:rsidRPr="00324CF1">
        <w:rPr>
          <w:lang w:val="en-CA"/>
        </w:rPr>
        <w:t xml:space="preserve">any interpretative exercise, </w:t>
      </w:r>
      <w:r w:rsidR="00F26E83">
        <w:rPr>
          <w:lang w:val="en-CA"/>
        </w:rPr>
        <w:t>arise</w:t>
      </w:r>
      <w:r w:rsidR="00F26E83" w:rsidRPr="00324CF1">
        <w:rPr>
          <w:lang w:val="en-CA"/>
        </w:rPr>
        <w:t xml:space="preserve"> </w:t>
      </w:r>
      <w:r w:rsidRPr="00324CF1">
        <w:rPr>
          <w:lang w:val="en-CA"/>
        </w:rPr>
        <w:t>from reading “legislative language in context and in its grammatical and ordinary sense, harmoniously with the scheme and purpose of the legislation at issue”.</w:t>
      </w:r>
      <w:r w:rsidRPr="00324CF1">
        <w:rPr>
          <w:rStyle w:val="Appelnotedebasdep"/>
          <w:lang w:val="en-CA"/>
        </w:rPr>
        <w:footnoteReference w:id="197"/>
      </w:r>
      <w:r w:rsidRPr="00324CF1">
        <w:rPr>
          <w:lang w:val="en-CA"/>
        </w:rPr>
        <w:t xml:space="preserve"> </w:t>
      </w:r>
    </w:p>
    <w:p w14:paraId="31C77EAC" w14:textId="7BE7DD82" w:rsidR="00865233" w:rsidRPr="00324CF1" w:rsidRDefault="00ED47F8" w:rsidP="00FB5A91">
      <w:pPr>
        <w:pStyle w:val="Paragraphe"/>
        <w:spacing w:line="240" w:lineRule="auto"/>
        <w:rPr>
          <w:lang w:val="en-US"/>
        </w:rPr>
      </w:pPr>
      <w:r w:rsidRPr="00324CF1">
        <w:rPr>
          <w:lang w:val="en-CA"/>
        </w:rPr>
        <w:t xml:space="preserve">It is clear from a reading of sections 1 and 2 of the </w:t>
      </w:r>
      <w:r w:rsidRPr="00324CF1">
        <w:rPr>
          <w:i/>
          <w:iCs/>
          <w:lang w:val="en-CA"/>
        </w:rPr>
        <w:t xml:space="preserve">IATA Act </w:t>
      </w:r>
      <w:r w:rsidRPr="00324CF1">
        <w:rPr>
          <w:lang w:val="en-CA"/>
        </w:rPr>
        <w:t xml:space="preserve">that the legislator intended to prevent the seizure of any sum held by IATA </w:t>
      </w:r>
      <w:r w:rsidR="00B72A3E">
        <w:rPr>
          <w:lang w:val="en-CA"/>
        </w:rPr>
        <w:t>as of</w:t>
      </w:r>
      <w:r w:rsidRPr="00324CF1">
        <w:rPr>
          <w:lang w:val="en-CA"/>
        </w:rPr>
        <w:t xml:space="preserve"> May 5, 2022. One would </w:t>
      </w:r>
      <w:r w:rsidRPr="00324CF1">
        <w:rPr>
          <w:lang w:val="en-CA"/>
        </w:rPr>
        <w:lastRenderedPageBreak/>
        <w:t xml:space="preserve">be hard-pressed to find therein any vested rights for proceedings </w:t>
      </w:r>
      <w:r w:rsidR="00B72A3E">
        <w:rPr>
          <w:lang w:val="en-CA"/>
        </w:rPr>
        <w:t>begun</w:t>
      </w:r>
      <w:r w:rsidRPr="00324CF1">
        <w:rPr>
          <w:lang w:val="en-CA"/>
        </w:rPr>
        <w:t xml:space="preserve"> prior to that date concerning future funds. On the contrary, the purpose and aim of the law, which we saw above, i.e.</w:t>
      </w:r>
      <w:r w:rsidR="00B72A3E">
        <w:rPr>
          <w:lang w:val="en-CA"/>
        </w:rPr>
        <w:t>,</w:t>
      </w:r>
      <w:r w:rsidRPr="00324CF1">
        <w:rPr>
          <w:lang w:val="en-CA"/>
        </w:rPr>
        <w:t xml:space="preserve"> to </w:t>
      </w:r>
      <w:r w:rsidR="00B72A3E">
        <w:rPr>
          <w:lang w:val="en-CA"/>
        </w:rPr>
        <w:t>ensure</w:t>
      </w:r>
      <w:r w:rsidR="00B72A3E" w:rsidRPr="00324CF1">
        <w:rPr>
          <w:lang w:val="en-CA"/>
        </w:rPr>
        <w:t xml:space="preserve"> </w:t>
      </w:r>
      <w:r w:rsidRPr="00324CF1">
        <w:rPr>
          <w:lang w:val="en-CA"/>
        </w:rPr>
        <w:t xml:space="preserve">the integrity and security of IATA services and maintain the trust of </w:t>
      </w:r>
      <w:r w:rsidR="00535D52">
        <w:rPr>
          <w:lang w:val="en-CA"/>
        </w:rPr>
        <w:t>participants</w:t>
      </w:r>
      <w:r w:rsidRPr="00324CF1">
        <w:rPr>
          <w:lang w:val="en-CA"/>
        </w:rPr>
        <w:t xml:space="preserve">, cannot be reconciled with the existence of such vested rights. </w:t>
      </w:r>
    </w:p>
    <w:p w14:paraId="4D534BE0" w14:textId="1391BE89" w:rsidR="00865233" w:rsidRPr="00324CF1" w:rsidRDefault="00ED47F8" w:rsidP="00FB5A91">
      <w:pPr>
        <w:pStyle w:val="Paragraphe"/>
        <w:spacing w:line="240" w:lineRule="auto"/>
        <w:rPr>
          <w:lang w:val="en-US"/>
        </w:rPr>
      </w:pPr>
      <w:r w:rsidRPr="00324CF1">
        <w:rPr>
          <w:lang w:val="en-CA"/>
        </w:rPr>
        <w:t xml:space="preserve">Similarly, </w:t>
      </w:r>
      <w:r w:rsidR="000F73BF">
        <w:rPr>
          <w:lang w:val="en-CA"/>
        </w:rPr>
        <w:t>the fact that</w:t>
      </w:r>
      <w:r w:rsidR="000F73BF" w:rsidRPr="00324CF1">
        <w:rPr>
          <w:lang w:val="en-CA"/>
        </w:rPr>
        <w:t xml:space="preserve"> </w:t>
      </w:r>
      <w:r w:rsidRPr="00324CF1">
        <w:rPr>
          <w:lang w:val="en-CA"/>
        </w:rPr>
        <w:t>section 1 of the</w:t>
      </w:r>
      <w:r w:rsidRPr="00324CF1">
        <w:rPr>
          <w:i/>
          <w:iCs/>
          <w:lang w:val="en-CA"/>
        </w:rPr>
        <w:t xml:space="preserve"> IATA Act</w:t>
      </w:r>
      <w:r w:rsidRPr="00324CF1">
        <w:rPr>
          <w:lang w:val="en-CA"/>
        </w:rPr>
        <w:t xml:space="preserve"> makes the holding of funds by IATA the event that triggers the law</w:t>
      </w:r>
      <w:r w:rsidR="000F73BF">
        <w:rPr>
          <w:lang w:val="en-CA"/>
        </w:rPr>
        <w:t xml:space="preserve"> reveals</w:t>
      </w:r>
      <w:r w:rsidRPr="00324CF1">
        <w:rPr>
          <w:lang w:val="en-CA"/>
        </w:rPr>
        <w:t xml:space="preserve"> that the law aims both to prevent the authorization of new seizures </w:t>
      </w:r>
      <w:r w:rsidR="000F73BF">
        <w:rPr>
          <w:lang w:val="en-CA"/>
        </w:rPr>
        <w:t>as of</w:t>
      </w:r>
      <w:r w:rsidRPr="00324CF1">
        <w:rPr>
          <w:lang w:val="en-CA"/>
        </w:rPr>
        <w:t xml:space="preserve"> May 5, 2022, </w:t>
      </w:r>
      <w:r w:rsidR="000F73BF">
        <w:rPr>
          <w:lang w:val="en-CA"/>
        </w:rPr>
        <w:t>and</w:t>
      </w:r>
      <w:r w:rsidRPr="00324CF1">
        <w:rPr>
          <w:lang w:val="en-CA"/>
        </w:rPr>
        <w:t xml:space="preserve"> to stop the effects of previously authorized seizures </w:t>
      </w:r>
      <w:r w:rsidR="000F73BF">
        <w:rPr>
          <w:lang w:val="en-CA"/>
        </w:rPr>
        <w:t>with respect to</w:t>
      </w:r>
      <w:r w:rsidRPr="00324CF1">
        <w:rPr>
          <w:lang w:val="en-CA"/>
        </w:rPr>
        <w:t xml:space="preserve"> future funds. The fact that the legislator </w:t>
      </w:r>
      <w:r w:rsidR="000F73BF">
        <w:rPr>
          <w:lang w:val="en-CA"/>
        </w:rPr>
        <w:t>made the law retroactive to</w:t>
      </w:r>
      <w:r w:rsidRPr="00324CF1">
        <w:rPr>
          <w:lang w:val="en-CA"/>
        </w:rPr>
        <w:t xml:space="preserve"> the date it was introduced to avoid a </w:t>
      </w:r>
      <w:r w:rsidR="000F73BF">
        <w:rPr>
          <w:lang w:val="en-CA"/>
        </w:rPr>
        <w:t>run on</w:t>
      </w:r>
      <w:r w:rsidRPr="00324CF1">
        <w:rPr>
          <w:lang w:val="en-CA"/>
        </w:rPr>
        <w:t xml:space="preserve"> seizures also reinforces this interpretation.</w:t>
      </w:r>
    </w:p>
    <w:p w14:paraId="0F929D7B" w14:textId="59475566" w:rsidR="00865233" w:rsidRPr="00324CF1" w:rsidRDefault="00ED47F8" w:rsidP="00FB5A91">
      <w:pPr>
        <w:pStyle w:val="Paragraphe"/>
        <w:spacing w:line="240" w:lineRule="auto"/>
        <w:rPr>
          <w:lang w:val="en-US"/>
        </w:rPr>
      </w:pPr>
      <w:r w:rsidRPr="00324CF1">
        <w:rPr>
          <w:lang w:val="en-CA"/>
        </w:rPr>
        <w:t xml:space="preserve"> In reality, the debate between the parties is not so much whether the law applies immediately or not, but rather determining what legal facts are relevant to the analysis to decide whether, </w:t>
      </w:r>
      <w:r w:rsidR="00AF0295">
        <w:rPr>
          <w:lang w:val="en-CA"/>
        </w:rPr>
        <w:t>as at</w:t>
      </w:r>
      <w:r w:rsidR="00AF0295" w:rsidRPr="00324CF1">
        <w:rPr>
          <w:lang w:val="en-CA"/>
        </w:rPr>
        <w:t xml:space="preserve"> </w:t>
      </w:r>
      <w:r w:rsidRPr="00324CF1">
        <w:rPr>
          <w:lang w:val="en-CA"/>
        </w:rPr>
        <w:t>May 5, 2022, the seizure had crystallized for both the sums held by IATA at that time and for sums it could hold in the future.</w:t>
      </w:r>
    </w:p>
    <w:p w14:paraId="06B027A4" w14:textId="3FE3ACE4" w:rsidR="00865233" w:rsidRPr="00324CF1" w:rsidRDefault="00ED47F8" w:rsidP="00FB5A91">
      <w:pPr>
        <w:pStyle w:val="Paragraphe"/>
        <w:spacing w:line="240" w:lineRule="auto"/>
        <w:rPr>
          <w:lang w:val="en-US"/>
        </w:rPr>
      </w:pPr>
      <w:r w:rsidRPr="00324CF1">
        <w:rPr>
          <w:lang w:val="en-CA"/>
        </w:rPr>
        <w:t xml:space="preserve">As we have seen, </w:t>
      </w:r>
      <w:r w:rsidR="00576BAD">
        <w:rPr>
          <w:lang w:val="en-CA"/>
        </w:rPr>
        <w:t>the parties’</w:t>
      </w:r>
      <w:r w:rsidRPr="00324CF1">
        <w:rPr>
          <w:lang w:val="en-CA"/>
        </w:rPr>
        <w:t xml:space="preserve"> positions on this point are opposed. On the one hand, CCDM/Devas argue</w:t>
      </w:r>
      <w:r w:rsidR="00576BAD">
        <w:rPr>
          <w:lang w:val="en-CA"/>
        </w:rPr>
        <w:t>d</w:t>
      </w:r>
      <w:r w:rsidRPr="00324CF1">
        <w:rPr>
          <w:lang w:val="en-CA"/>
        </w:rPr>
        <w:t xml:space="preserve"> that the seizure crystallized on November 24, 2021, both for the funds held by IATA at that time and for</w:t>
      </w:r>
      <w:r w:rsidR="005A2AC2">
        <w:rPr>
          <w:lang w:val="en-CA"/>
        </w:rPr>
        <w:t xml:space="preserve"> the</w:t>
      </w:r>
      <w:r w:rsidRPr="00324CF1">
        <w:rPr>
          <w:lang w:val="en-CA"/>
        </w:rPr>
        <w:t xml:space="preserve"> funds it could hold in the future, even after May 5, 2022. They base</w:t>
      </w:r>
      <w:r w:rsidR="00576BAD">
        <w:rPr>
          <w:lang w:val="en-CA"/>
        </w:rPr>
        <w:t>d</w:t>
      </w:r>
      <w:r w:rsidRPr="00324CF1">
        <w:rPr>
          <w:lang w:val="en-CA"/>
        </w:rPr>
        <w:t xml:space="preserve"> their argument on both the </w:t>
      </w:r>
      <w:r w:rsidR="005A2AC2">
        <w:rPr>
          <w:lang w:val="en-CA"/>
        </w:rPr>
        <w:t>conclusions</w:t>
      </w:r>
      <w:r w:rsidR="005A2AC2" w:rsidRPr="00324CF1">
        <w:rPr>
          <w:lang w:val="en-CA"/>
        </w:rPr>
        <w:t xml:space="preserve"> </w:t>
      </w:r>
      <w:r w:rsidRPr="00324CF1">
        <w:rPr>
          <w:lang w:val="en-CA"/>
        </w:rPr>
        <w:t xml:space="preserve">of the Granosik Judgment authorizing the seizure, which, in paragraph C, include any future sums </w:t>
      </w:r>
      <w:r w:rsidR="005A2AC2">
        <w:rPr>
          <w:lang w:val="en-CA"/>
        </w:rPr>
        <w:t>held by</w:t>
      </w:r>
      <w:r w:rsidR="005A2AC2" w:rsidRPr="00324CF1">
        <w:rPr>
          <w:lang w:val="en-CA"/>
        </w:rPr>
        <w:t xml:space="preserve"> </w:t>
      </w:r>
      <w:r w:rsidRPr="00324CF1">
        <w:rPr>
          <w:lang w:val="en-CA"/>
        </w:rPr>
        <w:t>IATA, and on articles 711 and 715 CCP,</w:t>
      </w:r>
      <w:r w:rsidRPr="00324CF1">
        <w:rPr>
          <w:i/>
          <w:iCs/>
          <w:lang w:val="en-CA"/>
        </w:rPr>
        <w:t xml:space="preserve"> </w:t>
      </w:r>
      <w:r w:rsidRPr="00324CF1">
        <w:rPr>
          <w:lang w:val="en-CA"/>
        </w:rPr>
        <w:t>which refer to</w:t>
      </w:r>
      <w:r w:rsidR="005A2AC2">
        <w:rPr>
          <w:lang w:val="en-CA"/>
        </w:rPr>
        <w:t xml:space="preserve"> the</w:t>
      </w:r>
      <w:r w:rsidRPr="00324CF1">
        <w:rPr>
          <w:lang w:val="en-CA"/>
        </w:rPr>
        <w:t xml:space="preserve"> seizure of conditional debts or debts with a term. AAI </w:t>
      </w:r>
      <w:r w:rsidR="00576BAD">
        <w:rPr>
          <w:lang w:val="en-CA"/>
        </w:rPr>
        <w:t>was</w:t>
      </w:r>
      <w:r w:rsidRPr="00324CF1">
        <w:rPr>
          <w:lang w:val="en-CA"/>
        </w:rPr>
        <w:t xml:space="preserve"> of the opinion that a seizure only crystallizes when the judgment on the merits is rendered. In this sense, the seizure of November 24, 2021, had </w:t>
      </w:r>
      <w:r w:rsidR="00576BAD">
        <w:rPr>
          <w:lang w:val="en-CA"/>
        </w:rPr>
        <w:t>yet to</w:t>
      </w:r>
      <w:r w:rsidRPr="00324CF1">
        <w:rPr>
          <w:lang w:val="en-CA"/>
        </w:rPr>
        <w:t xml:space="preserve"> crystallize on May 5, 2022, even </w:t>
      </w:r>
      <w:r w:rsidR="005A2AC2">
        <w:rPr>
          <w:lang w:val="en-CA"/>
        </w:rPr>
        <w:t>with respect to</w:t>
      </w:r>
      <w:r w:rsidR="005A2AC2" w:rsidRPr="00324CF1">
        <w:rPr>
          <w:lang w:val="en-CA"/>
        </w:rPr>
        <w:t xml:space="preserve"> </w:t>
      </w:r>
      <w:r w:rsidRPr="00324CF1">
        <w:rPr>
          <w:lang w:val="en-CA"/>
        </w:rPr>
        <w:t>the funds already held</w:t>
      </w:r>
      <w:r w:rsidR="005A2AC2">
        <w:rPr>
          <w:lang w:val="en-CA"/>
        </w:rPr>
        <w:t xml:space="preserve"> b</w:t>
      </w:r>
      <w:r w:rsidR="00576BAD">
        <w:rPr>
          <w:lang w:val="en-CA"/>
        </w:rPr>
        <w:t>y</w:t>
      </w:r>
      <w:r w:rsidR="005A2AC2">
        <w:rPr>
          <w:lang w:val="en-CA"/>
        </w:rPr>
        <w:t xml:space="preserve"> IATA</w:t>
      </w:r>
      <w:r w:rsidRPr="00324CF1">
        <w:rPr>
          <w:lang w:val="en-CA"/>
        </w:rPr>
        <w:t xml:space="preserve">. The law must therefore apply and renders the entire seizure </w:t>
      </w:r>
      <w:r w:rsidR="005A2AC2">
        <w:rPr>
          <w:lang w:val="en-CA"/>
        </w:rPr>
        <w:t>inoperative</w:t>
      </w:r>
      <w:r w:rsidRPr="00324CF1">
        <w:rPr>
          <w:lang w:val="en-CA"/>
        </w:rPr>
        <w:t>. IATA has not taken a clear position on this issue.</w:t>
      </w:r>
    </w:p>
    <w:p w14:paraId="2EED7BA5" w14:textId="06917454" w:rsidR="00865233" w:rsidRPr="00324CF1" w:rsidRDefault="00ED47F8" w:rsidP="00FB5A91">
      <w:pPr>
        <w:pStyle w:val="Paragraphe"/>
        <w:spacing w:line="240" w:lineRule="auto"/>
        <w:rPr>
          <w:lang w:val="en-US"/>
        </w:rPr>
      </w:pPr>
      <w:r w:rsidRPr="00324CF1">
        <w:rPr>
          <w:lang w:val="en-CA"/>
        </w:rPr>
        <w:t>With respect, the parties are all wrong, and the judge was right to conclude that, notwithstanding its date of authorization, the seizure before judgment by garnishment crystallize</w:t>
      </w:r>
      <w:r w:rsidR="00F84C88">
        <w:rPr>
          <w:lang w:val="en-CA"/>
        </w:rPr>
        <w:t>s</w:t>
      </w:r>
      <w:r w:rsidRPr="00324CF1">
        <w:rPr>
          <w:lang w:val="en-CA"/>
        </w:rPr>
        <w:t xml:space="preserve"> </w:t>
      </w:r>
      <w:r w:rsidR="00A53AC2">
        <w:rPr>
          <w:lang w:val="en-CA"/>
        </w:rPr>
        <w:t>when</w:t>
      </w:r>
      <w:r w:rsidRPr="00324CF1">
        <w:rPr>
          <w:lang w:val="en-CA"/>
        </w:rPr>
        <w:t xml:space="preserve"> the third-party garnishee receive</w:t>
      </w:r>
      <w:r w:rsidR="00A53AC2">
        <w:rPr>
          <w:lang w:val="en-CA"/>
        </w:rPr>
        <w:t>s</w:t>
      </w:r>
      <w:r w:rsidRPr="00324CF1">
        <w:rPr>
          <w:lang w:val="en-CA"/>
        </w:rPr>
        <w:t xml:space="preserve"> the funds.</w:t>
      </w:r>
    </w:p>
    <w:p w14:paraId="67AD4434" w14:textId="6A8ABFFA" w:rsidR="00865233" w:rsidRPr="00324CF1" w:rsidRDefault="00ED47F8" w:rsidP="00FB5A91">
      <w:pPr>
        <w:pStyle w:val="Paragraphe"/>
        <w:spacing w:line="240" w:lineRule="auto"/>
        <w:rPr>
          <w:lang w:val="en-US"/>
        </w:rPr>
      </w:pPr>
      <w:r w:rsidRPr="00324CF1">
        <w:rPr>
          <w:lang w:val="en-CA"/>
        </w:rPr>
        <w:t xml:space="preserve">First of all, we cannot </w:t>
      </w:r>
      <w:r w:rsidR="00626FBA">
        <w:rPr>
          <w:lang w:val="en-CA"/>
        </w:rPr>
        <w:t>agree with</w:t>
      </w:r>
      <w:r w:rsidR="00626FBA" w:rsidRPr="00324CF1">
        <w:rPr>
          <w:lang w:val="en-CA"/>
        </w:rPr>
        <w:t xml:space="preserve"> </w:t>
      </w:r>
      <w:r w:rsidRPr="00324CF1">
        <w:rPr>
          <w:lang w:val="en-CA"/>
        </w:rPr>
        <w:t xml:space="preserve">CCDM/Devas’s </w:t>
      </w:r>
      <w:r w:rsidR="00626FBA">
        <w:rPr>
          <w:lang w:val="en-CA"/>
        </w:rPr>
        <w:t>argument</w:t>
      </w:r>
      <w:r w:rsidR="00626FBA" w:rsidRPr="00324CF1">
        <w:rPr>
          <w:lang w:val="en-CA"/>
        </w:rPr>
        <w:t xml:space="preserve"> </w:t>
      </w:r>
      <w:r w:rsidRPr="00324CF1">
        <w:rPr>
          <w:lang w:val="en-CA"/>
        </w:rPr>
        <w:t xml:space="preserve">that applying the </w:t>
      </w:r>
      <w:r w:rsidRPr="00324CF1">
        <w:rPr>
          <w:i/>
          <w:iCs/>
          <w:lang w:val="en-CA"/>
        </w:rPr>
        <w:t>IATA Act</w:t>
      </w:r>
      <w:r w:rsidRPr="00324CF1">
        <w:rPr>
          <w:lang w:val="en-CA"/>
        </w:rPr>
        <w:t xml:space="preserve"> to the seizure of November 24, 2021, for funds that IATA </w:t>
      </w:r>
      <w:r w:rsidR="00626FBA">
        <w:rPr>
          <w:lang w:val="en-CA"/>
        </w:rPr>
        <w:t>c</w:t>
      </w:r>
      <w:r w:rsidRPr="00324CF1">
        <w:rPr>
          <w:lang w:val="en-CA"/>
        </w:rPr>
        <w:t>ould receive after May 5, 2022, amount</w:t>
      </w:r>
      <w:r w:rsidR="00033B09">
        <w:rPr>
          <w:lang w:val="en-CA"/>
        </w:rPr>
        <w:t>s</w:t>
      </w:r>
      <w:r w:rsidRPr="00324CF1">
        <w:rPr>
          <w:lang w:val="en-CA"/>
        </w:rPr>
        <w:t xml:space="preserve"> to giving it a retroactive effect. It is difficult to see how it could be concluded that sums IATA did not hold on May 5, 2022, could already </w:t>
      </w:r>
      <w:r w:rsidR="00033B09">
        <w:rPr>
          <w:lang w:val="en-CA"/>
        </w:rPr>
        <w:t>be</w:t>
      </w:r>
      <w:r w:rsidRPr="00324CF1">
        <w:rPr>
          <w:lang w:val="en-CA"/>
        </w:rPr>
        <w:t xml:space="preserve"> seized. </w:t>
      </w:r>
      <w:r w:rsidR="00033B09">
        <w:rPr>
          <w:lang w:val="en-CA"/>
        </w:rPr>
        <w:t>While, c</w:t>
      </w:r>
      <w:r w:rsidRPr="00324CF1">
        <w:rPr>
          <w:lang w:val="en-CA"/>
        </w:rPr>
        <w:t xml:space="preserve">ontrary to what the judge seems to </w:t>
      </w:r>
      <w:r w:rsidR="00626FBA">
        <w:rPr>
          <w:lang w:val="en-CA"/>
        </w:rPr>
        <w:t>accept</w:t>
      </w:r>
      <w:r w:rsidRPr="00324CF1">
        <w:rPr>
          <w:lang w:val="en-CA"/>
        </w:rPr>
        <w:t xml:space="preserve">, the </w:t>
      </w:r>
      <w:r w:rsidR="00626FBA">
        <w:rPr>
          <w:lang w:val="en-CA"/>
        </w:rPr>
        <w:t>conclusions</w:t>
      </w:r>
      <w:r w:rsidR="00626FBA" w:rsidRPr="00324CF1">
        <w:rPr>
          <w:lang w:val="en-CA"/>
        </w:rPr>
        <w:t xml:space="preserve"> </w:t>
      </w:r>
      <w:r w:rsidRPr="00324CF1">
        <w:rPr>
          <w:lang w:val="en-CA"/>
        </w:rPr>
        <w:t>of the judgment authorizing the seizure of sums that</w:t>
      </w:r>
      <w:r w:rsidR="00033B09">
        <w:rPr>
          <w:lang w:val="en-CA"/>
        </w:rPr>
        <w:t xml:space="preserve"> IATA</w:t>
      </w:r>
      <w:r w:rsidRPr="00324CF1">
        <w:rPr>
          <w:lang w:val="en-CA"/>
        </w:rPr>
        <w:t xml:space="preserve"> </w:t>
      </w:r>
      <w:r w:rsidR="00626FBA">
        <w:rPr>
          <w:lang w:val="en-CA"/>
        </w:rPr>
        <w:t>might</w:t>
      </w:r>
      <w:r w:rsidRPr="00324CF1">
        <w:rPr>
          <w:lang w:val="en-CA"/>
        </w:rPr>
        <w:t xml:space="preserve"> hold in the future </w:t>
      </w:r>
      <w:r w:rsidR="00033B09">
        <w:rPr>
          <w:lang w:val="en-CA"/>
        </w:rPr>
        <w:t>are</w:t>
      </w:r>
      <w:r w:rsidRPr="00324CF1">
        <w:rPr>
          <w:lang w:val="en-CA"/>
        </w:rPr>
        <w:t xml:space="preserve"> not useful for determining whether the</w:t>
      </w:r>
      <w:r w:rsidRPr="00324CF1">
        <w:rPr>
          <w:i/>
          <w:iCs/>
          <w:lang w:val="en-CA"/>
        </w:rPr>
        <w:t xml:space="preserve"> IATA Act</w:t>
      </w:r>
      <w:r w:rsidRPr="00324CF1">
        <w:rPr>
          <w:lang w:val="en-CA"/>
        </w:rPr>
        <w:t xml:space="preserve"> applie</w:t>
      </w:r>
      <w:r w:rsidR="00033B09">
        <w:rPr>
          <w:lang w:val="en-CA"/>
        </w:rPr>
        <w:t>s</w:t>
      </w:r>
      <w:r w:rsidRPr="00324CF1">
        <w:rPr>
          <w:lang w:val="en-CA"/>
        </w:rPr>
        <w:t xml:space="preserve"> </w:t>
      </w:r>
      <w:r w:rsidR="00033B09">
        <w:rPr>
          <w:lang w:val="en-CA"/>
        </w:rPr>
        <w:t>immediately</w:t>
      </w:r>
      <w:r w:rsidRPr="00324CF1">
        <w:rPr>
          <w:lang w:val="en-CA"/>
        </w:rPr>
        <w:t xml:space="preserve">, it is nevertheless correct to note that </w:t>
      </w:r>
      <w:r w:rsidR="00033B09">
        <w:rPr>
          <w:lang w:val="en-CA"/>
        </w:rPr>
        <w:t>these</w:t>
      </w:r>
      <w:r w:rsidRPr="00324CF1">
        <w:rPr>
          <w:lang w:val="en-CA"/>
        </w:rPr>
        <w:t xml:space="preserve"> same </w:t>
      </w:r>
      <w:r w:rsidR="00033B09">
        <w:rPr>
          <w:lang w:val="en-CA"/>
        </w:rPr>
        <w:t>conclusions</w:t>
      </w:r>
      <w:r w:rsidRPr="00324CF1">
        <w:rPr>
          <w:lang w:val="en-CA"/>
        </w:rPr>
        <w:t xml:space="preserve"> cannot have the effect of </w:t>
      </w:r>
      <w:r w:rsidR="00033B09">
        <w:rPr>
          <w:lang w:val="en-CA"/>
        </w:rPr>
        <w:t>deeming fictional</w:t>
      </w:r>
      <w:r w:rsidRPr="00324CF1">
        <w:rPr>
          <w:lang w:val="en-CA"/>
        </w:rPr>
        <w:t xml:space="preserve"> the existence of funds as of May 5, 2022, </w:t>
      </w:r>
      <w:r w:rsidR="00F02045">
        <w:rPr>
          <w:lang w:val="en-CA"/>
        </w:rPr>
        <w:t>when these funds</w:t>
      </w:r>
      <w:r w:rsidRPr="00324CF1">
        <w:rPr>
          <w:lang w:val="en-CA"/>
        </w:rPr>
        <w:t xml:space="preserve"> had not yet been received on that date. </w:t>
      </w:r>
    </w:p>
    <w:p w14:paraId="7D1E61DE" w14:textId="7141EF80" w:rsidR="00865233" w:rsidRPr="00324CF1" w:rsidRDefault="00ED47F8" w:rsidP="00FB5A91">
      <w:pPr>
        <w:pStyle w:val="Paragraphe"/>
        <w:spacing w:line="240" w:lineRule="auto"/>
        <w:rPr>
          <w:lang w:val="en-US"/>
        </w:rPr>
      </w:pPr>
      <w:r w:rsidRPr="00324CF1">
        <w:rPr>
          <w:lang w:val="en-CA"/>
        </w:rPr>
        <w:lastRenderedPageBreak/>
        <w:t>As for the argument relating to articles 711 and 715 CCP, which allow for</w:t>
      </w:r>
      <w:r w:rsidR="00CD4B50">
        <w:rPr>
          <w:lang w:val="en-CA"/>
        </w:rPr>
        <w:t xml:space="preserve"> the</w:t>
      </w:r>
      <w:r w:rsidRPr="00324CF1">
        <w:rPr>
          <w:lang w:val="en-CA"/>
        </w:rPr>
        <w:t xml:space="preserve"> seizure of sums that are not yet due when the debt is subject to a term or condition, it remains that the obligational </w:t>
      </w:r>
      <w:r w:rsidR="00CD4B50">
        <w:rPr>
          <w:lang w:val="en-CA"/>
        </w:rPr>
        <w:t>relationship</w:t>
      </w:r>
      <w:r w:rsidR="00CD4B50" w:rsidRPr="00324CF1">
        <w:rPr>
          <w:lang w:val="en-CA"/>
        </w:rPr>
        <w:t xml:space="preserve"> </w:t>
      </w:r>
      <w:r w:rsidRPr="00324CF1">
        <w:rPr>
          <w:lang w:val="en-CA"/>
        </w:rPr>
        <w:t xml:space="preserve">in these cases has already been created. It is not necessary to determine what the solution would be in terms of transitional </w:t>
      </w:r>
      <w:r w:rsidR="00CD4B50">
        <w:rPr>
          <w:lang w:val="en-CA"/>
        </w:rPr>
        <w:t>law</w:t>
      </w:r>
      <w:r w:rsidR="00CD4B50" w:rsidRPr="00324CF1">
        <w:rPr>
          <w:lang w:val="en-CA"/>
        </w:rPr>
        <w:t xml:space="preserve"> </w:t>
      </w:r>
      <w:r w:rsidRPr="00324CF1">
        <w:rPr>
          <w:lang w:val="en-CA"/>
        </w:rPr>
        <w:t xml:space="preserve">in </w:t>
      </w:r>
      <w:r w:rsidR="00CD4B50">
        <w:rPr>
          <w:lang w:val="en-CA"/>
        </w:rPr>
        <w:t>that</w:t>
      </w:r>
      <w:r w:rsidRPr="00324CF1">
        <w:rPr>
          <w:lang w:val="en-CA"/>
        </w:rPr>
        <w:t xml:space="preserve"> situation. It is sufficient to note that</w:t>
      </w:r>
      <w:r w:rsidR="00CD4B50">
        <w:rPr>
          <w:lang w:val="en-CA"/>
        </w:rPr>
        <w:t>, here,</w:t>
      </w:r>
      <w:r w:rsidRPr="00324CF1">
        <w:rPr>
          <w:lang w:val="en-CA"/>
        </w:rPr>
        <w:t xml:space="preserve"> the </w:t>
      </w:r>
      <w:r w:rsidR="00CD4B50">
        <w:rPr>
          <w:lang w:val="en-CA"/>
        </w:rPr>
        <w:t>situation</w:t>
      </w:r>
      <w:r w:rsidRPr="00324CF1">
        <w:rPr>
          <w:lang w:val="en-CA"/>
        </w:rPr>
        <w:t xml:space="preserve"> is different, since AAI did not have an obligation to continue using IATA’s services and remit funds to it, as</w:t>
      </w:r>
      <w:r w:rsidR="005B6ABC">
        <w:rPr>
          <w:lang w:val="en-CA"/>
        </w:rPr>
        <w:t xml:space="preserve"> shown by</w:t>
      </w:r>
      <w:r w:rsidRPr="00324CF1">
        <w:rPr>
          <w:lang w:val="en-CA"/>
        </w:rPr>
        <w:t xml:space="preserve"> </w:t>
      </w:r>
      <w:r w:rsidR="00CC2C66">
        <w:rPr>
          <w:lang w:val="en-CA"/>
        </w:rPr>
        <w:t>what followed</w:t>
      </w:r>
      <w:r w:rsidRPr="00324CF1">
        <w:rPr>
          <w:lang w:val="en-CA"/>
        </w:rPr>
        <w:t xml:space="preserve">. </w:t>
      </w:r>
    </w:p>
    <w:p w14:paraId="119D7FD5" w14:textId="77777777" w:rsidR="00865233" w:rsidRPr="00324CF1" w:rsidRDefault="00ED47F8" w:rsidP="00FB5A91">
      <w:pPr>
        <w:pStyle w:val="Paragraphe"/>
        <w:spacing w:line="240" w:lineRule="auto"/>
        <w:rPr>
          <w:lang w:val="en-US"/>
        </w:rPr>
      </w:pPr>
      <w:r w:rsidRPr="00324CF1">
        <w:rPr>
          <w:lang w:val="en-CA"/>
        </w:rPr>
        <w:t xml:space="preserve">In this case, the seizure could not crystallize before IATA actually held the sums on behalf of AAI. The </w:t>
      </w:r>
      <w:r w:rsidRPr="00324CF1">
        <w:rPr>
          <w:i/>
          <w:iCs/>
          <w:lang w:val="en-CA"/>
        </w:rPr>
        <w:t xml:space="preserve">IATA Act </w:t>
      </w:r>
      <w:r w:rsidRPr="00324CF1">
        <w:rPr>
          <w:lang w:val="en-CA"/>
        </w:rPr>
        <w:t xml:space="preserve">therefore applies to any sums that IATA may hold starting May 5, 2022, without there being any retroactive effect. </w:t>
      </w:r>
    </w:p>
    <w:p w14:paraId="623DBD5B" w14:textId="7D9B9D49" w:rsidR="00865233" w:rsidRPr="00324CF1" w:rsidRDefault="00ED47F8" w:rsidP="00FB5A91">
      <w:pPr>
        <w:pStyle w:val="Paragraphe"/>
        <w:spacing w:line="240" w:lineRule="auto"/>
        <w:rPr>
          <w:lang w:val="en-US"/>
        </w:rPr>
      </w:pPr>
      <w:r w:rsidRPr="00324CF1">
        <w:rPr>
          <w:lang w:val="en-CA"/>
        </w:rPr>
        <w:t>AAI, however, argue</w:t>
      </w:r>
      <w:r w:rsidR="005744BD">
        <w:rPr>
          <w:lang w:val="en-CA"/>
        </w:rPr>
        <w:t>d</w:t>
      </w:r>
      <w:r w:rsidRPr="00324CF1">
        <w:rPr>
          <w:lang w:val="en-CA"/>
        </w:rPr>
        <w:t xml:space="preserve"> that the seizure crystallized even later than the moment when the sum was held by IATA, i.e.</w:t>
      </w:r>
      <w:r w:rsidR="00FE28B3">
        <w:rPr>
          <w:lang w:val="en-CA"/>
        </w:rPr>
        <w:t>,</w:t>
      </w:r>
      <w:r w:rsidRPr="00324CF1">
        <w:rPr>
          <w:lang w:val="en-CA"/>
        </w:rPr>
        <w:t xml:space="preserve"> when the judgment on the merits—in this case the judgment on the recognition and enforcement of arbitral awards—is rendered because it is only then that the seizure is ultimately declared valid. To support its argument, AAI point</w:t>
      </w:r>
      <w:r w:rsidR="005744BD">
        <w:rPr>
          <w:lang w:val="en-CA"/>
        </w:rPr>
        <w:t>ed</w:t>
      </w:r>
      <w:r w:rsidRPr="00324CF1">
        <w:rPr>
          <w:lang w:val="en-CA"/>
        </w:rPr>
        <w:t xml:space="preserve"> out that throughout the conservatory phase, facts subsequent to the authorization of the seizure can affect its validity, such as the debtor’s bankruptcy</w:t>
      </w:r>
      <w:r w:rsidRPr="00324CF1">
        <w:rPr>
          <w:rStyle w:val="Appelnotedebasdep"/>
          <w:lang w:val="en-CA"/>
        </w:rPr>
        <w:footnoteReference w:id="198"/>
      </w:r>
      <w:r w:rsidRPr="00324CF1">
        <w:rPr>
          <w:lang w:val="en-CA"/>
        </w:rPr>
        <w:t xml:space="preserve"> or a direct action by another creditor.</w:t>
      </w:r>
      <w:bookmarkStart w:id="135" w:name="_Ref173486882"/>
      <w:r w:rsidRPr="00324CF1">
        <w:rPr>
          <w:rStyle w:val="Appelnotedebasdep"/>
          <w:lang w:val="en-CA"/>
        </w:rPr>
        <w:footnoteReference w:id="199"/>
      </w:r>
      <w:bookmarkEnd w:id="135"/>
    </w:p>
    <w:p w14:paraId="759647FD" w14:textId="39AA86F0" w:rsidR="00865233" w:rsidRPr="00324CF1" w:rsidRDefault="00ED47F8" w:rsidP="00FB5A91">
      <w:pPr>
        <w:pStyle w:val="Paragraphe"/>
        <w:spacing w:line="240" w:lineRule="auto"/>
        <w:rPr>
          <w:lang w:val="en-US"/>
        </w:rPr>
      </w:pPr>
      <w:r w:rsidRPr="00324CF1">
        <w:rPr>
          <w:lang w:val="en-CA"/>
        </w:rPr>
        <w:t xml:space="preserve">These arguments </w:t>
      </w:r>
      <w:r w:rsidR="00B87D0F">
        <w:rPr>
          <w:lang w:val="en-CA"/>
        </w:rPr>
        <w:t>are</w:t>
      </w:r>
      <w:r w:rsidR="00B87D0F" w:rsidRPr="00324CF1">
        <w:rPr>
          <w:lang w:val="en-CA"/>
        </w:rPr>
        <w:t xml:space="preserve"> </w:t>
      </w:r>
      <w:r w:rsidR="00B87D0F">
        <w:rPr>
          <w:lang w:val="en-CA"/>
        </w:rPr>
        <w:t>un</w:t>
      </w:r>
      <w:r w:rsidRPr="00324CF1">
        <w:rPr>
          <w:lang w:val="en-CA"/>
        </w:rPr>
        <w:t xml:space="preserve">convincing. </w:t>
      </w:r>
      <w:r w:rsidR="00B87D0F">
        <w:rPr>
          <w:lang w:val="en-CA"/>
        </w:rPr>
        <w:t>Admittedly</w:t>
      </w:r>
      <w:r w:rsidRPr="00324CF1">
        <w:rPr>
          <w:lang w:val="en-CA"/>
        </w:rPr>
        <w:t>, during its conservatory phase, the seizure does not confer on the seizor a real or current right to the debts of the garnishee,</w:t>
      </w:r>
      <w:r w:rsidRPr="00324CF1">
        <w:rPr>
          <w:rStyle w:val="Appelnotedebasdep"/>
          <w:lang w:val="en-CA"/>
        </w:rPr>
        <w:footnoteReference w:id="200"/>
      </w:r>
      <w:r w:rsidRPr="00324CF1">
        <w:rPr>
          <w:lang w:val="en-CA"/>
        </w:rPr>
        <w:t xml:space="preserve"> and it is true that it is only when the judgment on the merits confirms the seizor’s right that the seizure will result in a</w:t>
      </w:r>
      <w:r w:rsidR="00B87D0F">
        <w:rPr>
          <w:lang w:val="en-CA"/>
        </w:rPr>
        <w:t>n assignment of claims</w:t>
      </w:r>
      <w:r w:rsidRPr="00324CF1">
        <w:rPr>
          <w:lang w:val="en-CA"/>
        </w:rPr>
        <w:t xml:space="preserve"> in its favour starting from the day of the seizure.</w:t>
      </w:r>
      <w:r w:rsidRPr="00324CF1">
        <w:rPr>
          <w:rStyle w:val="Appelnotedebasdep"/>
          <w:lang w:val="en-CA"/>
        </w:rPr>
        <w:footnoteReference w:id="201"/>
      </w:r>
      <w:r w:rsidRPr="00324CF1">
        <w:rPr>
          <w:lang w:val="en-CA"/>
        </w:rPr>
        <w:t xml:space="preserve"> However, for the purposes of the rules of transitional </w:t>
      </w:r>
      <w:r w:rsidR="007745B2">
        <w:rPr>
          <w:lang w:val="en-CA"/>
        </w:rPr>
        <w:t>law</w:t>
      </w:r>
      <w:r w:rsidRPr="00324CF1">
        <w:rPr>
          <w:lang w:val="en-CA"/>
        </w:rPr>
        <w:t xml:space="preserve">, it is important not to confuse the crystallization of the seizure with the seizor’s claim. </w:t>
      </w:r>
      <w:r w:rsidR="007745B2">
        <w:rPr>
          <w:lang w:val="en-CA"/>
        </w:rPr>
        <w:t>The assertion</w:t>
      </w:r>
      <w:r w:rsidRPr="00324CF1">
        <w:rPr>
          <w:lang w:val="en-CA"/>
        </w:rPr>
        <w:t xml:space="preserve"> that the judgment on the merits makes the seizure before judgment valid is only because the seizure can have an enforceable effect </w:t>
      </w:r>
      <w:r w:rsidR="007745B2" w:rsidRPr="00324CF1">
        <w:rPr>
          <w:lang w:val="en-CA"/>
        </w:rPr>
        <w:t xml:space="preserve">only </w:t>
      </w:r>
      <w:r w:rsidRPr="00324CF1">
        <w:rPr>
          <w:lang w:val="en-CA"/>
        </w:rPr>
        <w:t xml:space="preserve">if the claim is recognized and within the time limit. However, as soon as it is granted, the seizure takes effect by placing the debtor’s assets in the hands of the courts, which is precisely what the </w:t>
      </w:r>
      <w:r w:rsidRPr="00324CF1">
        <w:rPr>
          <w:i/>
          <w:iCs/>
          <w:lang w:val="en-CA"/>
        </w:rPr>
        <w:t xml:space="preserve">IATA Act </w:t>
      </w:r>
      <w:r w:rsidRPr="00324CF1">
        <w:rPr>
          <w:lang w:val="en-CA"/>
        </w:rPr>
        <w:t xml:space="preserve">intends to prevent </w:t>
      </w:r>
      <w:r w:rsidR="007745B2">
        <w:rPr>
          <w:lang w:val="en-CA"/>
        </w:rPr>
        <w:t>with respect to</w:t>
      </w:r>
      <w:r w:rsidR="007745B2" w:rsidRPr="00324CF1">
        <w:rPr>
          <w:lang w:val="en-CA"/>
        </w:rPr>
        <w:t xml:space="preserve"> </w:t>
      </w:r>
      <w:r w:rsidRPr="00324CF1">
        <w:rPr>
          <w:lang w:val="en-CA"/>
        </w:rPr>
        <w:t xml:space="preserve">the sums held by IATA. </w:t>
      </w:r>
    </w:p>
    <w:p w14:paraId="21549F63" w14:textId="18F9CC0D" w:rsidR="00865233" w:rsidRPr="00324CF1" w:rsidRDefault="00ED47F8" w:rsidP="00FB5A91">
      <w:pPr>
        <w:pStyle w:val="Paragraphe"/>
        <w:spacing w:line="240" w:lineRule="auto"/>
        <w:rPr>
          <w:lang w:val="en-US"/>
        </w:rPr>
      </w:pPr>
      <w:r w:rsidRPr="00324CF1">
        <w:rPr>
          <w:lang w:val="en-CA"/>
        </w:rPr>
        <w:t xml:space="preserve">In this case, the sums held before May 5, 2022, were seized as soon as IATA held them and will, without further action, contribute to </w:t>
      </w:r>
      <w:r w:rsidR="00C720BC">
        <w:rPr>
          <w:lang w:val="en-CA"/>
        </w:rPr>
        <w:t>the execution</w:t>
      </w:r>
      <w:r w:rsidR="00C720BC" w:rsidRPr="00324CF1">
        <w:rPr>
          <w:lang w:val="en-CA"/>
        </w:rPr>
        <w:t xml:space="preserve"> </w:t>
      </w:r>
      <w:r w:rsidRPr="00324CF1">
        <w:rPr>
          <w:lang w:val="en-CA"/>
        </w:rPr>
        <w:t>of the judgment on the merits</w:t>
      </w:r>
      <w:r w:rsidR="00C720BC">
        <w:rPr>
          <w:lang w:val="en-CA"/>
        </w:rPr>
        <w:t>,</w:t>
      </w:r>
      <w:r w:rsidRPr="00324CF1">
        <w:rPr>
          <w:lang w:val="en-CA"/>
        </w:rPr>
        <w:t xml:space="preserve"> in the event that the creditor </w:t>
      </w:r>
      <w:r w:rsidR="00C720BC">
        <w:rPr>
          <w:lang w:val="en-CA"/>
        </w:rPr>
        <w:t>is successful</w:t>
      </w:r>
      <w:r w:rsidRPr="00324CF1">
        <w:rPr>
          <w:lang w:val="en-CA"/>
        </w:rPr>
        <w:t xml:space="preserve">. As the author Fraticelli explains, </w:t>
      </w:r>
      <w:r w:rsidR="00976B1D" w:rsidRPr="00324CF1">
        <w:rPr>
          <w:lang w:val="en-CA"/>
        </w:rPr>
        <w:t>once th</w:t>
      </w:r>
      <w:r w:rsidR="00976B1D">
        <w:rPr>
          <w:lang w:val="en-CA"/>
        </w:rPr>
        <w:t>e</w:t>
      </w:r>
      <w:r w:rsidR="00976B1D" w:rsidRPr="00324CF1">
        <w:rPr>
          <w:lang w:val="en-CA"/>
        </w:rPr>
        <w:t xml:space="preserve"> judgment on the merits has been rendered</w:t>
      </w:r>
      <w:r w:rsidR="00976B1D">
        <w:rPr>
          <w:lang w:val="en-CA"/>
        </w:rPr>
        <w:t>,</w:t>
      </w:r>
      <w:r w:rsidR="00976B1D" w:rsidRPr="00324CF1">
        <w:rPr>
          <w:lang w:val="en-CA"/>
        </w:rPr>
        <w:t xml:space="preserve"> </w:t>
      </w:r>
      <w:r w:rsidRPr="00324CF1">
        <w:rPr>
          <w:lang w:val="en-CA"/>
        </w:rPr>
        <w:t>[</w:t>
      </w:r>
      <w:r w:rsidR="00C90ACB" w:rsidRPr="005E6EB3">
        <w:rPr>
          <w:smallCaps/>
          <w:lang w:val="en-CA"/>
        </w:rPr>
        <w:t>translation</w:t>
      </w:r>
      <w:r w:rsidRPr="00324CF1">
        <w:rPr>
          <w:lang w:val="en-CA"/>
        </w:rPr>
        <w:t>] “[t]he conservatory measure that was the seizure before the judgment will simply become a measure of forced execution of the judgment”</w:t>
      </w:r>
      <w:r w:rsidR="00976B1D">
        <w:rPr>
          <w:lang w:val="en-CA"/>
        </w:rPr>
        <w:t>.</w:t>
      </w:r>
      <w:r w:rsidRPr="00324CF1">
        <w:rPr>
          <w:rStyle w:val="Appelnotedebasdep"/>
          <w:lang w:val="en-CA"/>
        </w:rPr>
        <w:footnoteReference w:id="202"/>
      </w:r>
      <w:r w:rsidRPr="00324CF1">
        <w:rPr>
          <w:lang w:val="en-CA"/>
        </w:rPr>
        <w:t xml:space="preserve">. It should be added that in this case, it is all the more </w:t>
      </w:r>
      <w:r w:rsidRPr="00324CF1">
        <w:rPr>
          <w:lang w:val="en-CA"/>
        </w:rPr>
        <w:lastRenderedPageBreak/>
        <w:t xml:space="preserve">true </w:t>
      </w:r>
      <w:r w:rsidR="00976B1D">
        <w:rPr>
          <w:lang w:val="en-CA"/>
        </w:rPr>
        <w:t>as</w:t>
      </w:r>
      <w:r w:rsidRPr="00324CF1">
        <w:rPr>
          <w:lang w:val="en-CA"/>
        </w:rPr>
        <w:t xml:space="preserve"> the seizure before judgment is ancillary to an application to homologate an arbitral award that has already recognized the right of the seizing party—in this case, CCDM/Devas. </w:t>
      </w:r>
    </w:p>
    <w:p w14:paraId="467350C9" w14:textId="25FE7843" w:rsidR="00471A45" w:rsidRPr="00324CF1" w:rsidRDefault="00ED47F8" w:rsidP="009C496A">
      <w:pPr>
        <w:pStyle w:val="Paragraphe"/>
        <w:spacing w:line="240" w:lineRule="auto"/>
        <w:rPr>
          <w:lang w:val="en-US"/>
        </w:rPr>
      </w:pPr>
      <w:r w:rsidRPr="00324CF1">
        <w:rPr>
          <w:lang w:val="en-CA"/>
        </w:rPr>
        <w:t xml:space="preserve">The seizure of the sums held by IATA prior to May 5, 2022, had therefore crystallized </w:t>
      </w:r>
      <w:r w:rsidR="00976B1D">
        <w:rPr>
          <w:lang w:val="en-CA"/>
        </w:rPr>
        <w:t>when</w:t>
      </w:r>
      <w:r w:rsidRPr="00324CF1">
        <w:rPr>
          <w:lang w:val="en-CA"/>
        </w:rPr>
        <w:t xml:space="preserve"> the law came into force and remains valid, as the </w:t>
      </w:r>
      <w:r w:rsidRPr="00324CF1">
        <w:rPr>
          <w:i/>
          <w:iCs/>
          <w:lang w:val="en-CA"/>
        </w:rPr>
        <w:t xml:space="preserve">IATA Act </w:t>
      </w:r>
      <w:r w:rsidRPr="00324CF1">
        <w:rPr>
          <w:lang w:val="en-CA"/>
        </w:rPr>
        <w:t>cannot apply, under the principle of non-retroactivity of laws.</w:t>
      </w:r>
    </w:p>
    <w:p w14:paraId="50EF1539" w14:textId="77777777" w:rsidR="00865233" w:rsidRPr="00324CF1" w:rsidRDefault="00ED47F8" w:rsidP="009C496A">
      <w:pPr>
        <w:pStyle w:val="Titre2"/>
        <w:spacing w:before="120" w:after="120" w:line="240" w:lineRule="auto"/>
      </w:pPr>
      <w:bookmarkStart w:id="136" w:name="_Toc184205629"/>
      <w:bookmarkStart w:id="137" w:name="_Toc256000024"/>
      <w:r w:rsidRPr="00324CF1">
        <w:rPr>
          <w:bCs/>
          <w:iCs/>
          <w:lang w:val="en-CA"/>
        </w:rPr>
        <w:t xml:space="preserve">5. </w:t>
      </w:r>
      <w:r w:rsidRPr="00324CF1">
        <w:rPr>
          <w:b w:val="0"/>
          <w:i w:val="0"/>
          <w:lang w:val="en-CA"/>
        </w:rPr>
        <w:tab/>
      </w:r>
      <w:r w:rsidRPr="00324CF1">
        <w:rPr>
          <w:bCs/>
          <w:iCs/>
          <w:lang w:val="en-CA"/>
        </w:rPr>
        <w:t>Conclusion</w:t>
      </w:r>
      <w:bookmarkEnd w:id="136"/>
      <w:bookmarkEnd w:id="137"/>
    </w:p>
    <w:p w14:paraId="7F0DFC40" w14:textId="78F1B28B" w:rsidR="00865233" w:rsidRPr="00324CF1" w:rsidRDefault="00ED47F8" w:rsidP="009C496A">
      <w:pPr>
        <w:pStyle w:val="Paragraphe"/>
        <w:spacing w:line="240" w:lineRule="auto"/>
        <w:rPr>
          <w:lang w:val="en-US"/>
        </w:rPr>
      </w:pPr>
      <w:r w:rsidRPr="00324CF1">
        <w:rPr>
          <w:lang w:val="en-CA"/>
        </w:rPr>
        <w:t>For all these reasons, the appeal</w:t>
      </w:r>
      <w:r w:rsidR="00622B18">
        <w:rPr>
          <w:lang w:val="en-CA"/>
        </w:rPr>
        <w:t xml:space="preserve"> is allowed</w:t>
      </w:r>
      <w:r w:rsidRPr="00324CF1">
        <w:rPr>
          <w:lang w:val="en-CA"/>
        </w:rPr>
        <w:t xml:space="preserve"> for the sole purpose of declaring that the </w:t>
      </w:r>
      <w:r w:rsidRPr="00324CF1">
        <w:rPr>
          <w:i/>
          <w:iCs/>
          <w:lang w:val="en-CA"/>
        </w:rPr>
        <w:t xml:space="preserve">IATA Act </w:t>
      </w:r>
      <w:r w:rsidRPr="00324CF1">
        <w:rPr>
          <w:lang w:val="en-CA"/>
        </w:rPr>
        <w:t xml:space="preserve">does not apply to the seizure </w:t>
      </w:r>
      <w:r w:rsidR="00622B18">
        <w:rPr>
          <w:lang w:val="en-CA"/>
        </w:rPr>
        <w:t>carried out</w:t>
      </w:r>
      <w:r w:rsidR="00622B18" w:rsidRPr="00324CF1">
        <w:rPr>
          <w:lang w:val="en-CA"/>
        </w:rPr>
        <w:t xml:space="preserve"> </w:t>
      </w:r>
      <w:r w:rsidRPr="00324CF1">
        <w:rPr>
          <w:lang w:val="en-CA"/>
        </w:rPr>
        <w:t xml:space="preserve">on November 24, 2021, </w:t>
      </w:r>
      <w:r w:rsidR="00622B18">
        <w:rPr>
          <w:lang w:val="en-CA"/>
        </w:rPr>
        <w:t>with respect to</w:t>
      </w:r>
      <w:r w:rsidR="00622B18" w:rsidRPr="00324CF1">
        <w:rPr>
          <w:lang w:val="en-CA"/>
        </w:rPr>
        <w:t xml:space="preserve"> </w:t>
      </w:r>
      <w:r w:rsidRPr="00324CF1">
        <w:rPr>
          <w:lang w:val="en-CA"/>
        </w:rPr>
        <w:t>the sums belonging to AAI that IATA held prior to May 5, 2022.</w:t>
      </w:r>
    </w:p>
    <w:p w14:paraId="56932D91" w14:textId="77777777" w:rsidR="003B55CC" w:rsidRPr="00324CF1" w:rsidRDefault="00ED47F8" w:rsidP="009C496A">
      <w:pPr>
        <w:pStyle w:val="Paragraphe"/>
        <w:numPr>
          <w:ilvl w:val="0"/>
          <w:numId w:val="0"/>
        </w:numPr>
        <w:spacing w:line="240" w:lineRule="auto"/>
        <w:rPr>
          <w:b/>
          <w:bCs/>
          <w:lang w:val="en-US"/>
        </w:rPr>
      </w:pPr>
      <w:r w:rsidRPr="00324CF1">
        <w:rPr>
          <w:b/>
          <w:bCs/>
          <w:lang w:val="en-CA"/>
        </w:rPr>
        <w:t>FOR THESE REASONS, THE COURT:</w:t>
      </w:r>
    </w:p>
    <w:p w14:paraId="6747F980" w14:textId="77777777" w:rsidR="003B55CC" w:rsidRPr="00324CF1" w:rsidRDefault="00ED47F8" w:rsidP="009C496A">
      <w:pPr>
        <w:pStyle w:val="Paragraphe"/>
        <w:numPr>
          <w:ilvl w:val="0"/>
          <w:numId w:val="0"/>
        </w:numPr>
        <w:spacing w:line="240" w:lineRule="auto"/>
        <w:jc w:val="center"/>
      </w:pPr>
      <w:r w:rsidRPr="00324CF1">
        <w:rPr>
          <w:lang w:val="en-CA"/>
        </w:rPr>
        <w:t>500-09-030393-235</w:t>
      </w:r>
    </w:p>
    <w:p w14:paraId="4F3B9DEF" w14:textId="67DA76E1" w:rsidR="003B55CC" w:rsidRPr="00324CF1" w:rsidRDefault="00ED47F8" w:rsidP="009C496A">
      <w:pPr>
        <w:pStyle w:val="Paragraphe"/>
        <w:spacing w:line="240" w:lineRule="auto"/>
        <w:rPr>
          <w:lang w:val="en-US"/>
        </w:rPr>
      </w:pPr>
      <w:r w:rsidRPr="00324CF1">
        <w:rPr>
          <w:b/>
          <w:bCs/>
          <w:lang w:val="en-CA"/>
        </w:rPr>
        <w:t xml:space="preserve">DISMISSES </w:t>
      </w:r>
      <w:r w:rsidRPr="00324CF1">
        <w:rPr>
          <w:lang w:val="en-CA"/>
        </w:rPr>
        <w:t xml:space="preserve">the appeal, with </w:t>
      </w:r>
      <w:r w:rsidR="00F46B39">
        <w:rPr>
          <w:lang w:val="en-CA"/>
        </w:rPr>
        <w:t xml:space="preserve">legal </w:t>
      </w:r>
      <w:r w:rsidRPr="00324CF1">
        <w:rPr>
          <w:lang w:val="en-CA"/>
        </w:rPr>
        <w:t>costs in favour of the respondents</w:t>
      </w:r>
      <w:r w:rsidRPr="00324CF1">
        <w:rPr>
          <w:kern w:val="0"/>
          <w:lang w:val="en-CA"/>
        </w:rPr>
        <w:t xml:space="preserve"> </w:t>
      </w:r>
      <w:r w:rsidRPr="00324CF1">
        <w:rPr>
          <w:lang w:val="en-CA"/>
        </w:rPr>
        <w:t>CCDM Holdings, LLC, Devas Employees Fund US, LLC and Telcom Devas, LLC;</w:t>
      </w:r>
    </w:p>
    <w:p w14:paraId="3D26AC05" w14:textId="77777777" w:rsidR="003B55CC" w:rsidRPr="00324CF1" w:rsidRDefault="00ED47F8" w:rsidP="009C496A">
      <w:pPr>
        <w:pStyle w:val="Paragraphe"/>
        <w:numPr>
          <w:ilvl w:val="0"/>
          <w:numId w:val="0"/>
        </w:numPr>
        <w:spacing w:line="240" w:lineRule="auto"/>
        <w:jc w:val="center"/>
      </w:pPr>
      <w:r w:rsidRPr="00324CF1">
        <w:rPr>
          <w:lang w:val="en-CA"/>
        </w:rPr>
        <w:t>500-09-029899-226</w:t>
      </w:r>
    </w:p>
    <w:p w14:paraId="0FA21FA0" w14:textId="6B5B73AE" w:rsidR="003B55CC" w:rsidRPr="00324CF1" w:rsidRDefault="00F46B39" w:rsidP="009C496A">
      <w:pPr>
        <w:pStyle w:val="Paragraphe"/>
        <w:spacing w:line="240" w:lineRule="auto"/>
        <w:rPr>
          <w:lang w:val="en-US"/>
        </w:rPr>
      </w:pPr>
      <w:r>
        <w:rPr>
          <w:b/>
          <w:bCs/>
          <w:lang w:val="en-CA"/>
        </w:rPr>
        <w:t>ALLOWS</w:t>
      </w:r>
      <w:r w:rsidRPr="00324CF1">
        <w:rPr>
          <w:b/>
          <w:bCs/>
          <w:lang w:val="en-CA"/>
        </w:rPr>
        <w:t xml:space="preserve"> </w:t>
      </w:r>
      <w:r w:rsidR="00ED47F8" w:rsidRPr="00324CF1">
        <w:rPr>
          <w:lang w:val="en-CA"/>
        </w:rPr>
        <w:t>the appeal of CCDM Holdings, LLC, Devas Employees Fund US, LLC and Telcom Devas, LLC;</w:t>
      </w:r>
    </w:p>
    <w:p w14:paraId="59A3EE80" w14:textId="2E71DDB6" w:rsidR="003B55CC" w:rsidRPr="00324CF1" w:rsidRDefault="00F46B39" w:rsidP="009C496A">
      <w:pPr>
        <w:pStyle w:val="Paragraphe"/>
        <w:spacing w:line="240" w:lineRule="auto"/>
        <w:rPr>
          <w:lang w:val="en-US"/>
        </w:rPr>
      </w:pPr>
      <w:r>
        <w:rPr>
          <w:b/>
          <w:bCs/>
          <w:lang w:val="en-CA"/>
        </w:rPr>
        <w:t>REVERSES</w:t>
      </w:r>
      <w:r w:rsidRPr="00324CF1">
        <w:rPr>
          <w:b/>
          <w:bCs/>
          <w:lang w:val="en-CA"/>
        </w:rPr>
        <w:t xml:space="preserve"> </w:t>
      </w:r>
      <w:r w:rsidR="00ED47F8" w:rsidRPr="00324CF1">
        <w:rPr>
          <w:lang w:val="en-CA"/>
        </w:rPr>
        <w:t>the judgment rendered on January 8, 2022, and, rendering the judgment that should have been rendered;</w:t>
      </w:r>
    </w:p>
    <w:p w14:paraId="0101993E" w14:textId="77777777" w:rsidR="009A46AF" w:rsidRPr="00324CF1" w:rsidRDefault="00ED47F8" w:rsidP="009C496A">
      <w:pPr>
        <w:pStyle w:val="Paragraphe"/>
        <w:spacing w:line="240" w:lineRule="auto"/>
        <w:rPr>
          <w:lang w:val="en-US"/>
        </w:rPr>
      </w:pPr>
      <w:r w:rsidRPr="00324CF1">
        <w:rPr>
          <w:b/>
          <w:bCs/>
          <w:lang w:val="en-CA"/>
        </w:rPr>
        <w:t xml:space="preserve">REPLACES </w:t>
      </w:r>
      <w:r w:rsidRPr="00324CF1">
        <w:rPr>
          <w:lang w:val="en-CA"/>
        </w:rPr>
        <w:t>paragraphs [140] and [141] with the following:</w:t>
      </w:r>
    </w:p>
    <w:p w14:paraId="356092DA" w14:textId="6ABC42DA" w:rsidR="009A46AF" w:rsidRPr="00976B1D" w:rsidRDefault="00ED47F8" w:rsidP="009C496A">
      <w:pPr>
        <w:pStyle w:val="Paragraphe"/>
        <w:numPr>
          <w:ilvl w:val="0"/>
          <w:numId w:val="0"/>
        </w:numPr>
        <w:spacing w:line="240" w:lineRule="auto"/>
        <w:ind w:left="720"/>
        <w:rPr>
          <w:lang w:val="en-US"/>
        </w:rPr>
      </w:pPr>
      <w:r w:rsidRPr="00976B1D">
        <w:rPr>
          <w:lang w:val="en-US"/>
        </w:rPr>
        <w:t>[140]</w:t>
      </w:r>
      <w:r w:rsidRPr="00976B1D">
        <w:rPr>
          <w:b/>
          <w:bCs/>
          <w:lang w:val="en-US"/>
        </w:rPr>
        <w:t xml:space="preserve"> DISMISSES</w:t>
      </w:r>
      <w:r w:rsidRPr="00976B1D">
        <w:rPr>
          <w:lang w:val="en-US"/>
        </w:rPr>
        <w:t xml:space="preserve"> the Application of the Mis-en-cause Airport Authority of India to dismiss the </w:t>
      </w:r>
      <w:r w:rsidRPr="00976B1D">
        <w:rPr>
          <w:color w:val="000000"/>
          <w:lang w:val="en-US"/>
        </w:rPr>
        <w:t>First Seizure before judgment by garnishment authorized on November 24, 2021</w:t>
      </w:r>
      <w:r w:rsidR="00624D4B" w:rsidRPr="00976B1D">
        <w:rPr>
          <w:color w:val="000000"/>
          <w:lang w:val="en-US"/>
        </w:rPr>
        <w:t>,</w:t>
      </w:r>
      <w:r w:rsidRPr="00976B1D">
        <w:rPr>
          <w:color w:val="000000"/>
          <w:lang w:val="en-US"/>
        </w:rPr>
        <w:t xml:space="preserve"> by Justice </w:t>
      </w:r>
      <w:r w:rsidRPr="00976B1D">
        <w:rPr>
          <w:lang w:val="en-US"/>
        </w:rPr>
        <w:t xml:space="preserve">Lukasz </w:t>
      </w:r>
      <w:r w:rsidRPr="00976B1D">
        <w:rPr>
          <w:color w:val="000000"/>
          <w:lang w:val="en-US"/>
        </w:rPr>
        <w:t>Granosik;</w:t>
      </w:r>
    </w:p>
    <w:p w14:paraId="54EE78EE" w14:textId="535D9B0F" w:rsidR="00E36FBA" w:rsidRPr="00324CF1" w:rsidRDefault="00ED47F8" w:rsidP="009C496A">
      <w:pPr>
        <w:pStyle w:val="Paragraphe"/>
        <w:numPr>
          <w:ilvl w:val="0"/>
          <w:numId w:val="0"/>
        </w:numPr>
        <w:spacing w:line="240" w:lineRule="auto"/>
        <w:ind w:left="720"/>
        <w:rPr>
          <w:rFonts w:cs="Arial"/>
          <w:color w:val="000000"/>
          <w:lang w:val="en-US"/>
        </w:rPr>
      </w:pPr>
      <w:r w:rsidRPr="00976B1D">
        <w:rPr>
          <w:lang w:val="en-US"/>
        </w:rPr>
        <w:t xml:space="preserve">[141] </w:t>
      </w:r>
      <w:r w:rsidRPr="00976B1D">
        <w:rPr>
          <w:b/>
          <w:bCs/>
          <w:lang w:val="en-US"/>
        </w:rPr>
        <w:t>REINSTATES</w:t>
      </w:r>
      <w:r w:rsidRPr="00976B1D">
        <w:rPr>
          <w:lang w:val="en-US"/>
        </w:rPr>
        <w:t xml:space="preserve"> the First </w:t>
      </w:r>
      <w:r w:rsidRPr="00976B1D">
        <w:rPr>
          <w:color w:val="000000"/>
          <w:lang w:val="en-US"/>
        </w:rPr>
        <w:t>Seizure before judgment by garnishment authorized on November 24, 2021</w:t>
      </w:r>
      <w:r w:rsidR="00624D4B" w:rsidRPr="00976B1D">
        <w:rPr>
          <w:color w:val="000000"/>
          <w:lang w:val="en-US"/>
        </w:rPr>
        <w:t>,</w:t>
      </w:r>
      <w:r w:rsidRPr="00976B1D">
        <w:rPr>
          <w:color w:val="000000"/>
          <w:lang w:val="en-US"/>
        </w:rPr>
        <w:t xml:space="preserve"> by Justice Lukasz Granosik in file 500-11-060766-223 (500-17-119144-213 before February 21, 2022);</w:t>
      </w:r>
    </w:p>
    <w:p w14:paraId="5BA22F98" w14:textId="77777777" w:rsidR="009C496A" w:rsidRPr="00324CF1" w:rsidRDefault="009C496A" w:rsidP="009C496A">
      <w:pPr>
        <w:pStyle w:val="Paragraphe"/>
        <w:numPr>
          <w:ilvl w:val="0"/>
          <w:numId w:val="0"/>
        </w:numPr>
        <w:spacing w:line="240" w:lineRule="auto"/>
        <w:rPr>
          <w:lang w:val="en-US"/>
        </w:rPr>
      </w:pPr>
    </w:p>
    <w:p w14:paraId="7808B661" w14:textId="56AC5F29" w:rsidR="009A46AF" w:rsidRPr="00324CF1" w:rsidRDefault="00F46B39" w:rsidP="009C496A">
      <w:pPr>
        <w:pStyle w:val="Paragraphe"/>
        <w:spacing w:line="240" w:lineRule="auto"/>
      </w:pPr>
      <w:r>
        <w:rPr>
          <w:b/>
          <w:bCs/>
          <w:lang w:val="en-CA"/>
        </w:rPr>
        <w:t>STRIKES</w:t>
      </w:r>
      <w:r w:rsidRPr="00324CF1">
        <w:rPr>
          <w:lang w:val="en-CA"/>
        </w:rPr>
        <w:t xml:space="preserve"> </w:t>
      </w:r>
      <w:r w:rsidR="00ED47F8" w:rsidRPr="00324CF1">
        <w:rPr>
          <w:lang w:val="en-CA"/>
        </w:rPr>
        <w:t>paragraphs [143] to [148];</w:t>
      </w:r>
    </w:p>
    <w:p w14:paraId="0149911E" w14:textId="2DCB827C" w:rsidR="00391737" w:rsidRPr="00324CF1" w:rsidRDefault="00ED47F8" w:rsidP="00FB5A91">
      <w:pPr>
        <w:pStyle w:val="Paragraphe"/>
        <w:spacing w:line="240" w:lineRule="auto"/>
        <w:rPr>
          <w:lang w:val="en-US"/>
        </w:rPr>
      </w:pPr>
      <w:r w:rsidRPr="00324CF1">
        <w:rPr>
          <w:b/>
          <w:bCs/>
          <w:lang w:val="en-CA"/>
        </w:rPr>
        <w:t xml:space="preserve">DECLARES </w:t>
      </w:r>
      <w:r w:rsidRPr="00324CF1">
        <w:rPr>
          <w:lang w:val="en-CA"/>
        </w:rPr>
        <w:t xml:space="preserve">that the garnishment before judgment authorized on November 24, 2021, by </w:t>
      </w:r>
      <w:r w:rsidR="00F46B39">
        <w:rPr>
          <w:lang w:val="en-CA"/>
        </w:rPr>
        <w:t>the Honourable</w:t>
      </w:r>
      <w:r w:rsidR="00F46B39" w:rsidRPr="00324CF1">
        <w:rPr>
          <w:lang w:val="en-CA"/>
        </w:rPr>
        <w:t xml:space="preserve"> </w:t>
      </w:r>
      <w:r w:rsidRPr="00324CF1">
        <w:rPr>
          <w:lang w:val="en-CA"/>
        </w:rPr>
        <w:t>Lukasz Granosik in file number 500-11-060766-223 (500-17-</w:t>
      </w:r>
      <w:r w:rsidRPr="00324CF1">
        <w:rPr>
          <w:lang w:val="en-CA"/>
        </w:rPr>
        <w:lastRenderedPageBreak/>
        <w:t xml:space="preserve">119144-213 before February 21, 2022) remains valid until a final judgment is rendered in connection with the appellants’ proceedings entitled </w:t>
      </w:r>
      <w:r w:rsidRPr="00324CF1">
        <w:rPr>
          <w:i/>
          <w:iCs/>
          <w:lang w:val="en-CA"/>
        </w:rPr>
        <w:t>Modified Judicial Application Originating a Proceeding in Recognition an Enforcement of Arbitration Awards made outside Quebec</w:t>
      </w:r>
      <w:r w:rsidRPr="00324CF1">
        <w:rPr>
          <w:lang w:val="en-CA"/>
        </w:rPr>
        <w:t>;</w:t>
      </w:r>
      <w:r w:rsidRPr="00324CF1">
        <w:rPr>
          <w:i/>
          <w:iCs/>
          <w:lang w:val="en-CA"/>
        </w:rPr>
        <w:t xml:space="preserve"> </w:t>
      </w:r>
    </w:p>
    <w:p w14:paraId="7E50D255" w14:textId="735999AC" w:rsidR="00046510" w:rsidRPr="00324CF1" w:rsidRDefault="00ED47F8" w:rsidP="00FB5A91">
      <w:pPr>
        <w:pStyle w:val="Paragraphe"/>
        <w:spacing w:line="240" w:lineRule="auto"/>
        <w:rPr>
          <w:lang w:val="en-US"/>
        </w:rPr>
      </w:pPr>
      <w:r w:rsidRPr="00324CF1">
        <w:rPr>
          <w:b/>
          <w:bCs/>
          <w:lang w:val="en-CA"/>
        </w:rPr>
        <w:t>THE WHOLE</w:t>
      </w:r>
      <w:r w:rsidRPr="00324CF1">
        <w:rPr>
          <w:lang w:val="en-CA"/>
        </w:rPr>
        <w:t xml:space="preserve">, with </w:t>
      </w:r>
      <w:r w:rsidR="00F46B39">
        <w:rPr>
          <w:lang w:val="en-CA"/>
        </w:rPr>
        <w:t xml:space="preserve">legal </w:t>
      </w:r>
      <w:r w:rsidRPr="00324CF1">
        <w:rPr>
          <w:lang w:val="en-CA"/>
        </w:rPr>
        <w:t xml:space="preserve">costs </w:t>
      </w:r>
      <w:r w:rsidR="00F46B39">
        <w:rPr>
          <w:lang w:val="en-CA"/>
        </w:rPr>
        <w:t>on</w:t>
      </w:r>
      <w:r w:rsidRPr="00324CF1">
        <w:rPr>
          <w:lang w:val="en-CA"/>
        </w:rPr>
        <w:t xml:space="preserve"> appeal in favour of the respondents</w:t>
      </w:r>
      <w:r w:rsidRPr="00324CF1">
        <w:rPr>
          <w:kern w:val="0"/>
          <w:lang w:val="en-CA"/>
        </w:rPr>
        <w:t xml:space="preserve"> </w:t>
      </w:r>
      <w:r w:rsidRPr="00324CF1">
        <w:rPr>
          <w:lang w:val="en-CA"/>
        </w:rPr>
        <w:t>CCDM Holdings, LLC, Devas Employees Fund US, LLC and Telcom Devas, LLC;</w:t>
      </w:r>
    </w:p>
    <w:p w14:paraId="7DA20E0C" w14:textId="77777777" w:rsidR="003B55CC" w:rsidRPr="00324CF1" w:rsidRDefault="00ED47F8" w:rsidP="00FB5A91">
      <w:pPr>
        <w:pStyle w:val="Paragraphe"/>
        <w:numPr>
          <w:ilvl w:val="0"/>
          <w:numId w:val="0"/>
        </w:numPr>
        <w:spacing w:line="240" w:lineRule="auto"/>
        <w:jc w:val="center"/>
      </w:pPr>
      <w:r w:rsidRPr="00324CF1">
        <w:rPr>
          <w:lang w:val="en-CA"/>
        </w:rPr>
        <w:t>500-09-700124-225</w:t>
      </w:r>
    </w:p>
    <w:p w14:paraId="4D01E1D0" w14:textId="4F695864" w:rsidR="003B55CC" w:rsidRPr="00324CF1" w:rsidRDefault="00F46B39" w:rsidP="00FB5A91">
      <w:pPr>
        <w:pStyle w:val="Paragraphe"/>
        <w:spacing w:line="240" w:lineRule="auto"/>
        <w:rPr>
          <w:lang w:val="en-US"/>
        </w:rPr>
      </w:pPr>
      <w:r>
        <w:rPr>
          <w:b/>
          <w:bCs/>
          <w:lang w:val="en-CA"/>
        </w:rPr>
        <w:t>ALLOWS</w:t>
      </w:r>
      <w:r w:rsidRPr="00324CF1">
        <w:rPr>
          <w:b/>
          <w:bCs/>
          <w:lang w:val="en-CA"/>
        </w:rPr>
        <w:t xml:space="preserve"> </w:t>
      </w:r>
      <w:r w:rsidR="00ED47F8" w:rsidRPr="00324CF1">
        <w:rPr>
          <w:lang w:val="en-CA"/>
        </w:rPr>
        <w:t>the appeal for the sole purpose of adding paragraph [82.1] to the judgment rendered on September 6, 2022:</w:t>
      </w:r>
    </w:p>
    <w:p w14:paraId="5C40C15A" w14:textId="62162701" w:rsidR="003B55CC" w:rsidRPr="00324CF1" w:rsidRDefault="00ED47F8" w:rsidP="00FB5A91">
      <w:pPr>
        <w:pStyle w:val="Sous-paragraphe"/>
        <w:numPr>
          <w:ilvl w:val="0"/>
          <w:numId w:val="0"/>
        </w:numPr>
        <w:spacing w:line="240" w:lineRule="auto"/>
        <w:ind w:left="792"/>
        <w:rPr>
          <w:lang w:val="en-US"/>
        </w:rPr>
      </w:pPr>
      <w:r w:rsidRPr="00324CF1">
        <w:rPr>
          <w:lang w:val="en-CA"/>
        </w:rPr>
        <w:t>[82.1]</w:t>
      </w:r>
      <w:r w:rsidRPr="00324CF1">
        <w:rPr>
          <w:b/>
          <w:bCs/>
          <w:lang w:val="en-CA"/>
        </w:rPr>
        <w:t xml:space="preserve"> DECLARES </w:t>
      </w:r>
      <w:r w:rsidRPr="00324CF1">
        <w:rPr>
          <w:lang w:val="en-CA"/>
        </w:rPr>
        <w:t xml:space="preserve">that the </w:t>
      </w:r>
      <w:r w:rsidRPr="00324CF1">
        <w:rPr>
          <w:i/>
          <w:iCs/>
          <w:lang w:val="en-CA"/>
        </w:rPr>
        <w:t>International Air Transport Association Act</w:t>
      </w:r>
      <w:r w:rsidRPr="00324CF1">
        <w:rPr>
          <w:lang w:val="en-CA"/>
        </w:rPr>
        <w:t xml:space="preserve"> does not apply to the garnishment authorized by </w:t>
      </w:r>
      <w:r w:rsidR="00F46B39">
        <w:rPr>
          <w:lang w:val="en-CA"/>
        </w:rPr>
        <w:t>the Honourable</w:t>
      </w:r>
      <w:r w:rsidR="00F46B39" w:rsidRPr="00324CF1">
        <w:rPr>
          <w:lang w:val="en-CA"/>
        </w:rPr>
        <w:t xml:space="preserve"> </w:t>
      </w:r>
      <w:r w:rsidRPr="00324CF1">
        <w:rPr>
          <w:lang w:val="en-CA"/>
        </w:rPr>
        <w:t xml:space="preserve">Lukasz Granosik on November 21, 2021, </w:t>
      </w:r>
      <w:r w:rsidR="00F46B39">
        <w:rPr>
          <w:lang w:val="en-CA"/>
        </w:rPr>
        <w:t>with respect to</w:t>
      </w:r>
      <w:r w:rsidR="00F46B39" w:rsidRPr="00324CF1">
        <w:rPr>
          <w:lang w:val="en-CA"/>
        </w:rPr>
        <w:t xml:space="preserve"> </w:t>
      </w:r>
      <w:r w:rsidR="00F46B39">
        <w:rPr>
          <w:lang w:val="en-CA"/>
        </w:rPr>
        <w:t>any</w:t>
      </w:r>
      <w:r w:rsidR="00F46B39" w:rsidRPr="00324CF1">
        <w:rPr>
          <w:lang w:val="en-CA"/>
        </w:rPr>
        <w:t xml:space="preserve"> </w:t>
      </w:r>
      <w:r w:rsidRPr="00324CF1">
        <w:rPr>
          <w:lang w:val="en-CA"/>
        </w:rPr>
        <w:t xml:space="preserve">sums of money received, collected or held by IATA before May 5, 2022; </w:t>
      </w:r>
    </w:p>
    <w:p w14:paraId="3B467CE7" w14:textId="77777777" w:rsidR="008B5535" w:rsidRPr="00324CF1" w:rsidRDefault="00ED47F8" w:rsidP="008B5535">
      <w:pPr>
        <w:pStyle w:val="Paragraphe"/>
        <w:numPr>
          <w:ilvl w:val="0"/>
          <w:numId w:val="0"/>
        </w:numPr>
        <w:spacing w:line="240" w:lineRule="auto"/>
        <w:rPr>
          <w:lang w:val="en-US"/>
        </w:rPr>
      </w:pPr>
      <w:r w:rsidRPr="00324CF1">
        <w:rPr>
          <w:lang w:val="en-CA"/>
        </w:rPr>
        <w:t>the other conclusions of the judgment remaining unchanged;</w:t>
      </w:r>
    </w:p>
    <w:p w14:paraId="1A327047" w14:textId="3692F573" w:rsidR="003B55CC" w:rsidRPr="00324CF1" w:rsidRDefault="00ED47F8" w:rsidP="00FB5A91">
      <w:pPr>
        <w:pStyle w:val="Paragraphe"/>
        <w:spacing w:line="240" w:lineRule="auto"/>
        <w:rPr>
          <w:lang w:val="en-US"/>
        </w:rPr>
      </w:pPr>
      <w:r w:rsidRPr="00324CF1">
        <w:rPr>
          <w:b/>
          <w:bCs/>
          <w:lang w:val="en-CA"/>
        </w:rPr>
        <w:t>THE WHOLE</w:t>
      </w:r>
      <w:r w:rsidRPr="00324CF1">
        <w:rPr>
          <w:lang w:val="en-CA"/>
        </w:rPr>
        <w:t>,</w:t>
      </w:r>
      <w:r w:rsidRPr="00324CF1">
        <w:rPr>
          <w:b/>
          <w:bCs/>
          <w:lang w:val="en-CA"/>
        </w:rPr>
        <w:t xml:space="preserve"> </w:t>
      </w:r>
      <w:r w:rsidRPr="00324CF1">
        <w:rPr>
          <w:lang w:val="en-CA"/>
        </w:rPr>
        <w:t xml:space="preserve">without </w:t>
      </w:r>
      <w:r w:rsidR="00F46B39">
        <w:rPr>
          <w:lang w:val="en-CA"/>
        </w:rPr>
        <w:t xml:space="preserve">legal </w:t>
      </w:r>
      <w:r w:rsidRPr="00324CF1">
        <w:rPr>
          <w:lang w:val="en-CA"/>
        </w:rPr>
        <w:t>costs, given the mixed outcome of the appeal.</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291C6F" w:rsidRPr="00005C57" w14:paraId="4AFEAE9F" w14:textId="77777777" w:rsidTr="003E3239">
        <w:trPr>
          <w:trHeight w:val="576"/>
        </w:trPr>
        <w:tc>
          <w:tcPr>
            <w:tcW w:w="9362" w:type="dxa"/>
            <w:gridSpan w:val="3"/>
            <w:tcBorders>
              <w:top w:val="nil"/>
              <w:bottom w:val="nil"/>
            </w:tcBorders>
          </w:tcPr>
          <w:p w14:paraId="1C0A1CC7" w14:textId="77777777" w:rsidR="008F364A" w:rsidRPr="00324CF1" w:rsidRDefault="008F364A">
            <w:pPr>
              <w:keepNext/>
              <w:rPr>
                <w:lang w:val="en-US"/>
              </w:rPr>
            </w:pPr>
          </w:p>
        </w:tc>
      </w:tr>
      <w:tr w:rsidR="00291C6F" w:rsidRPr="00005C57" w14:paraId="7EE273EE" w14:textId="77777777" w:rsidTr="00117914">
        <w:trPr>
          <w:trHeight w:val="283"/>
        </w:trPr>
        <w:tc>
          <w:tcPr>
            <w:tcW w:w="4682" w:type="dxa"/>
            <w:gridSpan w:val="2"/>
            <w:tcBorders>
              <w:top w:val="nil"/>
              <w:bottom w:val="nil"/>
            </w:tcBorders>
          </w:tcPr>
          <w:p w14:paraId="277DE9AC" w14:textId="77777777" w:rsidR="008F364A" w:rsidRPr="00324CF1" w:rsidRDefault="008F364A">
            <w:pPr>
              <w:keepNext/>
              <w:rPr>
                <w:lang w:val="en-US"/>
              </w:rPr>
            </w:pPr>
          </w:p>
        </w:tc>
        <w:tc>
          <w:tcPr>
            <w:tcW w:w="4680" w:type="dxa"/>
            <w:tcBorders>
              <w:top w:val="nil"/>
              <w:bottom w:val="single" w:sz="8" w:space="0" w:color="auto"/>
            </w:tcBorders>
          </w:tcPr>
          <w:p w14:paraId="247A3225" w14:textId="77777777" w:rsidR="008F364A" w:rsidRPr="00324CF1" w:rsidRDefault="008F364A">
            <w:pPr>
              <w:keepNext/>
              <w:rPr>
                <w:lang w:val="en-US"/>
              </w:rPr>
            </w:pPr>
          </w:p>
        </w:tc>
      </w:tr>
      <w:tr w:rsidR="00291C6F" w:rsidRPr="00324CF1" w14:paraId="1516CDDF" w14:textId="77777777" w:rsidTr="00117914">
        <w:trPr>
          <w:trHeight w:val="283"/>
        </w:trPr>
        <w:tc>
          <w:tcPr>
            <w:tcW w:w="4682" w:type="dxa"/>
            <w:gridSpan w:val="2"/>
            <w:tcBorders>
              <w:top w:val="nil"/>
            </w:tcBorders>
          </w:tcPr>
          <w:p w14:paraId="50865E08" w14:textId="77777777" w:rsidR="008F364A" w:rsidRPr="00324CF1" w:rsidRDefault="008F364A">
            <w:pPr>
              <w:keepNext/>
              <w:rPr>
                <w:lang w:val="en-US"/>
              </w:rPr>
            </w:pPr>
          </w:p>
        </w:tc>
        <w:tc>
          <w:tcPr>
            <w:tcW w:w="4680" w:type="dxa"/>
            <w:tcBorders>
              <w:top w:val="single" w:sz="8" w:space="0" w:color="auto"/>
            </w:tcBorders>
          </w:tcPr>
          <w:p w14:paraId="4DD23A63" w14:textId="77777777" w:rsidR="008F364A" w:rsidRPr="00324CF1" w:rsidRDefault="00ED47F8">
            <w:r w:rsidRPr="00324CF1">
              <w:rPr>
                <w:lang w:val="en-CA"/>
              </w:rPr>
              <w:t>GENEVIÈVE MARCOTTE, J.A.</w:t>
            </w:r>
          </w:p>
        </w:tc>
      </w:tr>
      <w:tr w:rsidR="00291C6F" w:rsidRPr="00324CF1" w14:paraId="7ED06544" w14:textId="77777777" w:rsidTr="00117914">
        <w:trPr>
          <w:trHeight w:val="283"/>
        </w:trPr>
        <w:tc>
          <w:tcPr>
            <w:tcW w:w="4682" w:type="dxa"/>
            <w:gridSpan w:val="2"/>
            <w:tcBorders>
              <w:top w:val="nil"/>
            </w:tcBorders>
          </w:tcPr>
          <w:p w14:paraId="26E498B0" w14:textId="77777777" w:rsidR="008F364A" w:rsidRPr="00324CF1" w:rsidRDefault="008F364A">
            <w:pPr>
              <w:keepNext/>
            </w:pPr>
            <w:bookmarkStart w:id="138" w:name="Signature2"/>
          </w:p>
        </w:tc>
        <w:tc>
          <w:tcPr>
            <w:tcW w:w="4680" w:type="dxa"/>
            <w:tcBorders>
              <w:top w:val="nil"/>
            </w:tcBorders>
          </w:tcPr>
          <w:p w14:paraId="2AC26604" w14:textId="77777777" w:rsidR="008F364A" w:rsidRPr="00324CF1" w:rsidRDefault="008F364A">
            <w:pPr>
              <w:keepNext/>
            </w:pPr>
          </w:p>
        </w:tc>
      </w:tr>
      <w:tr w:rsidR="00291C6F" w:rsidRPr="00324CF1" w14:paraId="78962E3A" w14:textId="77777777" w:rsidTr="00117914">
        <w:trPr>
          <w:trHeight w:val="283"/>
        </w:trPr>
        <w:tc>
          <w:tcPr>
            <w:tcW w:w="4682" w:type="dxa"/>
            <w:gridSpan w:val="2"/>
            <w:tcBorders>
              <w:top w:val="nil"/>
              <w:bottom w:val="nil"/>
            </w:tcBorders>
          </w:tcPr>
          <w:p w14:paraId="1BC9DC4A" w14:textId="77777777" w:rsidR="008F364A" w:rsidRPr="00324CF1" w:rsidRDefault="008F364A">
            <w:pPr>
              <w:keepNext/>
            </w:pPr>
          </w:p>
        </w:tc>
        <w:tc>
          <w:tcPr>
            <w:tcW w:w="4680" w:type="dxa"/>
            <w:tcBorders>
              <w:top w:val="nil"/>
              <w:bottom w:val="single" w:sz="8" w:space="0" w:color="auto"/>
            </w:tcBorders>
          </w:tcPr>
          <w:p w14:paraId="2A14BCA7" w14:textId="77777777" w:rsidR="008F364A" w:rsidRPr="00324CF1" w:rsidRDefault="008F364A">
            <w:pPr>
              <w:keepNext/>
            </w:pPr>
          </w:p>
        </w:tc>
      </w:tr>
      <w:tr w:rsidR="00291C6F" w:rsidRPr="00324CF1" w14:paraId="16E5BEAD" w14:textId="77777777" w:rsidTr="00117914">
        <w:trPr>
          <w:trHeight w:val="283"/>
        </w:trPr>
        <w:tc>
          <w:tcPr>
            <w:tcW w:w="4682" w:type="dxa"/>
            <w:gridSpan w:val="2"/>
            <w:tcBorders>
              <w:top w:val="nil"/>
            </w:tcBorders>
          </w:tcPr>
          <w:p w14:paraId="347865ED" w14:textId="77777777" w:rsidR="008F364A" w:rsidRPr="00324CF1" w:rsidRDefault="008F364A">
            <w:pPr>
              <w:keepNext/>
            </w:pPr>
          </w:p>
        </w:tc>
        <w:tc>
          <w:tcPr>
            <w:tcW w:w="4680" w:type="dxa"/>
            <w:tcBorders>
              <w:top w:val="single" w:sz="8" w:space="0" w:color="auto"/>
            </w:tcBorders>
          </w:tcPr>
          <w:p w14:paraId="09EAFC82" w14:textId="77777777" w:rsidR="008F364A" w:rsidRPr="00324CF1" w:rsidRDefault="00ED47F8">
            <w:pPr>
              <w:keepNext/>
            </w:pPr>
            <w:r w:rsidRPr="00324CF1">
              <w:rPr>
                <w:lang w:val="en-CA"/>
              </w:rPr>
              <w:t>BENOÎT MOORE, J.A.</w:t>
            </w:r>
          </w:p>
        </w:tc>
      </w:tr>
      <w:tr w:rsidR="00291C6F" w:rsidRPr="00324CF1" w14:paraId="43AF1BDD" w14:textId="77777777" w:rsidTr="00117914">
        <w:trPr>
          <w:trHeight w:val="283"/>
        </w:trPr>
        <w:tc>
          <w:tcPr>
            <w:tcW w:w="4682" w:type="dxa"/>
            <w:gridSpan w:val="2"/>
            <w:tcBorders>
              <w:top w:val="nil"/>
            </w:tcBorders>
          </w:tcPr>
          <w:p w14:paraId="06D0B636" w14:textId="77777777" w:rsidR="008F364A" w:rsidRPr="00324CF1" w:rsidRDefault="008F364A">
            <w:pPr>
              <w:keepNext/>
            </w:pPr>
            <w:bookmarkStart w:id="139" w:name="Signature3"/>
            <w:bookmarkEnd w:id="138"/>
          </w:p>
        </w:tc>
        <w:tc>
          <w:tcPr>
            <w:tcW w:w="4680" w:type="dxa"/>
            <w:tcBorders>
              <w:top w:val="nil"/>
            </w:tcBorders>
          </w:tcPr>
          <w:p w14:paraId="0FEAF469" w14:textId="77777777" w:rsidR="008F364A" w:rsidRPr="00324CF1" w:rsidRDefault="008F364A">
            <w:pPr>
              <w:keepNext/>
            </w:pPr>
          </w:p>
        </w:tc>
      </w:tr>
      <w:tr w:rsidR="00291C6F" w:rsidRPr="00324CF1" w14:paraId="7AC44C02" w14:textId="77777777" w:rsidTr="00117914">
        <w:trPr>
          <w:trHeight w:val="283"/>
        </w:trPr>
        <w:tc>
          <w:tcPr>
            <w:tcW w:w="4682" w:type="dxa"/>
            <w:gridSpan w:val="2"/>
            <w:tcBorders>
              <w:top w:val="nil"/>
              <w:bottom w:val="nil"/>
            </w:tcBorders>
          </w:tcPr>
          <w:p w14:paraId="2FCCBE36" w14:textId="77777777" w:rsidR="008F364A" w:rsidRPr="00324CF1" w:rsidRDefault="008F364A">
            <w:pPr>
              <w:keepNext/>
            </w:pPr>
          </w:p>
        </w:tc>
        <w:tc>
          <w:tcPr>
            <w:tcW w:w="4680" w:type="dxa"/>
            <w:tcBorders>
              <w:top w:val="nil"/>
              <w:bottom w:val="single" w:sz="8" w:space="0" w:color="auto"/>
            </w:tcBorders>
          </w:tcPr>
          <w:p w14:paraId="5CA9D7AF" w14:textId="77777777" w:rsidR="008F364A" w:rsidRPr="00324CF1" w:rsidRDefault="008F364A">
            <w:pPr>
              <w:keepNext/>
            </w:pPr>
          </w:p>
        </w:tc>
      </w:tr>
      <w:tr w:rsidR="00291C6F" w:rsidRPr="00324CF1" w14:paraId="506593A2" w14:textId="77777777" w:rsidTr="00117914">
        <w:trPr>
          <w:trHeight w:val="283"/>
        </w:trPr>
        <w:tc>
          <w:tcPr>
            <w:tcW w:w="4682" w:type="dxa"/>
            <w:gridSpan w:val="2"/>
            <w:tcBorders>
              <w:top w:val="nil"/>
            </w:tcBorders>
          </w:tcPr>
          <w:p w14:paraId="57A4D718" w14:textId="77777777" w:rsidR="008F364A" w:rsidRPr="00324CF1" w:rsidRDefault="008F364A">
            <w:pPr>
              <w:keepNext/>
            </w:pPr>
          </w:p>
        </w:tc>
        <w:tc>
          <w:tcPr>
            <w:tcW w:w="4680" w:type="dxa"/>
            <w:tcBorders>
              <w:top w:val="single" w:sz="8" w:space="0" w:color="auto"/>
            </w:tcBorders>
          </w:tcPr>
          <w:p w14:paraId="69DCA2FC" w14:textId="77777777" w:rsidR="008F364A" w:rsidRPr="00324CF1" w:rsidRDefault="00ED47F8">
            <w:pPr>
              <w:keepNext/>
            </w:pPr>
            <w:r w:rsidRPr="00324CF1">
              <w:rPr>
                <w:lang w:val="en-CA"/>
              </w:rPr>
              <w:t>SOPHIE LAVALLÉE, J.A.</w:t>
            </w:r>
          </w:p>
        </w:tc>
      </w:tr>
      <w:bookmarkEnd w:id="139"/>
      <w:tr w:rsidR="00291C6F" w:rsidRPr="00324CF1" w14:paraId="46325162" w14:textId="77777777" w:rsidTr="0006117A">
        <w:tc>
          <w:tcPr>
            <w:tcW w:w="9362" w:type="dxa"/>
            <w:gridSpan w:val="3"/>
            <w:tcBorders>
              <w:bottom w:val="nil"/>
            </w:tcBorders>
          </w:tcPr>
          <w:p w14:paraId="63DD91E1" w14:textId="77777777" w:rsidR="005A78BF" w:rsidRPr="00324CF1" w:rsidRDefault="005A78BF" w:rsidP="005A78BF"/>
        </w:tc>
      </w:tr>
      <w:tr w:rsidR="00291C6F" w:rsidRPr="00324CF1" w14:paraId="79CFCB77" w14:textId="77777777" w:rsidTr="0006117A">
        <w:tc>
          <w:tcPr>
            <w:tcW w:w="9362" w:type="dxa"/>
            <w:gridSpan w:val="3"/>
            <w:tcBorders>
              <w:top w:val="nil"/>
            </w:tcBorders>
          </w:tcPr>
          <w:p w14:paraId="136904FB" w14:textId="77777777" w:rsidR="005A78BF" w:rsidRPr="00324CF1" w:rsidRDefault="00ED47F8" w:rsidP="005A78BF">
            <w:pPr>
              <w:pStyle w:val="zSoquijdatNomProcureurDem"/>
            </w:pPr>
            <w:r w:rsidRPr="00324CF1">
              <w:t>Mtre Éric Mongeau</w:t>
            </w:r>
          </w:p>
          <w:p w14:paraId="3EF0C5A2" w14:textId="77777777" w:rsidR="0046357D" w:rsidRPr="00324CF1" w:rsidRDefault="00ED47F8" w:rsidP="005A78BF">
            <w:pPr>
              <w:pStyle w:val="zSoquijdatNomProcureurDem"/>
            </w:pPr>
            <w:r w:rsidRPr="00324CF1">
              <w:t>Mtre Patrick Girard</w:t>
            </w:r>
          </w:p>
          <w:p w14:paraId="35DAB763" w14:textId="77777777" w:rsidR="0046357D" w:rsidRPr="00324CF1" w:rsidRDefault="00ED47F8" w:rsidP="005A78BF">
            <w:pPr>
              <w:pStyle w:val="zSoquijdatNomProcureurDem"/>
            </w:pPr>
            <w:r w:rsidRPr="00324CF1">
              <w:t>Mtre Vincent Lanctôt-Fortier</w:t>
            </w:r>
          </w:p>
          <w:p w14:paraId="22BA1B25" w14:textId="77777777" w:rsidR="0046357D" w:rsidRPr="00324CF1" w:rsidRDefault="00ED47F8" w:rsidP="005A78BF">
            <w:pPr>
              <w:pStyle w:val="zSoquijdatNomProcureurDem"/>
            </w:pPr>
            <w:r w:rsidRPr="00324CF1">
              <w:t>Mtre Marianne Bastille-Parent</w:t>
            </w:r>
          </w:p>
          <w:p w14:paraId="58B02D89" w14:textId="77777777" w:rsidR="0046357D" w:rsidRPr="00324CF1" w:rsidRDefault="00ED47F8" w:rsidP="005A78BF">
            <w:pPr>
              <w:pStyle w:val="zSoquijdatNomProcureurDem"/>
            </w:pPr>
            <w:r w:rsidRPr="00324CF1">
              <w:t>Mtre Benjamin Herrera</w:t>
            </w:r>
          </w:p>
        </w:tc>
      </w:tr>
      <w:tr w:rsidR="00291C6F" w:rsidRPr="00324CF1" w14:paraId="08FA4ED6" w14:textId="77777777" w:rsidTr="0006117A">
        <w:tc>
          <w:tcPr>
            <w:tcW w:w="9362" w:type="dxa"/>
            <w:gridSpan w:val="3"/>
            <w:tcBorders>
              <w:top w:val="nil"/>
            </w:tcBorders>
          </w:tcPr>
          <w:p w14:paraId="33BD873F" w14:textId="77777777" w:rsidR="005A78BF" w:rsidRPr="00324CF1" w:rsidRDefault="00ED47F8" w:rsidP="005A78BF">
            <w:pPr>
              <w:pStyle w:val="zSoquijdatCabinetProcureurDem"/>
            </w:pPr>
            <w:r w:rsidRPr="00324CF1">
              <w:rPr>
                <w:lang w:val="en-CA"/>
              </w:rPr>
              <w:t>STIKEMAN ELLIOTT</w:t>
            </w:r>
          </w:p>
        </w:tc>
      </w:tr>
      <w:tr w:rsidR="00291C6F" w:rsidRPr="00005C57" w14:paraId="2A241FF9" w14:textId="77777777" w:rsidTr="0006117A">
        <w:tc>
          <w:tcPr>
            <w:tcW w:w="9362" w:type="dxa"/>
            <w:gridSpan w:val="3"/>
            <w:tcBorders>
              <w:top w:val="nil"/>
            </w:tcBorders>
          </w:tcPr>
          <w:p w14:paraId="05AF1E25" w14:textId="77777777" w:rsidR="005A78BF" w:rsidRPr="00324CF1" w:rsidRDefault="00ED47F8" w:rsidP="005A78BF">
            <w:pPr>
              <w:pStyle w:val="zSoquijlblProcureurDem"/>
              <w:rPr>
                <w:lang w:val="en-US"/>
              </w:rPr>
            </w:pPr>
            <w:r w:rsidRPr="00324CF1">
              <w:rPr>
                <w:lang w:val="en-CA"/>
              </w:rPr>
              <w:t>For The Republic of India</w:t>
            </w:r>
          </w:p>
        </w:tc>
      </w:tr>
      <w:tr w:rsidR="00291C6F" w:rsidRPr="00005C57" w14:paraId="4FA4BB9A" w14:textId="77777777" w:rsidTr="0006117A">
        <w:tc>
          <w:tcPr>
            <w:tcW w:w="9362" w:type="dxa"/>
            <w:gridSpan w:val="3"/>
            <w:tcBorders>
              <w:top w:val="nil"/>
            </w:tcBorders>
          </w:tcPr>
          <w:p w14:paraId="46EB6594" w14:textId="77777777" w:rsidR="005A78BF" w:rsidRPr="00324CF1" w:rsidRDefault="005A78BF" w:rsidP="005A78BF">
            <w:pPr>
              <w:rPr>
                <w:lang w:val="en-US"/>
              </w:rPr>
            </w:pPr>
          </w:p>
        </w:tc>
      </w:tr>
      <w:tr w:rsidR="00291C6F" w:rsidRPr="00005C57" w14:paraId="230A6E86" w14:textId="77777777" w:rsidTr="0006117A">
        <w:tc>
          <w:tcPr>
            <w:tcW w:w="9362" w:type="dxa"/>
            <w:gridSpan w:val="3"/>
            <w:tcBorders>
              <w:top w:val="nil"/>
            </w:tcBorders>
          </w:tcPr>
          <w:p w14:paraId="7DBDDECE" w14:textId="77777777" w:rsidR="005A78BF" w:rsidRPr="00324CF1" w:rsidRDefault="00ED47F8" w:rsidP="005A78BF">
            <w:pPr>
              <w:pStyle w:val="zSoquijdatNomProcureurDef"/>
            </w:pPr>
            <w:r w:rsidRPr="00324CF1">
              <w:lastRenderedPageBreak/>
              <w:t>Mtre Mathieu Piché-Messier</w:t>
            </w:r>
          </w:p>
          <w:p w14:paraId="78197932" w14:textId="77777777" w:rsidR="0046357D" w:rsidRPr="00324CF1" w:rsidRDefault="00ED47F8" w:rsidP="005A78BF">
            <w:pPr>
              <w:pStyle w:val="zSoquijdatNomProcureurDef"/>
            </w:pPr>
            <w:r w:rsidRPr="00324CF1">
              <w:t>Mtre Karine Fahmy</w:t>
            </w:r>
          </w:p>
          <w:p w14:paraId="044B76D1" w14:textId="77777777" w:rsidR="0046357D" w:rsidRPr="00005C57" w:rsidRDefault="00ED47F8" w:rsidP="005A78BF">
            <w:pPr>
              <w:pStyle w:val="zSoquijdatNomProcureurDef"/>
              <w:rPr>
                <w:lang w:val="es-CL"/>
              </w:rPr>
            </w:pPr>
            <w:r w:rsidRPr="00005C57">
              <w:rPr>
                <w:lang w:val="es-CL"/>
              </w:rPr>
              <w:t>Mtre Amanda Afeich</w:t>
            </w:r>
          </w:p>
          <w:p w14:paraId="5E19E8F2" w14:textId="77777777" w:rsidR="0046357D" w:rsidRPr="00005C57" w:rsidRDefault="00ED47F8" w:rsidP="005A78BF">
            <w:pPr>
              <w:pStyle w:val="zSoquijdatNomProcureurDef"/>
              <w:rPr>
                <w:lang w:val="es-CL"/>
              </w:rPr>
            </w:pPr>
            <w:r w:rsidRPr="00005C57">
              <w:rPr>
                <w:lang w:val="es-CL"/>
              </w:rPr>
              <w:t>Mtre Dayeon Min</w:t>
            </w:r>
          </w:p>
        </w:tc>
      </w:tr>
      <w:tr w:rsidR="00291C6F" w:rsidRPr="00324CF1" w14:paraId="1C4B539E" w14:textId="77777777" w:rsidTr="0006117A">
        <w:tc>
          <w:tcPr>
            <w:tcW w:w="9362" w:type="dxa"/>
            <w:gridSpan w:val="3"/>
            <w:tcBorders>
              <w:top w:val="nil"/>
            </w:tcBorders>
          </w:tcPr>
          <w:p w14:paraId="623EBFA7" w14:textId="77777777" w:rsidR="005A78BF" w:rsidRPr="00324CF1" w:rsidRDefault="00ED47F8" w:rsidP="005A78BF">
            <w:pPr>
              <w:pStyle w:val="zSoquijdatCabinetProcureurDef"/>
            </w:pPr>
            <w:r w:rsidRPr="00324CF1">
              <w:rPr>
                <w:lang w:val="en-CA"/>
              </w:rPr>
              <w:t>BORDEN LADNER GERVAIS</w:t>
            </w:r>
          </w:p>
        </w:tc>
      </w:tr>
      <w:tr w:rsidR="00291C6F" w:rsidRPr="00005C57" w14:paraId="22E47670" w14:textId="77777777" w:rsidTr="0006117A">
        <w:tc>
          <w:tcPr>
            <w:tcW w:w="9362" w:type="dxa"/>
            <w:gridSpan w:val="3"/>
            <w:tcBorders>
              <w:top w:val="nil"/>
            </w:tcBorders>
          </w:tcPr>
          <w:p w14:paraId="10D3A819" w14:textId="77777777" w:rsidR="005A78BF" w:rsidRPr="00324CF1" w:rsidRDefault="00ED47F8" w:rsidP="005A78BF">
            <w:pPr>
              <w:pStyle w:val="zSoquijlblProcureurDef"/>
              <w:rPr>
                <w:lang w:val="en-US"/>
              </w:rPr>
            </w:pPr>
            <w:r w:rsidRPr="00324CF1">
              <w:rPr>
                <w:lang w:val="en-CA"/>
              </w:rPr>
              <w:t>For CCDM Holdings, LLC; Devas Employees Fund US, LLC and Telcom Devas, LLC</w:t>
            </w:r>
          </w:p>
        </w:tc>
      </w:tr>
      <w:tr w:rsidR="00291C6F" w:rsidRPr="00005C57" w14:paraId="74449A29" w14:textId="77777777" w:rsidTr="0006117A">
        <w:tc>
          <w:tcPr>
            <w:tcW w:w="9362" w:type="dxa"/>
            <w:gridSpan w:val="3"/>
            <w:tcBorders>
              <w:top w:val="nil"/>
            </w:tcBorders>
          </w:tcPr>
          <w:p w14:paraId="31A078BC" w14:textId="77777777" w:rsidR="0046357D" w:rsidRPr="00324CF1" w:rsidRDefault="0046357D" w:rsidP="005A78BF">
            <w:pPr>
              <w:pStyle w:val="zSoquijlblProcureurDef"/>
              <w:rPr>
                <w:lang w:val="en-US"/>
              </w:rPr>
            </w:pPr>
          </w:p>
        </w:tc>
      </w:tr>
      <w:tr w:rsidR="00291C6F" w:rsidRPr="00324CF1" w14:paraId="49EE8592" w14:textId="77777777" w:rsidTr="0006117A">
        <w:tc>
          <w:tcPr>
            <w:tcW w:w="9362" w:type="dxa"/>
            <w:gridSpan w:val="3"/>
            <w:tcBorders>
              <w:top w:val="nil"/>
            </w:tcBorders>
          </w:tcPr>
          <w:p w14:paraId="06DB1D3F" w14:textId="77777777" w:rsidR="0046357D" w:rsidRPr="00324CF1" w:rsidRDefault="00ED47F8" w:rsidP="005A78BF">
            <w:pPr>
              <w:pStyle w:val="zSoquijlblProcureurDef"/>
              <w:rPr>
                <w:lang w:val="en-US"/>
              </w:rPr>
            </w:pPr>
            <w:r w:rsidRPr="00324CF1">
              <w:rPr>
                <w:lang w:val="en-CA"/>
              </w:rPr>
              <w:t>Mtre Corey Omer</w:t>
            </w:r>
          </w:p>
          <w:p w14:paraId="1EFDA13A" w14:textId="77777777" w:rsidR="007B3283" w:rsidRPr="00324CF1" w:rsidRDefault="00ED47F8" w:rsidP="005A78BF">
            <w:pPr>
              <w:pStyle w:val="zSoquijlblProcureurDef"/>
              <w:rPr>
                <w:lang w:val="en-US"/>
              </w:rPr>
            </w:pPr>
            <w:r w:rsidRPr="00324CF1">
              <w:rPr>
                <w:lang w:val="en-CA"/>
              </w:rPr>
              <w:t>Mtre William Brock</w:t>
            </w:r>
          </w:p>
          <w:p w14:paraId="031EEF69" w14:textId="77777777" w:rsidR="007B3283" w:rsidRPr="00324CF1" w:rsidRDefault="00ED47F8" w:rsidP="005A78BF">
            <w:pPr>
              <w:pStyle w:val="zSoquijlblProcureurDef"/>
            </w:pPr>
            <w:r w:rsidRPr="00324CF1">
              <w:t>Mtre Éloïse Noiseux</w:t>
            </w:r>
          </w:p>
          <w:p w14:paraId="54D3519B" w14:textId="77777777" w:rsidR="007B3283" w:rsidRPr="00324CF1" w:rsidRDefault="00ED47F8" w:rsidP="005A78BF">
            <w:pPr>
              <w:pStyle w:val="zSoquijlblProcureurDef"/>
            </w:pPr>
            <w:r w:rsidRPr="00324CF1">
              <w:t>Mtre Natalia Koper</w:t>
            </w:r>
          </w:p>
        </w:tc>
      </w:tr>
      <w:tr w:rsidR="00291C6F" w:rsidRPr="00324CF1" w14:paraId="7E77E18D" w14:textId="77777777" w:rsidTr="0006117A">
        <w:tc>
          <w:tcPr>
            <w:tcW w:w="9362" w:type="dxa"/>
            <w:gridSpan w:val="3"/>
            <w:tcBorders>
              <w:top w:val="nil"/>
            </w:tcBorders>
          </w:tcPr>
          <w:p w14:paraId="5E870FD9" w14:textId="77777777" w:rsidR="0046357D" w:rsidRPr="00324CF1" w:rsidRDefault="00ED47F8" w:rsidP="005A78BF">
            <w:pPr>
              <w:pStyle w:val="zSoquijlblProcureurDef"/>
            </w:pPr>
            <w:r w:rsidRPr="00324CF1">
              <w:rPr>
                <w:lang w:val="en-CA"/>
              </w:rPr>
              <w:t>DAVIES WARD PHILLIPS &amp; VINEBERG</w:t>
            </w:r>
          </w:p>
        </w:tc>
      </w:tr>
      <w:tr w:rsidR="00291C6F" w:rsidRPr="00005C57" w14:paraId="3557D9E4" w14:textId="77777777" w:rsidTr="0006117A">
        <w:tc>
          <w:tcPr>
            <w:tcW w:w="9362" w:type="dxa"/>
            <w:gridSpan w:val="3"/>
            <w:tcBorders>
              <w:top w:val="nil"/>
            </w:tcBorders>
          </w:tcPr>
          <w:p w14:paraId="5814E9BD" w14:textId="77777777" w:rsidR="0046357D" w:rsidRPr="00324CF1" w:rsidRDefault="00ED47F8" w:rsidP="005A78BF">
            <w:pPr>
              <w:pStyle w:val="zSoquijlblProcureurDef"/>
              <w:rPr>
                <w:lang w:val="en-US"/>
              </w:rPr>
            </w:pPr>
            <w:r w:rsidRPr="00324CF1">
              <w:rPr>
                <w:lang w:val="en-CA"/>
              </w:rPr>
              <w:t>For Airport Authority of India</w:t>
            </w:r>
          </w:p>
        </w:tc>
      </w:tr>
      <w:tr w:rsidR="00291C6F" w:rsidRPr="00005C57" w14:paraId="1AC1DE21" w14:textId="77777777" w:rsidTr="0006117A">
        <w:tc>
          <w:tcPr>
            <w:tcW w:w="9362" w:type="dxa"/>
            <w:gridSpan w:val="3"/>
            <w:tcBorders>
              <w:top w:val="nil"/>
            </w:tcBorders>
          </w:tcPr>
          <w:p w14:paraId="064EDEB1" w14:textId="77777777" w:rsidR="007B3283" w:rsidRPr="00324CF1" w:rsidRDefault="007B3283" w:rsidP="005A78BF">
            <w:pPr>
              <w:pStyle w:val="zSoquijlblProcureurDef"/>
              <w:rPr>
                <w:lang w:val="en-US"/>
              </w:rPr>
            </w:pPr>
          </w:p>
        </w:tc>
      </w:tr>
      <w:tr w:rsidR="00291C6F" w:rsidRPr="00324CF1" w14:paraId="4F402E06" w14:textId="77777777" w:rsidTr="0006117A">
        <w:tc>
          <w:tcPr>
            <w:tcW w:w="9362" w:type="dxa"/>
            <w:gridSpan w:val="3"/>
            <w:tcBorders>
              <w:top w:val="nil"/>
            </w:tcBorders>
          </w:tcPr>
          <w:p w14:paraId="1A7369D0" w14:textId="77777777" w:rsidR="007B3283" w:rsidRPr="00324CF1" w:rsidRDefault="00ED47F8" w:rsidP="005A78BF">
            <w:pPr>
              <w:pStyle w:val="zSoquijlblProcureurDef"/>
            </w:pPr>
            <w:r w:rsidRPr="00324CF1">
              <w:t>Mtre Ioana Jurca</w:t>
            </w:r>
          </w:p>
          <w:p w14:paraId="58AF1186" w14:textId="77777777" w:rsidR="007B3283" w:rsidRPr="00324CF1" w:rsidRDefault="00ED47F8" w:rsidP="005A78BF">
            <w:pPr>
              <w:pStyle w:val="zSoquijlblProcureurDef"/>
            </w:pPr>
            <w:r w:rsidRPr="00324CF1">
              <w:t>Mtre Marc-Antoine Côté</w:t>
            </w:r>
          </w:p>
        </w:tc>
      </w:tr>
      <w:tr w:rsidR="00291C6F" w:rsidRPr="00324CF1" w14:paraId="6AA6844B" w14:textId="77777777" w:rsidTr="0006117A">
        <w:tc>
          <w:tcPr>
            <w:tcW w:w="9362" w:type="dxa"/>
            <w:gridSpan w:val="3"/>
            <w:tcBorders>
              <w:top w:val="nil"/>
            </w:tcBorders>
          </w:tcPr>
          <w:p w14:paraId="6C328F0B" w14:textId="77777777" w:rsidR="007B3283" w:rsidRPr="00324CF1" w:rsidRDefault="00ED47F8" w:rsidP="005A78BF">
            <w:pPr>
              <w:pStyle w:val="zSoquijlblProcureurDef"/>
            </w:pPr>
            <w:r w:rsidRPr="00324CF1">
              <w:rPr>
                <w:lang w:val="en-CA"/>
              </w:rPr>
              <w:t>WOODS</w:t>
            </w:r>
          </w:p>
        </w:tc>
      </w:tr>
      <w:tr w:rsidR="00291C6F" w:rsidRPr="00324CF1" w14:paraId="2F0D156C" w14:textId="77777777" w:rsidTr="0006117A">
        <w:tc>
          <w:tcPr>
            <w:tcW w:w="9362" w:type="dxa"/>
            <w:gridSpan w:val="3"/>
            <w:tcBorders>
              <w:top w:val="nil"/>
            </w:tcBorders>
          </w:tcPr>
          <w:p w14:paraId="112E0F49" w14:textId="77777777" w:rsidR="007B3283" w:rsidRPr="00324CF1" w:rsidRDefault="00ED47F8" w:rsidP="005A78BF">
            <w:pPr>
              <w:pStyle w:val="zSoquijlblProcureurDef"/>
            </w:pPr>
            <w:r w:rsidRPr="00324CF1">
              <w:rPr>
                <w:lang w:val="en-CA"/>
              </w:rPr>
              <w:t>For Air India Limited</w:t>
            </w:r>
          </w:p>
        </w:tc>
      </w:tr>
      <w:tr w:rsidR="00291C6F" w:rsidRPr="00324CF1" w14:paraId="08902E63" w14:textId="77777777" w:rsidTr="0006117A">
        <w:tc>
          <w:tcPr>
            <w:tcW w:w="9362" w:type="dxa"/>
            <w:gridSpan w:val="3"/>
            <w:tcBorders>
              <w:top w:val="nil"/>
            </w:tcBorders>
          </w:tcPr>
          <w:p w14:paraId="23FBA907" w14:textId="77777777" w:rsidR="007B3283" w:rsidRPr="00324CF1" w:rsidRDefault="007B3283" w:rsidP="005A78BF">
            <w:pPr>
              <w:pStyle w:val="zSoquijlblProcureurDef"/>
            </w:pPr>
          </w:p>
        </w:tc>
      </w:tr>
      <w:tr w:rsidR="00291C6F" w:rsidRPr="00324CF1" w14:paraId="794C060A" w14:textId="77777777" w:rsidTr="0006117A">
        <w:tc>
          <w:tcPr>
            <w:tcW w:w="9362" w:type="dxa"/>
            <w:gridSpan w:val="3"/>
            <w:tcBorders>
              <w:top w:val="nil"/>
            </w:tcBorders>
          </w:tcPr>
          <w:p w14:paraId="1E505253" w14:textId="77777777" w:rsidR="007B3283" w:rsidRPr="00324CF1" w:rsidRDefault="00ED47F8" w:rsidP="005A78BF">
            <w:pPr>
              <w:pStyle w:val="zSoquijlblProcureurDef"/>
            </w:pPr>
            <w:r w:rsidRPr="00324CF1">
              <w:rPr>
                <w:lang w:val="en-CA"/>
              </w:rPr>
              <w:t>Mtre Claude Morency</w:t>
            </w:r>
          </w:p>
          <w:p w14:paraId="0A730323" w14:textId="77777777" w:rsidR="007B3283" w:rsidRPr="00324CF1" w:rsidRDefault="00ED47F8" w:rsidP="005A78BF">
            <w:pPr>
              <w:pStyle w:val="zSoquijlblProcureurDef"/>
            </w:pPr>
            <w:r w:rsidRPr="00324CF1">
              <w:rPr>
                <w:lang w:val="en-CA"/>
              </w:rPr>
              <w:t>Mtre Anthony Rudman</w:t>
            </w:r>
          </w:p>
        </w:tc>
      </w:tr>
      <w:tr w:rsidR="00291C6F" w:rsidRPr="00324CF1" w14:paraId="6E5291F0" w14:textId="77777777" w:rsidTr="0006117A">
        <w:tc>
          <w:tcPr>
            <w:tcW w:w="9362" w:type="dxa"/>
            <w:gridSpan w:val="3"/>
            <w:tcBorders>
              <w:top w:val="nil"/>
            </w:tcBorders>
          </w:tcPr>
          <w:p w14:paraId="7490B3E7" w14:textId="77777777" w:rsidR="007B3283" w:rsidRPr="00324CF1" w:rsidRDefault="00ED47F8" w:rsidP="005A78BF">
            <w:pPr>
              <w:pStyle w:val="zSoquijlblProcureurDef"/>
            </w:pPr>
            <w:r w:rsidRPr="00324CF1">
              <w:rPr>
                <w:lang w:val="en-CA"/>
              </w:rPr>
              <w:t>DENTONS CANADA</w:t>
            </w:r>
          </w:p>
        </w:tc>
      </w:tr>
      <w:tr w:rsidR="00291C6F" w:rsidRPr="00324CF1" w14:paraId="7F5A1125" w14:textId="77777777" w:rsidTr="0006117A">
        <w:tc>
          <w:tcPr>
            <w:tcW w:w="9362" w:type="dxa"/>
            <w:gridSpan w:val="3"/>
            <w:tcBorders>
              <w:top w:val="nil"/>
            </w:tcBorders>
          </w:tcPr>
          <w:p w14:paraId="70B5891D" w14:textId="77777777" w:rsidR="007B3283" w:rsidRPr="00324CF1" w:rsidRDefault="00ED47F8" w:rsidP="005A78BF">
            <w:pPr>
              <w:pStyle w:val="zSoquijlblProcureurDef"/>
            </w:pPr>
            <w:r w:rsidRPr="00324CF1">
              <w:rPr>
                <w:lang w:val="en-CA"/>
              </w:rPr>
              <w:t>For International Air Transport Association</w:t>
            </w:r>
          </w:p>
        </w:tc>
      </w:tr>
      <w:tr w:rsidR="00291C6F" w:rsidRPr="00324CF1" w14:paraId="5E5AD195" w14:textId="77777777" w:rsidTr="0006117A">
        <w:tc>
          <w:tcPr>
            <w:tcW w:w="9362" w:type="dxa"/>
            <w:gridSpan w:val="3"/>
            <w:tcBorders>
              <w:top w:val="nil"/>
            </w:tcBorders>
          </w:tcPr>
          <w:p w14:paraId="3D50C322" w14:textId="77777777" w:rsidR="005A78BF" w:rsidRPr="00324CF1" w:rsidRDefault="005A78BF" w:rsidP="005A78BF"/>
        </w:tc>
      </w:tr>
      <w:tr w:rsidR="00291C6F" w:rsidRPr="00324CF1" w14:paraId="2BE78845" w14:textId="77777777" w:rsidTr="0006117A">
        <w:tc>
          <w:tcPr>
            <w:tcW w:w="1997" w:type="dxa"/>
            <w:tcBorders>
              <w:top w:val="nil"/>
            </w:tcBorders>
          </w:tcPr>
          <w:p w14:paraId="5D271FFD" w14:textId="06E3455B" w:rsidR="005A78BF" w:rsidRPr="00324CF1" w:rsidRDefault="00ED47F8" w:rsidP="005A78BF">
            <w:pPr>
              <w:pStyle w:val="zSoquijlblDateAudience"/>
            </w:pPr>
            <w:r w:rsidRPr="00324CF1">
              <w:rPr>
                <w:lang w:val="en-CA"/>
              </w:rPr>
              <w:t>Dates of hearing:</w:t>
            </w:r>
          </w:p>
        </w:tc>
        <w:tc>
          <w:tcPr>
            <w:tcW w:w="7365" w:type="dxa"/>
            <w:gridSpan w:val="2"/>
            <w:tcBorders>
              <w:top w:val="nil"/>
            </w:tcBorders>
          </w:tcPr>
          <w:p w14:paraId="4103051A" w14:textId="77777777" w:rsidR="005A78BF" w:rsidRPr="00324CF1" w:rsidRDefault="00ED47F8" w:rsidP="0006117A">
            <w:pPr>
              <w:pStyle w:val="zSoquijdatDateAudience"/>
              <w:ind w:left="132"/>
            </w:pPr>
            <w:r w:rsidRPr="00324CF1">
              <w:rPr>
                <w:lang w:val="en-CA"/>
              </w:rPr>
              <w:t>December 11 and 12, 2023</w:t>
            </w:r>
          </w:p>
        </w:tc>
      </w:tr>
      <w:bookmarkEnd w:id="10"/>
    </w:tbl>
    <w:p w14:paraId="6C638007" w14:textId="77777777" w:rsidR="00740A17" w:rsidRDefault="00740A17" w:rsidP="0006117A"/>
    <w:sectPr w:rsidR="00740A17" w:rsidSect="0006117A">
      <w:headerReference w:type="default" r:id="rId8"/>
      <w:footerReference w:type="default" r:id="rId9"/>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EEDA5" w14:textId="77777777" w:rsidR="00ED47F8" w:rsidRDefault="00ED47F8">
      <w:pPr>
        <w:spacing w:line="240" w:lineRule="auto"/>
      </w:pPr>
      <w:r>
        <w:separator/>
      </w:r>
    </w:p>
  </w:endnote>
  <w:endnote w:type="continuationSeparator" w:id="0">
    <w:p w14:paraId="560AF189" w14:textId="77777777" w:rsidR="00ED47F8" w:rsidRDefault="00ED4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EA9" w14:textId="0C2ABDAC" w:rsidR="008C047A" w:rsidRPr="00005C57" w:rsidRDefault="008C047A" w:rsidP="008C047A">
    <w:pPr>
      <w:pStyle w:val="Pieddepage"/>
      <w:jc w:val="right"/>
      <w:rPr>
        <w:b/>
        <w:bCs/>
        <w:lang w:val="en-CA"/>
      </w:rPr>
    </w:pPr>
    <w:r w:rsidRPr="00005C57">
      <w:rPr>
        <w:b/>
        <w:bCs/>
        <w:lang w:val="en-CA"/>
      </w:rPr>
      <w:t>English translation of the judgment of the Court by SOQUIJ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2101" w14:textId="77777777" w:rsidR="009C37E6" w:rsidRDefault="00ED47F8">
      <w:r>
        <w:separator/>
      </w:r>
    </w:p>
  </w:footnote>
  <w:footnote w:type="continuationSeparator" w:id="0">
    <w:p w14:paraId="62AC93FD" w14:textId="77777777" w:rsidR="009C37E6" w:rsidRDefault="00ED47F8">
      <w:r>
        <w:continuationSeparator/>
      </w:r>
    </w:p>
  </w:footnote>
  <w:footnote w:id="1">
    <w:p w14:paraId="6C5B171D" w14:textId="77777777" w:rsidR="009458F1" w:rsidRPr="00324CF1" w:rsidRDefault="00ED47F8" w:rsidP="009458F1">
      <w:pPr>
        <w:pStyle w:val="Notedebasdepage"/>
        <w:rPr>
          <w:lang w:val="en-US"/>
        </w:rPr>
      </w:pPr>
      <w:r w:rsidRPr="00324CF1">
        <w:rPr>
          <w:rStyle w:val="Appelnotedebasdep"/>
          <w:lang w:val="en-CA"/>
        </w:rPr>
        <w:footnoteRef/>
      </w:r>
      <w:r w:rsidRPr="00324CF1">
        <w:rPr>
          <w:lang w:val="en-CA"/>
        </w:rPr>
        <w:t xml:space="preserve"> </w:t>
      </w:r>
      <w:r w:rsidRPr="00324CF1">
        <w:rPr>
          <w:lang w:val="en-CA"/>
        </w:rPr>
        <w:tab/>
        <w:t>Permanent Court of Arbitration, case number 2013-09, Award on Jurisdiction and Merits,</w:t>
      </w:r>
      <w:r w:rsidRPr="00324CF1">
        <w:rPr>
          <w:i/>
          <w:iCs/>
          <w:lang w:val="en-CA"/>
        </w:rPr>
        <w:t xml:space="preserve"> </w:t>
      </w:r>
      <w:r w:rsidRPr="00324CF1">
        <w:rPr>
          <w:lang w:val="en-CA"/>
        </w:rPr>
        <w:t>July 25, 2016.</w:t>
      </w:r>
    </w:p>
  </w:footnote>
  <w:footnote w:id="2">
    <w:p w14:paraId="7D929563" w14:textId="5B4457E5" w:rsidR="009458F1" w:rsidRPr="00324CF1" w:rsidRDefault="00ED47F8" w:rsidP="009458F1">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bookmarkStart w:id="16" w:name="_Hlk181967599"/>
      <w:bookmarkStart w:id="17" w:name="_Hlk181868509"/>
      <w:r w:rsidRPr="00324CF1">
        <w:rPr>
          <w:i/>
          <w:iCs/>
          <w:lang w:val="en-CA"/>
        </w:rPr>
        <w:t xml:space="preserve">Agreement between the </w:t>
      </w:r>
      <w:r w:rsidR="005B7A4A">
        <w:rPr>
          <w:i/>
          <w:iCs/>
          <w:lang w:val="en-CA"/>
        </w:rPr>
        <w:t>Republic of India and The Republic of Mauritius for the Promotion and Reciprocal Protection of Investments</w:t>
      </w:r>
      <w:r w:rsidRPr="00324CF1">
        <w:rPr>
          <w:lang w:val="en-CA"/>
        </w:rPr>
        <w:t>, September 4, 1998 [Treaty]</w:t>
      </w:r>
      <w:bookmarkEnd w:id="16"/>
      <w:r w:rsidRPr="00324CF1">
        <w:rPr>
          <w:lang w:val="en-CA"/>
        </w:rPr>
        <w:t>.</w:t>
      </w:r>
      <w:bookmarkEnd w:id="17"/>
    </w:p>
  </w:footnote>
  <w:footnote w:id="3">
    <w:p w14:paraId="7B79FFDB" w14:textId="67ECC8BA" w:rsidR="00436821"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bookmarkStart w:id="19" w:name="_Hlk181868308"/>
      <w:r w:rsidRPr="00324CF1">
        <w:rPr>
          <w:lang w:val="en-CA"/>
        </w:rPr>
        <w:t xml:space="preserve">Permanent Court of Arbitration, case number 2013-09, </w:t>
      </w:r>
      <w:r w:rsidR="00984815">
        <w:rPr>
          <w:lang w:val="en-CA"/>
        </w:rPr>
        <w:t>Award on the Quantum</w:t>
      </w:r>
      <w:r w:rsidRPr="00324CF1">
        <w:rPr>
          <w:lang w:val="en-CA"/>
        </w:rPr>
        <w:t xml:space="preserve">, October 13, 2020. </w:t>
      </w:r>
      <w:bookmarkEnd w:id="19"/>
    </w:p>
  </w:footnote>
  <w:footnote w:id="4">
    <w:p w14:paraId="12596F5F" w14:textId="01DD6DED" w:rsidR="00397624" w:rsidRPr="00324CF1" w:rsidRDefault="00ED47F8" w:rsidP="00397624">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Agreement for the Lease of Space Segment Capacity on ISRO/ANTRIX S</w:t>
      </w:r>
      <w:r w:rsidRPr="00324CF1">
        <w:rPr>
          <w:i/>
          <w:iCs/>
          <w:lang w:val="en-CA"/>
        </w:rPr>
        <w:noBreakHyphen/>
        <w:t>Band Spacecraft by Devas Multimedia PVT. Ltd</w:t>
      </w:r>
      <w:r w:rsidRPr="00324CF1">
        <w:rPr>
          <w:lang w:val="en-CA"/>
        </w:rPr>
        <w:t>, January 28, 2005</w:t>
      </w:r>
      <w:r w:rsidR="00814108">
        <w:rPr>
          <w:lang w:val="en-CA"/>
        </w:rPr>
        <w:t xml:space="preserve"> [Devas Agreement]</w:t>
      </w:r>
      <w:r w:rsidRPr="00324CF1">
        <w:rPr>
          <w:lang w:val="en-CA"/>
        </w:rPr>
        <w:t>.</w:t>
      </w:r>
    </w:p>
  </w:footnote>
  <w:footnote w:id="5">
    <w:p w14:paraId="0C1237E7" w14:textId="26CED539" w:rsidR="00792421" w:rsidRPr="00324CF1" w:rsidRDefault="00ED47F8" w:rsidP="00792421">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US</w:t>
      </w:r>
      <w:r w:rsidR="00814108">
        <w:rPr>
          <w:lang w:val="en-CA"/>
        </w:rPr>
        <w:t>$</w:t>
      </w:r>
      <w:r w:rsidRPr="00324CF1">
        <w:rPr>
          <w:lang w:val="en-CA"/>
        </w:rPr>
        <w:t>20 million for each of the two satellites.</w:t>
      </w:r>
    </w:p>
  </w:footnote>
  <w:footnote w:id="6">
    <w:p w14:paraId="31F748B9" w14:textId="77777777" w:rsidR="00470FC1"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ICC International Court of Arbitration, </w:t>
      </w:r>
      <w:r w:rsidRPr="00324CF1">
        <w:rPr>
          <w:i/>
          <w:iCs/>
          <w:lang w:val="en-CA"/>
        </w:rPr>
        <w:t>Devas Multimedia Private Limited (India) vs. Antrix Corporation Limited (India)</w:t>
      </w:r>
      <w:r w:rsidRPr="00324CF1">
        <w:rPr>
          <w:lang w:val="en-CA"/>
        </w:rPr>
        <w:t>, Case No. 18051/CYK, September 14, 2015 [ICC Award].</w:t>
      </w:r>
    </w:p>
  </w:footnote>
  <w:footnote w:id="7">
    <w:p w14:paraId="76ADB6B2" w14:textId="67D6A10E" w:rsidR="00F23904"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Award</w:t>
      </w:r>
      <w:r w:rsidR="00BF2135">
        <w:rPr>
          <w:lang w:val="en-CA"/>
        </w:rPr>
        <w:t xml:space="preserve"> on the </w:t>
      </w:r>
      <w:r w:rsidR="00DD133D">
        <w:rPr>
          <w:lang w:val="en-CA"/>
        </w:rPr>
        <w:t>M</w:t>
      </w:r>
      <w:r w:rsidR="00BF2135">
        <w:rPr>
          <w:lang w:val="en-CA"/>
        </w:rPr>
        <w:t>erits</w:t>
      </w:r>
      <w:r w:rsidRPr="00324CF1">
        <w:rPr>
          <w:lang w:val="en-CA"/>
        </w:rPr>
        <w:t xml:space="preserve">, </w:t>
      </w:r>
      <w:r w:rsidRPr="00324CF1">
        <w:rPr>
          <w:i/>
          <w:iCs/>
          <w:lang w:val="en-CA"/>
        </w:rPr>
        <w:t>supra</w:t>
      </w:r>
      <w:r w:rsidRPr="00324CF1">
        <w:rPr>
          <w:lang w:val="en-CA"/>
        </w:rPr>
        <w:t>, at note 1.</w:t>
      </w:r>
    </w:p>
  </w:footnote>
  <w:footnote w:id="8">
    <w:p w14:paraId="0146D489" w14:textId="11B3E4EB" w:rsidR="00C502C0"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Permanent Court of Arbitration, case number 2013-09, Procedural Order No.</w:t>
      </w:r>
      <w:r w:rsidRPr="00324CF1">
        <w:rPr>
          <w:i/>
          <w:iCs/>
          <w:lang w:val="en-CA"/>
        </w:rPr>
        <w:t xml:space="preserve"> </w:t>
      </w:r>
      <w:r w:rsidRPr="00324CF1">
        <w:rPr>
          <w:lang w:val="en-CA"/>
        </w:rPr>
        <w:t>7, December 21, 2016.</w:t>
      </w:r>
      <w:r w:rsidR="00331CB3">
        <w:rPr>
          <w:lang w:val="en-CA"/>
        </w:rPr>
        <w:t xml:space="preserve"> [PCA order of December 2016]</w:t>
      </w:r>
    </w:p>
  </w:footnote>
  <w:footnote w:id="9">
    <w:p w14:paraId="155447A4" w14:textId="77777777" w:rsidR="00D17AC3"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bookmarkStart w:id="22" w:name="_Hlk181868928"/>
      <w:r w:rsidRPr="00324CF1">
        <w:rPr>
          <w:lang w:val="en-CA"/>
        </w:rPr>
        <w:t>Permanent Court of Arbitration, case number 2014-10, Interim Award, December 13, 2017.</w:t>
      </w:r>
      <w:bookmarkEnd w:id="22"/>
    </w:p>
  </w:footnote>
  <w:footnote w:id="10">
    <w:p w14:paraId="5D4D1713" w14:textId="0FA77614" w:rsidR="00D17AC3"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Based on the translations of these judgments</w:t>
      </w:r>
      <w:r w:rsidR="00F670D8">
        <w:rPr>
          <w:lang w:val="en-CA"/>
        </w:rPr>
        <w:t>,</w:t>
      </w:r>
      <w:r w:rsidRPr="00324CF1">
        <w:rPr>
          <w:lang w:val="en-CA"/>
        </w:rPr>
        <w:t xml:space="preserve"> </w:t>
      </w:r>
      <w:r w:rsidR="00F670D8">
        <w:rPr>
          <w:lang w:val="en-CA"/>
        </w:rPr>
        <w:t>which</w:t>
      </w:r>
      <w:r w:rsidRPr="00324CF1">
        <w:rPr>
          <w:lang w:val="en-CA"/>
        </w:rPr>
        <w:t xml:space="preserve"> were </w:t>
      </w:r>
      <w:r w:rsidR="00F670D8">
        <w:rPr>
          <w:lang w:val="en-CA"/>
        </w:rPr>
        <w:t xml:space="preserve">filed </w:t>
      </w:r>
      <w:r w:rsidRPr="00324CF1">
        <w:rPr>
          <w:lang w:val="en-CA"/>
        </w:rPr>
        <w:t xml:space="preserve">in the </w:t>
      </w:r>
      <w:r w:rsidR="00F670D8">
        <w:rPr>
          <w:lang w:val="en-CA"/>
        </w:rPr>
        <w:t>record</w:t>
      </w:r>
      <w:r w:rsidRPr="00324CF1">
        <w:rPr>
          <w:lang w:val="en-CA"/>
        </w:rPr>
        <w:t xml:space="preserve">. CCDM/Devas pointed out that the Dutch Supreme Court has since dismissed the appeal </w:t>
      </w:r>
      <w:r w:rsidR="00F670D8">
        <w:rPr>
          <w:lang w:val="en-CA"/>
        </w:rPr>
        <w:t>from</w:t>
      </w:r>
      <w:r w:rsidR="00F670D8" w:rsidRPr="00324CF1">
        <w:rPr>
          <w:lang w:val="en-CA"/>
        </w:rPr>
        <w:t xml:space="preserve"> </w:t>
      </w:r>
      <w:r w:rsidRPr="00324CF1">
        <w:rPr>
          <w:lang w:val="en-CA"/>
        </w:rPr>
        <w:t>the</w:t>
      </w:r>
      <w:r w:rsidR="00F670D8">
        <w:rPr>
          <w:lang w:val="en-CA"/>
        </w:rPr>
        <w:t xml:space="preserve"> judgment of The</w:t>
      </w:r>
      <w:r w:rsidRPr="00324CF1">
        <w:rPr>
          <w:lang w:val="en-CA"/>
        </w:rPr>
        <w:t xml:space="preserve"> Hague Court of Appeal</w:t>
      </w:r>
      <w:r w:rsidR="00F670D8">
        <w:rPr>
          <w:lang w:val="en-CA"/>
        </w:rPr>
        <w:t>, quashing</w:t>
      </w:r>
      <w:r w:rsidRPr="00324CF1">
        <w:rPr>
          <w:lang w:val="en-CA"/>
        </w:rPr>
        <w:t xml:space="preserve"> the Award</w:t>
      </w:r>
      <w:r w:rsidR="00BF2135">
        <w:rPr>
          <w:lang w:val="en-CA"/>
        </w:rPr>
        <w:t xml:space="preserve"> on the merits</w:t>
      </w:r>
      <w:r w:rsidRPr="00324CF1">
        <w:rPr>
          <w:lang w:val="en-CA"/>
        </w:rPr>
        <w:t xml:space="preserve">, such that </w:t>
      </w:r>
      <w:r w:rsidR="00F670D8">
        <w:rPr>
          <w:lang w:val="en-CA"/>
        </w:rPr>
        <w:t>the judgment should now be considered final</w:t>
      </w:r>
      <w:r w:rsidRPr="00324CF1">
        <w:rPr>
          <w:lang w:val="en-CA"/>
        </w:rPr>
        <w:t xml:space="preserve">. However, this foreign judgment, which was </w:t>
      </w:r>
      <w:r w:rsidR="00F670D8">
        <w:rPr>
          <w:lang w:val="en-CA"/>
        </w:rPr>
        <w:t>rendered</w:t>
      </w:r>
      <w:r w:rsidR="00F670D8" w:rsidRPr="00324CF1">
        <w:rPr>
          <w:lang w:val="en-CA"/>
        </w:rPr>
        <w:t xml:space="preserve"> </w:t>
      </w:r>
      <w:r w:rsidRPr="00324CF1">
        <w:rPr>
          <w:lang w:val="en-CA"/>
        </w:rPr>
        <w:t xml:space="preserve">after the appeal was filed (February 6, 2023), is not in the </w:t>
      </w:r>
      <w:r w:rsidR="00F670D8">
        <w:rPr>
          <w:lang w:val="en-CA"/>
        </w:rPr>
        <w:t>record</w:t>
      </w:r>
      <w:r w:rsidRPr="00324CF1">
        <w:rPr>
          <w:lang w:val="en-CA"/>
        </w:rPr>
        <w:t>.</w:t>
      </w:r>
    </w:p>
  </w:footnote>
  <w:footnote w:id="11">
    <w:p w14:paraId="717B1797" w14:textId="77777777" w:rsidR="00D17AC3"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Permanent Court of Arbitration, case number 2014-10, Interim Award, December 13, 2017.</w:t>
      </w:r>
    </w:p>
  </w:footnote>
  <w:footnote w:id="12">
    <w:p w14:paraId="1A4502BB" w14:textId="2669861A" w:rsidR="00F23904" w:rsidRPr="00324CF1" w:rsidRDefault="00ED47F8" w:rsidP="00436821">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00984815">
        <w:rPr>
          <w:lang w:val="en-CA"/>
        </w:rPr>
        <w:t>Award on the Quantum</w:t>
      </w:r>
      <w:r w:rsidRPr="00324CF1">
        <w:rPr>
          <w:lang w:val="en-CA"/>
        </w:rPr>
        <w:t xml:space="preserve">, </w:t>
      </w:r>
      <w:r w:rsidRPr="00324CF1">
        <w:rPr>
          <w:i/>
          <w:iCs/>
          <w:lang w:val="en-CA"/>
        </w:rPr>
        <w:t>supra</w:t>
      </w:r>
      <w:r w:rsidRPr="00324CF1">
        <w:rPr>
          <w:lang w:val="en-CA"/>
        </w:rPr>
        <w:t>, at note 3.</w:t>
      </w:r>
    </w:p>
  </w:footnote>
  <w:footnote w:id="13">
    <w:p w14:paraId="6486719C" w14:textId="77777777" w:rsidR="0067625C" w:rsidRPr="00324CF1" w:rsidRDefault="00ED47F8" w:rsidP="0067625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Devas Multimedia Private Limited v. Antrix Corporation Limited</w:t>
      </w:r>
      <w:r w:rsidRPr="00324CF1">
        <w:rPr>
          <w:lang w:val="en-CA"/>
        </w:rPr>
        <w:t>, Supreme Court of India, IA No. 107899/2020, November 4, 2020.</w:t>
      </w:r>
    </w:p>
  </w:footnote>
  <w:footnote w:id="14">
    <w:p w14:paraId="14C157EC" w14:textId="77777777" w:rsidR="0067625C" w:rsidRPr="00324CF1" w:rsidRDefault="00ED47F8" w:rsidP="0067625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Arbitration and Conciliation (Amendment) Ordinance, 2020 </w:t>
      </w:r>
      <w:r w:rsidRPr="00324CF1">
        <w:rPr>
          <w:lang w:val="en-CA"/>
        </w:rPr>
        <w:t>(India), Act No. 14 of 2020, November 4, 2020.</w:t>
      </w:r>
    </w:p>
  </w:footnote>
  <w:footnote w:id="15">
    <w:p w14:paraId="5856C1F0" w14:textId="77777777" w:rsidR="0067625C" w:rsidRPr="00324CF1" w:rsidRDefault="00ED47F8" w:rsidP="0067625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Antrix Corporation Limited v. Devas Multimedia PVT Ltd &amp; Anr</w:t>
      </w:r>
      <w:r w:rsidRPr="00324CF1">
        <w:rPr>
          <w:lang w:val="en-CA"/>
        </w:rPr>
        <w:t xml:space="preserve">, NCLT, CP No. 06/BB/2021, January 17, 2021. </w:t>
      </w:r>
    </w:p>
  </w:footnote>
  <w:footnote w:id="16">
    <w:p w14:paraId="135AFFCA" w14:textId="77777777" w:rsidR="0067625C" w:rsidRPr="00324CF1" w:rsidRDefault="00ED47F8" w:rsidP="0067625C">
      <w:pPr>
        <w:pStyle w:val="Notedebasdepage"/>
        <w:rPr>
          <w:highlight w:val="green"/>
          <w:lang w:val="en-US"/>
        </w:rPr>
      </w:pPr>
      <w:r w:rsidRPr="00324CF1">
        <w:rPr>
          <w:rStyle w:val="Appelnotedebasdep"/>
          <w:lang w:val="en-CA"/>
        </w:rPr>
        <w:footnoteRef/>
      </w:r>
      <w:r w:rsidRPr="00005C57">
        <w:rPr>
          <w:lang w:val="en-CA"/>
        </w:rPr>
        <w:t xml:space="preserve"> </w:t>
      </w:r>
      <w:r w:rsidRPr="00005C57">
        <w:rPr>
          <w:lang w:val="en-CA"/>
        </w:rPr>
        <w:tab/>
      </w:r>
      <w:r w:rsidRPr="00005C57">
        <w:rPr>
          <w:i/>
          <w:iCs/>
          <w:lang w:val="en-CA"/>
        </w:rPr>
        <w:t xml:space="preserve">Devas Multimedia Private Ltd. v. Antrix Corp. Ltd., </w:t>
      </w:r>
      <w:r w:rsidRPr="00005C57">
        <w:rPr>
          <w:lang w:val="en-CA"/>
        </w:rPr>
        <w:t>No.</w:t>
      </w:r>
      <w:r w:rsidRPr="00005C57">
        <w:rPr>
          <w:i/>
          <w:iCs/>
          <w:lang w:val="en-CA"/>
        </w:rPr>
        <w:t xml:space="preserve"> </w:t>
      </w:r>
      <w:r w:rsidRPr="00324CF1">
        <w:rPr>
          <w:lang w:val="en-CA"/>
        </w:rPr>
        <w:t>C-18-1360 TSZ, U.S. Dist. Ct, February 24, 2021 (United States).</w:t>
      </w:r>
    </w:p>
  </w:footnote>
  <w:footnote w:id="17">
    <w:p w14:paraId="25139591" w14:textId="62D8C87A" w:rsidR="0067625C" w:rsidRPr="00324CF1" w:rsidRDefault="00ED47F8" w:rsidP="0067625C">
      <w:pPr>
        <w:pStyle w:val="Notedebasdepage"/>
        <w:spacing w:line="228" w:lineRule="auto"/>
        <w:rPr>
          <w:highlight w:val="green"/>
          <w:lang w:val="en-US"/>
        </w:rPr>
      </w:pPr>
      <w:r w:rsidRPr="00324CF1">
        <w:rPr>
          <w:rStyle w:val="Appelnotedebasdep"/>
          <w:lang w:val="en-CA"/>
        </w:rPr>
        <w:footnoteRef/>
      </w:r>
      <w:r w:rsidRPr="00324CF1">
        <w:rPr>
          <w:lang w:val="en-CA"/>
        </w:rPr>
        <w:t xml:space="preserve"> </w:t>
      </w:r>
      <w:r w:rsidRPr="00324CF1">
        <w:rPr>
          <w:lang w:val="en-CA"/>
        </w:rPr>
        <w:tab/>
        <w:t xml:space="preserve">Based on the translations of these judgments that were </w:t>
      </w:r>
      <w:r w:rsidR="002637EF">
        <w:rPr>
          <w:lang w:val="en-CA"/>
        </w:rPr>
        <w:t>filed in the record</w:t>
      </w:r>
      <w:r w:rsidRPr="00324CF1">
        <w:rPr>
          <w:lang w:val="en-CA"/>
        </w:rPr>
        <w:t>.</w:t>
      </w:r>
    </w:p>
  </w:footnote>
  <w:footnote w:id="18">
    <w:p w14:paraId="7B5DA374" w14:textId="77777777" w:rsidR="0067625C" w:rsidRPr="00324CF1" w:rsidRDefault="00ED47F8" w:rsidP="0067625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Antrix Corporation Limited v. Devas Multimedia Private Limited</w:t>
      </w:r>
      <w:r w:rsidRPr="00324CF1">
        <w:rPr>
          <w:lang w:val="en-CA"/>
        </w:rPr>
        <w:t>, NCLT, C.P. No. 06/BB/2021, May 25, 2021.</w:t>
      </w:r>
    </w:p>
  </w:footnote>
  <w:footnote w:id="19">
    <w:p w14:paraId="525499CB" w14:textId="77777777" w:rsidR="0067625C" w:rsidRPr="00324CF1" w:rsidRDefault="00ED47F8" w:rsidP="0067625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Devas Multimedia Private Limited v. Antrix Corporation Limited</w:t>
      </w:r>
      <w:r w:rsidRPr="00324CF1">
        <w:rPr>
          <w:lang w:val="en-CA"/>
        </w:rPr>
        <w:t>, NCLT Appellate Jurisdiction, Company Appeal (AT) (CH) No. 17 of 2021, June 7, 2021.</w:t>
      </w:r>
    </w:p>
  </w:footnote>
  <w:footnote w:id="20">
    <w:p w14:paraId="129CD5F1" w14:textId="77777777" w:rsidR="00C72667" w:rsidRPr="00324CF1" w:rsidRDefault="00ED47F8" w:rsidP="00C72667">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Devas Multimedia Private Limited v. Antrix Corporation Limited &amp; Anr.</w:t>
      </w:r>
      <w:r w:rsidRPr="00324CF1">
        <w:rPr>
          <w:lang w:val="en-CA"/>
        </w:rPr>
        <w:t>, C.A. No. 5766/2021, Supreme Court of India, January 17, 2022.</w:t>
      </w:r>
    </w:p>
  </w:footnote>
  <w:footnote w:id="21">
    <w:p w14:paraId="25C8462F" w14:textId="4F17F2FA" w:rsidR="00564AE8" w:rsidRPr="00324CF1" w:rsidRDefault="00ED47F8" w:rsidP="00564AE8">
      <w:pPr>
        <w:pStyle w:val="Notedebasdepage"/>
        <w:rPr>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CC/Devas (Mauritius) Ltd. c. Republic of India</w:t>
      </w:r>
      <w:r w:rsidRPr="00324CF1">
        <w:rPr>
          <w:lang w:val="en-CA"/>
        </w:rPr>
        <w:t>, C.S. Montréal, No. 500-17-119144-213, November 24, 2021, Granosik</w:t>
      </w:r>
      <w:r w:rsidR="00720CFC">
        <w:rPr>
          <w:lang w:val="en-CA"/>
        </w:rPr>
        <w:t>,</w:t>
      </w:r>
      <w:r w:rsidRPr="00324CF1">
        <w:rPr>
          <w:lang w:val="en-CA"/>
        </w:rPr>
        <w:t xml:space="preserve"> J. [Granosik Judgment].</w:t>
      </w:r>
    </w:p>
  </w:footnote>
  <w:footnote w:id="22">
    <w:p w14:paraId="0F39456E" w14:textId="6F970284" w:rsidR="00BC5695"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CC/Devas (Mauritius) Ltd. v. Republic of India</w:t>
      </w:r>
      <w:r w:rsidRPr="00324CF1">
        <w:rPr>
          <w:lang w:val="en-CA"/>
        </w:rPr>
        <w:t xml:space="preserve">, </w:t>
      </w:r>
      <w:r w:rsidR="005931B0">
        <w:rPr>
          <w:lang w:val="en-CA"/>
        </w:rPr>
        <w:t xml:space="preserve">(December 21, 2021), Montreal, </w:t>
      </w:r>
      <w:r w:rsidRPr="00324CF1">
        <w:rPr>
          <w:lang w:val="en-CA"/>
        </w:rPr>
        <w:t xml:space="preserve">500-17-119144-213 </w:t>
      </w:r>
      <w:r w:rsidR="005931B0">
        <w:rPr>
          <w:lang w:val="en-CA"/>
        </w:rPr>
        <w:t>(Sup. Ct.)</w:t>
      </w:r>
      <w:r w:rsidRPr="00324CF1">
        <w:rPr>
          <w:lang w:val="en-CA"/>
        </w:rPr>
        <w:t>, Buchhol</w:t>
      </w:r>
      <w:r w:rsidR="00CA6686" w:rsidRPr="00324CF1">
        <w:rPr>
          <w:lang w:val="en-CA"/>
        </w:rPr>
        <w:t>z</w:t>
      </w:r>
      <w:r w:rsidR="00720CFC">
        <w:rPr>
          <w:lang w:val="en-CA"/>
        </w:rPr>
        <w:t>,</w:t>
      </w:r>
      <w:r w:rsidR="00CA6686" w:rsidRPr="00324CF1">
        <w:rPr>
          <w:lang w:val="en-CA"/>
        </w:rPr>
        <w:t xml:space="preserve"> J</w:t>
      </w:r>
      <w:r w:rsidR="00037708" w:rsidRPr="00324CF1">
        <w:rPr>
          <w:lang w:val="en-CA"/>
        </w:rPr>
        <w:t>.</w:t>
      </w:r>
    </w:p>
  </w:footnote>
  <w:footnote w:id="23">
    <w:p w14:paraId="232943F6" w14:textId="77777777" w:rsidR="00C72667"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CC/Devas (Mauritius) Ltd. c. Republic of India</w:t>
      </w:r>
      <w:r w:rsidRPr="00324CF1">
        <w:rPr>
          <w:lang w:val="en-CA"/>
        </w:rPr>
        <w:t>, 2022 QCCS 7 [Judgment Quashing the Seizure].</w:t>
      </w:r>
    </w:p>
  </w:footnote>
  <w:footnote w:id="24">
    <w:p w14:paraId="0120F449" w14:textId="69D32001" w:rsidR="00C80E44" w:rsidRPr="005E6EB3" w:rsidRDefault="00ED47F8">
      <w:pPr>
        <w:pStyle w:val="Notedebasdepage"/>
        <w:rPr>
          <w:lang w:val="en-CA"/>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CCDM Holdings c. Airport Authority of India</w:t>
      </w:r>
      <w:r w:rsidRPr="00324CF1">
        <w:rPr>
          <w:lang w:val="en-CA"/>
        </w:rPr>
        <w:t>, 2022 QCCA 625</w:t>
      </w:r>
      <w:r w:rsidR="005931B0">
        <w:rPr>
          <w:lang w:val="en-CA"/>
        </w:rPr>
        <w:t>,</w:t>
      </w:r>
      <w:r w:rsidRPr="00324CF1">
        <w:rPr>
          <w:lang w:val="en-CA"/>
        </w:rPr>
        <w:t xml:space="preserve"> Marcotte</w:t>
      </w:r>
      <w:r w:rsidR="00720CFC">
        <w:rPr>
          <w:lang w:val="en-CA"/>
        </w:rPr>
        <w:t>,</w:t>
      </w:r>
      <w:r w:rsidRPr="00324CF1">
        <w:rPr>
          <w:lang w:val="en-CA"/>
        </w:rPr>
        <w:t xml:space="preserve"> J.A. </w:t>
      </w:r>
      <w:r w:rsidRPr="005E6EB3">
        <w:rPr>
          <w:lang w:val="en-CA"/>
        </w:rPr>
        <w:t>[Marcotte Judgment].</w:t>
      </w:r>
    </w:p>
  </w:footnote>
  <w:footnote w:id="25">
    <w:p w14:paraId="684845AC" w14:textId="3370CE35" w:rsidR="005D06DA" w:rsidRPr="00324CF1" w:rsidRDefault="00ED47F8" w:rsidP="005D06DA">
      <w:pPr>
        <w:pStyle w:val="Notedebasdepage"/>
      </w:pPr>
      <w:r w:rsidRPr="00324CF1">
        <w:rPr>
          <w:rStyle w:val="Appelnotedebasdep"/>
          <w:lang w:val="en-CA"/>
        </w:rPr>
        <w:footnoteRef/>
      </w:r>
      <w:r w:rsidRPr="00324CF1">
        <w:t xml:space="preserve"> </w:t>
      </w:r>
      <w:r w:rsidRPr="00324CF1">
        <w:tab/>
      </w:r>
      <w:r w:rsidRPr="00324CF1">
        <w:rPr>
          <w:i/>
          <w:iCs/>
        </w:rPr>
        <w:t>Air India Ltd</w:t>
      </w:r>
      <w:r w:rsidRPr="00324CF1">
        <w:t xml:space="preserve"> </w:t>
      </w:r>
      <w:r w:rsidRPr="00324CF1">
        <w:rPr>
          <w:i/>
          <w:iCs/>
        </w:rPr>
        <w:t>c.</w:t>
      </w:r>
      <w:r w:rsidRPr="00324CF1">
        <w:t xml:space="preserve"> </w:t>
      </w:r>
      <w:r w:rsidRPr="00324CF1">
        <w:rPr>
          <w:i/>
          <w:iCs/>
        </w:rPr>
        <w:t>CC/Devas (Mauritius) Ltd.</w:t>
      </w:r>
      <w:r w:rsidRPr="00324CF1">
        <w:t>, 2022 QCCA 218</w:t>
      </w:r>
      <w:r w:rsidR="002B6392">
        <w:t>,</w:t>
      </w:r>
      <w:r w:rsidRPr="00324CF1">
        <w:t xml:space="preserve"> Baudouin J.A.</w:t>
      </w:r>
    </w:p>
  </w:footnote>
  <w:footnote w:id="26">
    <w:p w14:paraId="37A5B752" w14:textId="1538671D" w:rsidR="008F47D9"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Air India, Ltd</w:t>
      </w:r>
      <w:r w:rsidRPr="00324CF1">
        <w:rPr>
          <w:lang w:val="en-CA"/>
        </w:rPr>
        <w:t xml:space="preserve"> c</w:t>
      </w:r>
      <w:r w:rsidRPr="00324CF1">
        <w:rPr>
          <w:i/>
          <w:iCs/>
          <w:lang w:val="en-CA"/>
        </w:rPr>
        <w:t>.</w:t>
      </w:r>
      <w:r w:rsidRPr="00324CF1">
        <w:rPr>
          <w:lang w:val="en-CA"/>
        </w:rPr>
        <w:t xml:space="preserve"> </w:t>
      </w:r>
      <w:r w:rsidRPr="00324CF1">
        <w:rPr>
          <w:i/>
          <w:iCs/>
          <w:lang w:val="en-CA"/>
        </w:rPr>
        <w:t>CC/Devas (Mauritius) Ltd</w:t>
      </w:r>
      <w:r w:rsidRPr="00324CF1">
        <w:rPr>
          <w:lang w:val="en-CA"/>
        </w:rPr>
        <w:t>, 2022 QCCA 1264, leave to appeal to the SC</w:t>
      </w:r>
      <w:r w:rsidR="002B6392">
        <w:rPr>
          <w:lang w:val="en-CA"/>
        </w:rPr>
        <w:t xml:space="preserve">C </w:t>
      </w:r>
      <w:r w:rsidRPr="00324CF1">
        <w:rPr>
          <w:lang w:val="en-CA"/>
        </w:rPr>
        <w:t xml:space="preserve">refused, </w:t>
      </w:r>
      <w:r w:rsidR="002B6392" w:rsidRPr="00324CF1">
        <w:rPr>
          <w:lang w:val="en-CA"/>
        </w:rPr>
        <w:t>40462</w:t>
      </w:r>
      <w:r w:rsidR="002B6392">
        <w:rPr>
          <w:lang w:val="en-CA"/>
        </w:rPr>
        <w:t xml:space="preserve"> (</w:t>
      </w:r>
      <w:r w:rsidRPr="00324CF1">
        <w:rPr>
          <w:lang w:val="en-CA"/>
        </w:rPr>
        <w:t>May 11, 2023</w:t>
      </w:r>
      <w:r w:rsidR="002B6392">
        <w:rPr>
          <w:lang w:val="en-CA"/>
        </w:rPr>
        <w:t xml:space="preserve">) </w:t>
      </w:r>
      <w:r w:rsidRPr="00324CF1">
        <w:rPr>
          <w:lang w:val="en-CA"/>
        </w:rPr>
        <w:t>[Air India Judgment].</w:t>
      </w:r>
    </w:p>
  </w:footnote>
  <w:footnote w:id="27">
    <w:p w14:paraId="6B768FF1" w14:textId="77777777" w:rsidR="00564AE8" w:rsidRPr="00324CF1" w:rsidRDefault="00ED47F8" w:rsidP="00564AE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Bill 206 (private), </w:t>
      </w:r>
      <w:r w:rsidRPr="00324CF1">
        <w:rPr>
          <w:i/>
          <w:iCs/>
          <w:lang w:val="en-CA"/>
        </w:rPr>
        <w:t>An Act respecting the International Air Transport Association</w:t>
      </w:r>
      <w:r w:rsidRPr="00324CF1">
        <w:rPr>
          <w:lang w:val="en-CA"/>
        </w:rPr>
        <w:t>, 2nd Sess, 42nd Leg, Quebec, 2022 [</w:t>
      </w:r>
      <w:r w:rsidRPr="00324CF1">
        <w:rPr>
          <w:i/>
          <w:iCs/>
          <w:lang w:val="en-CA"/>
        </w:rPr>
        <w:t>IATA Act</w:t>
      </w:r>
      <w:r w:rsidRPr="00324CF1">
        <w:rPr>
          <w:lang w:val="en-CA"/>
        </w:rPr>
        <w:t>].</w:t>
      </w:r>
    </w:p>
  </w:footnote>
  <w:footnote w:id="28">
    <w:p w14:paraId="3E7CF182" w14:textId="2FD877C3" w:rsidR="005D06DA" w:rsidRPr="00324CF1" w:rsidRDefault="00ED47F8" w:rsidP="005D06DA">
      <w:pPr>
        <w:pStyle w:val="Notedebasdepage"/>
        <w:rPr>
          <w:lang w:val="en-US"/>
        </w:rPr>
      </w:pPr>
      <w:r w:rsidRPr="00324CF1">
        <w:rPr>
          <w:rStyle w:val="Appelnotedebasdep"/>
          <w:rFonts w:cs="Arial"/>
          <w:lang w:val="en-CA"/>
        </w:rPr>
        <w:footnoteRef/>
      </w:r>
      <w:r w:rsidRPr="00324CF1">
        <w:rPr>
          <w:lang w:val="en-CA"/>
        </w:rPr>
        <w:t xml:space="preserve"> </w:t>
      </w:r>
      <w:bookmarkStart w:id="32" w:name="_Hlk172540006"/>
      <w:r w:rsidRPr="00324CF1">
        <w:rPr>
          <w:lang w:val="en-CA"/>
        </w:rPr>
        <w:tab/>
      </w:r>
      <w:r w:rsidRPr="00324CF1">
        <w:rPr>
          <w:i/>
          <w:iCs/>
          <w:lang w:val="en-CA"/>
        </w:rPr>
        <w:t>CC/Devas (Mauritius) Ltd. v. Republic of India</w:t>
      </w:r>
      <w:r w:rsidRPr="00324CF1">
        <w:rPr>
          <w:lang w:val="en-CA"/>
        </w:rPr>
        <w:t xml:space="preserve">, 2022 QCCS 3272 [Judgment on the </w:t>
      </w:r>
      <w:r w:rsidR="00A92438">
        <w:rPr>
          <w:lang w:val="en-CA"/>
        </w:rPr>
        <w:t>a</w:t>
      </w:r>
      <w:r w:rsidRPr="00324CF1">
        <w:rPr>
          <w:lang w:val="en-CA"/>
        </w:rPr>
        <w:t xml:space="preserve">pplication of the </w:t>
      </w:r>
      <w:r w:rsidRPr="00324CF1">
        <w:rPr>
          <w:i/>
          <w:iCs/>
          <w:lang w:val="en-CA"/>
        </w:rPr>
        <w:t>IATA Act</w:t>
      </w:r>
      <w:r w:rsidRPr="00324CF1">
        <w:rPr>
          <w:lang w:val="en-CA"/>
        </w:rPr>
        <w:t>].</w:t>
      </w:r>
      <w:bookmarkEnd w:id="32"/>
    </w:p>
  </w:footnote>
  <w:footnote w:id="29">
    <w:p w14:paraId="5A49E3DD" w14:textId="77777777" w:rsidR="00A3360A" w:rsidRPr="00324CF1" w:rsidRDefault="00ED47F8" w:rsidP="008F7FCE">
      <w:pPr>
        <w:pStyle w:val="Notedebasdepage"/>
        <w:rPr>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paras 20 and 50.</w:t>
      </w:r>
    </w:p>
  </w:footnote>
  <w:footnote w:id="30">
    <w:p w14:paraId="5FB774BE" w14:textId="77777777" w:rsidR="00B94D11" w:rsidRPr="00324CF1" w:rsidRDefault="00ED47F8" w:rsidP="008F7FCE">
      <w:pPr>
        <w:pStyle w:val="Notedebasdepage"/>
        <w:rPr>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62–78.</w:t>
      </w:r>
    </w:p>
  </w:footnote>
  <w:footnote w:id="31">
    <w:p w14:paraId="1C06869A" w14:textId="77777777" w:rsidR="00047B6C" w:rsidRPr="00324CF1" w:rsidRDefault="00ED47F8" w:rsidP="00047B6C">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State Immunity Act</w:t>
      </w:r>
      <w:r w:rsidRPr="00324CF1">
        <w:rPr>
          <w:lang w:val="en-CA"/>
        </w:rPr>
        <w:t xml:space="preserve"> (R.S.C., 1985, c. S-18) [</w:t>
      </w:r>
      <w:r w:rsidRPr="00324CF1">
        <w:rPr>
          <w:i/>
          <w:iCs/>
          <w:lang w:val="en-CA"/>
        </w:rPr>
        <w:t>SIA</w:t>
      </w:r>
      <w:r w:rsidRPr="00324CF1">
        <w:rPr>
          <w:lang w:val="en-CA"/>
        </w:rPr>
        <w:t>].</w:t>
      </w:r>
    </w:p>
  </w:footnote>
  <w:footnote w:id="32">
    <w:p w14:paraId="416672CC" w14:textId="77777777" w:rsidR="00047B6C" w:rsidRPr="00324CF1" w:rsidRDefault="00ED47F8" w:rsidP="00047B6C">
      <w:pPr>
        <w:pStyle w:val="Notedebasdepage"/>
        <w:spacing w:line="228" w:lineRule="auto"/>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 xml:space="preserve">CC/Devas (Mauritius) Ltd c. Republic of India, </w:t>
      </w:r>
      <w:r w:rsidRPr="00324CF1">
        <w:rPr>
          <w:rFonts w:cs="Arial"/>
          <w:lang w:val="en-CA"/>
        </w:rPr>
        <w:t>2022 QCCS 4785 [Judgment on Immunity].</w:t>
      </w:r>
    </w:p>
  </w:footnote>
  <w:footnote w:id="33">
    <w:p w14:paraId="124EE670" w14:textId="5FA45822" w:rsidR="00047B6C" w:rsidRPr="00324CF1" w:rsidRDefault="00ED47F8" w:rsidP="00047B6C">
      <w:pPr>
        <w:pStyle w:val="Notedebasdepage"/>
        <w:spacing w:line="228" w:lineRule="auto"/>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 xml:space="preserve">Republic of India c. CCDM Holdings, </w:t>
      </w:r>
      <w:r w:rsidRPr="00324CF1">
        <w:rPr>
          <w:rFonts w:cs="Arial"/>
          <w:lang w:val="en-CA"/>
        </w:rPr>
        <w:t>2023 QCCA 327</w:t>
      </w:r>
      <w:r w:rsidR="00BF1DE4">
        <w:rPr>
          <w:rFonts w:cs="Arial"/>
          <w:lang w:val="en-CA"/>
        </w:rPr>
        <w:t>,</w:t>
      </w:r>
      <w:r w:rsidRPr="00324CF1">
        <w:rPr>
          <w:rFonts w:cs="Arial"/>
          <w:lang w:val="en-CA"/>
        </w:rPr>
        <w:t xml:space="preserve"> Vauclair</w:t>
      </w:r>
      <w:r w:rsidR="00B16B21">
        <w:rPr>
          <w:rFonts w:cs="Arial"/>
          <w:lang w:val="en-CA"/>
        </w:rPr>
        <w:t>,</w:t>
      </w:r>
      <w:r w:rsidRPr="00324CF1">
        <w:rPr>
          <w:rFonts w:cs="Arial"/>
          <w:lang w:val="en-CA"/>
        </w:rPr>
        <w:t xml:space="preserve"> J.A. [Vauclair Judgment].</w:t>
      </w:r>
    </w:p>
  </w:footnote>
  <w:footnote w:id="34">
    <w:p w14:paraId="77EB007F" w14:textId="77777777" w:rsidR="00470A1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on Immunity, </w:t>
      </w:r>
      <w:r w:rsidRPr="00324CF1">
        <w:rPr>
          <w:i/>
          <w:iCs/>
          <w:lang w:val="en-CA"/>
        </w:rPr>
        <w:t>supra</w:t>
      </w:r>
      <w:r w:rsidRPr="00324CF1">
        <w:rPr>
          <w:lang w:val="en-CA"/>
        </w:rPr>
        <w:t>, at note 32.</w:t>
      </w:r>
    </w:p>
  </w:footnote>
  <w:footnote w:id="35">
    <w:p w14:paraId="0D7EEF9E" w14:textId="341816D7" w:rsidR="00470A1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Award</w:t>
      </w:r>
      <w:r w:rsidR="00BF2135">
        <w:rPr>
          <w:lang w:val="en-CA"/>
        </w:rPr>
        <w:t xml:space="preserve"> on the </w:t>
      </w:r>
      <w:r w:rsidR="00B16B21">
        <w:rPr>
          <w:lang w:val="en-CA"/>
        </w:rPr>
        <w:t>M</w:t>
      </w:r>
      <w:r w:rsidR="00BF2135">
        <w:rPr>
          <w:lang w:val="en-CA"/>
        </w:rPr>
        <w:t>erits</w:t>
      </w:r>
      <w:r w:rsidRPr="00324CF1">
        <w:rPr>
          <w:lang w:val="en-CA"/>
        </w:rPr>
        <w:t>,</w:t>
      </w:r>
      <w:r w:rsidRPr="00324CF1">
        <w:rPr>
          <w:i/>
          <w:iCs/>
          <w:lang w:val="en-CA"/>
        </w:rPr>
        <w:t xml:space="preserve"> supra</w:t>
      </w:r>
      <w:r w:rsidRPr="00324CF1">
        <w:rPr>
          <w:lang w:val="en-CA"/>
        </w:rPr>
        <w:t xml:space="preserve">, at note 1; </w:t>
      </w:r>
      <w:r w:rsidR="00984815">
        <w:rPr>
          <w:lang w:val="en-CA"/>
        </w:rPr>
        <w:t>Award on the Quantum</w:t>
      </w:r>
      <w:r w:rsidRPr="00324CF1">
        <w:rPr>
          <w:lang w:val="en-CA"/>
        </w:rPr>
        <w:t>,</w:t>
      </w:r>
      <w:r w:rsidRPr="00324CF1">
        <w:rPr>
          <w:i/>
          <w:iCs/>
          <w:lang w:val="en-CA"/>
        </w:rPr>
        <w:t xml:space="preserve"> supra</w:t>
      </w:r>
      <w:r w:rsidRPr="00324CF1">
        <w:rPr>
          <w:lang w:val="en-CA"/>
        </w:rPr>
        <w:t>, at note 3.</w:t>
      </w:r>
    </w:p>
  </w:footnote>
  <w:footnote w:id="36">
    <w:p w14:paraId="59BB2E07" w14:textId="2FA71235" w:rsidR="00470A1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on Immunity, </w:t>
      </w:r>
      <w:r w:rsidRPr="00324CF1">
        <w:rPr>
          <w:i/>
          <w:iCs/>
          <w:lang w:val="en-CA"/>
        </w:rPr>
        <w:t>supra</w:t>
      </w:r>
      <w:r w:rsidRPr="00324CF1">
        <w:rPr>
          <w:lang w:val="en-CA"/>
        </w:rPr>
        <w:t>, at note 32, at para</w:t>
      </w:r>
      <w:r w:rsidR="003779AA">
        <w:rPr>
          <w:lang w:val="en-CA"/>
        </w:rPr>
        <w:t>s</w:t>
      </w:r>
      <w:r w:rsidRPr="00324CF1">
        <w:rPr>
          <w:lang w:val="en-CA"/>
        </w:rPr>
        <w:t xml:space="preserve"> 39–42.</w:t>
      </w:r>
    </w:p>
  </w:footnote>
  <w:footnote w:id="37">
    <w:p w14:paraId="7CE1B422"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65–88.</w:t>
      </w:r>
    </w:p>
  </w:footnote>
  <w:footnote w:id="38">
    <w:p w14:paraId="79C86446"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89–108.</w:t>
      </w:r>
    </w:p>
  </w:footnote>
  <w:footnote w:id="39">
    <w:p w14:paraId="17BBCF3D"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109–125.</w:t>
      </w:r>
    </w:p>
  </w:footnote>
  <w:footnote w:id="40">
    <w:p w14:paraId="1B0A09BD"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paras 125–143. “The activity at stake herein is predominantly commercial: the ROI breached a commercial treaty by annulling a commercial contract without offering a </w:t>
      </w:r>
      <w:r w:rsidRPr="00324CF1">
        <w:rPr>
          <w:i/>
          <w:iCs/>
          <w:lang w:val="en-CA"/>
        </w:rPr>
        <w:t>fair and equitable compensation</w:t>
      </w:r>
      <w:r w:rsidRPr="00324CF1">
        <w:rPr>
          <w:lang w:val="en-CA"/>
        </w:rPr>
        <w:t xml:space="preserve"> to the investors being the Plaintiffs”.</w:t>
      </w:r>
    </w:p>
  </w:footnote>
  <w:footnote w:id="41">
    <w:p w14:paraId="6B246270"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153–157.</w:t>
      </w:r>
    </w:p>
  </w:footnote>
  <w:footnote w:id="42">
    <w:p w14:paraId="6DE1472A"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158–163.</w:t>
      </w:r>
    </w:p>
  </w:footnote>
  <w:footnote w:id="43">
    <w:p w14:paraId="7674066C" w14:textId="1B30F3D9"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United Nations Convention on Foreign Arbitral Awards</w:t>
      </w:r>
      <w:r w:rsidRPr="00324CF1">
        <w:rPr>
          <w:lang w:val="en-CA"/>
        </w:rPr>
        <w:t>, June 10, 1958, 330 UNTS 28 (</w:t>
      </w:r>
      <w:r w:rsidR="00602180">
        <w:rPr>
          <w:lang w:val="en-CA"/>
        </w:rPr>
        <w:t>coming</w:t>
      </w:r>
      <w:r w:rsidR="00602180" w:rsidRPr="00324CF1">
        <w:rPr>
          <w:lang w:val="en-CA"/>
        </w:rPr>
        <w:t xml:space="preserve"> </w:t>
      </w:r>
      <w:r w:rsidRPr="00324CF1">
        <w:rPr>
          <w:lang w:val="en-CA"/>
        </w:rPr>
        <w:t>into force in Canada on August 10, 1986) [</w:t>
      </w:r>
      <w:r w:rsidRPr="00324CF1">
        <w:rPr>
          <w:i/>
          <w:iCs/>
          <w:lang w:val="en-CA"/>
        </w:rPr>
        <w:t>New York Convention</w:t>
      </w:r>
      <w:r w:rsidRPr="00324CF1">
        <w:rPr>
          <w:lang w:val="en-CA"/>
        </w:rPr>
        <w:t>].</w:t>
      </w:r>
    </w:p>
  </w:footnote>
  <w:footnote w:id="44">
    <w:p w14:paraId="5C275A4A"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United Nations Foreign Arbitral Awards Convention Act</w:t>
      </w:r>
      <w:r w:rsidRPr="00324CF1">
        <w:rPr>
          <w:lang w:val="en-CA"/>
        </w:rPr>
        <w:t>, R.S.C., 1985, c. 16 (2nd Supp.).</w:t>
      </w:r>
    </w:p>
  </w:footnote>
  <w:footnote w:id="45">
    <w:p w14:paraId="6CBFA8DD" w14:textId="027135F9" w:rsidR="00BC160A" w:rsidRPr="005E6EB3" w:rsidRDefault="00ED47F8" w:rsidP="00BC160A">
      <w:pPr>
        <w:pStyle w:val="Notedebasdepage"/>
        <w:rPr>
          <w:lang w:val="en-US"/>
        </w:rPr>
      </w:pPr>
      <w:r w:rsidRPr="00324CF1">
        <w:rPr>
          <w:rStyle w:val="Appelnotedebasdep"/>
          <w:lang w:val="en-CA"/>
        </w:rPr>
        <w:footnoteRef/>
      </w:r>
      <w:r w:rsidRPr="005E6EB3">
        <w:rPr>
          <w:lang w:val="en-US"/>
        </w:rPr>
        <w:t xml:space="preserve"> </w:t>
      </w:r>
      <w:r w:rsidRPr="005E6EB3">
        <w:rPr>
          <w:lang w:val="en-US"/>
        </w:rPr>
        <w:tab/>
        <w:t>Art. 652 para 3 CCP.</w:t>
      </w:r>
      <w:r w:rsidRPr="005E6EB3">
        <w:rPr>
          <w:i/>
          <w:iCs/>
          <w:lang w:val="en-US"/>
        </w:rPr>
        <w:t xml:space="preserve"> </w:t>
      </w:r>
      <w:r w:rsidRPr="005E6EB3">
        <w:rPr>
          <w:lang w:val="en-US"/>
        </w:rPr>
        <w:t xml:space="preserve">See also Luc Chamberland, ed, </w:t>
      </w:r>
      <w:r w:rsidRPr="005E6EB3">
        <w:rPr>
          <w:i/>
          <w:iCs/>
          <w:lang w:val="en-US"/>
        </w:rPr>
        <w:t>Le grand collectif – Code de procédure civile, Commentaires et annotations</w:t>
      </w:r>
      <w:r w:rsidRPr="005E6EB3">
        <w:rPr>
          <w:lang w:val="en-US"/>
        </w:rPr>
        <w:t xml:space="preserve">, 8th ed, vol. 2 “Articles 391 à 836” (Montreal: Yvon Blais, 2023) at </w:t>
      </w:r>
      <w:r w:rsidR="006545D3" w:rsidRPr="005E6EB3">
        <w:rPr>
          <w:lang w:val="en-US"/>
        </w:rPr>
        <w:t>art</w:t>
      </w:r>
      <w:r w:rsidRPr="005E6EB3">
        <w:rPr>
          <w:lang w:val="en-US"/>
        </w:rPr>
        <w:t>. 652</w:t>
      </w:r>
      <w:r w:rsidR="00FD5AC9" w:rsidRPr="005E6EB3">
        <w:rPr>
          <w:lang w:val="en-US"/>
        </w:rPr>
        <w:t>,</w:t>
      </w:r>
      <w:r w:rsidRPr="005E6EB3">
        <w:rPr>
          <w:lang w:val="en-US"/>
        </w:rPr>
        <w:t xml:space="preserve"> Pierre J. Dalphond.</w:t>
      </w:r>
    </w:p>
  </w:footnote>
  <w:footnote w:id="46">
    <w:p w14:paraId="0FBE1A47"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The Foreign Awards (Recognition And Enforcement) Act</w:t>
      </w:r>
      <w:r w:rsidRPr="00324CF1">
        <w:rPr>
          <w:lang w:val="en-CA"/>
        </w:rPr>
        <w:t>,</w:t>
      </w:r>
      <w:r w:rsidRPr="00324CF1">
        <w:rPr>
          <w:i/>
          <w:iCs/>
          <w:lang w:val="en-CA"/>
        </w:rPr>
        <w:t xml:space="preserve"> 1961 </w:t>
      </w:r>
      <w:r w:rsidRPr="00324CF1">
        <w:rPr>
          <w:lang w:val="en-CA"/>
        </w:rPr>
        <w:t>(India), Act No. 45 of 1961, November 30, 1961.</w:t>
      </w:r>
    </w:p>
  </w:footnote>
  <w:footnote w:id="47">
    <w:p w14:paraId="0B02D02A" w14:textId="4C304E00"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on Immunity, </w:t>
      </w:r>
      <w:r w:rsidRPr="00324CF1">
        <w:rPr>
          <w:i/>
          <w:iCs/>
          <w:lang w:val="en-CA"/>
        </w:rPr>
        <w:t>supra</w:t>
      </w:r>
      <w:r w:rsidRPr="00324CF1">
        <w:rPr>
          <w:lang w:val="en-CA"/>
        </w:rPr>
        <w:t>, at note 32, paras 164–174.</w:t>
      </w:r>
    </w:p>
  </w:footnote>
  <w:footnote w:id="48">
    <w:p w14:paraId="05F8A1D8"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187–259.</w:t>
      </w:r>
    </w:p>
  </w:footnote>
  <w:footnote w:id="49">
    <w:p w14:paraId="2E6592FE" w14:textId="77777777"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Pr="00324CF1">
        <w:rPr>
          <w:rFonts w:cs="Arial"/>
          <w:i/>
          <w:iCs/>
          <w:lang w:val="en-CA"/>
        </w:rPr>
        <w:t>Ibid</w:t>
      </w:r>
      <w:r w:rsidRPr="00324CF1">
        <w:rPr>
          <w:rFonts w:cs="Arial"/>
          <w:lang w:val="en-CA"/>
        </w:rPr>
        <w:t>. at paras 185–226.</w:t>
      </w:r>
    </w:p>
  </w:footnote>
  <w:footnote w:id="50">
    <w:p w14:paraId="09C4E49B" w14:textId="77777777"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Pr="00324CF1">
        <w:rPr>
          <w:rFonts w:cs="Arial"/>
          <w:i/>
          <w:iCs/>
          <w:lang w:val="en-CA"/>
        </w:rPr>
        <w:t>Ibid</w:t>
      </w:r>
      <w:r w:rsidRPr="00324CF1">
        <w:rPr>
          <w:rFonts w:cs="Arial"/>
          <w:lang w:val="en-CA"/>
        </w:rPr>
        <w:t>. at paras 227–251.</w:t>
      </w:r>
    </w:p>
  </w:footnote>
  <w:footnote w:id="51">
    <w:p w14:paraId="6182C8FA" w14:textId="77777777" w:rsidR="000D53F4" w:rsidRPr="00324CF1" w:rsidRDefault="00ED47F8" w:rsidP="000D53F4">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Re Canada Labour Code</w:t>
      </w:r>
      <w:r w:rsidRPr="00324CF1">
        <w:rPr>
          <w:rFonts w:cs="Arial"/>
          <w:lang w:val="en-CA"/>
        </w:rPr>
        <w:t xml:space="preserve">, [1992] 2 SCR 50, at 73. See also </w:t>
      </w:r>
      <w:r w:rsidRPr="00324CF1">
        <w:rPr>
          <w:rFonts w:cs="Arial"/>
          <w:i/>
          <w:iCs/>
          <w:lang w:val="en-CA"/>
        </w:rPr>
        <w:t>Kuwait Airways Corp. v. Iraq</w:t>
      </w:r>
      <w:r w:rsidRPr="00324CF1">
        <w:rPr>
          <w:rFonts w:cs="Arial"/>
          <w:lang w:val="en-CA"/>
        </w:rPr>
        <w:t>, 2010 SCC 40, at para 33 [</w:t>
      </w:r>
      <w:r w:rsidRPr="00324CF1">
        <w:rPr>
          <w:rFonts w:cs="Arial"/>
          <w:i/>
          <w:iCs/>
          <w:lang w:val="en-CA"/>
        </w:rPr>
        <w:t>Kuwait Airways</w:t>
      </w:r>
      <w:r w:rsidRPr="00324CF1">
        <w:rPr>
          <w:rFonts w:cs="Arial"/>
          <w:lang w:val="en-CA"/>
        </w:rPr>
        <w:t xml:space="preserve"> (SCC)]; </w:t>
      </w:r>
      <w:r w:rsidRPr="00324CF1">
        <w:rPr>
          <w:rFonts w:cs="Arial"/>
          <w:i/>
          <w:iCs/>
          <w:lang w:val="en-CA"/>
        </w:rPr>
        <w:t>Homburg v. Stichting Autoriteit Financiele Markten</w:t>
      </w:r>
      <w:r w:rsidRPr="00324CF1">
        <w:rPr>
          <w:rFonts w:cs="Arial"/>
          <w:lang w:val="en-CA"/>
        </w:rPr>
        <w:t>, 2016 NSSC 317 (CanLII), at para 40.</w:t>
      </w:r>
    </w:p>
  </w:footnote>
  <w:footnote w:id="52">
    <w:p w14:paraId="71650146" w14:textId="77777777" w:rsidR="00B21EFD" w:rsidRPr="00324CF1" w:rsidRDefault="00ED47F8" w:rsidP="00B21EFD">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Hazel Fox and Philippa Webb, </w:t>
      </w:r>
      <w:r w:rsidRPr="00324CF1">
        <w:rPr>
          <w:i/>
          <w:iCs/>
          <w:lang w:val="en-CA"/>
        </w:rPr>
        <w:t>The Law of State Immunity</w:t>
      </w:r>
      <w:r w:rsidRPr="00324CF1">
        <w:rPr>
          <w:lang w:val="en-CA"/>
        </w:rPr>
        <w:t>, 3rd ed, (Oxford: Oxford University Press, 2013) at 403.</w:t>
      </w:r>
    </w:p>
  </w:footnote>
  <w:footnote w:id="53">
    <w:p w14:paraId="4AEECE32" w14:textId="77777777" w:rsidR="009900C6" w:rsidRPr="00324CF1" w:rsidRDefault="00ED47F8" w:rsidP="009900C6">
      <w:pPr>
        <w:pStyle w:val="Notedebasdepage"/>
        <w:spacing w:line="228" w:lineRule="auto"/>
        <w:rPr>
          <w:rFonts w:cs="Arial"/>
          <w:lang w:val="en-US"/>
        </w:rPr>
      </w:pPr>
      <w:r w:rsidRPr="00324CF1">
        <w:rPr>
          <w:rStyle w:val="Appelnotedebasdep"/>
          <w:rFonts w:cs="Arial"/>
          <w:lang w:val="en-CA"/>
        </w:rPr>
        <w:footnoteRef/>
      </w:r>
      <w:r w:rsidRPr="00324CF1">
        <w:rPr>
          <w:rFonts w:cs="Arial"/>
          <w:lang w:val="en-CA"/>
        </w:rPr>
        <w:tab/>
        <w:t xml:space="preserve">Frédéric Bachand, “Overcoming Immunity–Based Objections to the Recognition and Enforcement in Canada of Investor–State Awards” (2009) 26:1 </w:t>
      </w:r>
      <w:r w:rsidRPr="00324CF1">
        <w:rPr>
          <w:rFonts w:cs="Arial"/>
          <w:i/>
          <w:iCs/>
          <w:lang w:val="en-CA"/>
        </w:rPr>
        <w:t>Journal of International Arbitration</w:t>
      </w:r>
      <w:r w:rsidRPr="00324CF1">
        <w:rPr>
          <w:rFonts w:cs="Arial"/>
          <w:lang w:val="en-CA"/>
        </w:rPr>
        <w:t xml:space="preserve"> 59 at 73 and 75.</w:t>
      </w:r>
    </w:p>
  </w:footnote>
  <w:footnote w:id="54">
    <w:p w14:paraId="46692011" w14:textId="190FF7AF" w:rsidR="009900C6" w:rsidRPr="00324CF1" w:rsidRDefault="00ED47F8" w:rsidP="009900C6">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00491612">
        <w:rPr>
          <w:rFonts w:cs="Arial"/>
          <w:i/>
          <w:iCs/>
          <w:lang w:val="en-CA"/>
        </w:rPr>
        <w:t>Ibid.</w:t>
      </w:r>
      <w:r w:rsidRPr="00491612">
        <w:rPr>
          <w:rFonts w:cs="Arial"/>
          <w:lang w:val="en-CA"/>
        </w:rPr>
        <w:t xml:space="preserve"> at</w:t>
      </w:r>
      <w:r w:rsidRPr="00324CF1">
        <w:rPr>
          <w:rFonts w:cs="Arial"/>
          <w:lang w:val="en-CA"/>
        </w:rPr>
        <w:t xml:space="preserve"> 83.</w:t>
      </w:r>
    </w:p>
  </w:footnote>
  <w:footnote w:id="55">
    <w:p w14:paraId="4A000617" w14:textId="77777777" w:rsidR="00D03C93" w:rsidRPr="00324CF1" w:rsidRDefault="00ED47F8" w:rsidP="00D03C9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New Jersey (Department of the Treasury of the State of), Division of Investment c. Trudel</w:t>
      </w:r>
      <w:r w:rsidRPr="00324CF1">
        <w:rPr>
          <w:lang w:val="en-CA"/>
        </w:rPr>
        <w:t>, 2009 QCCA 86, at para 22 [</w:t>
      </w:r>
      <w:r w:rsidRPr="00324CF1">
        <w:rPr>
          <w:i/>
          <w:iCs/>
          <w:lang w:val="en-CA"/>
        </w:rPr>
        <w:t>Trudel</w:t>
      </w:r>
      <w:r w:rsidRPr="00324CF1">
        <w:rPr>
          <w:lang w:val="en-CA"/>
        </w:rPr>
        <w:t>].</w:t>
      </w:r>
    </w:p>
  </w:footnote>
  <w:footnote w:id="56">
    <w:p w14:paraId="7DF678FE" w14:textId="4FC861DC" w:rsidR="00D03C93" w:rsidRPr="00324CF1" w:rsidRDefault="00ED47F8" w:rsidP="00D03C9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w:t>
      </w:r>
      <w:r w:rsidRPr="00324CF1">
        <w:rPr>
          <w:i/>
          <w:iCs/>
          <w:lang w:val="en-CA"/>
        </w:rPr>
        <w:t>Tanny c. United States Attorney General</w:t>
      </w:r>
      <w:r w:rsidRPr="00324CF1">
        <w:rPr>
          <w:lang w:val="en-CA"/>
        </w:rPr>
        <w:t>, 2023 QCCA 1234, at paras 18–20, application for leave to appeal to S</w:t>
      </w:r>
      <w:r w:rsidR="00B83E9B">
        <w:rPr>
          <w:lang w:val="en-CA"/>
        </w:rPr>
        <w:t>CCrefused</w:t>
      </w:r>
      <w:r w:rsidRPr="00324CF1">
        <w:rPr>
          <w:lang w:val="en-CA"/>
        </w:rPr>
        <w:t>,</w:t>
      </w:r>
      <w:r w:rsidR="00B83E9B">
        <w:rPr>
          <w:lang w:val="en-CA"/>
        </w:rPr>
        <w:t xml:space="preserve"> 41029</w:t>
      </w:r>
      <w:r w:rsidRPr="00324CF1">
        <w:rPr>
          <w:lang w:val="en-CA"/>
        </w:rPr>
        <w:t xml:space="preserve"> </w:t>
      </w:r>
      <w:r w:rsidR="00B83E9B">
        <w:rPr>
          <w:lang w:val="en-CA"/>
        </w:rPr>
        <w:t>(</w:t>
      </w:r>
      <w:r w:rsidRPr="00324CF1">
        <w:rPr>
          <w:lang w:val="en-CA"/>
        </w:rPr>
        <w:t>May 30, 2024</w:t>
      </w:r>
      <w:r w:rsidR="00B83E9B">
        <w:rPr>
          <w:lang w:val="en-CA"/>
        </w:rPr>
        <w:t>)</w:t>
      </w:r>
      <w:r w:rsidRPr="00324CF1">
        <w:rPr>
          <w:lang w:val="en-CA"/>
        </w:rPr>
        <w:t xml:space="preserve"> [</w:t>
      </w:r>
      <w:r w:rsidRPr="00324CF1">
        <w:rPr>
          <w:i/>
          <w:iCs/>
          <w:lang w:val="en-CA"/>
        </w:rPr>
        <w:t>Tanny</w:t>
      </w:r>
      <w:r w:rsidRPr="00324CF1">
        <w:rPr>
          <w:lang w:val="en-CA"/>
        </w:rPr>
        <w:t xml:space="preserve">], quoting </w:t>
      </w:r>
      <w:r w:rsidRPr="00324CF1">
        <w:rPr>
          <w:i/>
          <w:iCs/>
          <w:lang w:val="en-CA"/>
        </w:rPr>
        <w:t>Dostie c. Procureur général du Canada</w:t>
      </w:r>
      <w:r w:rsidRPr="00324CF1">
        <w:rPr>
          <w:lang w:val="en-CA"/>
        </w:rPr>
        <w:t>, 2022 QCCA 1652, at para 22, application for leave to appeal to S</w:t>
      </w:r>
      <w:r w:rsidR="00B83E9B">
        <w:rPr>
          <w:lang w:val="en-CA"/>
        </w:rPr>
        <w:t>CC refused</w:t>
      </w:r>
      <w:r w:rsidRPr="00324CF1">
        <w:rPr>
          <w:lang w:val="en-CA"/>
        </w:rPr>
        <w:t>,</w:t>
      </w:r>
      <w:r w:rsidR="00B83E9B">
        <w:rPr>
          <w:lang w:val="en-CA"/>
        </w:rPr>
        <w:t xml:space="preserve"> 40597</w:t>
      </w:r>
      <w:r w:rsidRPr="00324CF1">
        <w:rPr>
          <w:lang w:val="en-CA"/>
        </w:rPr>
        <w:t xml:space="preserve"> </w:t>
      </w:r>
      <w:r w:rsidR="00B83E9B">
        <w:rPr>
          <w:lang w:val="en-CA"/>
        </w:rPr>
        <w:t>(</w:t>
      </w:r>
      <w:r w:rsidRPr="00324CF1">
        <w:rPr>
          <w:lang w:val="en-CA"/>
        </w:rPr>
        <w:t>July 27, 2023</w:t>
      </w:r>
      <w:r w:rsidR="00B83E9B">
        <w:rPr>
          <w:lang w:val="en-CA"/>
        </w:rPr>
        <w:t>)</w:t>
      </w:r>
      <w:r w:rsidRPr="00324CF1">
        <w:rPr>
          <w:lang w:val="en-CA"/>
        </w:rPr>
        <w:t>.</w:t>
      </w:r>
    </w:p>
  </w:footnote>
  <w:footnote w:id="57">
    <w:p w14:paraId="738CA3E7"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Defense Contract Management Agency – Americas (Canada) v. Public Service Alliance of Canada</w:t>
      </w:r>
      <w:r w:rsidRPr="00324CF1">
        <w:rPr>
          <w:lang w:val="en-CA"/>
        </w:rPr>
        <w:t xml:space="preserve">, 2013 ONSC 2005, at para 45; Xiaodong Yang, </w:t>
      </w:r>
      <w:r w:rsidRPr="00324CF1">
        <w:rPr>
          <w:i/>
          <w:iCs/>
          <w:lang w:val="en-CA"/>
        </w:rPr>
        <w:t>State Immunity and International Law (</w:t>
      </w:r>
      <w:r w:rsidRPr="00324CF1">
        <w:rPr>
          <w:lang w:val="en-CA"/>
        </w:rPr>
        <w:t>Cambridge: Cambridge University Press, 2012) at 342.</w:t>
      </w:r>
    </w:p>
  </w:footnote>
  <w:footnote w:id="58">
    <w:p w14:paraId="7578CA07"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United States of America v. Zakhary</w:t>
      </w:r>
      <w:r w:rsidRPr="00324CF1">
        <w:rPr>
          <w:rFonts w:cs="Arial"/>
          <w:lang w:val="en-CA"/>
        </w:rPr>
        <w:t>, 2015 FC 335, at para 27.</w:t>
      </w:r>
    </w:p>
  </w:footnote>
  <w:footnote w:id="59">
    <w:p w14:paraId="35EB6B26"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in particular: Mees Brenninkmeijer &amp; Fabien Gélinas, “Execution Immunities and the Effect of the Arbitration Agreement” (2020) 37:5 </w:t>
      </w:r>
      <w:r w:rsidRPr="00324CF1">
        <w:rPr>
          <w:i/>
          <w:iCs/>
          <w:lang w:val="en-CA"/>
        </w:rPr>
        <w:t>Journal of International Arbitration</w:t>
      </w:r>
      <w:r w:rsidRPr="00324CF1">
        <w:rPr>
          <w:lang w:val="en-CA"/>
        </w:rPr>
        <w:t xml:space="preserve"> 549 at 586–587; Andrea K. Bjorklund, “Sovereign Immunity as a Barrier to the Enforcement of Investor-State Arbitral Awards: The Re-polization of International Investment Disputes” (2011) 21:1 </w:t>
      </w:r>
      <w:r w:rsidRPr="00324CF1">
        <w:rPr>
          <w:i/>
          <w:iCs/>
          <w:lang w:val="en-CA"/>
        </w:rPr>
        <w:t xml:space="preserve">American Review of International Arbitration </w:t>
      </w:r>
      <w:r w:rsidRPr="00324CF1">
        <w:rPr>
          <w:lang w:val="en-CA"/>
        </w:rPr>
        <w:t xml:space="preserve">211 at 240; Alexis Blane, “Sovereign Immunity as a Bar to the Execution of International Arbitral Awards” (2009) 41:2 </w:t>
      </w:r>
      <w:r w:rsidRPr="00324CF1">
        <w:rPr>
          <w:i/>
          <w:iCs/>
          <w:lang w:val="en-CA"/>
        </w:rPr>
        <w:t xml:space="preserve">New York University Journal of International Law and Politics </w:t>
      </w:r>
      <w:r w:rsidRPr="00324CF1">
        <w:rPr>
          <w:lang w:val="en-CA"/>
        </w:rPr>
        <w:t>453 at 483.</w:t>
      </w:r>
    </w:p>
  </w:footnote>
  <w:footnote w:id="60">
    <w:p w14:paraId="237A6D58" w14:textId="555F24B7"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lang w:val="en-CA"/>
        </w:rPr>
        <w:tab/>
      </w:r>
      <w:bookmarkStart w:id="71" w:name="_Hlk177656364"/>
      <w:r w:rsidRPr="00324CF1">
        <w:rPr>
          <w:lang w:val="en-CA"/>
        </w:rPr>
        <w:t xml:space="preserve">F. Bachand, </w:t>
      </w:r>
      <w:r w:rsidRPr="00324CF1">
        <w:rPr>
          <w:i/>
          <w:iCs/>
          <w:lang w:val="en-CA"/>
        </w:rPr>
        <w:t>supra</w:t>
      </w:r>
      <w:r w:rsidRPr="00324CF1">
        <w:rPr>
          <w:lang w:val="en-CA"/>
        </w:rPr>
        <w:t xml:space="preserve">, note </w:t>
      </w:r>
      <w:bookmarkEnd w:id="71"/>
      <w:r w:rsidRPr="00324CF1">
        <w:rPr>
          <w:lang w:val="en-CA"/>
        </w:rPr>
        <w:t>53 at 82.</w:t>
      </w:r>
    </w:p>
  </w:footnote>
  <w:footnote w:id="61">
    <w:p w14:paraId="2AC188F6"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Collavino Incorporated v. Yemen (Tihama Development Authority)</w:t>
      </w:r>
      <w:r w:rsidRPr="00324CF1">
        <w:rPr>
          <w:lang w:val="en-CA"/>
        </w:rPr>
        <w:t xml:space="preserve">, </w:t>
      </w:r>
      <w:r w:rsidRPr="00324CF1">
        <w:rPr>
          <w:kern w:val="28"/>
          <w:lang w:val="en-CA"/>
        </w:rPr>
        <w:t>2007 ABQB 212 [</w:t>
      </w:r>
      <w:r w:rsidRPr="00324CF1">
        <w:rPr>
          <w:i/>
          <w:iCs/>
          <w:kern w:val="28"/>
          <w:lang w:val="en-CA"/>
        </w:rPr>
        <w:t>Collavino</w:t>
      </w:r>
      <w:r w:rsidRPr="00324CF1">
        <w:rPr>
          <w:kern w:val="28"/>
          <w:lang w:val="en-CA"/>
        </w:rPr>
        <w:t>].</w:t>
      </w:r>
    </w:p>
  </w:footnote>
  <w:footnote w:id="62">
    <w:p w14:paraId="5DAFFD7D" w14:textId="4FBC8933"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Pr="00324CF1">
        <w:rPr>
          <w:rFonts w:cs="Arial"/>
          <w:i/>
          <w:iCs/>
          <w:lang w:val="en-CA"/>
        </w:rPr>
        <w:t>Ibid.</w:t>
      </w:r>
      <w:r w:rsidRPr="00324CF1">
        <w:rPr>
          <w:rFonts w:cs="Arial"/>
          <w:lang w:val="en-CA"/>
        </w:rPr>
        <w:t xml:space="preserve"> at para 139.</w:t>
      </w:r>
    </w:p>
  </w:footnote>
  <w:footnote w:id="63">
    <w:p w14:paraId="439C801F" w14:textId="3E105A9F"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lang w:val="en-CA"/>
        </w:rPr>
        <w:tab/>
        <w:t xml:space="preserve">F. Bachand, </w:t>
      </w:r>
      <w:r w:rsidRPr="00324CF1">
        <w:rPr>
          <w:i/>
          <w:iCs/>
          <w:lang w:val="en-CA"/>
        </w:rPr>
        <w:t>supra</w:t>
      </w:r>
      <w:r w:rsidRPr="00324CF1">
        <w:rPr>
          <w:lang w:val="en-CA"/>
        </w:rPr>
        <w:t>, note 53 at 86</w:t>
      </w:r>
      <w:r w:rsidR="006C0C70">
        <w:rPr>
          <w:lang w:val="en-CA"/>
        </w:rPr>
        <w:t>–</w:t>
      </w:r>
      <w:r w:rsidRPr="00324CF1">
        <w:rPr>
          <w:lang w:val="en-CA"/>
        </w:rPr>
        <w:t>87.</w:t>
      </w:r>
    </w:p>
  </w:footnote>
  <w:footnote w:id="64">
    <w:p w14:paraId="65EC0BB0"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Style w:val="ui-provider"/>
          <w:rFonts w:cs="Arial"/>
          <w:lang w:val="en-CA"/>
        </w:rPr>
        <w:t xml:space="preserve">Mark A. Cymrot, “Enforcing Sovereign Arbitral Awards – State Defences and Creditor Strategies in an Imperfect World” in Tom Ruys, Nicolas Angelet and Lucas Ferro (eds), </w:t>
      </w:r>
      <w:r w:rsidRPr="00324CF1">
        <w:rPr>
          <w:rStyle w:val="ui-provider"/>
          <w:rFonts w:cs="Arial"/>
          <w:i/>
          <w:iCs/>
          <w:lang w:val="en-CA"/>
        </w:rPr>
        <w:t>The Cambridge Handbook of Immunities and International La</w:t>
      </w:r>
      <w:r w:rsidRPr="00324CF1">
        <w:rPr>
          <w:rStyle w:val="ui-provider"/>
          <w:rFonts w:cs="Arial"/>
          <w:lang w:val="en-CA"/>
        </w:rPr>
        <w:t>w (Cambridge: Cambridge University Press, 2019) 350 at 356.</w:t>
      </w:r>
    </w:p>
  </w:footnote>
  <w:footnote w:id="65">
    <w:p w14:paraId="2B894464" w14:textId="59A1A8D1" w:rsidR="00314927" w:rsidRPr="00324CF1" w:rsidRDefault="00ED47F8" w:rsidP="00314927">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 xml:space="preserve">Sunlodges Ltd v. The United Republic of Tanzania, </w:t>
      </w:r>
      <w:r w:rsidRPr="00324CF1">
        <w:rPr>
          <w:rFonts w:cs="Arial"/>
          <w:lang w:val="en-CA"/>
        </w:rPr>
        <w:t>2020 ONSC 8201 [</w:t>
      </w:r>
      <w:r w:rsidRPr="00324CF1">
        <w:rPr>
          <w:rFonts w:cs="Arial"/>
          <w:i/>
          <w:iCs/>
          <w:lang w:val="en-CA"/>
        </w:rPr>
        <w:t>Sunlodges</w:t>
      </w:r>
      <w:r w:rsidRPr="00324CF1">
        <w:rPr>
          <w:rFonts w:cs="Arial"/>
          <w:lang w:val="en-CA"/>
        </w:rPr>
        <w:t xml:space="preserve">] at paras 10–14: “When making submissions about sovereign immunity, counsel for Tanzania first took me to Canadian cases holding that the Crown cannot be enjoined. Tanzania argues that the rules Canadian courts apply to its own state must, as a matter of comity, also be applied to foreign states. While I agree with that principle as a general rule, the scheme underlying bilateral investment treaties pursuant to which the arbitral award was issued modifies that rule. </w:t>
      </w:r>
      <w:r w:rsidRPr="00324CF1">
        <w:rPr>
          <w:rFonts w:cs="Arial"/>
          <w:u w:val="single"/>
          <w:lang w:val="en-CA"/>
        </w:rPr>
        <w:t>The whole point of bilateral investment treaties is to remove or limit defences of involving sovereign immunity in cases involving nationalization or expropriation. By submitting to a bilateral investment treaty and by entering arbitrations under it, a sovereign state consents to have orders made against it. That is the fundamental quid pro quo for sovereign investment. It would not be appropriate for this court to remove that fundamental quid pro quo precisely when it becomes important. … By agreeing to the UNCITRAL rules in the Bilateral Investment Treaty, Tanzania also agreed to the possibility of interim or interlocutory awards being made against it</w:t>
      </w:r>
      <w:r w:rsidRPr="00324CF1">
        <w:rPr>
          <w:rFonts w:cs="Arial"/>
          <w:lang w:val="en-CA"/>
        </w:rPr>
        <w:t>.” [Emphasis added].</w:t>
      </w:r>
    </w:p>
  </w:footnote>
  <w:footnote w:id="66">
    <w:p w14:paraId="4C1187EB"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t xml:space="preserve">See </w:t>
      </w:r>
      <w:r w:rsidRPr="00324CF1">
        <w:rPr>
          <w:rFonts w:cs="Arial"/>
          <w:i/>
          <w:iCs/>
          <w:lang w:val="en-CA"/>
        </w:rPr>
        <w:t>Kazemi Estate v. Islamic Republic of Iran</w:t>
      </w:r>
      <w:r w:rsidRPr="00324CF1">
        <w:rPr>
          <w:rFonts w:cs="Arial"/>
          <w:lang w:val="en-CA"/>
        </w:rPr>
        <w:t>, 2014 SCC 62, at paras 60 and 63 [</w:t>
      </w:r>
      <w:r w:rsidRPr="00324CF1">
        <w:rPr>
          <w:rFonts w:cs="Arial"/>
          <w:i/>
          <w:iCs/>
          <w:lang w:val="en-CA"/>
        </w:rPr>
        <w:t>Kazemi</w:t>
      </w:r>
      <w:r w:rsidRPr="00324CF1">
        <w:rPr>
          <w:rFonts w:cs="Arial"/>
          <w:lang w:val="en-CA"/>
        </w:rPr>
        <w:t>].</w:t>
      </w:r>
    </w:p>
  </w:footnote>
  <w:footnote w:id="67">
    <w:p w14:paraId="5798292C"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House of Commons, </w:t>
      </w:r>
      <w:r w:rsidRPr="00324CF1">
        <w:rPr>
          <w:i/>
          <w:iCs/>
          <w:lang w:val="en-CA"/>
        </w:rPr>
        <w:t>House of Commons Debates</w:t>
      </w:r>
      <w:r w:rsidRPr="00324CF1">
        <w:rPr>
          <w:lang w:val="en-CA"/>
        </w:rPr>
        <w:t xml:space="preserve">, </w:t>
      </w:r>
      <w:r w:rsidRPr="005E6EB3">
        <w:rPr>
          <w:lang w:val="en-CA"/>
        </w:rPr>
        <w:t>32-1, Vol. 10 (June 23, 1981);</w:t>
      </w:r>
      <w:r w:rsidRPr="001A22AC">
        <w:rPr>
          <w:lang w:val="en-CA"/>
        </w:rPr>
        <w:t xml:space="preserve"> </w:t>
      </w:r>
      <w:r w:rsidRPr="005E6EB3">
        <w:rPr>
          <w:lang w:val="en-CA"/>
        </w:rPr>
        <w:t xml:space="preserve">House of Commons, Standing Committee on Justice and Legal Affairs, </w:t>
      </w:r>
      <w:r w:rsidRPr="005E6EB3">
        <w:rPr>
          <w:i/>
          <w:iCs/>
          <w:lang w:val="en-CA"/>
        </w:rPr>
        <w:t>Minutes</w:t>
      </w:r>
      <w:r w:rsidRPr="005E6EB3">
        <w:rPr>
          <w:lang w:val="en-CA"/>
        </w:rPr>
        <w:t xml:space="preserve">, 32-1, Vol. 3, No. 59 (February 2, 1982); Senate, Standing Committee on Legal and Constitutional Affairs, </w:t>
      </w:r>
      <w:r w:rsidRPr="005E6EB3">
        <w:rPr>
          <w:i/>
          <w:iCs/>
          <w:lang w:val="en-CA"/>
        </w:rPr>
        <w:t>Minutes</w:t>
      </w:r>
      <w:r w:rsidRPr="005E6EB3">
        <w:rPr>
          <w:lang w:val="en-CA"/>
        </w:rPr>
        <w:t>, 32-1, Booklet 10 (March 19, 1981).</w:t>
      </w:r>
    </w:p>
  </w:footnote>
  <w:footnote w:id="68">
    <w:p w14:paraId="03705EEB"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in particular </w:t>
      </w:r>
      <w:r w:rsidRPr="00324CF1">
        <w:rPr>
          <w:i/>
          <w:iCs/>
          <w:lang w:val="en-CA"/>
        </w:rPr>
        <w:t xml:space="preserve">NML Capital Limited v. Republic of Argentina </w:t>
      </w:r>
      <w:r w:rsidRPr="00324CF1">
        <w:rPr>
          <w:lang w:val="en-CA"/>
        </w:rPr>
        <w:t xml:space="preserve">[2011] UKSC 31 (United Kingdom); </w:t>
      </w:r>
      <w:r w:rsidRPr="00324CF1">
        <w:rPr>
          <w:i/>
          <w:iCs/>
          <w:lang w:val="en-CA"/>
        </w:rPr>
        <w:t>Svenska Petroleum Exploration AB v. Government of Lithuania and AB Geonafta</w:t>
      </w:r>
      <w:r w:rsidRPr="00324CF1">
        <w:rPr>
          <w:lang w:val="en-CA"/>
        </w:rPr>
        <w:t xml:space="preserve">, [2006] EWCA Civ 1529 (United Kingdom); S&amp;R Davis International, Inc. v Republic of Yemen, 218 F.3d 1292 (11th Cir. 2000) (United States); </w:t>
      </w:r>
      <w:r w:rsidRPr="00324CF1">
        <w:rPr>
          <w:i/>
          <w:iCs/>
          <w:lang w:val="en-CA"/>
        </w:rPr>
        <w:t>Creighton c. Qatar</w:t>
      </w:r>
      <w:r w:rsidRPr="00324CF1">
        <w:rPr>
          <w:lang w:val="en-CA"/>
        </w:rPr>
        <w:t xml:space="preserve">, Cass civ 1re, 6 July 2000, [2000] Bull civ I 207 (France); </w:t>
      </w:r>
      <w:r w:rsidRPr="00324CF1">
        <w:rPr>
          <w:i/>
          <w:iCs/>
          <w:lang w:val="en-CA"/>
        </w:rPr>
        <w:t>Creighton Ltd. v. Government of the State of Qatar</w:t>
      </w:r>
      <w:r w:rsidRPr="00324CF1">
        <w:rPr>
          <w:lang w:val="en-CA"/>
        </w:rPr>
        <w:t xml:space="preserve">, 181 F.3d 118 (D.C. Cir. 1999) (United States). </w:t>
      </w:r>
    </w:p>
  </w:footnote>
  <w:footnote w:id="69">
    <w:p w14:paraId="08F6205C" w14:textId="1899078E" w:rsidR="005114F7" w:rsidRPr="00324CF1" w:rsidRDefault="00ED47F8" w:rsidP="005114F7">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Kingdom of Spain v. Infrastructure Services Luxembourg S.à.r.l.</w:t>
      </w:r>
      <w:r w:rsidRPr="00324CF1">
        <w:rPr>
          <w:lang w:val="en-CA"/>
        </w:rPr>
        <w:t>, [2023] HCA 11 (High Court of Australia) (Australia) [</w:t>
      </w:r>
      <w:r w:rsidRPr="00324CF1">
        <w:rPr>
          <w:i/>
          <w:iCs/>
          <w:lang w:val="en-CA"/>
        </w:rPr>
        <w:t>Kingdom of Spain</w:t>
      </w:r>
      <w:r w:rsidRPr="00324CF1">
        <w:rPr>
          <w:lang w:val="en-CA"/>
        </w:rPr>
        <w:t>], at para</w:t>
      </w:r>
      <w:r w:rsidR="00602180">
        <w:rPr>
          <w:lang w:val="en-CA"/>
        </w:rPr>
        <w:t>s</w:t>
      </w:r>
      <w:r w:rsidRPr="00324CF1">
        <w:rPr>
          <w:lang w:val="en-CA"/>
        </w:rPr>
        <w:t xml:space="preserve"> 27–29.</w:t>
      </w:r>
    </w:p>
  </w:footnote>
  <w:footnote w:id="70">
    <w:p w14:paraId="65442BBB" w14:textId="29D65004" w:rsidR="00BC160A" w:rsidRPr="00324CF1" w:rsidRDefault="00ED47F8" w:rsidP="00E94461">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Convention on the Settlement of Investment Disputes between States and Nationals of Other States</w:t>
      </w:r>
      <w:r w:rsidRPr="00324CF1">
        <w:rPr>
          <w:lang w:val="en-CA"/>
        </w:rPr>
        <w:t xml:space="preserve">, March 18, 1965, 575 RTNU 161, </w:t>
      </w:r>
      <w:r w:rsidR="00602180">
        <w:rPr>
          <w:lang w:val="en-CA"/>
        </w:rPr>
        <w:t>coming</w:t>
      </w:r>
      <w:r w:rsidR="00602180" w:rsidRPr="00324CF1">
        <w:rPr>
          <w:lang w:val="en-CA"/>
        </w:rPr>
        <w:t xml:space="preserve"> </w:t>
      </w:r>
      <w:r w:rsidRPr="00324CF1">
        <w:rPr>
          <w:lang w:val="en-CA"/>
        </w:rPr>
        <w:t>into force in Canada on November 1, 2013 [ICSID].</w:t>
      </w:r>
    </w:p>
  </w:footnote>
  <w:footnote w:id="71">
    <w:p w14:paraId="034E9BA0" w14:textId="77777777" w:rsidR="00581016"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CCDM Holdings, LLC v Republic of India (No 3)</w:t>
      </w:r>
      <w:r w:rsidRPr="00324CF1">
        <w:rPr>
          <w:lang w:val="en-CA"/>
        </w:rPr>
        <w:t>, [2023] FCA 1266 (Federal Court of Australia) (Australia) [</w:t>
      </w:r>
      <w:r w:rsidRPr="00324CF1">
        <w:rPr>
          <w:i/>
          <w:iCs/>
          <w:lang w:val="en-CA"/>
        </w:rPr>
        <w:t>CCDM Holdings FCA</w:t>
      </w:r>
      <w:r w:rsidRPr="00324CF1">
        <w:rPr>
          <w:lang w:val="en-CA"/>
        </w:rPr>
        <w:t>].</w:t>
      </w:r>
    </w:p>
  </w:footnote>
  <w:footnote w:id="72">
    <w:p w14:paraId="79B4F1CF" w14:textId="77777777" w:rsidR="00581016"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Kingdom of Spain, supra</w:t>
      </w:r>
      <w:r w:rsidRPr="00324CF1">
        <w:rPr>
          <w:lang w:val="en-CA"/>
        </w:rPr>
        <w:t>, at note 69.</w:t>
      </w:r>
    </w:p>
  </w:footnote>
  <w:footnote w:id="73">
    <w:p w14:paraId="2DAD843E"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CCDM Holdings FCA</w:t>
      </w:r>
      <w:r w:rsidRPr="00324CF1">
        <w:rPr>
          <w:lang w:val="en-CA"/>
        </w:rPr>
        <w:t xml:space="preserve">, </w:t>
      </w:r>
      <w:r w:rsidRPr="00324CF1">
        <w:rPr>
          <w:i/>
          <w:iCs/>
          <w:lang w:val="en-CA"/>
        </w:rPr>
        <w:t xml:space="preserve">supra </w:t>
      </w:r>
      <w:r w:rsidRPr="00324CF1">
        <w:rPr>
          <w:lang w:val="en-CA"/>
        </w:rPr>
        <w:t>at note 71.</w:t>
      </w:r>
    </w:p>
  </w:footnote>
  <w:footnote w:id="74">
    <w:p w14:paraId="74B71A9B"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Ibid. </w:t>
      </w:r>
      <w:r w:rsidRPr="00324CF1">
        <w:rPr>
          <w:lang w:val="en-CA"/>
        </w:rPr>
        <w:t>at para 51.</w:t>
      </w:r>
    </w:p>
  </w:footnote>
  <w:footnote w:id="75">
    <w:p w14:paraId="2F84B594" w14:textId="35BB7ADF"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Canadian Planning and Design Consultants Inc. v. Libya</w:t>
      </w:r>
      <w:r w:rsidRPr="00324CF1">
        <w:rPr>
          <w:rFonts w:cs="Arial"/>
          <w:lang w:val="en-CA"/>
        </w:rPr>
        <w:t>, 2015 ONCA 661, at paras 9–12 [</w:t>
      </w:r>
      <w:r w:rsidRPr="00324CF1">
        <w:rPr>
          <w:rFonts w:cs="Arial"/>
          <w:i/>
          <w:iCs/>
          <w:lang w:val="en-CA"/>
        </w:rPr>
        <w:t>Canadian Planning</w:t>
      </w:r>
      <w:r w:rsidRPr="00324CF1">
        <w:rPr>
          <w:rFonts w:cs="Arial"/>
          <w:lang w:val="en-CA"/>
        </w:rPr>
        <w:t xml:space="preserve">]; </w:t>
      </w:r>
      <w:r w:rsidRPr="00324CF1">
        <w:rPr>
          <w:rFonts w:cs="Arial"/>
          <w:i/>
          <w:iCs/>
          <w:lang w:val="en-CA"/>
        </w:rPr>
        <w:t>Sunlodges, supra</w:t>
      </w:r>
      <w:r w:rsidRPr="00324CF1">
        <w:rPr>
          <w:rFonts w:cs="Arial"/>
          <w:lang w:val="en-CA"/>
        </w:rPr>
        <w:t>, note 80,</w:t>
      </w:r>
      <w:r w:rsidRPr="00324CF1">
        <w:rPr>
          <w:rFonts w:cs="Arial"/>
          <w:i/>
          <w:iCs/>
          <w:lang w:val="en-CA"/>
        </w:rPr>
        <w:t xml:space="preserve"> </w:t>
      </w:r>
      <w:r w:rsidRPr="00324CF1">
        <w:rPr>
          <w:rFonts w:cs="Arial"/>
          <w:lang w:val="en-CA"/>
        </w:rPr>
        <w:t xml:space="preserve">at paras 10–15 and 33–34; </w:t>
      </w:r>
      <w:r w:rsidRPr="00324CF1">
        <w:rPr>
          <w:rFonts w:cs="Arial"/>
          <w:i/>
          <w:iCs/>
          <w:lang w:val="en-CA"/>
        </w:rPr>
        <w:t>Collavino</w:t>
      </w:r>
      <w:r w:rsidRPr="00324CF1">
        <w:rPr>
          <w:rFonts w:cs="Arial"/>
          <w:lang w:val="en-CA"/>
        </w:rPr>
        <w:t xml:space="preserve">, </w:t>
      </w:r>
      <w:r w:rsidRPr="00324CF1">
        <w:rPr>
          <w:rFonts w:cs="Arial"/>
          <w:i/>
          <w:iCs/>
          <w:lang w:val="en-CA"/>
        </w:rPr>
        <w:t>supra</w:t>
      </w:r>
      <w:r w:rsidRPr="00324CF1">
        <w:rPr>
          <w:rFonts w:cs="Arial"/>
          <w:lang w:val="en-CA"/>
        </w:rPr>
        <w:t xml:space="preserve">, note 61, at para 139; </w:t>
      </w:r>
      <w:r w:rsidRPr="00324CF1">
        <w:rPr>
          <w:rFonts w:cs="Arial"/>
          <w:i/>
          <w:iCs/>
          <w:lang w:val="en-CA"/>
        </w:rPr>
        <w:t>TMR Energy Ltd. v. State Property Fund of Ukraine</w:t>
      </w:r>
      <w:r w:rsidRPr="00324CF1">
        <w:rPr>
          <w:rFonts w:cs="Arial"/>
          <w:lang w:val="en-CA"/>
        </w:rPr>
        <w:t xml:space="preserve">, 2003 FC 1517, at para 65; rev’d </w:t>
      </w:r>
      <w:r w:rsidR="0056548D">
        <w:rPr>
          <w:rFonts w:cs="Arial"/>
          <w:lang w:val="en-CA"/>
        </w:rPr>
        <w:t>for</w:t>
      </w:r>
      <w:r w:rsidR="0056548D" w:rsidRPr="00324CF1">
        <w:rPr>
          <w:rFonts w:cs="Arial"/>
          <w:lang w:val="en-CA"/>
        </w:rPr>
        <w:t xml:space="preserve"> </w:t>
      </w:r>
      <w:r w:rsidRPr="00324CF1">
        <w:rPr>
          <w:rFonts w:cs="Arial"/>
          <w:lang w:val="en-CA"/>
        </w:rPr>
        <w:t xml:space="preserve">other </w:t>
      </w:r>
      <w:r w:rsidR="0056548D">
        <w:rPr>
          <w:rFonts w:cs="Arial"/>
          <w:lang w:val="en-CA"/>
        </w:rPr>
        <w:t>reasons</w:t>
      </w:r>
      <w:r w:rsidR="0056548D" w:rsidRPr="00324CF1">
        <w:rPr>
          <w:rFonts w:cs="Arial"/>
          <w:lang w:val="en-CA"/>
        </w:rPr>
        <w:t xml:space="preserve"> </w:t>
      </w:r>
      <w:r w:rsidR="0056548D">
        <w:rPr>
          <w:rFonts w:cs="Arial"/>
          <w:lang w:val="en-CA"/>
        </w:rPr>
        <w:t>in</w:t>
      </w:r>
      <w:r w:rsidR="0056548D" w:rsidRPr="00324CF1">
        <w:rPr>
          <w:rFonts w:cs="Arial"/>
          <w:lang w:val="en-CA"/>
        </w:rPr>
        <w:t xml:space="preserve"> </w:t>
      </w:r>
      <w:r w:rsidRPr="00324CF1">
        <w:rPr>
          <w:rFonts w:cs="Arial"/>
          <w:i/>
          <w:iCs/>
          <w:lang w:val="en-CA"/>
        </w:rPr>
        <w:t>TMR Energy Ltd. v. State Property Fund of Ukraine</w:t>
      </w:r>
      <w:r w:rsidRPr="00324CF1">
        <w:rPr>
          <w:rFonts w:cs="Arial"/>
          <w:lang w:val="en-CA"/>
        </w:rPr>
        <w:t>, 2005 FCA 28.</w:t>
      </w:r>
    </w:p>
  </w:footnote>
  <w:footnote w:id="76">
    <w:p w14:paraId="1136BF9E"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Kazemi</w:t>
      </w:r>
      <w:r w:rsidRPr="00324CF1">
        <w:rPr>
          <w:lang w:val="en-CA"/>
        </w:rPr>
        <w:t xml:space="preserve">, </w:t>
      </w:r>
      <w:r w:rsidRPr="00324CF1">
        <w:rPr>
          <w:i/>
          <w:iCs/>
          <w:lang w:val="en-CA"/>
        </w:rPr>
        <w:t>supra</w:t>
      </w:r>
      <w:r w:rsidRPr="00324CF1">
        <w:rPr>
          <w:lang w:val="en-CA"/>
        </w:rPr>
        <w:t xml:space="preserve">, note 66, at paras 60–63; </w:t>
      </w:r>
      <w:r w:rsidRPr="00324CF1">
        <w:rPr>
          <w:i/>
          <w:iCs/>
          <w:lang w:val="en-CA"/>
        </w:rPr>
        <w:t>Kuwait Airways</w:t>
      </w:r>
      <w:r w:rsidRPr="00324CF1">
        <w:rPr>
          <w:lang w:val="en-CA"/>
        </w:rPr>
        <w:t xml:space="preserve"> (SCC)</w:t>
      </w:r>
      <w:r w:rsidRPr="00324CF1">
        <w:rPr>
          <w:i/>
          <w:iCs/>
          <w:lang w:val="en-CA"/>
        </w:rPr>
        <w:t xml:space="preserve"> supra</w:t>
      </w:r>
      <w:r w:rsidRPr="00324CF1">
        <w:rPr>
          <w:lang w:val="en-CA"/>
        </w:rPr>
        <w:t xml:space="preserve">, note 51, at paras 13–14; </w:t>
      </w:r>
      <w:r w:rsidRPr="00324CF1">
        <w:rPr>
          <w:i/>
          <w:iCs/>
          <w:lang w:val="en-CA"/>
        </w:rPr>
        <w:t>Schreiber v. Canada (Attorney General)</w:t>
      </w:r>
      <w:r w:rsidRPr="00324CF1">
        <w:rPr>
          <w:lang w:val="en-CA"/>
        </w:rPr>
        <w:t>, 2002 SCC 62, at para 27 [</w:t>
      </w:r>
      <w:r w:rsidRPr="00324CF1">
        <w:rPr>
          <w:i/>
          <w:iCs/>
          <w:lang w:val="en-CA"/>
        </w:rPr>
        <w:t xml:space="preserve">Schreiber </w:t>
      </w:r>
      <w:r w:rsidRPr="00324CF1">
        <w:rPr>
          <w:lang w:val="en-CA"/>
        </w:rPr>
        <w:t>(SCC)].</w:t>
      </w:r>
    </w:p>
  </w:footnote>
  <w:footnote w:id="77">
    <w:p w14:paraId="7C61C37F" w14:textId="223050B2"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t xml:space="preserve">L. Chamberland, </w:t>
      </w:r>
      <w:r w:rsidRPr="00324CF1">
        <w:rPr>
          <w:rFonts w:cs="Arial"/>
          <w:i/>
          <w:iCs/>
          <w:lang w:val="en-CA"/>
        </w:rPr>
        <w:t>supra</w:t>
      </w:r>
      <w:r w:rsidRPr="00324CF1">
        <w:rPr>
          <w:rFonts w:cs="Arial"/>
          <w:lang w:val="en-CA"/>
        </w:rPr>
        <w:t xml:space="preserve">, note 45, at </w:t>
      </w:r>
      <w:r w:rsidR="006545D3">
        <w:rPr>
          <w:rFonts w:cs="Arial"/>
          <w:lang w:val="en-CA"/>
        </w:rPr>
        <w:t>art</w:t>
      </w:r>
      <w:r w:rsidRPr="00324CF1">
        <w:rPr>
          <w:rFonts w:cs="Arial"/>
          <w:lang w:val="en-CA"/>
        </w:rPr>
        <w:t>. 620</w:t>
      </w:r>
      <w:r w:rsidR="006545D3">
        <w:rPr>
          <w:rFonts w:cs="Arial"/>
          <w:lang w:val="en-CA"/>
        </w:rPr>
        <w:t>,</w:t>
      </w:r>
      <w:r w:rsidRPr="00324CF1">
        <w:rPr>
          <w:rFonts w:cs="Arial"/>
          <w:lang w:val="en-CA"/>
        </w:rPr>
        <w:t xml:space="preserve"> Pierre J. Dalphond.</w:t>
      </w:r>
    </w:p>
  </w:footnote>
  <w:footnote w:id="78">
    <w:p w14:paraId="4D95DAB1"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New York Convention</w:t>
      </w:r>
      <w:r w:rsidRPr="00324CF1">
        <w:rPr>
          <w:rFonts w:cs="Arial"/>
          <w:lang w:val="en-CA"/>
        </w:rPr>
        <w:t xml:space="preserve">, </w:t>
      </w:r>
      <w:r w:rsidRPr="00324CF1">
        <w:rPr>
          <w:rFonts w:cs="Arial"/>
          <w:i/>
          <w:iCs/>
          <w:lang w:val="en-CA"/>
        </w:rPr>
        <w:t>supra</w:t>
      </w:r>
      <w:r w:rsidRPr="00324CF1">
        <w:rPr>
          <w:rFonts w:cs="Arial"/>
          <w:lang w:val="en-CA"/>
        </w:rPr>
        <w:t>, at note 43.</w:t>
      </w:r>
    </w:p>
  </w:footnote>
  <w:footnote w:id="79">
    <w:p w14:paraId="08F3A660" w14:textId="03AA663D"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t xml:space="preserve">F. Bachand, </w:t>
      </w:r>
      <w:r w:rsidRPr="00324CF1">
        <w:rPr>
          <w:rFonts w:cs="Arial"/>
          <w:i/>
          <w:iCs/>
          <w:lang w:val="en-CA"/>
        </w:rPr>
        <w:t>supra</w:t>
      </w:r>
      <w:r w:rsidRPr="00324CF1">
        <w:rPr>
          <w:rFonts w:cs="Arial"/>
          <w:lang w:val="en-CA"/>
        </w:rPr>
        <w:t>, note 63 at 73 and 75.</w:t>
      </w:r>
    </w:p>
  </w:footnote>
  <w:footnote w:id="80">
    <w:p w14:paraId="06425DD6"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SCI Judgment, </w:t>
      </w:r>
      <w:r w:rsidRPr="00324CF1">
        <w:rPr>
          <w:i/>
          <w:iCs/>
          <w:lang w:val="en-CA"/>
        </w:rPr>
        <w:t>supra</w:t>
      </w:r>
      <w:r w:rsidRPr="00324CF1">
        <w:rPr>
          <w:lang w:val="en-CA"/>
        </w:rPr>
        <w:t>, at note 20.</w:t>
      </w:r>
    </w:p>
  </w:footnote>
  <w:footnote w:id="81">
    <w:p w14:paraId="3B168D9E" w14:textId="77777777" w:rsidR="00EA1AB5" w:rsidRPr="00324CF1" w:rsidRDefault="00ED47F8" w:rsidP="00EA1AB5">
      <w:pPr>
        <w:pStyle w:val="Notedebasdepage"/>
        <w:spacing w:after="100" w:afterAutospacing="1" w:line="228" w:lineRule="auto"/>
        <w:contextualSpacing/>
        <w:rPr>
          <w:rFonts w:cs="Arial"/>
          <w:lang w:val="en-US"/>
        </w:rPr>
      </w:pPr>
      <w:r w:rsidRPr="00324CF1">
        <w:rPr>
          <w:rStyle w:val="Appelnotedebasdep"/>
          <w:lang w:val="en-CA"/>
        </w:rPr>
        <w:footnoteRef/>
      </w:r>
      <w:r w:rsidRPr="00324CF1">
        <w:rPr>
          <w:lang w:val="en-CA"/>
        </w:rPr>
        <w:t xml:space="preserve"> </w:t>
      </w:r>
      <w:r w:rsidRPr="00324CF1">
        <w:rPr>
          <w:lang w:val="en-CA"/>
        </w:rPr>
        <w:tab/>
        <w:t xml:space="preserve">PCA order of December 21, 2016, </w:t>
      </w:r>
      <w:r w:rsidRPr="00324CF1">
        <w:rPr>
          <w:i/>
          <w:iCs/>
          <w:lang w:val="en-CA"/>
        </w:rPr>
        <w:t>supra</w:t>
      </w:r>
      <w:r w:rsidRPr="00324CF1">
        <w:rPr>
          <w:lang w:val="en-CA"/>
        </w:rPr>
        <w:t>, at note 8.</w:t>
      </w:r>
    </w:p>
  </w:footnote>
  <w:footnote w:id="82">
    <w:p w14:paraId="6B43CD0C" w14:textId="77777777" w:rsidR="00BC160A" w:rsidRPr="00324CF1" w:rsidRDefault="00ED47F8" w:rsidP="00BC160A">
      <w:pPr>
        <w:pStyle w:val="Notedebasdepage"/>
        <w:spacing w:after="100" w:afterAutospacing="1" w:line="228" w:lineRule="auto"/>
        <w:contextualSpacing/>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Pr="00324CF1">
        <w:rPr>
          <w:rFonts w:cs="Arial"/>
          <w:i/>
          <w:iCs/>
          <w:lang w:val="en-CA"/>
        </w:rPr>
        <w:t>Ibid</w:t>
      </w:r>
      <w:r w:rsidRPr="00324CF1">
        <w:rPr>
          <w:rFonts w:cs="Arial"/>
          <w:lang w:val="en-CA"/>
        </w:rPr>
        <w:t>.</w:t>
      </w:r>
    </w:p>
  </w:footnote>
  <w:footnote w:id="83">
    <w:p w14:paraId="231E3FB8"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r>
      <w:r w:rsidRPr="00324CF1">
        <w:rPr>
          <w:rFonts w:cs="Arial"/>
          <w:i/>
          <w:iCs/>
          <w:lang w:val="en-CA"/>
        </w:rPr>
        <w:t>Ibid.</w:t>
      </w:r>
    </w:p>
  </w:footnote>
  <w:footnote w:id="84">
    <w:p w14:paraId="5A7F4125" w14:textId="758CCD1D"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bookmarkStart w:id="84" w:name="_Hlk182227817"/>
      <w:r w:rsidRPr="00324CF1">
        <w:rPr>
          <w:lang w:val="en-CA"/>
        </w:rPr>
        <w:t xml:space="preserve">According to the documents </w:t>
      </w:r>
      <w:r w:rsidR="00380122">
        <w:rPr>
          <w:lang w:val="en-CA"/>
        </w:rPr>
        <w:t>filed</w:t>
      </w:r>
      <w:r w:rsidR="00380122" w:rsidRPr="00324CF1">
        <w:rPr>
          <w:lang w:val="en-CA"/>
        </w:rPr>
        <w:t xml:space="preserve"> </w:t>
      </w:r>
      <w:r w:rsidRPr="00324CF1">
        <w:rPr>
          <w:lang w:val="en-CA"/>
        </w:rPr>
        <w:t xml:space="preserve">in the </w:t>
      </w:r>
      <w:r w:rsidR="00380122">
        <w:rPr>
          <w:lang w:val="en-CA"/>
        </w:rPr>
        <w:t>record</w:t>
      </w:r>
      <w:r w:rsidRPr="00324CF1">
        <w:rPr>
          <w:lang w:val="en-CA"/>
        </w:rPr>
        <w:t xml:space="preserve"> and the information provided by the parties.</w:t>
      </w:r>
      <w:r w:rsidRPr="00324CF1">
        <w:rPr>
          <w:b/>
          <w:bCs/>
          <w:lang w:val="en-CA"/>
        </w:rPr>
        <w:t xml:space="preserve"> </w:t>
      </w:r>
      <w:bookmarkEnd w:id="84"/>
    </w:p>
  </w:footnote>
  <w:footnote w:id="85">
    <w:p w14:paraId="5EF31755" w14:textId="77777777" w:rsidR="00BC160A" w:rsidRPr="00324CF1" w:rsidRDefault="00ED47F8" w:rsidP="00BC160A">
      <w:pPr>
        <w:pStyle w:val="Notedebasdepage"/>
        <w:rPr>
          <w:rFonts w:cs="Arial"/>
        </w:rPr>
      </w:pPr>
      <w:r w:rsidRPr="00324CF1">
        <w:rPr>
          <w:rStyle w:val="Appelnotedebasdep"/>
          <w:rFonts w:cs="Arial"/>
          <w:lang w:val="en-CA"/>
        </w:rPr>
        <w:footnoteRef/>
      </w:r>
      <w:r w:rsidRPr="00324CF1">
        <w:t xml:space="preserve"> </w:t>
      </w:r>
      <w:r w:rsidRPr="00324CF1">
        <w:tab/>
        <w:t xml:space="preserve">Fabien Gélinas and Giacomo Marchisio, “L’arbitrage consensuel et le droit québécois : un survol” (2018) 48 </w:t>
      </w:r>
      <w:r w:rsidRPr="00324CF1">
        <w:rPr>
          <w:i/>
          <w:iCs/>
        </w:rPr>
        <w:t>Revue Générale de Droit</w:t>
      </w:r>
      <w:r w:rsidRPr="00324CF1">
        <w:t xml:space="preserve"> 445 at 464, citing </w:t>
      </w:r>
      <w:r w:rsidRPr="00324CF1">
        <w:rPr>
          <w:i/>
          <w:iCs/>
        </w:rPr>
        <w:t>Rhéaume c. Société d’investissements l’Excellence inc</w:t>
      </w:r>
      <w:r w:rsidRPr="00324CF1">
        <w:t xml:space="preserve">, 2010 QCCA 2269, at para 61; </w:t>
      </w:r>
      <w:r w:rsidRPr="00324CF1">
        <w:rPr>
          <w:i/>
          <w:iCs/>
        </w:rPr>
        <w:t>Coderre c. Coderre</w:t>
      </w:r>
      <w:r w:rsidRPr="00324CF1">
        <w:t>, 2008 QCCA 888, at para 45.</w:t>
      </w:r>
    </w:p>
  </w:footnote>
  <w:footnote w:id="86">
    <w:p w14:paraId="2ED3117D" w14:textId="77777777" w:rsidR="00D03C93" w:rsidRPr="00324CF1" w:rsidRDefault="00ED47F8" w:rsidP="00D03C9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SCI Judgment, </w:t>
      </w:r>
      <w:r w:rsidRPr="00324CF1">
        <w:rPr>
          <w:i/>
          <w:iCs/>
          <w:lang w:val="en-CA"/>
        </w:rPr>
        <w:t>supra</w:t>
      </w:r>
      <w:r w:rsidRPr="00324CF1">
        <w:rPr>
          <w:lang w:val="en-CA"/>
        </w:rPr>
        <w:t>, at note 20.</w:t>
      </w:r>
    </w:p>
  </w:footnote>
  <w:footnote w:id="87">
    <w:p w14:paraId="7252BAAE" w14:textId="77777777" w:rsidR="004C306E" w:rsidRPr="00324CF1" w:rsidRDefault="00ED47F8" w:rsidP="004C306E">
      <w:pPr>
        <w:pStyle w:val="Notedebasdepage"/>
        <w:spacing w:line="228" w:lineRule="auto"/>
        <w:rPr>
          <w:rFonts w:cs="Arial"/>
          <w:lang w:val="en-US"/>
        </w:rPr>
      </w:pPr>
      <w:r w:rsidRPr="00324CF1">
        <w:rPr>
          <w:rStyle w:val="Appelnotedebasdep"/>
          <w:lang w:val="en-CA"/>
        </w:rPr>
        <w:footnoteRef/>
      </w:r>
      <w:r w:rsidRPr="00324CF1">
        <w:rPr>
          <w:lang w:val="en-CA"/>
        </w:rPr>
        <w:t xml:space="preserve"> </w:t>
      </w:r>
      <w:r w:rsidRPr="00324CF1">
        <w:rPr>
          <w:lang w:val="en-CA"/>
        </w:rPr>
        <w:tab/>
        <w:t xml:space="preserve">Vauclair Judgment, </w:t>
      </w:r>
      <w:r w:rsidRPr="00324CF1">
        <w:rPr>
          <w:i/>
          <w:iCs/>
          <w:lang w:val="en-CA"/>
        </w:rPr>
        <w:t>supra</w:t>
      </w:r>
      <w:r w:rsidRPr="00324CF1">
        <w:rPr>
          <w:lang w:val="en-CA"/>
        </w:rPr>
        <w:t>, at note 33.</w:t>
      </w:r>
    </w:p>
  </w:footnote>
  <w:footnote w:id="88">
    <w:p w14:paraId="6AD08FFB" w14:textId="77777777" w:rsidR="00BC160A" w:rsidRPr="00324CF1" w:rsidRDefault="00ED47F8" w:rsidP="00BC160A">
      <w:pPr>
        <w:pStyle w:val="Notedebasdepage"/>
        <w:rPr>
          <w:i/>
          <w:iCs/>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Novenergia II – Energy &amp; Env’t (SCA) v. Kingdom of Spain</w:t>
      </w:r>
      <w:r w:rsidRPr="00324CF1">
        <w:rPr>
          <w:lang w:val="en-CA"/>
        </w:rPr>
        <w:t xml:space="preserve">, 2020 WL 417794, 2020 U.S. Dist. Lexis 12794 (United States); </w:t>
      </w:r>
      <w:r w:rsidRPr="00324CF1">
        <w:rPr>
          <w:i/>
          <w:iCs/>
          <w:lang w:val="en-CA"/>
        </w:rPr>
        <w:t>DRC, Inc. v. Republic of Honduras</w:t>
      </w:r>
      <w:r w:rsidRPr="00324CF1">
        <w:rPr>
          <w:lang w:val="en-CA"/>
        </w:rPr>
        <w:t>, 774 F. Supp. 2d 66 (United States).</w:t>
      </w:r>
    </w:p>
  </w:footnote>
  <w:footnote w:id="89">
    <w:p w14:paraId="5E308A3E"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Hulley Enterprises Ltd. (a company incorporated in Cyprus) and other companies v. Russian Federation</w:t>
      </w:r>
      <w:r w:rsidRPr="00324CF1">
        <w:rPr>
          <w:lang w:val="en-CA"/>
        </w:rPr>
        <w:t>, [2021] EWHC 894 (Comm), [2021] 1 WLR 3429 (United Kingdom).</w:t>
      </w:r>
    </w:p>
  </w:footnote>
  <w:footnote w:id="90">
    <w:p w14:paraId="07344252"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CC/Devas (Mauritius) Ltd. v. Republic of India, </w:t>
      </w:r>
      <w:r w:rsidRPr="00324CF1">
        <w:rPr>
          <w:lang w:val="en-CA"/>
        </w:rPr>
        <w:t>2022 WL 273620, 2002 U.S. Dist. Lexis 53416 (United States).</w:t>
      </w:r>
    </w:p>
  </w:footnote>
  <w:footnote w:id="91">
    <w:p w14:paraId="7AE0F670" w14:textId="77777777" w:rsidR="00D546E2" w:rsidRPr="00324CF1" w:rsidRDefault="00ED47F8" w:rsidP="00D546E2">
      <w:pPr>
        <w:pStyle w:val="Notedebasdepage"/>
        <w:spacing w:line="223" w:lineRule="auto"/>
        <w:rPr>
          <w:rFonts w:cs="Arial"/>
          <w:sz w:val="18"/>
          <w:szCs w:val="18"/>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 xml:space="preserve">Rioux c. Murphy, </w:t>
      </w:r>
      <w:r w:rsidRPr="00324CF1">
        <w:rPr>
          <w:rFonts w:cs="Arial"/>
          <w:lang w:val="en-CA"/>
        </w:rPr>
        <w:t xml:space="preserve">2008 QCCA 1431, at para 11. The presumed validity of judgments places the burden of demonstrating an error that requires intervention on the appellant. The Court established this principle in particular in </w:t>
      </w:r>
      <w:r w:rsidRPr="00324CF1">
        <w:rPr>
          <w:rFonts w:cs="Arial"/>
          <w:i/>
          <w:iCs/>
          <w:lang w:val="en-CA"/>
        </w:rPr>
        <w:t xml:space="preserve">Pateras c. M.B., </w:t>
      </w:r>
      <w:r w:rsidRPr="00324CF1">
        <w:rPr>
          <w:rFonts w:cs="Arial"/>
          <w:lang w:val="en-CA"/>
        </w:rPr>
        <w:t>1986 CanLII 3718, at paras 4–5, which has been cited many times since by this Court.</w:t>
      </w:r>
      <w:r w:rsidRPr="00324CF1">
        <w:rPr>
          <w:rFonts w:cs="Arial"/>
          <w:sz w:val="18"/>
          <w:szCs w:val="18"/>
          <w:lang w:val="en-CA"/>
        </w:rPr>
        <w:t xml:space="preserve"> </w:t>
      </w:r>
    </w:p>
  </w:footnote>
  <w:footnote w:id="92">
    <w:p w14:paraId="235B1ECD" w14:textId="77777777" w:rsidR="00BC160A" w:rsidRPr="00324CF1" w:rsidRDefault="00ED47F8" w:rsidP="00BC160A">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Vauclair Judgment, </w:t>
      </w:r>
      <w:r w:rsidRPr="00324CF1">
        <w:rPr>
          <w:i/>
          <w:iCs/>
          <w:lang w:val="en-CA"/>
        </w:rPr>
        <w:t>supra</w:t>
      </w:r>
      <w:r w:rsidRPr="00324CF1">
        <w:rPr>
          <w:lang w:val="en-CA"/>
        </w:rPr>
        <w:t>, at note 33.</w:t>
      </w:r>
    </w:p>
  </w:footnote>
  <w:footnote w:id="93">
    <w:p w14:paraId="79B9588A" w14:textId="77777777"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lang w:val="en-CA"/>
        </w:rPr>
        <w:t xml:space="preserve"> </w:t>
      </w:r>
      <w:r w:rsidRPr="00324CF1">
        <w:rPr>
          <w:rFonts w:cs="Arial"/>
          <w:lang w:val="en-CA"/>
        </w:rPr>
        <w:tab/>
        <w:t xml:space="preserve">See for example: </w:t>
      </w:r>
      <w:r w:rsidRPr="00324CF1">
        <w:rPr>
          <w:rFonts w:cs="Arial"/>
          <w:i/>
          <w:iCs/>
          <w:lang w:val="en-CA"/>
        </w:rPr>
        <w:t xml:space="preserve">Specter Aviation c. Laprade, </w:t>
      </w:r>
      <w:r w:rsidRPr="00324CF1">
        <w:rPr>
          <w:rFonts w:cs="Arial"/>
          <w:lang w:val="en-CA"/>
        </w:rPr>
        <w:t xml:space="preserve">2021 QCCA 183, at para. 26 (Bachand, J.A.); </w:t>
      </w:r>
      <w:r w:rsidRPr="00324CF1">
        <w:rPr>
          <w:rFonts w:cs="Arial"/>
          <w:i/>
          <w:iCs/>
          <w:lang w:val="en-CA"/>
        </w:rPr>
        <w:t xml:space="preserve">Luft v. Magien Succession, </w:t>
      </w:r>
      <w:r w:rsidRPr="00324CF1">
        <w:rPr>
          <w:rFonts w:cs="Arial"/>
          <w:lang w:val="en-CA"/>
        </w:rPr>
        <w:t xml:space="preserve">2019 QCCA 1043, at para 5; </w:t>
      </w:r>
      <w:r w:rsidRPr="00324CF1">
        <w:rPr>
          <w:rFonts w:cs="Arial"/>
          <w:i/>
          <w:iCs/>
          <w:lang w:val="en-CA"/>
        </w:rPr>
        <w:t>Galtrade SRL c. Ricova International inc.,</w:t>
      </w:r>
      <w:r w:rsidRPr="00324CF1">
        <w:rPr>
          <w:rFonts w:cs="Arial"/>
          <w:lang w:val="en-CA"/>
        </w:rPr>
        <w:t xml:space="preserve"> 2019 QCCA 992, at para 5 (Hamilton, J.A.); </w:t>
      </w:r>
      <w:r w:rsidRPr="00324CF1">
        <w:rPr>
          <w:rFonts w:cs="Arial"/>
          <w:i/>
          <w:iCs/>
          <w:lang w:val="en-CA"/>
        </w:rPr>
        <w:t xml:space="preserve">Arora c. Domtar, </w:t>
      </w:r>
      <w:r w:rsidRPr="00324CF1">
        <w:rPr>
          <w:rFonts w:cs="Arial"/>
          <w:lang w:val="en-CA"/>
        </w:rPr>
        <w:t xml:space="preserve">2018 QCCA 1225, at para 5 (Marcotte, J.A.); </w:t>
      </w:r>
      <w:r w:rsidRPr="00324CF1">
        <w:rPr>
          <w:rFonts w:cs="Arial"/>
          <w:i/>
          <w:iCs/>
          <w:lang w:val="en-CA"/>
        </w:rPr>
        <w:t xml:space="preserve">Cran-Québec II c. Excavations Mario Roy inc., </w:t>
      </w:r>
      <w:r w:rsidRPr="00324CF1">
        <w:rPr>
          <w:rFonts w:cs="Arial"/>
          <w:lang w:val="en-CA"/>
        </w:rPr>
        <w:t>2017 QCCA 1983, at para 12 (Rancourt, J.A.).</w:t>
      </w:r>
    </w:p>
  </w:footnote>
  <w:footnote w:id="94">
    <w:p w14:paraId="56869D91" w14:textId="77777777" w:rsidR="00BC160A" w:rsidRPr="00324CF1" w:rsidRDefault="00ED47F8" w:rsidP="00BC160A">
      <w:pPr>
        <w:pStyle w:val="Notedebasdepage"/>
        <w:spacing w:line="228" w:lineRule="auto"/>
        <w:rPr>
          <w:rFonts w:cs="Arial"/>
          <w:lang w:val="en-US"/>
        </w:rPr>
      </w:pPr>
      <w:r w:rsidRPr="00324CF1">
        <w:rPr>
          <w:rStyle w:val="Appelnotedebasdep"/>
          <w:rFonts w:cs="Arial"/>
          <w:lang w:val="en-CA"/>
        </w:rPr>
        <w:footnoteRef/>
      </w:r>
      <w:r w:rsidRPr="00324CF1">
        <w:rPr>
          <w:rFonts w:cs="Arial"/>
          <w:lang w:val="en-US"/>
        </w:rPr>
        <w:t xml:space="preserve"> </w:t>
      </w:r>
      <w:r w:rsidRPr="00324CF1">
        <w:rPr>
          <w:rFonts w:cs="Arial"/>
          <w:lang w:val="en-US"/>
        </w:rPr>
        <w:tab/>
      </w:r>
      <w:r w:rsidRPr="00324CF1">
        <w:rPr>
          <w:rFonts w:cs="Arial"/>
          <w:i/>
          <w:iCs/>
          <w:lang w:val="en-US"/>
        </w:rPr>
        <w:t xml:space="preserve">9326-7557 Québec inc. c. Di Zazzo, </w:t>
      </w:r>
      <w:r w:rsidRPr="00324CF1">
        <w:rPr>
          <w:rFonts w:cs="Arial"/>
          <w:lang w:val="en-US"/>
        </w:rPr>
        <w:t xml:space="preserve">2019 QCCA 2051. </w:t>
      </w:r>
      <w:r w:rsidRPr="00324CF1">
        <w:rPr>
          <w:rFonts w:cs="Arial"/>
          <w:lang w:val="en-CA"/>
        </w:rPr>
        <w:t xml:space="preserve">See also </w:t>
      </w:r>
      <w:r w:rsidRPr="00324CF1">
        <w:rPr>
          <w:rFonts w:cs="Arial"/>
          <w:i/>
          <w:iCs/>
          <w:lang w:val="en-CA"/>
        </w:rPr>
        <w:t xml:space="preserve">9323-0506 Québec inc. c. Isabel, </w:t>
      </w:r>
      <w:r w:rsidRPr="00324CF1">
        <w:rPr>
          <w:rFonts w:cs="Arial"/>
          <w:lang w:val="en-CA"/>
        </w:rPr>
        <w:t>2019 QCCA 1497.</w:t>
      </w:r>
    </w:p>
  </w:footnote>
  <w:footnote w:id="95">
    <w:p w14:paraId="0557B233" w14:textId="77777777" w:rsidR="000D1461" w:rsidRPr="00324CF1" w:rsidRDefault="00ED47F8" w:rsidP="00927AB5">
      <w:pPr>
        <w:pStyle w:val="Notedebasdepage"/>
        <w:rPr>
          <w:rFonts w:cs="Arial"/>
        </w:rPr>
      </w:pPr>
      <w:r w:rsidRPr="00324CF1">
        <w:rPr>
          <w:rStyle w:val="Appelnotedebasdep"/>
          <w:rFonts w:cs="Arial"/>
          <w:lang w:val="en-CA"/>
        </w:rPr>
        <w:footnoteRef/>
      </w:r>
      <w:r w:rsidRPr="00324CF1">
        <w:t xml:space="preserve"> </w:t>
      </w:r>
      <w:r w:rsidRPr="00324CF1">
        <w:tab/>
      </w:r>
      <w:r w:rsidRPr="00324CF1">
        <w:rPr>
          <w:i/>
          <w:iCs/>
        </w:rPr>
        <w:t>Richer c. Sirois</w:t>
      </w:r>
      <w:r w:rsidRPr="00324CF1">
        <w:t xml:space="preserve">, </w:t>
      </w:r>
      <w:r w:rsidRPr="00324CF1">
        <w:rPr>
          <w:shd w:val="clear" w:color="auto" w:fill="FFFFFF"/>
        </w:rPr>
        <w:t>2021 QCCA 711 (</w:t>
      </w:r>
      <w:r w:rsidRPr="00324CF1">
        <w:t xml:space="preserve">Mainville, J.A.), citing </w:t>
      </w:r>
      <w:r w:rsidRPr="00324CF1">
        <w:rPr>
          <w:i/>
          <w:iCs/>
        </w:rPr>
        <w:t>Droit de la famille — 172312</w:t>
      </w:r>
      <w:r w:rsidRPr="00324CF1">
        <w:t xml:space="preserve">, 2017 QCCA 1554 (Mainville, J.A.); </w:t>
      </w:r>
      <w:r w:rsidRPr="00324CF1">
        <w:rPr>
          <w:i/>
          <w:iCs/>
        </w:rPr>
        <w:t>Droit de la famille — 17418</w:t>
      </w:r>
      <w:r w:rsidRPr="00324CF1">
        <w:t xml:space="preserve">, 2017 QCCA 373 (Bélanger, J.A.); </w:t>
      </w:r>
      <w:r w:rsidRPr="00324CF1">
        <w:rPr>
          <w:i/>
          <w:iCs/>
        </w:rPr>
        <w:t>Endorecherche inc. c. Laval University</w:t>
      </w:r>
      <w:r w:rsidRPr="00324CF1">
        <w:t>, 2019 QCCA 277.</w:t>
      </w:r>
    </w:p>
  </w:footnote>
  <w:footnote w:id="96">
    <w:p w14:paraId="105BFEEF"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note 23 at para 53.</w:t>
      </w:r>
    </w:p>
  </w:footnote>
  <w:footnote w:id="97">
    <w:p w14:paraId="344FD757" w14:textId="77777777" w:rsidR="00222DF6"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Granosik Judgment, </w:t>
      </w:r>
      <w:r w:rsidRPr="00324CF1">
        <w:rPr>
          <w:i/>
          <w:iCs/>
          <w:lang w:val="en-CA"/>
        </w:rPr>
        <w:t xml:space="preserve">supra </w:t>
      </w:r>
      <w:r w:rsidRPr="00324CF1">
        <w:rPr>
          <w:lang w:val="en-CA"/>
        </w:rPr>
        <w:t>at note 21.</w:t>
      </w:r>
    </w:p>
  </w:footnote>
  <w:footnote w:id="98">
    <w:p w14:paraId="7604E724"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rFonts w:cs="Arial"/>
          <w:lang w:val="en-CA"/>
        </w:rPr>
        <w:t xml:space="preserve"> </w:t>
      </w:r>
      <w:r w:rsidRPr="00324CF1">
        <w:rPr>
          <w:rFonts w:cs="Arial"/>
          <w:lang w:val="en-CA"/>
        </w:rPr>
        <w:tab/>
      </w:r>
      <w:r w:rsidRPr="00324CF1">
        <w:rPr>
          <w:rFonts w:cs="Arial"/>
          <w:i/>
          <w:iCs/>
          <w:lang w:val="en-CA"/>
        </w:rPr>
        <w:t>The Companies Act</w:t>
      </w:r>
      <w:r w:rsidRPr="00324CF1">
        <w:rPr>
          <w:rFonts w:cs="Arial"/>
          <w:lang w:val="en-CA"/>
        </w:rPr>
        <w:t xml:space="preserve">, </w:t>
      </w:r>
      <w:r w:rsidRPr="00324CF1">
        <w:rPr>
          <w:rFonts w:cs="Arial"/>
          <w:i/>
          <w:iCs/>
          <w:lang w:val="en-CA"/>
        </w:rPr>
        <w:t>2013</w:t>
      </w:r>
      <w:r w:rsidRPr="00324CF1">
        <w:rPr>
          <w:rFonts w:cs="Arial"/>
          <w:lang w:val="en-CA"/>
        </w:rPr>
        <w:t>, (India) Act No. 18 of 2013, para. 271(e).</w:t>
      </w:r>
    </w:p>
  </w:footnote>
  <w:footnote w:id="99">
    <w:p w14:paraId="3524354F"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Antrix Corporation Limited v. Devas Multimedia PVT Ltd &amp; Anr</w:t>
      </w:r>
      <w:r w:rsidRPr="00324CF1">
        <w:rPr>
          <w:lang w:val="en-CA"/>
        </w:rPr>
        <w:t>, NCLT, CP No. 06/BB/2021, January 17, 2021.</w:t>
      </w:r>
    </w:p>
  </w:footnote>
  <w:footnote w:id="100">
    <w:p w14:paraId="491DDA76" w14:textId="77777777" w:rsidR="00BC160A" w:rsidRPr="00324CF1" w:rsidRDefault="00ED47F8" w:rsidP="00BC160A">
      <w:pPr>
        <w:pStyle w:val="Notedebasdepage"/>
        <w:rPr>
          <w:rFonts w:cs="Arial"/>
          <w:lang w:val="en-US"/>
        </w:rPr>
      </w:pPr>
      <w:r w:rsidRPr="00324CF1">
        <w:rPr>
          <w:rStyle w:val="Appelnotedebasdep"/>
          <w:rFonts w:cs="Arial"/>
          <w:lang w:val="en-CA"/>
        </w:rPr>
        <w:footnoteRef/>
      </w:r>
      <w:r w:rsidRPr="00324CF1">
        <w:rPr>
          <w:lang w:val="en-CA"/>
        </w:rPr>
        <w:t xml:space="preserve"> </w:t>
      </w:r>
      <w:r w:rsidRPr="00324CF1">
        <w:rPr>
          <w:lang w:val="en-CA"/>
        </w:rPr>
        <w:tab/>
        <w:t xml:space="preserve">SCI Judgment, </w:t>
      </w:r>
      <w:r w:rsidRPr="00324CF1">
        <w:rPr>
          <w:i/>
          <w:iCs/>
          <w:lang w:val="en-CA"/>
        </w:rPr>
        <w:t>supra</w:t>
      </w:r>
      <w:r w:rsidRPr="00324CF1">
        <w:rPr>
          <w:lang w:val="en-CA"/>
        </w:rPr>
        <w:t>, at note 20.</w:t>
      </w:r>
    </w:p>
  </w:footnote>
  <w:footnote w:id="101">
    <w:p w14:paraId="1952B4A4" w14:textId="77777777" w:rsidR="00450EE5" w:rsidRPr="00324CF1" w:rsidRDefault="00ED47F8" w:rsidP="00450EE5">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Trudel</w:t>
      </w:r>
      <w:r w:rsidRPr="00324CF1">
        <w:rPr>
          <w:lang w:val="en-CA"/>
        </w:rPr>
        <w:t xml:space="preserve">, </w:t>
      </w:r>
      <w:r w:rsidRPr="00324CF1">
        <w:rPr>
          <w:i/>
          <w:iCs/>
          <w:lang w:val="en-CA"/>
        </w:rPr>
        <w:t>supra</w:t>
      </w:r>
      <w:r w:rsidRPr="00324CF1">
        <w:rPr>
          <w:lang w:val="en-CA"/>
        </w:rPr>
        <w:t>, note 55, at para 22.</w:t>
      </w:r>
    </w:p>
  </w:footnote>
  <w:footnote w:id="102">
    <w:p w14:paraId="14E8ADE7" w14:textId="77777777" w:rsidR="00450EE5" w:rsidRPr="00324CF1" w:rsidRDefault="00ED47F8" w:rsidP="00450EE5">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Schreiber v. Federal Republic of Germany</w:t>
      </w:r>
      <w:r w:rsidRPr="00324CF1">
        <w:rPr>
          <w:lang w:val="en-CA"/>
        </w:rPr>
        <w:t>, [2001] O.J. No. 524, at para 16 (CA Ont.) [</w:t>
      </w:r>
      <w:r w:rsidRPr="00324CF1">
        <w:rPr>
          <w:i/>
          <w:iCs/>
          <w:lang w:val="en-CA"/>
        </w:rPr>
        <w:t xml:space="preserve">Schreiber </w:t>
      </w:r>
      <w:r w:rsidRPr="00324CF1">
        <w:rPr>
          <w:lang w:val="en-CA"/>
        </w:rPr>
        <w:t xml:space="preserve">(CA)], aff’d by </w:t>
      </w:r>
      <w:r w:rsidRPr="00324CF1">
        <w:rPr>
          <w:i/>
          <w:iCs/>
          <w:lang w:val="en-CA"/>
        </w:rPr>
        <w:t xml:space="preserve">Schreiber </w:t>
      </w:r>
      <w:r w:rsidRPr="00324CF1">
        <w:rPr>
          <w:lang w:val="en-CA"/>
        </w:rPr>
        <w:t xml:space="preserve">(SCC), </w:t>
      </w:r>
      <w:r w:rsidRPr="00324CF1">
        <w:rPr>
          <w:i/>
          <w:iCs/>
          <w:lang w:val="en-CA"/>
        </w:rPr>
        <w:t>supra</w:t>
      </w:r>
      <w:r w:rsidRPr="00324CF1">
        <w:rPr>
          <w:lang w:val="en-CA"/>
        </w:rPr>
        <w:t>, at note 76.</w:t>
      </w:r>
    </w:p>
  </w:footnote>
  <w:footnote w:id="103">
    <w:p w14:paraId="3D6444D8" w14:textId="77777777" w:rsidR="004D718D" w:rsidRPr="00324CF1" w:rsidRDefault="00ED47F8" w:rsidP="004D718D">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note 23 at paras 88–112.</w:t>
      </w:r>
    </w:p>
  </w:footnote>
  <w:footnote w:id="104">
    <w:p w14:paraId="4AB1E8B6" w14:textId="77777777" w:rsidR="00FB081D" w:rsidRPr="00324CF1" w:rsidRDefault="00ED47F8" w:rsidP="00FB081D">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126–133.</w:t>
      </w:r>
    </w:p>
  </w:footnote>
  <w:footnote w:id="105">
    <w:p w14:paraId="26396A95" w14:textId="77777777" w:rsidR="00BD0157"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Marcotte Judgment, </w:t>
      </w:r>
      <w:r w:rsidRPr="00324CF1">
        <w:rPr>
          <w:i/>
          <w:iCs/>
          <w:lang w:val="en-CA"/>
        </w:rPr>
        <w:t>supra</w:t>
      </w:r>
      <w:r w:rsidRPr="00324CF1">
        <w:rPr>
          <w:lang w:val="en-CA"/>
        </w:rPr>
        <w:t>, at note 24.</w:t>
      </w:r>
    </w:p>
  </w:footnote>
  <w:footnote w:id="106">
    <w:p w14:paraId="03BA8F27" w14:textId="77777777" w:rsidR="00315B59"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Air India Judgment, </w:t>
      </w:r>
      <w:r w:rsidRPr="00324CF1">
        <w:rPr>
          <w:i/>
          <w:iCs/>
          <w:lang w:val="en-CA"/>
        </w:rPr>
        <w:t xml:space="preserve">supra, </w:t>
      </w:r>
      <w:r w:rsidRPr="00324CF1">
        <w:rPr>
          <w:lang w:val="en-CA"/>
        </w:rPr>
        <w:t>at note 26.</w:t>
      </w:r>
    </w:p>
  </w:footnote>
  <w:footnote w:id="107">
    <w:p w14:paraId="2712876A" w14:textId="77777777" w:rsidR="008F0F64"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Article 518 CCP is worded as follows:</w:t>
      </w:r>
    </w:p>
    <w:tbl>
      <w:tblPr>
        <w:tblW w:w="0" w:type="auto"/>
        <w:tblInd w:w="426" w:type="dxa"/>
        <w:tblLayout w:type="fixed"/>
        <w:tblCellMar>
          <w:left w:w="70" w:type="dxa"/>
          <w:right w:w="70" w:type="dxa"/>
        </w:tblCellMar>
        <w:tblLook w:val="0000" w:firstRow="0" w:lastRow="0" w:firstColumn="0" w:lastColumn="0" w:noHBand="0" w:noVBand="0"/>
      </w:tblPr>
      <w:tblGrid>
        <w:gridCol w:w="4255"/>
        <w:gridCol w:w="3966"/>
      </w:tblGrid>
      <w:tr w:rsidR="00291C6F" w:rsidRPr="00225DE3" w14:paraId="2C5A448C" w14:textId="77777777" w:rsidTr="00FE4777">
        <w:tc>
          <w:tcPr>
            <w:tcW w:w="4255" w:type="dxa"/>
            <w:shd w:val="clear" w:color="auto" w:fill="auto"/>
          </w:tcPr>
          <w:p w14:paraId="0CE1A27C" w14:textId="7CDFCC32" w:rsidR="00FE4777" w:rsidRPr="005E6EB3" w:rsidRDefault="00ED47F8" w:rsidP="00702503">
            <w:pPr>
              <w:pStyle w:val="Tableaugauchefranais"/>
              <w:spacing w:line="240" w:lineRule="auto"/>
              <w:ind w:left="356"/>
              <w:jc w:val="both"/>
              <w:rPr>
                <w:sz w:val="18"/>
                <w:szCs w:val="18"/>
                <w:lang w:val="en-US"/>
              </w:rPr>
            </w:pPr>
            <w:bookmarkStart w:id="102" w:name="_Hlk180044295"/>
            <w:r w:rsidRPr="005E6EB3">
              <w:rPr>
                <w:sz w:val="18"/>
                <w:szCs w:val="18"/>
                <w:lang w:val="en-US"/>
              </w:rPr>
              <w:t>518.</w:t>
            </w:r>
            <w:r w:rsidRPr="005E6EB3">
              <w:rPr>
                <w:sz w:val="18"/>
                <w:szCs w:val="18"/>
                <w:lang w:val="en-US"/>
              </w:rPr>
              <w:tab/>
            </w:r>
            <w:r w:rsidR="00225DE3" w:rsidRPr="005E6EB3">
              <w:rPr>
                <w:sz w:val="18"/>
                <w:szCs w:val="18"/>
                <w:lang w:val="en-US"/>
              </w:rPr>
              <w:t>With the authorization of the court, the plaintiff may seize the defendant’s property before judgment if there is reason to fear that recovery of the claim might be jeopardized without the seizure</w:t>
            </w:r>
            <w:r w:rsidRPr="005E6EB3">
              <w:rPr>
                <w:sz w:val="18"/>
                <w:szCs w:val="18"/>
                <w:lang w:val="en-US"/>
              </w:rPr>
              <w:t>.</w:t>
            </w:r>
          </w:p>
        </w:tc>
        <w:tc>
          <w:tcPr>
            <w:tcW w:w="3966" w:type="dxa"/>
            <w:shd w:val="clear" w:color="auto" w:fill="auto"/>
          </w:tcPr>
          <w:p w14:paraId="472332A2" w14:textId="76B95684" w:rsidR="00FE4777" w:rsidRPr="005E6EB3" w:rsidRDefault="00ED47F8" w:rsidP="00702503">
            <w:pPr>
              <w:pStyle w:val="Tableaudroiteanglais"/>
              <w:spacing w:line="240" w:lineRule="auto"/>
              <w:ind w:right="75"/>
              <w:rPr>
                <w:sz w:val="18"/>
                <w:szCs w:val="18"/>
                <w:lang w:val="fr-CA"/>
              </w:rPr>
            </w:pPr>
            <w:r w:rsidRPr="005E6EB3">
              <w:rPr>
                <w:sz w:val="18"/>
                <w:szCs w:val="18"/>
                <w:lang w:val="fr-CA"/>
              </w:rPr>
              <w:t>518.</w:t>
            </w:r>
            <w:r w:rsidRPr="005E6EB3">
              <w:rPr>
                <w:sz w:val="18"/>
                <w:szCs w:val="18"/>
                <w:lang w:val="fr-CA"/>
              </w:rPr>
              <w:tab/>
            </w:r>
            <w:r w:rsidR="00225DE3" w:rsidRPr="005E6EB3">
              <w:rPr>
                <w:sz w:val="18"/>
                <w:szCs w:val="18"/>
                <w:lang w:val="fr-CA"/>
              </w:rPr>
              <w:t xml:space="preserve"> Le demandeur peut, avec l’autorisation du tribunal, faire saisir avant jugement les biens du défendeur, s’il est à craindre que sans cette mesure le recouvrement de sa créance ne soit mis en péril</w:t>
            </w:r>
            <w:r w:rsidRPr="005E6EB3">
              <w:rPr>
                <w:sz w:val="18"/>
                <w:szCs w:val="18"/>
                <w:lang w:val="fr-CA"/>
              </w:rPr>
              <w:t>.</w:t>
            </w:r>
          </w:p>
        </w:tc>
      </w:tr>
      <w:bookmarkEnd w:id="102"/>
    </w:tbl>
    <w:p w14:paraId="1E048494" w14:textId="77777777" w:rsidR="00BE389D" w:rsidRPr="005E6EB3" w:rsidRDefault="00BE389D" w:rsidP="005225CB">
      <w:pPr>
        <w:pStyle w:val="Notedebasdepage"/>
        <w:ind w:left="0" w:firstLine="0"/>
      </w:pPr>
    </w:p>
  </w:footnote>
  <w:footnote w:id="108">
    <w:p w14:paraId="2E5EF3D0" w14:textId="77777777" w:rsidR="00E01F33"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Foreign Sovereign Immunities Act</w:t>
      </w:r>
      <w:r w:rsidRPr="00324CF1">
        <w:rPr>
          <w:lang w:val="en-CA"/>
        </w:rPr>
        <w:t xml:space="preserve">, Pub. L. 94-583, 90 Stat. 2891, 28 U.S.C., s. 1610(d). </w:t>
      </w:r>
    </w:p>
  </w:footnote>
  <w:footnote w:id="109">
    <w:p w14:paraId="0BBC486F" w14:textId="77777777" w:rsidR="00BE389D"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Article 516 CCP is worded as follows:</w:t>
      </w:r>
    </w:p>
    <w:tbl>
      <w:tblPr>
        <w:tblW w:w="0" w:type="auto"/>
        <w:tblInd w:w="426" w:type="dxa"/>
        <w:tblLayout w:type="fixed"/>
        <w:tblCellMar>
          <w:left w:w="70" w:type="dxa"/>
          <w:right w:w="70" w:type="dxa"/>
        </w:tblCellMar>
        <w:tblLook w:val="0000" w:firstRow="0" w:lastRow="0" w:firstColumn="0" w:lastColumn="0" w:noHBand="0" w:noVBand="0"/>
      </w:tblPr>
      <w:tblGrid>
        <w:gridCol w:w="4255"/>
        <w:gridCol w:w="3966"/>
      </w:tblGrid>
      <w:tr w:rsidR="00291C6F" w:rsidRPr="004B741E" w14:paraId="50C31C2F" w14:textId="77777777" w:rsidTr="00E658C3">
        <w:tc>
          <w:tcPr>
            <w:tcW w:w="4255" w:type="dxa"/>
            <w:shd w:val="clear" w:color="auto" w:fill="auto"/>
          </w:tcPr>
          <w:p w14:paraId="699D3CE9" w14:textId="77777777" w:rsidR="004B741E" w:rsidRPr="000513E1" w:rsidRDefault="00ED47F8" w:rsidP="004B741E">
            <w:pPr>
              <w:pStyle w:val="Tableaudroiteanglais"/>
              <w:spacing w:line="240" w:lineRule="auto"/>
              <w:ind w:right="75"/>
              <w:rPr>
                <w:sz w:val="18"/>
                <w:szCs w:val="18"/>
              </w:rPr>
            </w:pPr>
            <w:bookmarkStart w:id="103" w:name="_Hlk180044440"/>
            <w:r w:rsidRPr="000513E1">
              <w:rPr>
                <w:sz w:val="18"/>
                <w:szCs w:val="18"/>
              </w:rPr>
              <w:t>516.</w:t>
            </w:r>
            <w:r w:rsidR="004B741E" w:rsidRPr="000513E1">
              <w:rPr>
                <w:sz w:val="18"/>
                <w:szCs w:val="18"/>
              </w:rPr>
              <w:t xml:space="preserve"> The purpose of a seizure before judgment is to place property in the hands of justice while a proceeding is pending. A seizure before judgment is carried out in the same manner and according to the same rules as a seizure after judgment, subject to the rules of this chapter.</w:t>
            </w:r>
          </w:p>
          <w:p w14:paraId="50369940" w14:textId="77777777" w:rsidR="004B741E" w:rsidRPr="000513E1" w:rsidRDefault="004B741E" w:rsidP="004B741E">
            <w:pPr>
              <w:pStyle w:val="Tableaudroiteanglais"/>
              <w:spacing w:line="240" w:lineRule="auto"/>
              <w:ind w:right="75"/>
              <w:rPr>
                <w:sz w:val="18"/>
                <w:szCs w:val="18"/>
              </w:rPr>
            </w:pPr>
          </w:p>
          <w:p w14:paraId="59A20796" w14:textId="77777777" w:rsidR="004B741E" w:rsidRPr="000513E1" w:rsidRDefault="004B741E" w:rsidP="004B741E">
            <w:pPr>
              <w:pStyle w:val="Tableaudroiteanglais"/>
              <w:spacing w:line="240" w:lineRule="auto"/>
              <w:ind w:right="75"/>
              <w:rPr>
                <w:sz w:val="18"/>
                <w:szCs w:val="18"/>
              </w:rPr>
            </w:pPr>
            <w:r w:rsidRPr="000513E1">
              <w:rPr>
                <w:sz w:val="18"/>
                <w:szCs w:val="18"/>
              </w:rPr>
              <w:t>A seizure before judgment may be carried out before the commencement or in the course of a proceeding or while the case is under appeal, but in the latter case with the authorization of the court of first instance.</w:t>
            </w:r>
          </w:p>
          <w:p w14:paraId="3809EF71" w14:textId="77777777" w:rsidR="004B741E" w:rsidRPr="000513E1" w:rsidRDefault="004B741E" w:rsidP="004B741E">
            <w:pPr>
              <w:pStyle w:val="Tableaudroiteanglais"/>
              <w:spacing w:line="240" w:lineRule="auto"/>
              <w:ind w:right="75"/>
              <w:rPr>
                <w:sz w:val="18"/>
                <w:szCs w:val="18"/>
              </w:rPr>
            </w:pPr>
          </w:p>
          <w:p w14:paraId="1437796F" w14:textId="3393CE4B" w:rsidR="00FE4777" w:rsidRPr="005E6EB3" w:rsidRDefault="004B741E" w:rsidP="004B741E">
            <w:pPr>
              <w:pStyle w:val="Tableaugauchefranais"/>
              <w:spacing w:line="240" w:lineRule="auto"/>
              <w:ind w:left="356"/>
              <w:jc w:val="both"/>
              <w:rPr>
                <w:sz w:val="18"/>
                <w:szCs w:val="18"/>
                <w:lang w:val="en-CA"/>
              </w:rPr>
            </w:pPr>
            <w:r w:rsidRPr="005E6EB3">
              <w:rPr>
                <w:sz w:val="18"/>
                <w:szCs w:val="18"/>
                <w:lang w:val="en-CA"/>
              </w:rPr>
              <w:t>A third person is given custody of the seized property, unless the seizor authorizes the bailiff to leave the property in the custody of the person from whom it is seized.</w:t>
            </w:r>
            <w:r w:rsidR="00ED47F8" w:rsidRPr="005E6EB3">
              <w:rPr>
                <w:sz w:val="18"/>
                <w:szCs w:val="18"/>
                <w:lang w:val="en-CA"/>
              </w:rPr>
              <w:tab/>
            </w:r>
          </w:p>
        </w:tc>
        <w:tc>
          <w:tcPr>
            <w:tcW w:w="3966" w:type="dxa"/>
            <w:shd w:val="clear" w:color="auto" w:fill="auto"/>
          </w:tcPr>
          <w:p w14:paraId="780ED6B7" w14:textId="77777777" w:rsidR="004B741E" w:rsidRPr="000513E1" w:rsidRDefault="00ED47F8" w:rsidP="004B741E">
            <w:pPr>
              <w:pStyle w:val="Tableaugauchefranais"/>
              <w:spacing w:line="240" w:lineRule="auto"/>
              <w:ind w:left="356"/>
              <w:jc w:val="both"/>
              <w:rPr>
                <w:sz w:val="18"/>
                <w:szCs w:val="18"/>
              </w:rPr>
            </w:pPr>
            <w:r w:rsidRPr="000513E1">
              <w:rPr>
                <w:sz w:val="18"/>
                <w:szCs w:val="18"/>
              </w:rPr>
              <w:t>516.</w:t>
            </w:r>
            <w:r w:rsidRPr="000513E1">
              <w:rPr>
                <w:sz w:val="18"/>
                <w:szCs w:val="18"/>
              </w:rPr>
              <w:tab/>
            </w:r>
            <w:r w:rsidR="004B741E" w:rsidRPr="000513E1">
              <w:rPr>
                <w:sz w:val="18"/>
                <w:szCs w:val="18"/>
              </w:rPr>
              <w:t>La saisie avant jugement a pour but de mettre les biens sous la main de la justice pendant l’instance; elle est pratiquée de la même manière et obéit aux mêmes règles que la saisie après jugement, sauf les règles du présent chapitre.</w:t>
            </w:r>
          </w:p>
          <w:p w14:paraId="6C502E47" w14:textId="77777777" w:rsidR="004B741E" w:rsidRPr="000513E1" w:rsidRDefault="004B741E" w:rsidP="004B741E">
            <w:pPr>
              <w:pStyle w:val="Tableaugauchefranais"/>
              <w:spacing w:line="240" w:lineRule="auto"/>
              <w:ind w:left="356"/>
              <w:jc w:val="both"/>
              <w:rPr>
                <w:sz w:val="18"/>
                <w:szCs w:val="18"/>
              </w:rPr>
            </w:pPr>
          </w:p>
          <w:p w14:paraId="5B0C471D" w14:textId="77777777" w:rsidR="004B741E" w:rsidRPr="000513E1" w:rsidRDefault="004B741E" w:rsidP="004B741E">
            <w:pPr>
              <w:pStyle w:val="Tableaugauchefranais"/>
              <w:spacing w:line="240" w:lineRule="auto"/>
              <w:ind w:left="356"/>
              <w:jc w:val="both"/>
              <w:rPr>
                <w:sz w:val="18"/>
                <w:szCs w:val="18"/>
              </w:rPr>
            </w:pPr>
          </w:p>
          <w:p w14:paraId="0110FDFA" w14:textId="77777777" w:rsidR="004B741E" w:rsidRPr="000513E1" w:rsidRDefault="004B741E" w:rsidP="004B741E">
            <w:pPr>
              <w:pStyle w:val="Tableaugauchefranais"/>
              <w:spacing w:line="240" w:lineRule="auto"/>
              <w:ind w:left="356"/>
              <w:jc w:val="both"/>
              <w:rPr>
                <w:sz w:val="18"/>
                <w:szCs w:val="18"/>
              </w:rPr>
            </w:pPr>
            <w:r w:rsidRPr="000513E1">
              <w:rPr>
                <w:sz w:val="18"/>
                <w:szCs w:val="18"/>
              </w:rPr>
              <w:t>Elle peut être pratiquée avant l’introduction de l’instance ou en cours d’instance; elle peut aussi l’être lorsque l’affaire a été portée en appel, mais en ce cas avec l’autorisation du tribunal de première instance.</w:t>
            </w:r>
          </w:p>
          <w:p w14:paraId="03EC1C84" w14:textId="77777777" w:rsidR="004B741E" w:rsidRPr="000513E1" w:rsidRDefault="004B741E" w:rsidP="004B741E">
            <w:pPr>
              <w:pStyle w:val="Tableaugauchefranais"/>
              <w:spacing w:line="240" w:lineRule="auto"/>
              <w:ind w:left="356"/>
              <w:jc w:val="both"/>
              <w:rPr>
                <w:sz w:val="18"/>
                <w:szCs w:val="18"/>
              </w:rPr>
            </w:pPr>
          </w:p>
          <w:p w14:paraId="140EAC61" w14:textId="77777777" w:rsidR="004B741E" w:rsidRPr="000513E1" w:rsidRDefault="004B741E" w:rsidP="004B741E">
            <w:pPr>
              <w:pStyle w:val="Tableaugauchefranais"/>
              <w:spacing w:line="240" w:lineRule="auto"/>
              <w:ind w:left="356"/>
              <w:jc w:val="both"/>
              <w:rPr>
                <w:sz w:val="18"/>
                <w:szCs w:val="18"/>
              </w:rPr>
            </w:pPr>
            <w:r w:rsidRPr="000513E1">
              <w:rPr>
                <w:sz w:val="18"/>
                <w:szCs w:val="18"/>
              </w:rPr>
              <w:t>Les biens saisis sont confiés à la garde d’un tiers, à moins que le saisissant n’autorise l’huissier à les laisser sous la garde du saisi.</w:t>
            </w:r>
          </w:p>
          <w:p w14:paraId="253A8312" w14:textId="72551786" w:rsidR="00FE4777" w:rsidRPr="005E6EB3" w:rsidRDefault="00FE4777" w:rsidP="004B741E">
            <w:pPr>
              <w:pStyle w:val="Tableaudroiteanglais"/>
              <w:spacing w:line="240" w:lineRule="auto"/>
              <w:ind w:right="75"/>
              <w:rPr>
                <w:sz w:val="18"/>
                <w:szCs w:val="18"/>
                <w:lang w:val="fr-CA"/>
              </w:rPr>
            </w:pPr>
          </w:p>
        </w:tc>
      </w:tr>
      <w:bookmarkEnd w:id="103"/>
    </w:tbl>
    <w:p w14:paraId="681D1E53" w14:textId="77777777" w:rsidR="00BE389D" w:rsidRPr="005E6EB3" w:rsidRDefault="00BE389D" w:rsidP="008F6422">
      <w:pPr>
        <w:pStyle w:val="Notedebasdepage"/>
        <w:ind w:left="0" w:firstLine="0"/>
      </w:pPr>
    </w:p>
  </w:footnote>
  <w:footnote w:id="110">
    <w:p w14:paraId="40213B88" w14:textId="77777777" w:rsidR="000C331D" w:rsidRPr="00324CF1" w:rsidRDefault="00ED47F8" w:rsidP="005E1226">
      <w:pPr>
        <w:pStyle w:val="Notedebasdepage"/>
        <w:rPr>
          <w:lang w:val="nb-NO"/>
        </w:rPr>
      </w:pPr>
      <w:r w:rsidRPr="00324CF1">
        <w:rPr>
          <w:rStyle w:val="Appelnotedebasdep"/>
          <w:lang w:val="en-CA"/>
        </w:rPr>
        <w:footnoteRef/>
      </w:r>
      <w:r w:rsidRPr="00324CF1">
        <w:rPr>
          <w:lang w:val="nb-NO"/>
        </w:rPr>
        <w:t xml:space="preserve"> </w:t>
      </w:r>
      <w:r w:rsidRPr="00324CF1">
        <w:rPr>
          <w:lang w:val="nb-NO"/>
        </w:rPr>
        <w:tab/>
      </w:r>
      <w:r w:rsidRPr="00324CF1">
        <w:rPr>
          <w:lang w:val="nb-NO"/>
        </w:rPr>
        <w:t xml:space="preserve">See </w:t>
      </w:r>
      <w:r w:rsidRPr="00324CF1">
        <w:rPr>
          <w:i/>
          <w:iCs/>
          <w:lang w:val="nb-NO"/>
        </w:rPr>
        <w:t>infra</w:t>
      </w:r>
      <w:r w:rsidRPr="00324CF1">
        <w:rPr>
          <w:lang w:val="nb-NO"/>
        </w:rPr>
        <w:t>, at para [149].</w:t>
      </w:r>
    </w:p>
  </w:footnote>
  <w:footnote w:id="111">
    <w:p w14:paraId="55F5A107" w14:textId="77777777" w:rsidR="00BE389D" w:rsidRPr="00324CF1" w:rsidRDefault="00ED47F8" w:rsidP="00FB5A91">
      <w:pPr>
        <w:pStyle w:val="Notedebasdepage"/>
        <w:rPr>
          <w:lang w:val="nb-NO"/>
        </w:rPr>
      </w:pPr>
      <w:r w:rsidRPr="00324CF1">
        <w:rPr>
          <w:rStyle w:val="Appelnotedebasdep"/>
          <w:lang w:val="en-CA"/>
        </w:rPr>
        <w:footnoteRef/>
      </w:r>
      <w:r w:rsidRPr="00324CF1">
        <w:rPr>
          <w:lang w:val="nb-NO"/>
        </w:rPr>
        <w:t xml:space="preserve"> </w:t>
      </w:r>
      <w:r w:rsidRPr="00324CF1">
        <w:rPr>
          <w:lang w:val="nb-NO"/>
        </w:rPr>
        <w:tab/>
      </w:r>
      <w:r w:rsidRPr="00324CF1">
        <w:rPr>
          <w:i/>
          <w:iCs/>
          <w:lang w:val="nb-NO"/>
        </w:rPr>
        <w:t>Kazemi</w:t>
      </w:r>
      <w:r w:rsidRPr="00324CF1">
        <w:rPr>
          <w:lang w:val="nb-NO"/>
        </w:rPr>
        <w:t xml:space="preserve">, </w:t>
      </w:r>
      <w:r w:rsidRPr="00324CF1">
        <w:rPr>
          <w:i/>
          <w:iCs/>
          <w:lang w:val="nb-NO"/>
        </w:rPr>
        <w:t>supra</w:t>
      </w:r>
      <w:r w:rsidRPr="00324CF1">
        <w:rPr>
          <w:lang w:val="nb-NO"/>
        </w:rPr>
        <w:t>, note 66, at para 34.</w:t>
      </w:r>
    </w:p>
  </w:footnote>
  <w:footnote w:id="112">
    <w:p w14:paraId="4B2F7477" w14:textId="77777777" w:rsidR="00A14629" w:rsidRPr="00324CF1" w:rsidRDefault="00ED47F8" w:rsidP="005E1226">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w:t>
      </w:r>
      <w:r w:rsidRPr="00324CF1">
        <w:rPr>
          <w:i/>
          <w:iCs/>
          <w:lang w:val="en-CA"/>
        </w:rPr>
        <w:t>SIA</w:t>
      </w:r>
      <w:r w:rsidRPr="00324CF1">
        <w:rPr>
          <w:lang w:val="en-CA"/>
        </w:rPr>
        <w:t xml:space="preserve">, section 3, </w:t>
      </w:r>
      <w:r w:rsidRPr="00324CF1">
        <w:rPr>
          <w:i/>
          <w:iCs/>
          <w:lang w:val="en-CA"/>
        </w:rPr>
        <w:t xml:space="preserve">supra, </w:t>
      </w:r>
      <w:r w:rsidRPr="00324CF1">
        <w:rPr>
          <w:lang w:val="en-CA"/>
        </w:rPr>
        <w:t>at</w:t>
      </w:r>
      <w:r w:rsidRPr="00324CF1">
        <w:rPr>
          <w:i/>
          <w:iCs/>
          <w:lang w:val="en-CA"/>
        </w:rPr>
        <w:t xml:space="preserve"> </w:t>
      </w:r>
      <w:r w:rsidRPr="00324CF1">
        <w:rPr>
          <w:lang w:val="en-CA"/>
        </w:rPr>
        <w:t>para [61].</w:t>
      </w:r>
    </w:p>
  </w:footnote>
  <w:footnote w:id="113">
    <w:p w14:paraId="7693DAC9" w14:textId="39E8C485" w:rsidR="00E668E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Based </w:t>
      </w:r>
      <w:r w:rsidR="00427D75">
        <w:rPr>
          <w:lang w:val="en-CA"/>
        </w:rPr>
        <w:t xml:space="preserve">in that regard </w:t>
      </w:r>
      <w:r w:rsidRPr="00324CF1">
        <w:rPr>
          <w:lang w:val="en-CA"/>
        </w:rPr>
        <w:t xml:space="preserve">on the remarks of the Supreme Court in </w:t>
      </w:r>
      <w:r w:rsidRPr="00324CF1">
        <w:rPr>
          <w:i/>
          <w:iCs/>
          <w:lang w:val="en-CA"/>
        </w:rPr>
        <w:t>Kazemi</w:t>
      </w:r>
      <w:r w:rsidRPr="00324CF1">
        <w:rPr>
          <w:lang w:val="en-CA"/>
        </w:rPr>
        <w:t xml:space="preserve">, </w:t>
      </w:r>
      <w:r w:rsidRPr="00324CF1">
        <w:rPr>
          <w:i/>
          <w:iCs/>
          <w:lang w:val="en-CA"/>
        </w:rPr>
        <w:t>supra</w:t>
      </w:r>
      <w:r w:rsidRPr="00324CF1">
        <w:rPr>
          <w:lang w:val="en-CA"/>
        </w:rPr>
        <w:t>, note 66, at para 34.</w:t>
      </w:r>
    </w:p>
  </w:footnote>
  <w:footnote w:id="114">
    <w:p w14:paraId="213D3DE4" w14:textId="77777777" w:rsidR="00CE0ACD"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Ibid. </w:t>
      </w:r>
      <w:r w:rsidRPr="00324CF1">
        <w:rPr>
          <w:lang w:val="en-CA"/>
        </w:rPr>
        <w:t>at para 54.</w:t>
      </w:r>
    </w:p>
  </w:footnote>
  <w:footnote w:id="115">
    <w:p w14:paraId="457C2AD2" w14:textId="77777777" w:rsidR="00D20FA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Nevsun Resources Ltd. v. Araya</w:t>
      </w:r>
      <w:r w:rsidRPr="00324CF1">
        <w:rPr>
          <w:lang w:val="en-CA"/>
        </w:rPr>
        <w:t>, 2020 SCC 5, at para 86.</w:t>
      </w:r>
    </w:p>
  </w:footnote>
  <w:footnote w:id="116">
    <w:p w14:paraId="47838FB5" w14:textId="77777777" w:rsidR="00FE03A4" w:rsidRPr="00324CF1" w:rsidRDefault="00ED47F8" w:rsidP="00FE03A4">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Trudel</w:t>
      </w:r>
      <w:r w:rsidRPr="00324CF1">
        <w:rPr>
          <w:lang w:val="en-CA"/>
        </w:rPr>
        <w:t xml:space="preserve">, </w:t>
      </w:r>
      <w:r w:rsidRPr="00324CF1">
        <w:rPr>
          <w:i/>
          <w:iCs/>
          <w:lang w:val="en-CA"/>
        </w:rPr>
        <w:t>supra</w:t>
      </w:r>
      <w:r w:rsidRPr="00324CF1">
        <w:rPr>
          <w:lang w:val="en-CA"/>
        </w:rPr>
        <w:t>, note 55, at para 22.</w:t>
      </w:r>
    </w:p>
  </w:footnote>
  <w:footnote w:id="117">
    <w:p w14:paraId="1D2CEF4B" w14:textId="77777777" w:rsidR="00FE03A4" w:rsidRPr="00324CF1" w:rsidRDefault="00ED47F8" w:rsidP="00FE03A4">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Schreiber </w:t>
      </w:r>
      <w:r w:rsidRPr="00324CF1">
        <w:rPr>
          <w:lang w:val="en-CA"/>
        </w:rPr>
        <w:t xml:space="preserve">(CA), </w:t>
      </w:r>
      <w:r w:rsidRPr="00324CF1">
        <w:rPr>
          <w:i/>
          <w:iCs/>
          <w:lang w:val="en-CA"/>
        </w:rPr>
        <w:t>supra</w:t>
      </w:r>
      <w:r w:rsidRPr="00324CF1">
        <w:rPr>
          <w:lang w:val="en-CA"/>
        </w:rPr>
        <w:t>, at note 102.</w:t>
      </w:r>
    </w:p>
  </w:footnote>
  <w:footnote w:id="118">
    <w:p w14:paraId="5FE4D03C" w14:textId="4BD279FA" w:rsidR="003959D5" w:rsidRPr="00324CF1" w:rsidRDefault="00ED47F8" w:rsidP="003959D5">
      <w:pPr>
        <w:pStyle w:val="Notedebasdepage"/>
        <w:spacing w:line="228" w:lineRule="auto"/>
        <w:rPr>
          <w:lang w:val="en-US"/>
        </w:rPr>
      </w:pPr>
      <w:r w:rsidRPr="00324CF1">
        <w:rPr>
          <w:rStyle w:val="Appelnotedebasdep"/>
          <w:lang w:val="en-CA"/>
        </w:rPr>
        <w:footnoteRef/>
      </w:r>
      <w:r w:rsidRPr="00324CF1">
        <w:rPr>
          <w:lang w:val="en-CA"/>
        </w:rPr>
        <w:t xml:space="preserve"> </w:t>
      </w:r>
      <w:bookmarkStart w:id="105" w:name="_Hlk126658014"/>
      <w:r w:rsidRPr="00324CF1">
        <w:rPr>
          <w:lang w:val="en-CA"/>
        </w:rPr>
        <w:tab/>
      </w:r>
      <w:r w:rsidRPr="00324CF1">
        <w:rPr>
          <w:i/>
          <w:iCs/>
          <w:lang w:val="en-CA"/>
        </w:rPr>
        <w:t>Trudel</w:t>
      </w:r>
      <w:r w:rsidRPr="00324CF1">
        <w:rPr>
          <w:lang w:val="en-CA"/>
        </w:rPr>
        <w:t xml:space="preserve">, </w:t>
      </w:r>
      <w:r w:rsidRPr="00324CF1">
        <w:rPr>
          <w:i/>
          <w:iCs/>
          <w:lang w:val="en-CA"/>
        </w:rPr>
        <w:t>supra</w:t>
      </w:r>
      <w:r w:rsidRPr="00324CF1">
        <w:rPr>
          <w:lang w:val="en-CA"/>
        </w:rPr>
        <w:t>, note 55, at para 22</w:t>
      </w:r>
      <w:bookmarkEnd w:id="105"/>
      <w:r w:rsidRPr="00324CF1">
        <w:rPr>
          <w:lang w:val="en-CA"/>
        </w:rPr>
        <w:t xml:space="preserve">; for other judgments deciding the issue of state immunity from jurisdiction of the courts </w:t>
      </w:r>
      <w:r w:rsidR="00FD1118">
        <w:rPr>
          <w:lang w:val="en-CA"/>
        </w:rPr>
        <w:t>at the</w:t>
      </w:r>
      <w:r w:rsidRPr="00324CF1">
        <w:rPr>
          <w:lang w:val="en-CA"/>
        </w:rPr>
        <w:t xml:space="preserve"> application to dismiss</w:t>
      </w:r>
      <w:r w:rsidR="00FD1118">
        <w:rPr>
          <w:lang w:val="en-CA"/>
        </w:rPr>
        <w:t xml:space="preserve"> stage</w:t>
      </w:r>
      <w:r w:rsidRPr="00324CF1">
        <w:rPr>
          <w:lang w:val="en-CA"/>
        </w:rPr>
        <w:t xml:space="preserve">, see in particular </w:t>
      </w:r>
      <w:r w:rsidRPr="00324CF1">
        <w:rPr>
          <w:i/>
          <w:iCs/>
          <w:lang w:val="en-CA"/>
        </w:rPr>
        <w:t>Kazemi</w:t>
      </w:r>
      <w:r w:rsidRPr="00324CF1">
        <w:rPr>
          <w:lang w:val="en-CA"/>
        </w:rPr>
        <w:t xml:space="preserve">, </w:t>
      </w:r>
      <w:r w:rsidRPr="00324CF1">
        <w:rPr>
          <w:i/>
          <w:iCs/>
          <w:lang w:val="en-CA"/>
        </w:rPr>
        <w:t>supra</w:t>
      </w:r>
      <w:r w:rsidRPr="00324CF1">
        <w:rPr>
          <w:lang w:val="en-CA"/>
        </w:rPr>
        <w:t xml:space="preserve">, at note 66; </w:t>
      </w:r>
      <w:r w:rsidRPr="00324CF1">
        <w:rPr>
          <w:i/>
          <w:iCs/>
          <w:lang w:val="en-CA"/>
        </w:rPr>
        <w:t>Kuwait Airways</w:t>
      </w:r>
      <w:r w:rsidRPr="00324CF1">
        <w:rPr>
          <w:lang w:val="en-CA"/>
        </w:rPr>
        <w:t xml:space="preserve"> (SCC)</w:t>
      </w:r>
      <w:r w:rsidRPr="00324CF1">
        <w:rPr>
          <w:i/>
          <w:iCs/>
          <w:lang w:val="en-CA"/>
        </w:rPr>
        <w:t xml:space="preserve"> supra</w:t>
      </w:r>
      <w:r w:rsidRPr="00324CF1">
        <w:rPr>
          <w:lang w:val="en-CA"/>
        </w:rPr>
        <w:t xml:space="preserve">, at note 51; </w:t>
      </w:r>
      <w:r w:rsidRPr="00324CF1">
        <w:rPr>
          <w:i/>
          <w:iCs/>
          <w:lang w:val="en-CA"/>
        </w:rPr>
        <w:t>Tanny</w:t>
      </w:r>
      <w:r w:rsidRPr="00324CF1">
        <w:rPr>
          <w:lang w:val="en-CA"/>
        </w:rPr>
        <w:t xml:space="preserve">, </w:t>
      </w:r>
      <w:r w:rsidRPr="00324CF1">
        <w:rPr>
          <w:i/>
          <w:iCs/>
          <w:lang w:val="en-CA"/>
        </w:rPr>
        <w:t>supra</w:t>
      </w:r>
      <w:r w:rsidRPr="00324CF1">
        <w:rPr>
          <w:lang w:val="en-CA"/>
        </w:rPr>
        <w:t xml:space="preserve">, at note 56; </w:t>
      </w:r>
      <w:r w:rsidRPr="00324CF1">
        <w:rPr>
          <w:i/>
          <w:iCs/>
          <w:lang w:val="en-CA"/>
        </w:rPr>
        <w:t>El Ansari</w:t>
      </w:r>
      <w:r w:rsidRPr="00324CF1">
        <w:rPr>
          <w:lang w:val="en-CA"/>
        </w:rPr>
        <w:t xml:space="preserve"> </w:t>
      </w:r>
      <w:r w:rsidRPr="00324CF1">
        <w:rPr>
          <w:i/>
          <w:iCs/>
          <w:lang w:val="en-CA"/>
        </w:rPr>
        <w:t>v. Morocco (Government of the Kingdom of)</w:t>
      </w:r>
      <w:r w:rsidRPr="00324CF1">
        <w:rPr>
          <w:lang w:val="en-CA"/>
        </w:rPr>
        <w:t>, J.E. 2002-1640 (</w:t>
      </w:r>
      <w:r w:rsidR="00FD1118">
        <w:rPr>
          <w:lang w:val="en-CA"/>
        </w:rPr>
        <w:t>Sup. Ct.</w:t>
      </w:r>
      <w:r w:rsidRPr="00324CF1">
        <w:rPr>
          <w:lang w:val="en-CA"/>
        </w:rPr>
        <w:t>).</w:t>
      </w:r>
    </w:p>
  </w:footnote>
  <w:footnote w:id="119">
    <w:p w14:paraId="68156C48" w14:textId="77777777" w:rsidR="00DB1567" w:rsidRPr="00324CF1" w:rsidRDefault="00ED47F8" w:rsidP="000579E7">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Trudel</w:t>
      </w:r>
      <w:r w:rsidRPr="00324CF1">
        <w:rPr>
          <w:lang w:val="en-CA"/>
        </w:rPr>
        <w:t xml:space="preserve">, </w:t>
      </w:r>
      <w:r w:rsidRPr="00324CF1">
        <w:rPr>
          <w:i/>
          <w:iCs/>
          <w:lang w:val="en-CA"/>
        </w:rPr>
        <w:t>supra</w:t>
      </w:r>
      <w:r w:rsidRPr="00324CF1">
        <w:rPr>
          <w:lang w:val="en-CA"/>
        </w:rPr>
        <w:t xml:space="preserve">, note 55, at para 26, citing </w:t>
      </w:r>
      <w:r w:rsidRPr="00324CF1">
        <w:rPr>
          <w:i/>
          <w:iCs/>
          <w:lang w:val="en-CA"/>
        </w:rPr>
        <w:t xml:space="preserve">Schreiber </w:t>
      </w:r>
      <w:r w:rsidRPr="00324CF1">
        <w:rPr>
          <w:lang w:val="en-CA"/>
        </w:rPr>
        <w:t xml:space="preserve">(CA), </w:t>
      </w:r>
      <w:r w:rsidRPr="00324CF1">
        <w:rPr>
          <w:i/>
          <w:iCs/>
          <w:lang w:val="en-CA"/>
        </w:rPr>
        <w:t>supra</w:t>
      </w:r>
      <w:r w:rsidRPr="00324CF1">
        <w:rPr>
          <w:lang w:val="en-CA"/>
        </w:rPr>
        <w:t>, note 102, at paras 16–18.</w:t>
      </w:r>
    </w:p>
  </w:footnote>
  <w:footnote w:id="120">
    <w:p w14:paraId="18E7E1DF" w14:textId="77777777" w:rsidR="003959D5" w:rsidRPr="00324CF1" w:rsidRDefault="00ED47F8" w:rsidP="00DB1567">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Schreiber </w:t>
      </w:r>
      <w:r w:rsidRPr="00324CF1">
        <w:rPr>
          <w:lang w:val="en-CA"/>
        </w:rPr>
        <w:t xml:space="preserve">(SCC), </w:t>
      </w:r>
      <w:r w:rsidRPr="00324CF1">
        <w:rPr>
          <w:i/>
          <w:iCs/>
          <w:lang w:val="en-CA"/>
        </w:rPr>
        <w:t>supra</w:t>
      </w:r>
      <w:r w:rsidRPr="00324CF1">
        <w:rPr>
          <w:lang w:val="en-CA"/>
        </w:rPr>
        <w:t>, note 76, at para 10.</w:t>
      </w:r>
    </w:p>
  </w:footnote>
  <w:footnote w:id="121">
    <w:p w14:paraId="12D0E814" w14:textId="28058902" w:rsidR="005D472E" w:rsidRPr="00324CF1" w:rsidRDefault="00ED47F8" w:rsidP="005D472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Kuwait Airways Corporation c. Irak (République de l’)</w:t>
      </w:r>
      <w:r w:rsidRPr="00324CF1">
        <w:rPr>
          <w:lang w:val="en-CA"/>
        </w:rPr>
        <w:t>, 2009 QCCA 728, at para 1 [</w:t>
      </w:r>
      <w:r w:rsidRPr="00324CF1">
        <w:rPr>
          <w:i/>
          <w:iCs/>
          <w:lang w:val="en-CA"/>
        </w:rPr>
        <w:t>Kuwait Airways</w:t>
      </w:r>
      <w:r w:rsidRPr="00324CF1">
        <w:rPr>
          <w:lang w:val="en-CA"/>
        </w:rPr>
        <w:t xml:space="preserve"> (CA)], rev’d on other grounds by </w:t>
      </w:r>
      <w:r w:rsidRPr="00324CF1">
        <w:rPr>
          <w:i/>
          <w:iCs/>
          <w:lang w:val="en-CA"/>
        </w:rPr>
        <w:t>Kuwait Airways</w:t>
      </w:r>
      <w:r w:rsidRPr="00324CF1">
        <w:rPr>
          <w:lang w:val="en-CA"/>
        </w:rPr>
        <w:t xml:space="preserve"> (SCC)</w:t>
      </w:r>
      <w:r w:rsidRPr="00324CF1">
        <w:rPr>
          <w:i/>
          <w:iCs/>
          <w:lang w:val="en-CA"/>
        </w:rPr>
        <w:t xml:space="preserve"> supra</w:t>
      </w:r>
      <w:r w:rsidRPr="00324CF1">
        <w:rPr>
          <w:lang w:val="en-CA"/>
        </w:rPr>
        <w:t xml:space="preserve">, at note 51; </w:t>
      </w:r>
      <w:r w:rsidRPr="00324CF1">
        <w:rPr>
          <w:i/>
          <w:iCs/>
          <w:lang w:val="en-CA"/>
        </w:rPr>
        <w:t>Tracy v. Iran (Information and Security)</w:t>
      </w:r>
      <w:r w:rsidRPr="00324CF1">
        <w:rPr>
          <w:lang w:val="en-CA"/>
        </w:rPr>
        <w:t>, 2017 ONCA 549 [</w:t>
      </w:r>
      <w:r w:rsidRPr="00324CF1">
        <w:rPr>
          <w:i/>
          <w:iCs/>
          <w:lang w:val="en-CA"/>
        </w:rPr>
        <w:t>Tracy v. Iran</w:t>
      </w:r>
      <w:r w:rsidRPr="00324CF1">
        <w:rPr>
          <w:lang w:val="en-CA"/>
        </w:rPr>
        <w:t xml:space="preserve">], at para 23; </w:t>
      </w:r>
      <w:r w:rsidRPr="00324CF1">
        <w:rPr>
          <w:i/>
          <w:iCs/>
          <w:lang w:val="en-CA"/>
        </w:rPr>
        <w:t>Canadian Planning</w:t>
      </w:r>
      <w:r w:rsidRPr="00324CF1">
        <w:rPr>
          <w:lang w:val="en-CA"/>
        </w:rPr>
        <w:t xml:space="preserve">, </w:t>
      </w:r>
      <w:r w:rsidRPr="00324CF1">
        <w:rPr>
          <w:i/>
          <w:iCs/>
          <w:lang w:val="en-CA"/>
        </w:rPr>
        <w:t>supra</w:t>
      </w:r>
      <w:r w:rsidRPr="00324CF1">
        <w:rPr>
          <w:lang w:val="en-CA"/>
        </w:rPr>
        <w:t xml:space="preserve">, note 75, at para 12; </w:t>
      </w:r>
      <w:r w:rsidRPr="00324CF1">
        <w:rPr>
          <w:i/>
          <w:iCs/>
          <w:lang w:val="en-CA"/>
        </w:rPr>
        <w:t>Republic of Irak v. Export Development Corp.</w:t>
      </w:r>
      <w:r w:rsidRPr="00324CF1">
        <w:rPr>
          <w:lang w:val="en-CA"/>
        </w:rPr>
        <w:t>, [2003] R.J.Q. 2416 (CA) [</w:t>
      </w:r>
      <w:r w:rsidRPr="00324CF1">
        <w:rPr>
          <w:i/>
          <w:iCs/>
          <w:lang w:val="en-CA"/>
        </w:rPr>
        <w:t>Republic of Iraq v. Export Development Corp</w:t>
      </w:r>
      <w:r w:rsidRPr="00324CF1">
        <w:rPr>
          <w:lang w:val="en-CA"/>
        </w:rPr>
        <w:t xml:space="preserve">.], at paras 1–3; </w:t>
      </w:r>
      <w:r w:rsidRPr="00324CF1">
        <w:rPr>
          <w:i/>
          <w:iCs/>
          <w:lang w:val="en-CA"/>
        </w:rPr>
        <w:t>Sunlodges, supra</w:t>
      </w:r>
      <w:r w:rsidRPr="00324CF1">
        <w:rPr>
          <w:lang w:val="en-CA"/>
        </w:rPr>
        <w:t xml:space="preserve">, note 65, at para 8. In some of these rulings, the judges ordering conservatory measures ruled </w:t>
      </w:r>
      <w:r w:rsidRPr="00324CF1">
        <w:rPr>
          <w:i/>
          <w:iCs/>
          <w:lang w:val="en-CA"/>
        </w:rPr>
        <w:t>ex parte</w:t>
      </w:r>
      <w:r w:rsidRPr="00324CF1">
        <w:rPr>
          <w:lang w:val="en-CA"/>
        </w:rPr>
        <w:t xml:space="preserve"> on the question of state immunity from jurisdiction of the courts, but in all cases a full debate on the question </w:t>
      </w:r>
      <w:r w:rsidR="000765B6">
        <w:rPr>
          <w:lang w:val="en-CA"/>
        </w:rPr>
        <w:t>was held</w:t>
      </w:r>
      <w:r w:rsidRPr="00324CF1">
        <w:rPr>
          <w:lang w:val="en-CA"/>
        </w:rPr>
        <w:t xml:space="preserve"> </w:t>
      </w:r>
      <w:r w:rsidR="000765B6">
        <w:rPr>
          <w:lang w:val="en-CA"/>
        </w:rPr>
        <w:t>subsequently</w:t>
      </w:r>
      <w:r w:rsidRPr="00324CF1">
        <w:rPr>
          <w:lang w:val="en-CA"/>
        </w:rPr>
        <w:t xml:space="preserve">. Several of these conservatory measures have been ordered under </w:t>
      </w:r>
      <w:r w:rsidR="006979B6">
        <w:rPr>
          <w:lang w:val="en-CA"/>
        </w:rPr>
        <w:t xml:space="preserve">the </w:t>
      </w:r>
      <w:r w:rsidRPr="00324CF1">
        <w:rPr>
          <w:lang w:val="en-CA"/>
        </w:rPr>
        <w:t>rules of procedure in other Canadian provinces and should therefore be applied cautiously in this case.</w:t>
      </w:r>
    </w:p>
  </w:footnote>
  <w:footnote w:id="122">
    <w:p w14:paraId="7364065A" w14:textId="77777777" w:rsidR="005D472E" w:rsidRPr="00324CF1" w:rsidRDefault="00ED47F8" w:rsidP="005D472E">
      <w:pPr>
        <w:pStyle w:val="Notedebasdepage"/>
        <w:spacing w:line="228" w:lineRule="auto"/>
      </w:pPr>
      <w:r w:rsidRPr="00324CF1">
        <w:rPr>
          <w:rStyle w:val="Appelnotedebasdep"/>
          <w:lang w:val="en-CA"/>
        </w:rPr>
        <w:footnoteRef/>
      </w:r>
      <w:r w:rsidRPr="00324CF1">
        <w:t xml:space="preserve"> </w:t>
      </w:r>
      <w:r w:rsidRPr="00324CF1">
        <w:tab/>
      </w:r>
      <w:r w:rsidRPr="00324CF1">
        <w:rPr>
          <w:i/>
          <w:iCs/>
        </w:rPr>
        <w:t>Canada (Procureur général) c. Tremblay</w:t>
      </w:r>
      <w:r w:rsidRPr="00324CF1">
        <w:t>, [1999] R.J.Q. 1601 (CA).</w:t>
      </w:r>
    </w:p>
  </w:footnote>
  <w:footnote w:id="123">
    <w:p w14:paraId="5F54A8A6" w14:textId="7765CA85" w:rsidR="005D472E" w:rsidRPr="00324CF1" w:rsidRDefault="00ED47F8" w:rsidP="005D472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Dussault J. also rejected the analogy </w:t>
      </w:r>
      <w:r w:rsidR="006979B6">
        <w:rPr>
          <w:lang w:val="en-CA"/>
        </w:rPr>
        <w:t>to</w:t>
      </w:r>
      <w:r w:rsidRPr="00324CF1">
        <w:rPr>
          <w:lang w:val="en-CA"/>
        </w:rPr>
        <w:t xml:space="preserve"> the </w:t>
      </w:r>
      <w:r w:rsidRPr="00324CF1">
        <w:rPr>
          <w:i/>
          <w:iCs/>
          <w:lang w:val="en-CA"/>
        </w:rPr>
        <w:t>SIA</w:t>
      </w:r>
      <w:r w:rsidRPr="00324CF1">
        <w:rPr>
          <w:lang w:val="en-CA"/>
        </w:rPr>
        <w:t xml:space="preserve">, considering that the commercial activity exception did not apply in proceedings </w:t>
      </w:r>
      <w:r w:rsidR="000765B6">
        <w:rPr>
          <w:lang w:val="en-CA"/>
        </w:rPr>
        <w:t>concerning</w:t>
      </w:r>
      <w:r w:rsidR="000765B6" w:rsidRPr="00324CF1">
        <w:rPr>
          <w:lang w:val="en-CA"/>
        </w:rPr>
        <w:t xml:space="preserve"> </w:t>
      </w:r>
      <w:r w:rsidRPr="00324CF1">
        <w:rPr>
          <w:lang w:val="en-CA"/>
        </w:rPr>
        <w:t>the Canadian government.</w:t>
      </w:r>
    </w:p>
  </w:footnote>
  <w:footnote w:id="124">
    <w:p w14:paraId="4DD6CF2E" w14:textId="77777777" w:rsidR="005D472E" w:rsidRPr="00324CF1" w:rsidRDefault="00ED47F8" w:rsidP="005D472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In another case, a seizure before judgment was ordered against the DPCP. It was only at the stage of quashing the seizure that the court examined the question of the DPCP’s immunity as an organ of the state: </w:t>
      </w:r>
      <w:r w:rsidRPr="00324CF1">
        <w:rPr>
          <w:i/>
          <w:iCs/>
          <w:lang w:val="en-CA"/>
        </w:rPr>
        <w:t>Québec (Procureur général) c. 9148-5847 Québec inc.</w:t>
      </w:r>
      <w:r w:rsidRPr="00324CF1">
        <w:rPr>
          <w:lang w:val="en-CA"/>
        </w:rPr>
        <w:t>, 2012 QCCA 1362.</w:t>
      </w:r>
    </w:p>
  </w:footnote>
  <w:footnote w:id="125">
    <w:p w14:paraId="44D7009C" w14:textId="77777777" w:rsidR="005D472E" w:rsidRPr="00324CF1" w:rsidRDefault="00ED47F8" w:rsidP="005D472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Instrubel c. Republic of Iraq</w:t>
      </w:r>
      <w:r w:rsidRPr="00324CF1">
        <w:rPr>
          <w:lang w:val="en-CA"/>
        </w:rPr>
        <w:t>, 2019 QCCA 78 [</w:t>
      </w:r>
      <w:r w:rsidRPr="00324CF1">
        <w:rPr>
          <w:i/>
          <w:iCs/>
          <w:lang w:val="en-CA"/>
        </w:rPr>
        <w:t>Instrubel</w:t>
      </w:r>
      <w:r w:rsidRPr="00324CF1">
        <w:rPr>
          <w:lang w:val="en-CA"/>
        </w:rPr>
        <w:t xml:space="preserve"> (CA)], aff’d by </w:t>
      </w:r>
      <w:r w:rsidRPr="00324CF1">
        <w:rPr>
          <w:i/>
          <w:iCs/>
          <w:lang w:val="en-CA"/>
        </w:rPr>
        <w:t>International Air Transport Association v. Instrubel, N.V.</w:t>
      </w:r>
      <w:r w:rsidRPr="00324CF1">
        <w:rPr>
          <w:lang w:val="en-CA"/>
        </w:rPr>
        <w:t>, 2019 SCC 61 [</w:t>
      </w:r>
      <w:r w:rsidRPr="00324CF1">
        <w:rPr>
          <w:i/>
          <w:iCs/>
          <w:lang w:val="en-CA"/>
        </w:rPr>
        <w:t>Instrubel</w:t>
      </w:r>
      <w:r w:rsidRPr="00324CF1">
        <w:rPr>
          <w:lang w:val="en-CA"/>
        </w:rPr>
        <w:t xml:space="preserve"> (SCC)].</w:t>
      </w:r>
    </w:p>
  </w:footnote>
  <w:footnote w:id="126">
    <w:p w14:paraId="073F45E7" w14:textId="77777777" w:rsidR="005D472E" w:rsidRPr="00324CF1" w:rsidRDefault="00ED47F8" w:rsidP="005D472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Instrubel </w:t>
      </w:r>
      <w:r w:rsidRPr="00324CF1">
        <w:rPr>
          <w:lang w:val="en-CA"/>
        </w:rPr>
        <w:t xml:space="preserve">(CA), </w:t>
      </w:r>
      <w:r w:rsidRPr="00324CF1">
        <w:rPr>
          <w:i/>
          <w:iCs/>
          <w:lang w:val="en-CA"/>
        </w:rPr>
        <w:t>supra</w:t>
      </w:r>
      <w:r w:rsidRPr="00324CF1">
        <w:rPr>
          <w:lang w:val="en-CA"/>
        </w:rPr>
        <w:t>, note 125, at paras 22–27.</w:t>
      </w:r>
    </w:p>
  </w:footnote>
  <w:footnote w:id="127">
    <w:p w14:paraId="2169719B" w14:textId="77777777" w:rsidR="005D472E" w:rsidRPr="00324CF1" w:rsidRDefault="00ED47F8" w:rsidP="005D472E">
      <w:pPr>
        <w:pStyle w:val="Notedebasdepage"/>
        <w:spacing w:line="228" w:lineRule="auto"/>
        <w:rPr>
          <w:rStyle w:val="Appelnotedebasdep"/>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Instrubel, n.v. c. Ministry of Industry of The Republic of Iraq</w:t>
      </w:r>
      <w:r w:rsidRPr="00324CF1">
        <w:rPr>
          <w:lang w:val="en-CA"/>
        </w:rPr>
        <w:t xml:space="preserve">, 2016 QCCS 1184, at para 10, rev’d on other grounds by </w:t>
      </w:r>
      <w:r w:rsidRPr="00324CF1">
        <w:rPr>
          <w:i/>
          <w:iCs/>
          <w:lang w:val="en-CA"/>
        </w:rPr>
        <w:t xml:space="preserve">Instrubel </w:t>
      </w:r>
      <w:r w:rsidRPr="00324CF1">
        <w:rPr>
          <w:lang w:val="en-CA"/>
        </w:rPr>
        <w:t xml:space="preserve">(CA), </w:t>
      </w:r>
      <w:r w:rsidRPr="00324CF1">
        <w:rPr>
          <w:i/>
          <w:iCs/>
          <w:lang w:val="en-CA"/>
        </w:rPr>
        <w:t>supra</w:t>
      </w:r>
      <w:r w:rsidRPr="00324CF1">
        <w:rPr>
          <w:lang w:val="en-CA"/>
        </w:rPr>
        <w:t xml:space="preserve">, note 125, at paras 22–27, aff’d by </w:t>
      </w:r>
      <w:r w:rsidRPr="00324CF1">
        <w:rPr>
          <w:i/>
          <w:iCs/>
          <w:lang w:val="en-CA"/>
        </w:rPr>
        <w:t xml:space="preserve">Instrubel </w:t>
      </w:r>
      <w:r w:rsidRPr="00324CF1">
        <w:rPr>
          <w:lang w:val="en-CA"/>
        </w:rPr>
        <w:t xml:space="preserve">(SCC), </w:t>
      </w:r>
      <w:r w:rsidRPr="00324CF1">
        <w:rPr>
          <w:i/>
          <w:iCs/>
          <w:lang w:val="en-CA"/>
        </w:rPr>
        <w:t>supra</w:t>
      </w:r>
      <w:r w:rsidRPr="00324CF1">
        <w:rPr>
          <w:lang w:val="en-CA"/>
        </w:rPr>
        <w:t>, at note 125.</w:t>
      </w:r>
    </w:p>
  </w:footnote>
  <w:footnote w:id="128">
    <w:p w14:paraId="6538141C" w14:textId="77777777" w:rsidR="00E454B1" w:rsidRPr="00324CF1" w:rsidRDefault="00ED47F8" w:rsidP="00E454B1">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Barer v. Knight Brothers LLC, </w:t>
      </w:r>
      <w:r w:rsidRPr="00324CF1">
        <w:rPr>
          <w:lang w:val="en-CA"/>
        </w:rPr>
        <w:t>2019 SCC 13, at para 80.</w:t>
      </w:r>
    </w:p>
  </w:footnote>
  <w:footnote w:id="129">
    <w:p w14:paraId="336856FB" w14:textId="1263ACD0" w:rsidR="00D97479" w:rsidRPr="00324CF1" w:rsidRDefault="00ED47F8" w:rsidP="00D97479">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In accordance with article 520 </w:t>
      </w:r>
      <w:r w:rsidRPr="00324CF1">
        <w:rPr>
          <w:i/>
          <w:iCs/>
          <w:lang w:val="en-CA"/>
        </w:rPr>
        <w:t>CCP</w:t>
      </w:r>
      <w:r w:rsidRPr="00324CF1">
        <w:rPr>
          <w:lang w:val="en-CA"/>
        </w:rPr>
        <w:t xml:space="preserve">, </w:t>
      </w:r>
      <w:r w:rsidR="007134CE">
        <w:rPr>
          <w:lang w:val="en-CA"/>
        </w:rPr>
        <w:t xml:space="preserve">a </w:t>
      </w:r>
      <w:r w:rsidRPr="00324CF1">
        <w:rPr>
          <w:lang w:val="en-CA"/>
        </w:rPr>
        <w:t xml:space="preserve">seizure before judgment is ordered </w:t>
      </w:r>
      <w:r w:rsidR="007134CE">
        <w:rPr>
          <w:lang w:val="en-CA"/>
        </w:rPr>
        <w:t>according to</w:t>
      </w:r>
      <w:r w:rsidRPr="00324CF1">
        <w:rPr>
          <w:lang w:val="en-CA"/>
        </w:rPr>
        <w:t xml:space="preserve"> the seizor’s instructions, supported by the seizor’s affidavit. </w:t>
      </w:r>
      <w:r w:rsidR="007134CE">
        <w:rPr>
          <w:lang w:val="en-CA"/>
        </w:rPr>
        <w:t>S</w:t>
      </w:r>
      <w:r w:rsidRPr="00324CF1">
        <w:rPr>
          <w:lang w:val="en-CA"/>
        </w:rPr>
        <w:t xml:space="preserve">tate immunity from the jurisdiction of the courts and exceptions </w:t>
      </w:r>
      <w:r w:rsidR="007134CE">
        <w:rPr>
          <w:lang w:val="en-CA"/>
        </w:rPr>
        <w:t>there</w:t>
      </w:r>
      <w:r w:rsidRPr="00324CF1">
        <w:rPr>
          <w:lang w:val="en-CA"/>
        </w:rPr>
        <w:t xml:space="preserve">to, in particular those relating to commercial activities, may raise mixed questions of fact and law. These questions cannot be decided </w:t>
      </w:r>
      <w:r w:rsidR="007134CE">
        <w:rPr>
          <w:lang w:val="en-CA"/>
        </w:rPr>
        <w:t xml:space="preserve">based </w:t>
      </w:r>
      <w:r w:rsidRPr="00324CF1">
        <w:rPr>
          <w:lang w:val="en-CA"/>
        </w:rPr>
        <w:t xml:space="preserve">solely on the instructions provided at the time of the seizure. The situation in this case is different from the one described in </w:t>
      </w:r>
      <w:r w:rsidRPr="00324CF1">
        <w:rPr>
          <w:i/>
          <w:iCs/>
          <w:lang w:val="en-CA"/>
        </w:rPr>
        <w:t>Tanny</w:t>
      </w:r>
      <w:r w:rsidRPr="00324CF1">
        <w:rPr>
          <w:lang w:val="en-CA"/>
        </w:rPr>
        <w:t xml:space="preserve">, where “[a]ll of the allegations required to allow the judge to determine whether the respondent benefitted from immunity appear in the application to authorize a class action”: </w:t>
      </w:r>
      <w:r w:rsidRPr="00324CF1">
        <w:rPr>
          <w:i/>
          <w:iCs/>
          <w:lang w:val="en-CA"/>
        </w:rPr>
        <w:t>Tanny</w:t>
      </w:r>
      <w:r w:rsidRPr="00324CF1">
        <w:rPr>
          <w:lang w:val="en-CA"/>
        </w:rPr>
        <w:t xml:space="preserve">, </w:t>
      </w:r>
      <w:r w:rsidRPr="00324CF1">
        <w:rPr>
          <w:i/>
          <w:iCs/>
          <w:lang w:val="en-CA"/>
        </w:rPr>
        <w:t>supra</w:t>
      </w:r>
      <w:r w:rsidRPr="00324CF1">
        <w:rPr>
          <w:lang w:val="en-CA"/>
        </w:rPr>
        <w:t>, note 56, at para 23.</w:t>
      </w:r>
    </w:p>
  </w:footnote>
  <w:footnote w:id="130">
    <w:p w14:paraId="44DDA8BC" w14:textId="77777777" w:rsidR="00E454B1" w:rsidRPr="00324CF1" w:rsidRDefault="00ED47F8" w:rsidP="00E454B1">
      <w:pPr>
        <w:pStyle w:val="Notedebasdepage"/>
        <w:spacing w:line="228" w:lineRule="auto"/>
      </w:pPr>
      <w:r w:rsidRPr="00324CF1">
        <w:rPr>
          <w:rStyle w:val="Appelnotedebasdep"/>
          <w:lang w:val="en-CA"/>
        </w:rPr>
        <w:footnoteRef/>
      </w:r>
      <w:r w:rsidRPr="00324CF1">
        <w:t xml:space="preserve"> </w:t>
      </w:r>
      <w:r w:rsidRPr="00324CF1">
        <w:tab/>
      </w:r>
      <w:r w:rsidRPr="00324CF1">
        <w:rPr>
          <w:i/>
          <w:iCs/>
        </w:rPr>
        <w:t>Deloitte &amp; Touche inc. c. Banque Laurentienne du Canada</w:t>
      </w:r>
      <w:r w:rsidRPr="00324CF1">
        <w:t xml:space="preserve">, [1995] RJQ 1301 (CA), at 1305. See also </w:t>
      </w:r>
      <w:r w:rsidRPr="00324CF1">
        <w:rPr>
          <w:i/>
          <w:iCs/>
        </w:rPr>
        <w:t>Société de développement de la Baie James c. Gestion pourvoirie Mirage inc.</w:t>
      </w:r>
      <w:r w:rsidRPr="00324CF1">
        <w:t>, 2012 QCCA 1699, at paras 13–15.</w:t>
      </w:r>
    </w:p>
  </w:footnote>
  <w:footnote w:id="131">
    <w:p w14:paraId="069F0E11" w14:textId="77777777" w:rsidR="00E454B1" w:rsidRPr="00324CF1" w:rsidRDefault="00ED47F8" w:rsidP="0074648B">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Instrubel </w:t>
      </w:r>
      <w:r w:rsidRPr="00324CF1">
        <w:rPr>
          <w:lang w:val="en-CA"/>
        </w:rPr>
        <w:t xml:space="preserve">(CA), </w:t>
      </w:r>
      <w:r w:rsidRPr="00324CF1">
        <w:rPr>
          <w:i/>
          <w:iCs/>
          <w:lang w:val="en-CA"/>
        </w:rPr>
        <w:t>supra</w:t>
      </w:r>
      <w:r w:rsidRPr="00324CF1">
        <w:rPr>
          <w:lang w:val="en-CA"/>
        </w:rPr>
        <w:t>, note 125, at para 23.</w:t>
      </w:r>
    </w:p>
  </w:footnote>
  <w:footnote w:id="132">
    <w:p w14:paraId="1EEB4685" w14:textId="77777777" w:rsidR="00E454B1" w:rsidRPr="00324CF1" w:rsidRDefault="00ED47F8" w:rsidP="005E1226">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w:t>
      </w:r>
      <w:r w:rsidRPr="00324CF1">
        <w:rPr>
          <w:i/>
          <w:iCs/>
          <w:lang w:val="en-CA"/>
        </w:rPr>
        <w:t>SIA</w:t>
      </w:r>
      <w:r w:rsidRPr="00324CF1">
        <w:rPr>
          <w:lang w:val="en-CA"/>
        </w:rPr>
        <w:t xml:space="preserve">, section 4, </w:t>
      </w:r>
      <w:r w:rsidRPr="00324CF1">
        <w:rPr>
          <w:i/>
          <w:iCs/>
          <w:lang w:val="en-CA"/>
        </w:rPr>
        <w:t>supra</w:t>
      </w:r>
      <w:r w:rsidRPr="00324CF1">
        <w:rPr>
          <w:lang w:val="en-CA"/>
        </w:rPr>
        <w:t>, at para [61].</w:t>
      </w:r>
    </w:p>
  </w:footnote>
  <w:footnote w:id="133">
    <w:p w14:paraId="42FD1377" w14:textId="77777777" w:rsidR="000B7ADE" w:rsidRPr="00324CF1" w:rsidRDefault="00ED47F8" w:rsidP="000B7ADE">
      <w:pPr>
        <w:pStyle w:val="Notedebasdepage"/>
        <w:spacing w:line="228" w:lineRule="auto"/>
      </w:pPr>
      <w:r w:rsidRPr="00324CF1">
        <w:rPr>
          <w:rStyle w:val="Appelnotedebasdep"/>
          <w:lang w:val="en-CA"/>
        </w:rPr>
        <w:footnoteRef/>
      </w:r>
      <w:r w:rsidRPr="00324CF1">
        <w:rPr>
          <w:lang w:val="en-CA"/>
        </w:rPr>
        <w:t xml:space="preserve"> </w:t>
      </w:r>
      <w:r w:rsidRPr="00324CF1">
        <w:rPr>
          <w:lang w:val="en-CA"/>
        </w:rPr>
        <w:tab/>
        <w:t xml:space="preserve">Art. 522 CCP. This deadline is not mandatory: </w:t>
      </w:r>
      <w:r w:rsidRPr="00324CF1">
        <w:rPr>
          <w:i/>
          <w:iCs/>
          <w:lang w:val="en-CA"/>
        </w:rPr>
        <w:t>Construction MP Gamelin inc. c. Mochon</w:t>
      </w:r>
      <w:r w:rsidRPr="00324CF1">
        <w:rPr>
          <w:lang w:val="en-CA"/>
        </w:rPr>
        <w:t xml:space="preserve">, 2021 QCCS 719. </w:t>
      </w:r>
      <w:r w:rsidRPr="00324CF1">
        <w:t xml:space="preserve">See also </w:t>
      </w:r>
      <w:r w:rsidRPr="00324CF1">
        <w:rPr>
          <w:i/>
          <w:iCs/>
        </w:rPr>
        <w:t>Y.S. Bruyère Construction Ltée c. Hull (Ville de)</w:t>
      </w:r>
      <w:r w:rsidRPr="00324CF1">
        <w:t>, J.E. 92-335 (CA).</w:t>
      </w:r>
    </w:p>
  </w:footnote>
  <w:footnote w:id="134">
    <w:p w14:paraId="01E08A16" w14:textId="77777777" w:rsidR="000B7ADE" w:rsidRPr="00324CF1" w:rsidRDefault="00ED47F8" w:rsidP="000B7ADE">
      <w:pPr>
        <w:pStyle w:val="Notedebasdepage"/>
        <w:spacing w:line="228" w:lineRule="auto"/>
      </w:pPr>
      <w:r w:rsidRPr="00324CF1">
        <w:rPr>
          <w:rStyle w:val="Appelnotedebasdep"/>
          <w:lang w:val="en-CA"/>
        </w:rPr>
        <w:footnoteRef/>
      </w:r>
      <w:r w:rsidRPr="00324CF1">
        <w:t xml:space="preserve"> </w:t>
      </w:r>
      <w:r w:rsidRPr="00324CF1">
        <w:tab/>
      </w:r>
      <w:r w:rsidRPr="00324CF1">
        <w:rPr>
          <w:rStyle w:val="ui-provider"/>
          <w:i/>
          <w:iCs/>
        </w:rPr>
        <w:t>DDH Aviation Inc. v. Fox</w:t>
      </w:r>
      <w:r w:rsidRPr="00324CF1">
        <w:rPr>
          <w:rStyle w:val="ui-provider"/>
        </w:rPr>
        <w:t>, J. E. 2002-1293, at para 47 (CA) [</w:t>
      </w:r>
      <w:r w:rsidRPr="00324CF1">
        <w:rPr>
          <w:i/>
          <w:iCs/>
        </w:rPr>
        <w:t>DDH Aviation</w:t>
      </w:r>
      <w:r w:rsidRPr="00324CF1">
        <w:t>]</w:t>
      </w:r>
      <w:r w:rsidRPr="00324CF1">
        <w:rPr>
          <w:rStyle w:val="ui-provider"/>
        </w:rPr>
        <w:t xml:space="preserve">; </w:t>
      </w:r>
      <w:r w:rsidRPr="00324CF1">
        <w:t xml:space="preserve">Charles Belleau, “Les saisies avant jugement et le séquestre”, in Denis Ferland and Benoît Emery, eds, </w:t>
      </w:r>
      <w:r w:rsidRPr="00324CF1">
        <w:rPr>
          <w:i/>
          <w:iCs/>
        </w:rPr>
        <w:t xml:space="preserve">Précis de procédure civile du Québec, </w:t>
      </w:r>
      <w:r w:rsidRPr="00324CF1">
        <w:t>6th ed, vol. 2 (Montréal: Éditions Yvon Blais, 2020) at 467, No.</w:t>
      </w:r>
      <w:r w:rsidRPr="00324CF1">
        <w:rPr>
          <w:vertAlign w:val="superscript"/>
        </w:rPr>
        <w:t xml:space="preserve"> </w:t>
      </w:r>
      <w:r w:rsidRPr="00324CF1">
        <w:t>2–1215.</w:t>
      </w:r>
    </w:p>
  </w:footnote>
  <w:footnote w:id="135">
    <w:p w14:paraId="1E1E16E8" w14:textId="57EBD994" w:rsidR="000B7ADE" w:rsidRPr="00324CF1" w:rsidRDefault="00ED47F8" w:rsidP="000B7ADE">
      <w:pPr>
        <w:pStyle w:val="Notedebasdepage"/>
        <w:spacing w:line="228" w:lineRule="auto"/>
      </w:pPr>
      <w:r w:rsidRPr="00324CF1">
        <w:rPr>
          <w:rStyle w:val="Appelnotedebasdep"/>
          <w:lang w:val="en-CA"/>
        </w:rPr>
        <w:footnoteRef/>
      </w:r>
      <w:r w:rsidRPr="00324CF1">
        <w:t xml:space="preserve"> </w:t>
      </w:r>
      <w:r w:rsidRPr="00324CF1">
        <w:tab/>
      </w:r>
      <w:r w:rsidRPr="00324CF1">
        <w:rPr>
          <w:i/>
          <w:iCs/>
        </w:rPr>
        <w:t>Canada (Attorney General) v. Confédération des syndicats nationaux</w:t>
      </w:r>
      <w:r w:rsidRPr="00324CF1">
        <w:t xml:space="preserve">, 2014 SCC 49, at paras 15–21; Denis Ferland and Benoit Emery, </w:t>
      </w:r>
      <w:r w:rsidRPr="00324CF1">
        <w:rPr>
          <w:i/>
          <w:iCs/>
        </w:rPr>
        <w:t>Précis de procédure civile du Québec</w:t>
      </w:r>
      <w:r w:rsidRPr="00324CF1">
        <w:t>, 6th ed., vol. 1 (Montr</w:t>
      </w:r>
      <w:r w:rsidR="00223002">
        <w:t>e</w:t>
      </w:r>
      <w:r w:rsidRPr="00324CF1">
        <w:t>al: Yvon Blais, 2020) at 583, No. 1–1287.</w:t>
      </w:r>
    </w:p>
  </w:footnote>
  <w:footnote w:id="136">
    <w:p w14:paraId="03617C82" w14:textId="0E06EC0B" w:rsidR="000B7ADE" w:rsidRPr="00324CF1" w:rsidRDefault="00ED47F8" w:rsidP="000B7ADE">
      <w:pPr>
        <w:pStyle w:val="Notedebasdepage"/>
        <w:spacing w:line="228" w:lineRule="auto"/>
        <w:rPr>
          <w:lang w:val="en-US"/>
        </w:rPr>
      </w:pPr>
      <w:r w:rsidRPr="00324CF1">
        <w:rPr>
          <w:rStyle w:val="Appelnotedebasdep"/>
          <w:lang w:val="en-CA"/>
        </w:rPr>
        <w:footnoteRef/>
      </w:r>
      <w:r w:rsidRPr="00324CF1">
        <w:t xml:space="preserve"> </w:t>
      </w:r>
      <w:r w:rsidRPr="00324CF1">
        <w:tab/>
        <w:t xml:space="preserve">Hubert Reid and Claire Carrier, </w:t>
      </w:r>
      <w:r w:rsidRPr="00324CF1">
        <w:rPr>
          <w:i/>
          <w:iCs/>
        </w:rPr>
        <w:t xml:space="preserve">Code de procédure civile du Québec: Jurisprudence. </w:t>
      </w:r>
      <w:r w:rsidRPr="00324CF1">
        <w:rPr>
          <w:i/>
          <w:iCs/>
          <w:lang w:val="en-CA"/>
        </w:rPr>
        <w:t>Doctrine.</w:t>
      </w:r>
      <w:r w:rsidRPr="00324CF1">
        <w:rPr>
          <w:lang w:val="en-CA"/>
        </w:rPr>
        <w:t xml:space="preserve"> 39th ed, coll. “Alter ego” (Montr</w:t>
      </w:r>
      <w:r w:rsidR="00223002">
        <w:rPr>
          <w:lang w:val="en-CA"/>
        </w:rPr>
        <w:t>e</w:t>
      </w:r>
      <w:r w:rsidRPr="00324CF1">
        <w:rPr>
          <w:lang w:val="en-CA"/>
        </w:rPr>
        <w:t>al: Wilson &amp; Lafleur, 2023) at s. 168/268.</w:t>
      </w:r>
    </w:p>
  </w:footnote>
  <w:footnote w:id="137">
    <w:p w14:paraId="4DF23083" w14:textId="77777777" w:rsidR="000B7ADE" w:rsidRPr="00324CF1" w:rsidRDefault="00ED47F8" w:rsidP="000B7ADE">
      <w:pPr>
        <w:pStyle w:val="Notedebasdepage"/>
        <w:spacing w:line="228" w:lineRule="auto"/>
      </w:pPr>
      <w:r w:rsidRPr="00324CF1">
        <w:rPr>
          <w:rStyle w:val="Appelnotedebasdep"/>
          <w:lang w:val="en-CA"/>
        </w:rPr>
        <w:footnoteRef/>
      </w:r>
      <w:r w:rsidRPr="00324CF1">
        <w:t xml:space="preserve"> </w:t>
      </w:r>
      <w:r w:rsidRPr="00324CF1">
        <w:tab/>
      </w:r>
      <w:r w:rsidRPr="00324CF1">
        <w:rPr>
          <w:i/>
          <w:iCs/>
        </w:rPr>
        <w:t>Desjardins Assurances générales inc. c. 9330-8898 Québec inc.</w:t>
      </w:r>
      <w:r w:rsidRPr="00324CF1">
        <w:t xml:space="preserve">, 2019 QCCA 523, at para 35; </w:t>
      </w:r>
      <w:r w:rsidRPr="00324CF1">
        <w:rPr>
          <w:i/>
          <w:iCs/>
        </w:rPr>
        <w:t>Lynch Suder Logan c. Wilson Logan</w:t>
      </w:r>
      <w:r w:rsidRPr="00324CF1">
        <w:t>, 2010 QCCA 1023, at paras 7–9.</w:t>
      </w:r>
    </w:p>
  </w:footnote>
  <w:footnote w:id="138">
    <w:p w14:paraId="5F3BEEA6" w14:textId="77777777" w:rsidR="0074648B"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note 23.</w:t>
      </w:r>
    </w:p>
  </w:footnote>
  <w:footnote w:id="139">
    <w:p w14:paraId="193F4713" w14:textId="77777777" w:rsidR="000B7ADE" w:rsidRPr="005E6EB3" w:rsidRDefault="00ED47F8" w:rsidP="0074648B">
      <w:pPr>
        <w:pStyle w:val="Notedebasdepage"/>
        <w:spacing w:line="228" w:lineRule="auto"/>
        <w:rPr>
          <w:lang w:val="en-US"/>
        </w:rPr>
      </w:pPr>
      <w:r w:rsidRPr="00324CF1">
        <w:rPr>
          <w:rStyle w:val="Appelnotedebasdep"/>
          <w:lang w:val="en-CA"/>
        </w:rPr>
        <w:footnoteRef/>
      </w:r>
      <w:r w:rsidRPr="005E6EB3">
        <w:rPr>
          <w:lang w:val="en-US"/>
        </w:rPr>
        <w:t xml:space="preserve"> </w:t>
      </w:r>
      <w:r w:rsidRPr="005E6EB3">
        <w:rPr>
          <w:lang w:val="en-US"/>
        </w:rPr>
        <w:tab/>
      </w:r>
      <w:r w:rsidRPr="005E6EB3">
        <w:rPr>
          <w:i/>
          <w:iCs/>
          <w:lang w:val="en-US"/>
        </w:rPr>
        <w:t xml:space="preserve">Instrubel </w:t>
      </w:r>
      <w:r w:rsidRPr="005E6EB3">
        <w:rPr>
          <w:lang w:val="en-US"/>
        </w:rPr>
        <w:t xml:space="preserve">(CA), </w:t>
      </w:r>
      <w:r w:rsidRPr="005E6EB3">
        <w:rPr>
          <w:i/>
          <w:iCs/>
          <w:lang w:val="en-US"/>
        </w:rPr>
        <w:t>supra</w:t>
      </w:r>
      <w:r w:rsidRPr="005E6EB3">
        <w:rPr>
          <w:lang w:val="en-US"/>
        </w:rPr>
        <w:t>, note 125, at para 23.</w:t>
      </w:r>
    </w:p>
  </w:footnote>
  <w:footnote w:id="140">
    <w:p w14:paraId="2B96658B" w14:textId="77777777" w:rsidR="00FE6D06" w:rsidRPr="005E6EB3" w:rsidRDefault="00ED47F8" w:rsidP="00FE6D06">
      <w:pPr>
        <w:pStyle w:val="Notedebasdepage"/>
        <w:spacing w:line="228" w:lineRule="auto"/>
        <w:rPr>
          <w:lang w:val="en-US"/>
        </w:rPr>
      </w:pPr>
      <w:r w:rsidRPr="00324CF1">
        <w:rPr>
          <w:rStyle w:val="Appelnotedebasdep"/>
          <w:lang w:val="en-CA"/>
        </w:rPr>
        <w:footnoteRef/>
      </w:r>
      <w:r w:rsidRPr="005E6EB3">
        <w:rPr>
          <w:lang w:val="en-US"/>
        </w:rPr>
        <w:t xml:space="preserve"> </w:t>
      </w:r>
      <w:r w:rsidRPr="005E6EB3">
        <w:rPr>
          <w:lang w:val="en-US"/>
        </w:rPr>
        <w:tab/>
      </w:r>
      <w:r w:rsidRPr="005E6EB3">
        <w:rPr>
          <w:i/>
          <w:iCs/>
          <w:lang w:val="en-US"/>
        </w:rPr>
        <w:t>Dancause c. 9064-3032 Quebec inc.</w:t>
      </w:r>
      <w:r w:rsidRPr="005E6EB3">
        <w:rPr>
          <w:lang w:val="en-US"/>
        </w:rPr>
        <w:t xml:space="preserve">, 2013 QCCA 1657, at para 8; C. Belleau, </w:t>
      </w:r>
      <w:r w:rsidRPr="005E6EB3">
        <w:rPr>
          <w:i/>
          <w:iCs/>
          <w:lang w:val="en-US"/>
        </w:rPr>
        <w:t>supra</w:t>
      </w:r>
      <w:r w:rsidRPr="005E6EB3">
        <w:rPr>
          <w:lang w:val="en-US"/>
        </w:rPr>
        <w:t>, note 134, at 513, No.</w:t>
      </w:r>
      <w:r w:rsidRPr="005E6EB3">
        <w:rPr>
          <w:vertAlign w:val="superscript"/>
          <w:lang w:val="en-US"/>
        </w:rPr>
        <w:t xml:space="preserve"> </w:t>
      </w:r>
      <w:r w:rsidRPr="005E6EB3">
        <w:rPr>
          <w:lang w:val="en-US"/>
        </w:rPr>
        <w:t>2–1310.</w:t>
      </w:r>
    </w:p>
  </w:footnote>
  <w:footnote w:id="141">
    <w:p w14:paraId="43C23D78"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C. Belleau, </w:t>
      </w:r>
      <w:r w:rsidRPr="00324CF1">
        <w:rPr>
          <w:i/>
          <w:iCs/>
          <w:lang w:val="en-CA"/>
        </w:rPr>
        <w:t>supra</w:t>
      </w:r>
      <w:r w:rsidRPr="00324CF1">
        <w:rPr>
          <w:lang w:val="en-CA"/>
        </w:rPr>
        <w:t>, note 134, at 504, No.</w:t>
      </w:r>
      <w:r w:rsidRPr="00324CF1">
        <w:rPr>
          <w:vertAlign w:val="superscript"/>
          <w:lang w:val="en-CA"/>
        </w:rPr>
        <w:t xml:space="preserve"> </w:t>
      </w:r>
      <w:r w:rsidRPr="00324CF1">
        <w:rPr>
          <w:lang w:val="en-CA"/>
        </w:rPr>
        <w:t>2–1292.</w:t>
      </w:r>
    </w:p>
  </w:footnote>
  <w:footnote w:id="142">
    <w:p w14:paraId="0DBCF25F"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Ibid. </w:t>
      </w:r>
      <w:r w:rsidRPr="00324CF1">
        <w:rPr>
          <w:lang w:val="en-CA"/>
        </w:rPr>
        <w:t>at 504, No.</w:t>
      </w:r>
      <w:r w:rsidRPr="00324CF1">
        <w:rPr>
          <w:vertAlign w:val="superscript"/>
          <w:lang w:val="en-CA"/>
        </w:rPr>
        <w:t xml:space="preserve"> </w:t>
      </w:r>
      <w:r w:rsidRPr="00324CF1">
        <w:rPr>
          <w:lang w:val="en-CA"/>
        </w:rPr>
        <w:t>2–1293.</w:t>
      </w:r>
    </w:p>
  </w:footnote>
  <w:footnote w:id="143">
    <w:p w14:paraId="24AAEED2"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Kuwait Airways</w:t>
      </w:r>
      <w:r w:rsidRPr="00324CF1">
        <w:rPr>
          <w:lang w:val="en-CA"/>
        </w:rPr>
        <w:t xml:space="preserve"> (CA), </w:t>
      </w:r>
      <w:r w:rsidRPr="00324CF1">
        <w:rPr>
          <w:i/>
          <w:iCs/>
          <w:lang w:val="en-CA"/>
        </w:rPr>
        <w:t>supra</w:t>
      </w:r>
      <w:r w:rsidRPr="00324CF1">
        <w:rPr>
          <w:lang w:val="en-CA"/>
        </w:rPr>
        <w:t xml:space="preserve">, note 121, at para 1, rev’d on other grounds by </w:t>
      </w:r>
      <w:r w:rsidRPr="00324CF1">
        <w:rPr>
          <w:i/>
          <w:iCs/>
          <w:lang w:val="en-CA"/>
        </w:rPr>
        <w:t>Kuwait Airways</w:t>
      </w:r>
      <w:r w:rsidRPr="00324CF1">
        <w:rPr>
          <w:lang w:val="en-CA"/>
        </w:rPr>
        <w:t xml:space="preserve"> (SCC)</w:t>
      </w:r>
      <w:r w:rsidRPr="00324CF1">
        <w:rPr>
          <w:i/>
          <w:iCs/>
          <w:lang w:val="en-CA"/>
        </w:rPr>
        <w:t xml:space="preserve"> supra</w:t>
      </w:r>
      <w:r w:rsidRPr="00324CF1">
        <w:rPr>
          <w:lang w:val="en-CA"/>
        </w:rPr>
        <w:t xml:space="preserve">, at note 51; </w:t>
      </w:r>
      <w:r w:rsidRPr="00324CF1">
        <w:rPr>
          <w:i/>
          <w:iCs/>
          <w:lang w:val="en-CA"/>
        </w:rPr>
        <w:t>Tracy v. Iran</w:t>
      </w:r>
      <w:r w:rsidRPr="00324CF1">
        <w:rPr>
          <w:lang w:val="en-CA"/>
        </w:rPr>
        <w:t xml:space="preserve">, </w:t>
      </w:r>
      <w:r w:rsidRPr="00324CF1">
        <w:rPr>
          <w:i/>
          <w:iCs/>
          <w:lang w:val="en-CA"/>
        </w:rPr>
        <w:t>supra</w:t>
      </w:r>
      <w:r w:rsidRPr="00324CF1">
        <w:rPr>
          <w:lang w:val="en-CA"/>
        </w:rPr>
        <w:t xml:space="preserve">, note 121, at para 23; </w:t>
      </w:r>
      <w:r w:rsidRPr="00324CF1">
        <w:rPr>
          <w:i/>
          <w:iCs/>
          <w:lang w:val="en-CA"/>
        </w:rPr>
        <w:t>Canadian Planning</w:t>
      </w:r>
      <w:r w:rsidRPr="00324CF1">
        <w:rPr>
          <w:lang w:val="en-CA"/>
        </w:rPr>
        <w:t xml:space="preserve">, </w:t>
      </w:r>
      <w:r w:rsidRPr="00324CF1">
        <w:rPr>
          <w:i/>
          <w:iCs/>
          <w:lang w:val="en-CA"/>
        </w:rPr>
        <w:t>supra</w:t>
      </w:r>
      <w:r w:rsidRPr="00324CF1">
        <w:rPr>
          <w:lang w:val="en-CA"/>
        </w:rPr>
        <w:t xml:space="preserve">, note 75, at para 12; </w:t>
      </w:r>
      <w:r w:rsidRPr="00324CF1">
        <w:rPr>
          <w:i/>
          <w:iCs/>
          <w:lang w:val="en-CA"/>
        </w:rPr>
        <w:t>Republic of Iraq v. Export Development Corp.</w:t>
      </w:r>
      <w:r w:rsidRPr="00324CF1">
        <w:rPr>
          <w:lang w:val="en-CA"/>
        </w:rPr>
        <w:t xml:space="preserve">, </w:t>
      </w:r>
      <w:r w:rsidRPr="00324CF1">
        <w:rPr>
          <w:i/>
          <w:iCs/>
          <w:lang w:val="en-CA"/>
        </w:rPr>
        <w:t>supra</w:t>
      </w:r>
      <w:r w:rsidRPr="00324CF1">
        <w:rPr>
          <w:lang w:val="en-CA"/>
        </w:rPr>
        <w:t xml:space="preserve">, note 121, at paras 1–3; </w:t>
      </w:r>
      <w:r w:rsidRPr="00324CF1">
        <w:rPr>
          <w:i/>
          <w:iCs/>
          <w:lang w:val="en-CA"/>
        </w:rPr>
        <w:t>Sunlodges, supra</w:t>
      </w:r>
      <w:r w:rsidRPr="00324CF1">
        <w:rPr>
          <w:lang w:val="en-CA"/>
        </w:rPr>
        <w:t>, note 65, at para 8.</w:t>
      </w:r>
    </w:p>
  </w:footnote>
  <w:footnote w:id="144">
    <w:p w14:paraId="4C98ACA1"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US"/>
        </w:rPr>
        <w:t xml:space="preserve"> </w:t>
      </w:r>
      <w:r w:rsidRPr="00324CF1">
        <w:rPr>
          <w:lang w:val="en-US"/>
        </w:rPr>
        <w:tab/>
      </w:r>
      <w:r w:rsidRPr="00324CF1">
        <w:rPr>
          <w:i/>
          <w:iCs/>
          <w:lang w:val="en-US"/>
        </w:rPr>
        <w:t xml:space="preserve">Kuwait Airways </w:t>
      </w:r>
      <w:r w:rsidRPr="00324CF1">
        <w:rPr>
          <w:lang w:val="en-US"/>
        </w:rPr>
        <w:t xml:space="preserve">(SCC), </w:t>
      </w:r>
      <w:r w:rsidRPr="00324CF1">
        <w:rPr>
          <w:i/>
          <w:iCs/>
          <w:lang w:val="en-US"/>
        </w:rPr>
        <w:t>supra</w:t>
      </w:r>
      <w:r w:rsidRPr="00324CF1">
        <w:rPr>
          <w:lang w:val="en-US"/>
        </w:rPr>
        <w:t>, note 51, at para 22.</w:t>
      </w:r>
    </w:p>
  </w:footnote>
  <w:footnote w:id="145">
    <w:p w14:paraId="18237B20" w14:textId="77777777" w:rsidR="000B7ADE" w:rsidRPr="005E6EB3" w:rsidRDefault="00ED47F8" w:rsidP="000B7ADE">
      <w:pPr>
        <w:pStyle w:val="Notedebasdepage"/>
        <w:spacing w:line="228" w:lineRule="auto"/>
      </w:pPr>
      <w:r w:rsidRPr="00324CF1">
        <w:rPr>
          <w:rStyle w:val="Appelnotedebasdep"/>
          <w:lang w:val="en-CA"/>
        </w:rPr>
        <w:footnoteRef/>
      </w:r>
      <w:r w:rsidRPr="005E6EB3">
        <w:t xml:space="preserve"> </w:t>
      </w:r>
      <w:r w:rsidRPr="005E6EB3">
        <w:tab/>
      </w:r>
      <w:r w:rsidRPr="005E6EB3">
        <w:rPr>
          <w:i/>
          <w:iCs/>
        </w:rPr>
        <w:t>DDH Aviation</w:t>
      </w:r>
      <w:r w:rsidRPr="005E6EB3">
        <w:t xml:space="preserve">, </w:t>
      </w:r>
      <w:r w:rsidRPr="005E6EB3">
        <w:rPr>
          <w:i/>
          <w:iCs/>
        </w:rPr>
        <w:t>supra</w:t>
      </w:r>
      <w:r w:rsidRPr="005E6EB3">
        <w:t>, at note 134.</w:t>
      </w:r>
    </w:p>
  </w:footnote>
  <w:footnote w:id="146">
    <w:p w14:paraId="24373DEA" w14:textId="3A9A1D57" w:rsidR="000B7ADE" w:rsidRPr="005E6EB3" w:rsidRDefault="00ED47F8" w:rsidP="000B7ADE">
      <w:pPr>
        <w:pStyle w:val="Notedebasdepage"/>
        <w:spacing w:line="228" w:lineRule="auto"/>
      </w:pPr>
      <w:r w:rsidRPr="00324CF1">
        <w:rPr>
          <w:rStyle w:val="Appelnotedebasdep"/>
          <w:lang w:val="en-CA"/>
        </w:rPr>
        <w:footnoteRef/>
      </w:r>
      <w:r w:rsidRPr="005E6EB3">
        <w:t xml:space="preserve"> </w:t>
      </w:r>
      <w:r w:rsidRPr="005E6EB3">
        <w:tab/>
        <w:t xml:space="preserve">Gérald Goldstein, </w:t>
      </w:r>
      <w:r w:rsidRPr="005E6EB3">
        <w:rPr>
          <w:i/>
          <w:iCs/>
        </w:rPr>
        <w:t>Droit international privé</w:t>
      </w:r>
      <w:r w:rsidRPr="005E6EB3">
        <w:t>, vol. 2, coll. Commentaires sur le Code civil du Québec (DCQ) (Cowansville</w:t>
      </w:r>
      <w:r w:rsidR="007A3043">
        <w:t>, Qc</w:t>
      </w:r>
      <w:r w:rsidRPr="005E6EB3">
        <w:t xml:space="preserve">: Yvon Blais, 2012) quoting </w:t>
      </w:r>
      <w:r w:rsidRPr="005E6EB3">
        <w:rPr>
          <w:i/>
          <w:iCs/>
        </w:rPr>
        <w:t>DDH Aviation</w:t>
      </w:r>
      <w:r w:rsidRPr="005E6EB3">
        <w:t xml:space="preserve">, </w:t>
      </w:r>
      <w:r w:rsidRPr="005E6EB3">
        <w:rPr>
          <w:i/>
          <w:iCs/>
        </w:rPr>
        <w:t>supra</w:t>
      </w:r>
      <w:r w:rsidRPr="005E6EB3">
        <w:t>, note 134, at para 47.</w:t>
      </w:r>
    </w:p>
  </w:footnote>
  <w:footnote w:id="147">
    <w:p w14:paraId="764EF1D4"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G. Goldstein, </w:t>
      </w:r>
      <w:r w:rsidRPr="00324CF1">
        <w:rPr>
          <w:i/>
          <w:iCs/>
          <w:lang w:val="en-CA"/>
        </w:rPr>
        <w:t>supra</w:t>
      </w:r>
      <w:r w:rsidRPr="00324CF1">
        <w:rPr>
          <w:lang w:val="en-CA"/>
        </w:rPr>
        <w:t xml:space="preserve">, note 146, quoting </w:t>
      </w:r>
      <w:r w:rsidRPr="00324CF1">
        <w:rPr>
          <w:i/>
          <w:iCs/>
          <w:lang w:val="en-CA"/>
        </w:rPr>
        <w:t>Ekinciler Demir Ve Celik San a.s. c. Bank of New York</w:t>
      </w:r>
      <w:r w:rsidRPr="00324CF1">
        <w:rPr>
          <w:lang w:val="en-CA"/>
        </w:rPr>
        <w:t>, 2007 QCCS 1615, at para 19.</w:t>
      </w:r>
    </w:p>
  </w:footnote>
  <w:footnote w:id="148">
    <w:p w14:paraId="4DA03838" w14:textId="77777777" w:rsidR="000B7ADE" w:rsidRPr="00324CF1" w:rsidRDefault="00ED47F8" w:rsidP="000B7ADE">
      <w:pPr>
        <w:pStyle w:val="Notedebasdepage"/>
        <w:spacing w:line="228" w:lineRule="auto"/>
        <w:rPr>
          <w:lang w:val="es-ES"/>
        </w:rPr>
      </w:pPr>
      <w:r w:rsidRPr="00324CF1">
        <w:rPr>
          <w:rStyle w:val="Appelnotedebasdep"/>
          <w:lang w:val="en-CA"/>
        </w:rPr>
        <w:footnoteRef/>
      </w:r>
      <w:r w:rsidRPr="00324CF1">
        <w:rPr>
          <w:lang w:val="es-ES"/>
        </w:rPr>
        <w:t xml:space="preserve"> </w:t>
      </w:r>
      <w:r w:rsidRPr="00324CF1">
        <w:rPr>
          <w:lang w:val="es-ES"/>
        </w:rPr>
        <w:tab/>
      </w:r>
      <w:r w:rsidRPr="00324CF1">
        <w:rPr>
          <w:i/>
          <w:iCs/>
          <w:lang w:val="es-ES"/>
        </w:rPr>
        <w:t>Ortega Figueroa c. Jenckel</w:t>
      </w:r>
      <w:r w:rsidRPr="00324CF1">
        <w:rPr>
          <w:lang w:val="es-ES"/>
        </w:rPr>
        <w:t>, 2015 QCCA 1393 [</w:t>
      </w:r>
      <w:r w:rsidRPr="00324CF1">
        <w:rPr>
          <w:i/>
          <w:iCs/>
          <w:lang w:val="es-ES"/>
        </w:rPr>
        <w:t>Ortega Figueroa c. Jenckel</w:t>
      </w:r>
      <w:r w:rsidRPr="00324CF1">
        <w:rPr>
          <w:lang w:val="es-ES"/>
        </w:rPr>
        <w:t>].</w:t>
      </w:r>
    </w:p>
  </w:footnote>
  <w:footnote w:id="149">
    <w:p w14:paraId="16998CE5" w14:textId="77777777" w:rsidR="007F0277"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paras 25 and 31–33, quoting G. Goldstein, </w:t>
      </w:r>
      <w:r w:rsidRPr="00324CF1">
        <w:rPr>
          <w:i/>
          <w:iCs/>
          <w:lang w:val="en-CA"/>
        </w:rPr>
        <w:t>supra</w:t>
      </w:r>
      <w:r w:rsidRPr="00324CF1">
        <w:rPr>
          <w:lang w:val="en-CA"/>
        </w:rPr>
        <w:t>, note 146, at 106.</w:t>
      </w:r>
    </w:p>
  </w:footnote>
  <w:footnote w:id="150">
    <w:p w14:paraId="1BBEEAC9" w14:textId="14FE1442"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It should be noted that state immunity from the jurisdiction of the courts falls under the second </w:t>
      </w:r>
      <w:r w:rsidR="004E2613">
        <w:rPr>
          <w:lang w:val="en-CA"/>
        </w:rPr>
        <w:t>paragraph</w:t>
      </w:r>
      <w:r w:rsidR="004E2613" w:rsidRPr="00324CF1">
        <w:rPr>
          <w:lang w:val="en-CA"/>
        </w:rPr>
        <w:t xml:space="preserve"> </w:t>
      </w:r>
      <w:r w:rsidRPr="00324CF1">
        <w:rPr>
          <w:lang w:val="en-CA"/>
        </w:rPr>
        <w:t xml:space="preserve">of article 168 CCP, which concerns applications </w:t>
      </w:r>
      <w:r w:rsidR="004E2613">
        <w:rPr>
          <w:lang w:val="en-CA"/>
        </w:rPr>
        <w:t>with no legal basis</w:t>
      </w:r>
      <w:r w:rsidRPr="00324CF1">
        <w:rPr>
          <w:lang w:val="en-CA"/>
        </w:rPr>
        <w:t xml:space="preserve">, rather than under article 167 CCP, which covers the declinatory exception and the lack of jurisdiction of a court, in particular in matters of private international law. Nevertheless, state immunity is considered by our Court to be a question of jurisdiction when it comes to applying the rules </w:t>
      </w:r>
      <w:r w:rsidR="004E2613">
        <w:rPr>
          <w:lang w:val="en-CA"/>
        </w:rPr>
        <w:t>of</w:t>
      </w:r>
      <w:r w:rsidR="004E2613" w:rsidRPr="00324CF1">
        <w:rPr>
          <w:lang w:val="en-CA"/>
        </w:rPr>
        <w:t xml:space="preserve"> </w:t>
      </w:r>
      <w:r w:rsidRPr="00324CF1">
        <w:rPr>
          <w:lang w:val="en-CA"/>
        </w:rPr>
        <w:t xml:space="preserve">inadmissibility: </w:t>
      </w:r>
      <w:r w:rsidRPr="00324CF1">
        <w:rPr>
          <w:i/>
          <w:iCs/>
          <w:lang w:val="en-CA"/>
        </w:rPr>
        <w:t>Trudel</w:t>
      </w:r>
      <w:r w:rsidRPr="00324CF1">
        <w:rPr>
          <w:lang w:val="en-CA"/>
        </w:rPr>
        <w:t xml:space="preserve">, </w:t>
      </w:r>
      <w:r w:rsidRPr="00324CF1">
        <w:rPr>
          <w:i/>
          <w:iCs/>
          <w:lang w:val="en-CA"/>
        </w:rPr>
        <w:t>supra</w:t>
      </w:r>
      <w:r w:rsidRPr="00324CF1">
        <w:rPr>
          <w:lang w:val="en-CA"/>
        </w:rPr>
        <w:t>, note 55, at paras 22 and 27.</w:t>
      </w:r>
    </w:p>
  </w:footnote>
  <w:footnote w:id="151">
    <w:p w14:paraId="0641E056" w14:textId="77777777" w:rsidR="000B7ADE" w:rsidRPr="00324CF1" w:rsidRDefault="00ED47F8" w:rsidP="000B7ADE">
      <w:pPr>
        <w:pStyle w:val="Notedebasdepage"/>
        <w:spacing w:line="228" w:lineRule="auto"/>
      </w:pPr>
      <w:r w:rsidRPr="00324CF1">
        <w:rPr>
          <w:rStyle w:val="Appelnotedebasdep"/>
          <w:lang w:val="en-CA"/>
        </w:rPr>
        <w:footnoteRef/>
      </w:r>
      <w:r w:rsidRPr="00324CF1">
        <w:rPr>
          <w:lang w:val="es-ES"/>
        </w:rPr>
        <w:t xml:space="preserve"> </w:t>
      </w:r>
      <w:r w:rsidRPr="00324CF1">
        <w:rPr>
          <w:lang w:val="es-ES"/>
        </w:rPr>
        <w:tab/>
      </w:r>
      <w:r w:rsidRPr="00324CF1">
        <w:rPr>
          <w:i/>
          <w:iCs/>
          <w:lang w:val="es-ES"/>
        </w:rPr>
        <w:t>Ortega Figueroa c. Jenckel</w:t>
      </w:r>
      <w:r w:rsidRPr="00324CF1">
        <w:rPr>
          <w:lang w:val="es-ES"/>
        </w:rPr>
        <w:t xml:space="preserve">, </w:t>
      </w:r>
      <w:r w:rsidRPr="00324CF1">
        <w:rPr>
          <w:i/>
          <w:iCs/>
          <w:lang w:val="es-ES"/>
        </w:rPr>
        <w:t>supra</w:t>
      </w:r>
      <w:r w:rsidRPr="00324CF1">
        <w:rPr>
          <w:lang w:val="es-ES"/>
        </w:rPr>
        <w:t xml:space="preserve">, note 148, at para. </w:t>
      </w:r>
      <w:r w:rsidRPr="00324CF1">
        <w:t xml:space="preserve">33. See also </w:t>
      </w:r>
      <w:r w:rsidRPr="00324CF1">
        <w:rPr>
          <w:i/>
          <w:iCs/>
        </w:rPr>
        <w:t>Droit de la famille — 131294</w:t>
      </w:r>
      <w:r w:rsidRPr="00324CF1">
        <w:t xml:space="preserve">, 2013 QCCA 883, at para 43; </w:t>
      </w:r>
      <w:r w:rsidRPr="00324CF1">
        <w:rPr>
          <w:i/>
          <w:iCs/>
        </w:rPr>
        <w:t>Droit de la famille — 182220</w:t>
      </w:r>
      <w:r w:rsidRPr="00324CF1">
        <w:t xml:space="preserve">, 2018 QCCS 4482, at para 23; </w:t>
      </w:r>
      <w:r w:rsidRPr="00324CF1">
        <w:rPr>
          <w:i/>
          <w:iCs/>
        </w:rPr>
        <w:t>Droit de la famille — 182044</w:t>
      </w:r>
      <w:r w:rsidRPr="00324CF1">
        <w:t>, 2018 QCCS 4115, at para 18.</w:t>
      </w:r>
    </w:p>
  </w:footnote>
  <w:footnote w:id="152">
    <w:p w14:paraId="28480960" w14:textId="725BDB3A"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It should be pointed out, however, that unlike state immunity from the jurisdiction of the courts, which is considered to be a question of subject-matter jurisdiction, the rules of private international law generally fall within the scope of territorial jurisdiction, although this issue is the subject of some theoretical debate: Sylvette Guillemard, "Les problèmes de qualification de la compétence internationale des tribunaux québécois: la solution réside dans l’alliance du Code de procédure civile et du Code civil du Québec", (2019) 60:1 </w:t>
      </w:r>
      <w:r w:rsidRPr="00324CF1">
        <w:rPr>
          <w:i/>
          <w:iCs/>
          <w:lang w:val="en-CA"/>
        </w:rPr>
        <w:t xml:space="preserve">Les Cahiers de Droit </w:t>
      </w:r>
      <w:r w:rsidRPr="00324CF1">
        <w:rPr>
          <w:lang w:val="en-CA"/>
        </w:rPr>
        <w:t xml:space="preserve">219. However, the analogy between these two </w:t>
      </w:r>
      <w:r w:rsidR="00635491">
        <w:rPr>
          <w:lang w:val="en-CA"/>
        </w:rPr>
        <w:t>schemes</w:t>
      </w:r>
      <w:r w:rsidR="006503F0" w:rsidRPr="00324CF1">
        <w:rPr>
          <w:lang w:val="en-CA"/>
        </w:rPr>
        <w:t xml:space="preserve"> </w:t>
      </w:r>
      <w:r w:rsidRPr="00324CF1">
        <w:rPr>
          <w:lang w:val="en-CA"/>
        </w:rPr>
        <w:t xml:space="preserve">is nevertheless possible. See on this subject: D. Ferland and B. Emery, </w:t>
      </w:r>
      <w:r w:rsidRPr="00324CF1">
        <w:rPr>
          <w:i/>
          <w:iCs/>
          <w:lang w:val="en-CA"/>
        </w:rPr>
        <w:t>supra</w:t>
      </w:r>
      <w:r w:rsidRPr="00324CF1">
        <w:rPr>
          <w:lang w:val="en-CA"/>
        </w:rPr>
        <w:t>, note 135, at 564, No. 1–1260.</w:t>
      </w:r>
    </w:p>
  </w:footnote>
  <w:footnote w:id="153">
    <w:p w14:paraId="6E9C8250" w14:textId="48F62333" w:rsidR="00653F07" w:rsidRPr="00324CF1" w:rsidRDefault="00ED47F8" w:rsidP="00653F07">
      <w:pPr>
        <w:pStyle w:val="Notedebasdepage"/>
        <w:spacing w:line="228" w:lineRule="auto"/>
      </w:pPr>
      <w:r w:rsidRPr="00324CF1">
        <w:rPr>
          <w:rStyle w:val="Appelnotedebasdep"/>
          <w:lang w:val="en-CA"/>
        </w:rPr>
        <w:footnoteRef/>
      </w:r>
      <w:r w:rsidRPr="00324CF1">
        <w:t xml:space="preserve"> </w:t>
      </w:r>
      <w:r w:rsidRPr="00324CF1">
        <w:tab/>
        <w:t xml:space="preserve">Pierre-André Côté and Mathieu Devinat, </w:t>
      </w:r>
      <w:r w:rsidRPr="00324CF1">
        <w:rPr>
          <w:i/>
          <w:iCs/>
        </w:rPr>
        <w:t>Interprétation des lois</w:t>
      </w:r>
      <w:r w:rsidRPr="00324CF1">
        <w:t>, 5th ed (Montr</w:t>
      </w:r>
      <w:r w:rsidR="006503F0">
        <w:t>e</w:t>
      </w:r>
      <w:r w:rsidRPr="00324CF1">
        <w:t>al: Thémis, 2021) Nos. 1182–1183.</w:t>
      </w:r>
    </w:p>
  </w:footnote>
  <w:footnote w:id="154">
    <w:p w14:paraId="05401A1F" w14:textId="5582082F" w:rsidR="00E6436C" w:rsidRPr="00324CF1" w:rsidRDefault="00ED47F8" w:rsidP="00E6436C">
      <w:pPr>
        <w:pStyle w:val="Notedebasdepage"/>
        <w:spacing w:line="228" w:lineRule="auto"/>
      </w:pPr>
      <w:r w:rsidRPr="00324CF1">
        <w:rPr>
          <w:rStyle w:val="Appelnotedebasdep"/>
          <w:lang w:val="en-CA"/>
        </w:rPr>
        <w:footnoteRef/>
      </w:r>
      <w:r w:rsidRPr="00324CF1">
        <w:t xml:space="preserve"> </w:t>
      </w:r>
      <w:r w:rsidRPr="00324CF1">
        <w:tab/>
        <w:t xml:space="preserve">Ministry of Justice, </w:t>
      </w:r>
      <w:r w:rsidRPr="00324CF1">
        <w:rPr>
          <w:i/>
          <w:iCs/>
        </w:rPr>
        <w:t>Commentaires du ministre de la Justice : Le Code civil du Québec</w:t>
      </w:r>
      <w:r w:rsidRPr="00324CF1">
        <w:t xml:space="preserve"> </w:t>
      </w:r>
      <w:r w:rsidR="006503F0">
        <w:t>(</w:t>
      </w:r>
      <w:r w:rsidRPr="00324CF1">
        <w:t>Québec</w:t>
      </w:r>
      <w:r w:rsidR="006503F0">
        <w:t>:</w:t>
      </w:r>
      <w:r w:rsidRPr="00324CF1">
        <w:t xml:space="preserve"> Publications du Québec, 1993</w:t>
      </w:r>
      <w:r w:rsidR="006503F0">
        <w:t xml:space="preserve">) </w:t>
      </w:r>
      <w:r w:rsidRPr="00324CF1">
        <w:t xml:space="preserve"> art. 3138.</w:t>
      </w:r>
    </w:p>
  </w:footnote>
  <w:footnote w:id="155">
    <w:p w14:paraId="0736CFD6"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In </w:t>
      </w:r>
      <w:r w:rsidRPr="00324CF1">
        <w:rPr>
          <w:i/>
          <w:iCs/>
          <w:lang w:val="en-CA"/>
        </w:rPr>
        <w:t>Kazemi</w:t>
      </w:r>
      <w:r w:rsidRPr="00324CF1">
        <w:rPr>
          <w:lang w:val="en-CA"/>
        </w:rPr>
        <w:t xml:space="preserve">, LeBel J. stated the following: “Functionally speaking, state immunity is a ‘procedural bar’ which stops domestic courts from exercising jurisdiction over foreign states.  In this sense, state immunity operates to prohibit national courts from weighing the merits of a claim against a foreign state or its agents”. </w:t>
      </w:r>
      <w:r w:rsidRPr="00324CF1">
        <w:rPr>
          <w:i/>
          <w:iCs/>
          <w:lang w:val="en-CA"/>
        </w:rPr>
        <w:t>Kazemi</w:t>
      </w:r>
      <w:r w:rsidRPr="00324CF1">
        <w:rPr>
          <w:lang w:val="en-CA"/>
        </w:rPr>
        <w:t xml:space="preserve">, </w:t>
      </w:r>
      <w:r w:rsidRPr="00324CF1">
        <w:rPr>
          <w:i/>
          <w:iCs/>
          <w:lang w:val="en-CA"/>
        </w:rPr>
        <w:t>supra</w:t>
      </w:r>
      <w:r w:rsidRPr="00324CF1">
        <w:rPr>
          <w:lang w:val="en-CA"/>
        </w:rPr>
        <w:t>, note 66, at para 34 (references omitted).</w:t>
      </w:r>
    </w:p>
  </w:footnote>
  <w:footnote w:id="156">
    <w:p w14:paraId="5CCFFD89" w14:textId="77777777" w:rsidR="000B7ADE" w:rsidRPr="00324CF1" w:rsidRDefault="00ED47F8" w:rsidP="000B7ADE">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 xml:space="preserve">note 23 at para. 53. However, the judge’s reasons are contradictory on this point. He stated in paragraph 53 that “from a strict sufficiency standpoint and on a </w:t>
      </w:r>
      <w:r w:rsidRPr="00324CF1">
        <w:rPr>
          <w:i/>
          <w:iCs/>
          <w:lang w:val="en-CA"/>
        </w:rPr>
        <w:t>prima facie</w:t>
      </w:r>
      <w:r w:rsidRPr="00324CF1">
        <w:rPr>
          <w:lang w:val="en-CA"/>
        </w:rPr>
        <w:t xml:space="preserve"> basis, the Authorization Judges were right to consider and conclude that there were objective and serious reasons to fear that recovery of Plaintiffs’ claim against the Republic of India might be jeopardized without the Seizures regardless of the behaviour of AAI and Air India”. However, he stated in paragraph 114: “</w:t>
      </w:r>
      <w:r w:rsidRPr="00324CF1">
        <w:rPr>
          <w:color w:val="000000"/>
          <w:lang w:val="en-CA"/>
        </w:rPr>
        <w:t xml:space="preserve">There was no urgency to proceed </w:t>
      </w:r>
      <w:r w:rsidRPr="00324CF1">
        <w:rPr>
          <w:i/>
          <w:iCs/>
          <w:color w:val="000000"/>
          <w:lang w:val="en-CA"/>
        </w:rPr>
        <w:t>ex parte</w:t>
      </w:r>
      <w:r w:rsidRPr="00324CF1">
        <w:rPr>
          <w:color w:val="000000"/>
          <w:lang w:val="en-CA"/>
        </w:rPr>
        <w:t xml:space="preserve"> as AAI and IATA were not going anywhere. At that time, Plaintiffs had no reasons to believe—nor did they make such allegations—that India would cause AAI to withdraw completely from IATA to avoid any execution against the assets of AAI in satisfaction of the Treaty Awards”.</w:t>
      </w:r>
    </w:p>
  </w:footnote>
  <w:footnote w:id="157">
    <w:p w14:paraId="323E64D6" w14:textId="77777777" w:rsidR="000B7ADE" w:rsidRPr="00005C57" w:rsidRDefault="00ED47F8" w:rsidP="000B7ADE">
      <w:pPr>
        <w:pStyle w:val="Notedebasdepage"/>
        <w:spacing w:line="228" w:lineRule="auto"/>
        <w:rPr>
          <w:lang w:val="en-US"/>
        </w:rPr>
      </w:pPr>
      <w:r w:rsidRPr="00324CF1">
        <w:rPr>
          <w:rStyle w:val="Appelnotedebasdep"/>
          <w:lang w:val="en-CA"/>
        </w:rPr>
        <w:footnoteRef/>
      </w:r>
      <w:r w:rsidRPr="00005C57">
        <w:rPr>
          <w:lang w:val="en-US"/>
        </w:rPr>
        <w:t xml:space="preserve"> </w:t>
      </w:r>
      <w:r w:rsidRPr="00005C57">
        <w:rPr>
          <w:lang w:val="en-US"/>
        </w:rPr>
        <w:tab/>
      </w:r>
      <w:r w:rsidRPr="00005C57">
        <w:rPr>
          <w:i/>
          <w:iCs/>
          <w:lang w:val="en-US"/>
        </w:rPr>
        <w:t>L.O.-M. c. É.L.</w:t>
      </w:r>
      <w:r w:rsidRPr="00005C57">
        <w:rPr>
          <w:lang w:val="en-US"/>
        </w:rPr>
        <w:t xml:space="preserve">, 2005 QCCA 634, at paras 26–27; </w:t>
      </w:r>
      <w:r w:rsidRPr="00005C57">
        <w:rPr>
          <w:i/>
          <w:iCs/>
          <w:lang w:val="en-US"/>
        </w:rPr>
        <w:t>Griffis c. Grabowska</w:t>
      </w:r>
      <w:r w:rsidRPr="00005C57">
        <w:rPr>
          <w:lang w:val="en-US"/>
        </w:rPr>
        <w:t>, 2009 QCCA 2421, at paras 11–12.</w:t>
      </w:r>
    </w:p>
  </w:footnote>
  <w:footnote w:id="158">
    <w:p w14:paraId="1EAF2715" w14:textId="7880D6E0" w:rsidR="0024555C" w:rsidRPr="00005C57" w:rsidRDefault="00ED47F8" w:rsidP="0024555C">
      <w:pPr>
        <w:pStyle w:val="Notedebasdepage"/>
        <w:spacing w:line="228" w:lineRule="auto"/>
        <w:rPr>
          <w:lang w:val="en-US"/>
        </w:rPr>
      </w:pPr>
      <w:r w:rsidRPr="00324CF1">
        <w:rPr>
          <w:rStyle w:val="Appelnotedebasdep"/>
          <w:lang w:val="en-CA"/>
        </w:rPr>
        <w:footnoteRef/>
      </w:r>
      <w:r w:rsidRPr="00005C57">
        <w:rPr>
          <w:lang w:val="en-US"/>
        </w:rPr>
        <w:t xml:space="preserve"> </w:t>
      </w:r>
      <w:r w:rsidRPr="00005C57">
        <w:rPr>
          <w:lang w:val="en-US"/>
        </w:rPr>
        <w:tab/>
      </w:r>
      <w:r w:rsidRPr="00005C57">
        <w:rPr>
          <w:i/>
          <w:iCs/>
          <w:lang w:val="en-US"/>
        </w:rPr>
        <w:t>Kuwait Airways</w:t>
      </w:r>
      <w:r w:rsidRPr="00005C57">
        <w:rPr>
          <w:lang w:val="en-US"/>
        </w:rPr>
        <w:t xml:space="preserve"> (SCC)</w:t>
      </w:r>
      <w:r w:rsidRPr="00005C57">
        <w:rPr>
          <w:i/>
          <w:iCs/>
          <w:lang w:val="en-US"/>
        </w:rPr>
        <w:t xml:space="preserve"> supra</w:t>
      </w:r>
      <w:r w:rsidRPr="00005C57">
        <w:rPr>
          <w:lang w:val="en-US"/>
        </w:rPr>
        <w:t xml:space="preserve">, note 51, at paras 15 and 22; </w:t>
      </w:r>
      <w:r w:rsidRPr="00005C57">
        <w:rPr>
          <w:i/>
          <w:iCs/>
          <w:lang w:val="en-US"/>
        </w:rPr>
        <w:t>Trudel</w:t>
      </w:r>
      <w:r w:rsidRPr="00005C57">
        <w:rPr>
          <w:lang w:val="en-US"/>
        </w:rPr>
        <w:t>,</w:t>
      </w:r>
      <w:r w:rsidRPr="00005C57">
        <w:rPr>
          <w:i/>
          <w:iCs/>
          <w:lang w:val="en-US"/>
        </w:rPr>
        <w:t xml:space="preserve"> supra</w:t>
      </w:r>
      <w:r w:rsidRPr="00005C57">
        <w:rPr>
          <w:lang w:val="en-US"/>
        </w:rPr>
        <w:t xml:space="preserve">, note 55, at paras 22–24 and 27; </w:t>
      </w:r>
      <w:r w:rsidRPr="00005C57">
        <w:rPr>
          <w:i/>
          <w:iCs/>
          <w:lang w:val="en-US"/>
        </w:rPr>
        <w:t>Sistem Mühendislik Inşaat Sanayi Ve Ticaret Anomic Sirketi v. Kyrgyz Republic</w:t>
      </w:r>
      <w:r w:rsidRPr="00005C57">
        <w:rPr>
          <w:lang w:val="en-US"/>
        </w:rPr>
        <w:t xml:space="preserve">, 2015 ONCA 447, at paras 52–54; </w:t>
      </w:r>
      <w:r w:rsidRPr="00005C57">
        <w:rPr>
          <w:i/>
          <w:iCs/>
          <w:lang w:val="en-US"/>
        </w:rPr>
        <w:t xml:space="preserve">Schreiber </w:t>
      </w:r>
      <w:r w:rsidRPr="00005C57">
        <w:rPr>
          <w:lang w:val="en-US"/>
        </w:rPr>
        <w:t>(CA),</w:t>
      </w:r>
      <w:r w:rsidRPr="00005C57">
        <w:rPr>
          <w:i/>
          <w:iCs/>
          <w:lang w:val="en-US"/>
        </w:rPr>
        <w:t xml:space="preserve"> supra</w:t>
      </w:r>
      <w:r w:rsidRPr="00005C57">
        <w:rPr>
          <w:lang w:val="en-US"/>
        </w:rPr>
        <w:t>, note 102, at paras 16–19, aff</w:t>
      </w:r>
      <w:r w:rsidR="0082220A" w:rsidRPr="00005C57">
        <w:rPr>
          <w:lang w:val="en-US"/>
        </w:rPr>
        <w:t>’</w:t>
      </w:r>
      <w:r w:rsidRPr="00005C57">
        <w:rPr>
          <w:lang w:val="en-US"/>
        </w:rPr>
        <w:t xml:space="preserve">d for other reasons by </w:t>
      </w:r>
      <w:r w:rsidRPr="00005C57">
        <w:rPr>
          <w:i/>
          <w:iCs/>
          <w:lang w:val="en-US"/>
        </w:rPr>
        <w:t xml:space="preserve">Schreiber </w:t>
      </w:r>
      <w:r w:rsidRPr="00005C57">
        <w:rPr>
          <w:lang w:val="en-US"/>
        </w:rPr>
        <w:t xml:space="preserve">(SCC), </w:t>
      </w:r>
      <w:r w:rsidRPr="00005C57">
        <w:rPr>
          <w:i/>
          <w:iCs/>
          <w:lang w:val="en-US"/>
        </w:rPr>
        <w:t>supra</w:t>
      </w:r>
      <w:r w:rsidRPr="00005C57">
        <w:rPr>
          <w:lang w:val="en-US"/>
        </w:rPr>
        <w:t>, note 76.</w:t>
      </w:r>
    </w:p>
  </w:footnote>
  <w:footnote w:id="159">
    <w:p w14:paraId="407B1317" w14:textId="77777777" w:rsidR="0024555C" w:rsidRPr="00324CF1" w:rsidRDefault="00ED47F8" w:rsidP="0024555C">
      <w:pPr>
        <w:pStyle w:val="Notedebasdepage"/>
        <w:spacing w:line="228" w:lineRule="auto"/>
        <w:rPr>
          <w:lang w:val="en-US"/>
        </w:rPr>
      </w:pPr>
      <w:r w:rsidRPr="00324CF1">
        <w:rPr>
          <w:rStyle w:val="Appelnotedebasdep"/>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note 23, at paras 121–125.</w:t>
      </w:r>
    </w:p>
  </w:footnote>
  <w:footnote w:id="160">
    <w:p w14:paraId="4C98379D" w14:textId="77777777" w:rsidR="0081370B" w:rsidRPr="00324CF1" w:rsidRDefault="00ED47F8" w:rsidP="0081370B">
      <w:pPr>
        <w:pStyle w:val="Notedebasdepage"/>
        <w:rPr>
          <w:lang w:val="nb-NO"/>
        </w:rPr>
      </w:pPr>
      <w:r w:rsidRPr="00324CF1">
        <w:rPr>
          <w:rStyle w:val="Appelnotedebasdep"/>
          <w:lang w:val="en-CA"/>
        </w:rPr>
        <w:footnoteRef/>
      </w:r>
      <w:r w:rsidRPr="00324CF1">
        <w:rPr>
          <w:lang w:val="nb-NO"/>
        </w:rPr>
        <w:t xml:space="preserve"> </w:t>
      </w:r>
      <w:r w:rsidRPr="00324CF1">
        <w:rPr>
          <w:lang w:val="nb-NO"/>
        </w:rPr>
        <w:tab/>
      </w:r>
      <w:r w:rsidRPr="00324CF1">
        <w:rPr>
          <w:i/>
          <w:iCs/>
          <w:lang w:val="nb-NO"/>
        </w:rPr>
        <w:t>Ibid</w:t>
      </w:r>
      <w:r w:rsidRPr="00324CF1">
        <w:rPr>
          <w:lang w:val="nb-NO"/>
        </w:rPr>
        <w:t xml:space="preserve">. at paras 86 </w:t>
      </w:r>
      <w:r w:rsidRPr="00324CF1">
        <w:rPr>
          <w:i/>
          <w:iCs/>
          <w:lang w:val="nb-NO"/>
        </w:rPr>
        <w:t>et seq.</w:t>
      </w:r>
    </w:p>
  </w:footnote>
  <w:footnote w:id="161">
    <w:p w14:paraId="069A6F36" w14:textId="77777777" w:rsidR="00B96B17" w:rsidRPr="00324CF1" w:rsidRDefault="00ED47F8">
      <w:pPr>
        <w:pStyle w:val="Notedebasdepage"/>
        <w:rPr>
          <w:lang w:val="nb-NO"/>
        </w:rPr>
      </w:pPr>
      <w:r w:rsidRPr="00324CF1">
        <w:rPr>
          <w:rStyle w:val="Appelnotedebasdep"/>
          <w:lang w:val="en-CA"/>
        </w:rPr>
        <w:footnoteRef/>
      </w:r>
      <w:r w:rsidRPr="00324CF1">
        <w:rPr>
          <w:lang w:val="nb-NO"/>
        </w:rPr>
        <w:t xml:space="preserve"> </w:t>
      </w:r>
      <w:r w:rsidRPr="00324CF1">
        <w:rPr>
          <w:lang w:val="nb-NO"/>
        </w:rPr>
        <w:tab/>
      </w:r>
      <w:r w:rsidRPr="00324CF1">
        <w:rPr>
          <w:i/>
          <w:iCs/>
          <w:lang w:val="nb-NO"/>
        </w:rPr>
        <w:t>CCDM/DEVAS (Mauritius) Ltd. c. CCDM Holdings</w:t>
      </w:r>
      <w:r w:rsidRPr="00324CF1">
        <w:rPr>
          <w:lang w:val="nb-NO"/>
        </w:rPr>
        <w:t>, 2024 QCCS 3225.</w:t>
      </w:r>
    </w:p>
  </w:footnote>
  <w:footnote w:id="162">
    <w:p w14:paraId="6DA910AE"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Quashing the Seizure, </w:t>
      </w:r>
      <w:r w:rsidRPr="00324CF1">
        <w:rPr>
          <w:i/>
          <w:iCs/>
          <w:lang w:val="en-CA"/>
        </w:rPr>
        <w:t xml:space="preserve">supra, </w:t>
      </w:r>
      <w:r w:rsidRPr="00324CF1">
        <w:rPr>
          <w:lang w:val="en-CA"/>
        </w:rPr>
        <w:t>note 23, at paras 62–69.</w:t>
      </w:r>
    </w:p>
  </w:footnote>
  <w:footnote w:id="163">
    <w:p w14:paraId="09F1C78B"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86–90, 97, 110.</w:t>
      </w:r>
    </w:p>
  </w:footnote>
  <w:footnote w:id="164">
    <w:p w14:paraId="1B80DB5E"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 111.</w:t>
      </w:r>
    </w:p>
  </w:footnote>
  <w:footnote w:id="165">
    <w:p w14:paraId="396C5DA5" w14:textId="77777777" w:rsidR="00B219A2" w:rsidRPr="00324CF1" w:rsidRDefault="00ED47F8">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on Immunity, </w:t>
      </w:r>
      <w:r w:rsidRPr="00324CF1">
        <w:rPr>
          <w:i/>
          <w:iCs/>
          <w:lang w:val="en-CA"/>
        </w:rPr>
        <w:t>supra</w:t>
      </w:r>
      <w:r w:rsidRPr="00324CF1">
        <w:rPr>
          <w:lang w:val="en-CA"/>
        </w:rPr>
        <w:t>, at note 32.</w:t>
      </w:r>
    </w:p>
  </w:footnote>
  <w:footnote w:id="166">
    <w:p w14:paraId="0D515B23" w14:textId="77777777" w:rsidR="0081370B" w:rsidRPr="00324CF1" w:rsidRDefault="00ED47F8" w:rsidP="0081370B">
      <w:pPr>
        <w:pStyle w:val="Notedebasdepage"/>
      </w:pPr>
      <w:r w:rsidRPr="00324CF1">
        <w:rPr>
          <w:rStyle w:val="Appelnotedebasdep"/>
          <w:lang w:val="en-CA"/>
        </w:rPr>
        <w:footnoteRef/>
      </w:r>
      <w:r w:rsidRPr="00324CF1">
        <w:t xml:space="preserve"> </w:t>
      </w:r>
      <w:r w:rsidRPr="00324CF1">
        <w:tab/>
      </w:r>
      <w:r w:rsidRPr="00324CF1">
        <w:rPr>
          <w:i/>
          <w:iCs/>
        </w:rPr>
        <w:t>Mallat</w:t>
      </w:r>
      <w:r w:rsidRPr="00324CF1">
        <w:t xml:space="preserve"> </w:t>
      </w:r>
      <w:r w:rsidRPr="00324CF1">
        <w:rPr>
          <w:i/>
          <w:iCs/>
        </w:rPr>
        <w:t>c.</w:t>
      </w:r>
      <w:r w:rsidRPr="00324CF1">
        <w:t xml:space="preserve"> </w:t>
      </w:r>
      <w:r w:rsidRPr="00324CF1">
        <w:rPr>
          <w:i/>
          <w:iCs/>
        </w:rPr>
        <w:t>Autorité des marchés financiers de France</w:t>
      </w:r>
      <w:r w:rsidRPr="00324CF1">
        <w:t>, 2021 QCCA 1102 [</w:t>
      </w:r>
      <w:r w:rsidRPr="00324CF1">
        <w:rPr>
          <w:i/>
          <w:iCs/>
        </w:rPr>
        <w:t>Mallat</w:t>
      </w:r>
      <w:r w:rsidRPr="00324CF1">
        <w:t>].</w:t>
      </w:r>
    </w:p>
  </w:footnote>
  <w:footnote w:id="167">
    <w:p w14:paraId="0521F92D"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Air India Judgment, </w:t>
      </w:r>
      <w:r w:rsidRPr="00324CF1">
        <w:rPr>
          <w:i/>
          <w:iCs/>
          <w:lang w:val="en-CA"/>
        </w:rPr>
        <w:t xml:space="preserve">supra, </w:t>
      </w:r>
      <w:r w:rsidRPr="00324CF1">
        <w:rPr>
          <w:lang w:val="en-CA"/>
        </w:rPr>
        <w:t>at note 26.</w:t>
      </w:r>
    </w:p>
  </w:footnote>
  <w:footnote w:id="168">
    <w:p w14:paraId="0360F451"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Airports Authority of India Act, 1994</w:t>
      </w:r>
      <w:r w:rsidRPr="00324CF1">
        <w:rPr>
          <w:lang w:val="en-CA"/>
        </w:rPr>
        <w:t xml:space="preserve">, Act No. 55 of 1994, as amended by the </w:t>
      </w:r>
      <w:r w:rsidRPr="00324CF1">
        <w:rPr>
          <w:i/>
          <w:iCs/>
          <w:lang w:val="en-CA"/>
        </w:rPr>
        <w:t>Airports Authority of India (Amendment) Ac</w:t>
      </w:r>
      <w:r w:rsidRPr="00324CF1">
        <w:rPr>
          <w:lang w:val="en-CA"/>
        </w:rPr>
        <w:t xml:space="preserve">t </w:t>
      </w:r>
      <w:r w:rsidRPr="00324CF1">
        <w:rPr>
          <w:i/>
          <w:iCs/>
          <w:lang w:val="en-CA"/>
        </w:rPr>
        <w:t>2003</w:t>
      </w:r>
      <w:r w:rsidRPr="00324CF1">
        <w:rPr>
          <w:lang w:val="en-CA"/>
        </w:rPr>
        <w:t xml:space="preserve"> (India).</w:t>
      </w:r>
    </w:p>
  </w:footnote>
  <w:footnote w:id="169">
    <w:p w14:paraId="3989670C"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Air India Judgment, </w:t>
      </w:r>
      <w:r w:rsidRPr="00324CF1">
        <w:rPr>
          <w:i/>
          <w:iCs/>
          <w:lang w:val="en-CA"/>
        </w:rPr>
        <w:t xml:space="preserve">supra, </w:t>
      </w:r>
      <w:r w:rsidRPr="00324CF1">
        <w:rPr>
          <w:lang w:val="en-CA"/>
        </w:rPr>
        <w:t>at note 26.</w:t>
      </w:r>
    </w:p>
  </w:footnote>
  <w:footnote w:id="170">
    <w:p w14:paraId="674303DC" w14:textId="77777777"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See: </w:t>
      </w:r>
      <w:r w:rsidRPr="00324CF1">
        <w:rPr>
          <w:i/>
          <w:iCs/>
          <w:lang w:val="en-CA"/>
        </w:rPr>
        <w:t>Defense Contract Management Agency - Americas (Canada)</w:t>
      </w:r>
      <w:r w:rsidRPr="00324CF1">
        <w:rPr>
          <w:lang w:val="en-CA"/>
        </w:rPr>
        <w:t xml:space="preserve"> </w:t>
      </w:r>
      <w:r w:rsidRPr="00324CF1">
        <w:rPr>
          <w:i/>
          <w:iCs/>
          <w:lang w:val="en-CA"/>
        </w:rPr>
        <w:t>v.</w:t>
      </w:r>
      <w:r w:rsidRPr="00324CF1">
        <w:rPr>
          <w:lang w:val="en-CA"/>
        </w:rPr>
        <w:t xml:space="preserve"> </w:t>
      </w:r>
      <w:r w:rsidRPr="00324CF1">
        <w:rPr>
          <w:i/>
          <w:iCs/>
          <w:lang w:val="en-CA"/>
        </w:rPr>
        <w:t>Public Service Alliance of Canada</w:t>
      </w:r>
      <w:r w:rsidRPr="00324CF1">
        <w:rPr>
          <w:lang w:val="en-CA"/>
        </w:rPr>
        <w:t>, 2013 ONSC 2005, at para 26.</w:t>
      </w:r>
    </w:p>
  </w:footnote>
  <w:footnote w:id="171">
    <w:p w14:paraId="10F7FA39" w14:textId="01C04D7C" w:rsidR="0081370B" w:rsidRPr="00324CF1" w:rsidRDefault="00ED47F8" w:rsidP="0081370B">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00F263F7">
        <w:rPr>
          <w:lang w:val="en-CA"/>
        </w:rPr>
        <w:t>O</w:t>
      </w:r>
      <w:r w:rsidRPr="00324CF1">
        <w:rPr>
          <w:lang w:val="en-CA"/>
        </w:rPr>
        <w:t>n these criteria,</w:t>
      </w:r>
      <w:r w:rsidR="00F263F7">
        <w:rPr>
          <w:lang w:val="en-CA"/>
        </w:rPr>
        <w:t xml:space="preserve"> see</w:t>
      </w:r>
      <w:r w:rsidRPr="00324CF1">
        <w:rPr>
          <w:lang w:val="en-CA"/>
        </w:rPr>
        <w:t xml:space="preserve"> </w:t>
      </w:r>
      <w:r w:rsidRPr="00324CF1">
        <w:rPr>
          <w:i/>
          <w:iCs/>
          <w:lang w:val="en-CA"/>
        </w:rPr>
        <w:t xml:space="preserve">Mallat, supra, </w:t>
      </w:r>
      <w:r w:rsidRPr="00324CF1">
        <w:rPr>
          <w:lang w:val="en-CA"/>
        </w:rPr>
        <w:t>note 166, at paras 107–108.</w:t>
      </w:r>
    </w:p>
  </w:footnote>
  <w:footnote w:id="172">
    <w:p w14:paraId="14471462" w14:textId="49693622"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Judgment on the </w:t>
      </w:r>
      <w:r w:rsidR="00A92438">
        <w:rPr>
          <w:lang w:val="en-CA"/>
        </w:rPr>
        <w:t>a</w:t>
      </w:r>
      <w:r w:rsidRPr="00324CF1">
        <w:rPr>
          <w:lang w:val="en-CA"/>
        </w:rPr>
        <w:t xml:space="preserve">pplication of the </w:t>
      </w:r>
      <w:r w:rsidRPr="00324CF1">
        <w:rPr>
          <w:i/>
          <w:iCs/>
          <w:lang w:val="en-CA"/>
        </w:rPr>
        <w:t>IATA Act</w:t>
      </w:r>
      <w:r w:rsidRPr="00324CF1">
        <w:rPr>
          <w:lang w:val="en-CA"/>
        </w:rPr>
        <w:t xml:space="preserve">, </w:t>
      </w:r>
      <w:r w:rsidRPr="00324CF1">
        <w:rPr>
          <w:i/>
          <w:iCs/>
          <w:lang w:val="en-CA"/>
        </w:rPr>
        <w:t xml:space="preserve">supra </w:t>
      </w:r>
      <w:r w:rsidRPr="00324CF1">
        <w:rPr>
          <w:lang w:val="en-CA"/>
        </w:rPr>
        <w:t>note 28 at paras 20 and 35–45.</w:t>
      </w:r>
    </w:p>
  </w:footnote>
  <w:footnote w:id="173">
    <w:p w14:paraId="05E5A582"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paras 20 and 47–50.</w:t>
      </w:r>
    </w:p>
  </w:footnote>
  <w:footnote w:id="174">
    <w:p w14:paraId="560B1EA7"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 18.</w:t>
      </w:r>
    </w:p>
  </w:footnote>
  <w:footnote w:id="175">
    <w:p w14:paraId="03A3CFE1" w14:textId="77777777" w:rsidR="00865233" w:rsidRPr="00324CF1" w:rsidRDefault="00ED47F8" w:rsidP="00865233">
      <w:pPr>
        <w:pStyle w:val="Notedebasdepage"/>
        <w:rPr>
          <w:lang w:val="en-US"/>
        </w:rPr>
      </w:pPr>
      <w:r w:rsidRPr="00324CF1">
        <w:rPr>
          <w:rStyle w:val="Appelnotedebasdep"/>
          <w:rFonts w:cs="Arial"/>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paras 54–56.</w:t>
      </w:r>
    </w:p>
  </w:footnote>
  <w:footnote w:id="176">
    <w:p w14:paraId="3E6A8ABC"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Ibid. </w:t>
      </w:r>
      <w:r w:rsidRPr="00324CF1">
        <w:rPr>
          <w:lang w:val="en-CA"/>
        </w:rPr>
        <w:t>at para 64.</w:t>
      </w:r>
    </w:p>
  </w:footnote>
  <w:footnote w:id="177">
    <w:p w14:paraId="18591748"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Ibid. </w:t>
      </w:r>
      <w:r w:rsidRPr="00324CF1">
        <w:rPr>
          <w:lang w:val="en-CA"/>
        </w:rPr>
        <w:t>at para 65.</w:t>
      </w:r>
    </w:p>
  </w:footnote>
  <w:footnote w:id="178">
    <w:p w14:paraId="2CDED57D" w14:textId="77777777" w:rsidR="008E25A6" w:rsidRPr="00324CF1" w:rsidRDefault="00ED47F8" w:rsidP="008E25A6">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paras 71–75.</w:t>
      </w:r>
    </w:p>
  </w:footnote>
  <w:footnote w:id="179">
    <w:p w14:paraId="7BB0D5F4"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bookmarkStart w:id="128" w:name="_Hlk173414610"/>
      <w:r w:rsidRPr="00324CF1">
        <w:rPr>
          <w:i/>
          <w:iCs/>
          <w:lang w:val="en-CA"/>
        </w:rPr>
        <w:t>Provi-Grain (1986) inc. (Bankruptcy of)</w:t>
      </w:r>
      <w:r w:rsidRPr="00324CF1">
        <w:rPr>
          <w:lang w:val="en-CA"/>
        </w:rPr>
        <w:t>, [1994] RJQ 1804 (CA) [</w:t>
      </w:r>
      <w:r w:rsidRPr="00324CF1">
        <w:rPr>
          <w:i/>
          <w:iCs/>
          <w:lang w:val="en-CA"/>
        </w:rPr>
        <w:t>Provi-Grain</w:t>
      </w:r>
      <w:r w:rsidRPr="00324CF1">
        <w:rPr>
          <w:lang w:val="en-CA"/>
        </w:rPr>
        <w:t>].</w:t>
      </w:r>
      <w:bookmarkEnd w:id="128"/>
    </w:p>
  </w:footnote>
  <w:footnote w:id="180">
    <w:p w14:paraId="4A0CDEA9"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P.-A. Côté and M. Devinat, </w:t>
      </w:r>
      <w:r w:rsidRPr="00324CF1">
        <w:rPr>
          <w:i/>
          <w:iCs/>
          <w:lang w:val="en-CA"/>
        </w:rPr>
        <w:t xml:space="preserve">supra, </w:t>
      </w:r>
      <w:r w:rsidRPr="00324CF1">
        <w:rPr>
          <w:lang w:val="en-CA"/>
        </w:rPr>
        <w:t>note 153, at No. 477.</w:t>
      </w:r>
    </w:p>
  </w:footnote>
  <w:footnote w:id="181">
    <w:p w14:paraId="6AC6DE52" w14:textId="77777777" w:rsidR="00865233" w:rsidRPr="005E6EB3" w:rsidRDefault="00ED47F8" w:rsidP="00865233">
      <w:pPr>
        <w:pStyle w:val="Notedebasdepage"/>
        <w:rPr>
          <w:lang w:val="en-CA"/>
        </w:rPr>
      </w:pPr>
      <w:r w:rsidRPr="00324CF1">
        <w:rPr>
          <w:rStyle w:val="Appelnotedebasdep"/>
          <w:lang w:val="en-CA"/>
        </w:rPr>
        <w:footnoteRef/>
      </w:r>
      <w:r w:rsidRPr="005E6EB3">
        <w:rPr>
          <w:lang w:val="en-CA"/>
        </w:rPr>
        <w:t xml:space="preserve"> </w:t>
      </w:r>
      <w:r w:rsidRPr="005E6EB3">
        <w:rPr>
          <w:lang w:val="en-CA"/>
        </w:rPr>
        <w:tab/>
      </w:r>
      <w:r w:rsidRPr="005E6EB3">
        <w:rPr>
          <w:i/>
          <w:iCs/>
          <w:lang w:val="en-CA"/>
        </w:rPr>
        <w:t>Ibid.</w:t>
      </w:r>
      <w:r w:rsidRPr="005E6EB3">
        <w:rPr>
          <w:lang w:val="en-CA"/>
        </w:rPr>
        <w:t>, No. 480.</w:t>
      </w:r>
    </w:p>
  </w:footnote>
  <w:footnote w:id="182">
    <w:p w14:paraId="6A4BE354" w14:textId="77777777" w:rsidR="00865233" w:rsidRPr="00324CF1" w:rsidRDefault="00ED47F8" w:rsidP="00865233">
      <w:pPr>
        <w:pStyle w:val="Notedebasdepage"/>
      </w:pPr>
      <w:r w:rsidRPr="00324CF1">
        <w:rPr>
          <w:rStyle w:val="Appelnotedebasdep"/>
          <w:lang w:val="en-CA"/>
        </w:rPr>
        <w:footnoteRef/>
      </w:r>
      <w:r w:rsidRPr="00324CF1">
        <w:t xml:space="preserve"> </w:t>
      </w:r>
      <w:r w:rsidRPr="00324CF1">
        <w:tab/>
        <w:t xml:space="preserve">Quebec, National Assembly, </w:t>
      </w:r>
      <w:r w:rsidRPr="00324CF1">
        <w:rPr>
          <w:i/>
          <w:iCs/>
        </w:rPr>
        <w:t>Journal des débats de la Commission des transports et de l’environnement</w:t>
      </w:r>
      <w:r w:rsidRPr="00324CF1">
        <w:t xml:space="preserve">, 42-2, vol 46, No. 35 (May 31, 2022) at 14–15. </w:t>
      </w:r>
    </w:p>
  </w:footnote>
  <w:footnote w:id="183">
    <w:p w14:paraId="7C5CEAF3" w14:textId="77777777" w:rsidR="00865233" w:rsidRPr="00324CF1" w:rsidRDefault="00ED47F8" w:rsidP="00865233">
      <w:pPr>
        <w:pStyle w:val="Notedebasdepage"/>
      </w:pPr>
      <w:r w:rsidRPr="00324CF1">
        <w:rPr>
          <w:rStyle w:val="Appelnotedebasdep"/>
          <w:lang w:val="en-CA"/>
        </w:rPr>
        <w:footnoteRef/>
      </w:r>
      <w:r w:rsidRPr="00324CF1">
        <w:rPr>
          <w:i/>
          <w:iCs/>
        </w:rPr>
        <w:t xml:space="preserve"> </w:t>
      </w:r>
      <w:r w:rsidRPr="00324CF1">
        <w:rPr>
          <w:i/>
          <w:iCs/>
        </w:rPr>
        <w:tab/>
        <w:t>Épiciers Unis Métro-Richelieu Inc., division “Éconogros” v. Collin</w:t>
      </w:r>
      <w:r w:rsidRPr="00324CF1">
        <w:t xml:space="preserve">, 2004 SCC 59, at para 46; P.-A. Côté and M. Devinat, </w:t>
      </w:r>
      <w:r w:rsidRPr="00324CF1">
        <w:rPr>
          <w:i/>
          <w:iCs/>
        </w:rPr>
        <w:t xml:space="preserve">supra, </w:t>
      </w:r>
      <w:r w:rsidRPr="00324CF1">
        <w:t>note 153, at No. 587.</w:t>
      </w:r>
    </w:p>
  </w:footnote>
  <w:footnote w:id="184">
    <w:p w14:paraId="13AE5987"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P.-A. Côté and M. Devinat, </w:t>
      </w:r>
      <w:r w:rsidRPr="00324CF1">
        <w:rPr>
          <w:i/>
          <w:iCs/>
          <w:lang w:val="en-CA"/>
        </w:rPr>
        <w:t xml:space="preserve">supra, </w:t>
      </w:r>
      <w:r w:rsidRPr="00324CF1">
        <w:rPr>
          <w:lang w:val="en-CA"/>
        </w:rPr>
        <w:t>note 153, at No. 594.</w:t>
      </w:r>
      <w:r w:rsidRPr="00324CF1">
        <w:rPr>
          <w:vertAlign w:val="superscript"/>
          <w:lang w:val="en-CA"/>
        </w:rPr>
        <w:t xml:space="preserve"> </w:t>
      </w:r>
    </w:p>
  </w:footnote>
  <w:footnote w:id="185">
    <w:p w14:paraId="22AD3D3A"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468.</w:t>
      </w:r>
    </w:p>
  </w:footnote>
  <w:footnote w:id="186">
    <w:p w14:paraId="6B12A1D9" w14:textId="77777777" w:rsidR="00865233" w:rsidRPr="00324CF1" w:rsidRDefault="00ED47F8" w:rsidP="00865233">
      <w:pPr>
        <w:pStyle w:val="Notedebasdepage"/>
        <w:rPr>
          <w:lang w:val="en-US"/>
        </w:rPr>
      </w:pPr>
      <w:r w:rsidRPr="00324CF1">
        <w:rPr>
          <w:rStyle w:val="Appelnotedebasdep"/>
          <w:lang w:val="en-CA"/>
        </w:rPr>
        <w:footnoteRef/>
      </w:r>
      <w:r w:rsidRPr="00324CF1">
        <w:rPr>
          <w:i/>
          <w:iCs/>
          <w:lang w:val="en-CA"/>
        </w:rPr>
        <w:t xml:space="preserve"> </w:t>
      </w:r>
      <w:r w:rsidRPr="00324CF1">
        <w:rPr>
          <w:i/>
          <w:iCs/>
          <w:lang w:val="en-CA"/>
        </w:rPr>
        <w:tab/>
        <w:t>British Columbia v. Imperial Tobacco Canada Ltd.</w:t>
      </w:r>
      <w:r w:rsidRPr="00324CF1">
        <w:rPr>
          <w:lang w:val="en-CA"/>
        </w:rPr>
        <w:t xml:space="preserve">, 2005 SCC 49, at para 71; </w:t>
      </w:r>
      <w:r w:rsidRPr="00324CF1">
        <w:rPr>
          <w:i/>
          <w:iCs/>
          <w:lang w:val="en-CA"/>
        </w:rPr>
        <w:t>Régie des rentes du Québec v. Canada Bread Company Ltd.</w:t>
      </w:r>
      <w:r w:rsidRPr="00324CF1">
        <w:rPr>
          <w:lang w:val="en-CA"/>
        </w:rPr>
        <w:t xml:space="preserve">, 2013 SCC 46, at para 53; P.-A. Côté and M. Devinat, </w:t>
      </w:r>
      <w:r w:rsidRPr="00324CF1">
        <w:rPr>
          <w:i/>
          <w:iCs/>
          <w:lang w:val="en-CA"/>
        </w:rPr>
        <w:t xml:space="preserve">supra, </w:t>
      </w:r>
      <w:r w:rsidRPr="00324CF1">
        <w:rPr>
          <w:lang w:val="en-CA"/>
        </w:rPr>
        <w:t>note 153, at Nos. 472–474.</w:t>
      </w:r>
    </w:p>
  </w:footnote>
  <w:footnote w:id="187">
    <w:p w14:paraId="44D8027C"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t xml:space="preserve">P.-A. Côté and M. Devinat, </w:t>
      </w:r>
      <w:r w:rsidRPr="00324CF1">
        <w:rPr>
          <w:i/>
          <w:iCs/>
          <w:lang w:val="en-CA"/>
        </w:rPr>
        <w:t xml:space="preserve">supra, </w:t>
      </w:r>
      <w:r w:rsidRPr="00324CF1">
        <w:rPr>
          <w:lang w:val="en-CA"/>
        </w:rPr>
        <w:t>note 153, at No. 475.</w:t>
      </w:r>
    </w:p>
  </w:footnote>
  <w:footnote w:id="188">
    <w:p w14:paraId="2DE4243E"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650.</w:t>
      </w:r>
    </w:p>
  </w:footnote>
  <w:footnote w:id="189">
    <w:p w14:paraId="244F2628"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xml:space="preserve">, at No. 603. See also section 12 of the </w:t>
      </w:r>
      <w:r w:rsidRPr="00324CF1">
        <w:rPr>
          <w:i/>
          <w:iCs/>
          <w:lang w:val="en-CA"/>
        </w:rPr>
        <w:t>Interpretation Act</w:t>
      </w:r>
      <w:r w:rsidRPr="00324CF1">
        <w:rPr>
          <w:lang w:val="en-CA"/>
        </w:rPr>
        <w:t>, CQLR, c. I-16.</w:t>
      </w:r>
    </w:p>
  </w:footnote>
  <w:footnote w:id="190">
    <w:p w14:paraId="0B7798E3" w14:textId="644E9702"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Tanny, supra</w:t>
      </w:r>
      <w:r w:rsidRPr="00324CF1">
        <w:rPr>
          <w:lang w:val="en-CA"/>
        </w:rPr>
        <w:t xml:space="preserve">, note 56, at para 37; </w:t>
      </w:r>
      <w:r w:rsidRPr="00324CF1">
        <w:rPr>
          <w:i/>
          <w:iCs/>
          <w:lang w:val="en-CA"/>
        </w:rPr>
        <w:t>Mayco Financial Corporation c. Rosenberg</w:t>
      </w:r>
      <w:r w:rsidRPr="00324CF1">
        <w:rPr>
          <w:lang w:val="en-CA"/>
        </w:rPr>
        <w:t>, 2015 QCCA 1231, at para</w:t>
      </w:r>
      <w:r w:rsidR="00B01EB5">
        <w:rPr>
          <w:lang w:val="en-CA"/>
        </w:rPr>
        <w:t>s</w:t>
      </w:r>
      <w:r w:rsidRPr="00324CF1">
        <w:rPr>
          <w:lang w:val="en-CA"/>
        </w:rPr>
        <w:t xml:space="preserve"> </w:t>
      </w:r>
      <w:r w:rsidRPr="005E6EB3">
        <w:rPr>
          <w:lang w:val="en-CA"/>
        </w:rPr>
        <w:t xml:space="preserve">21 </w:t>
      </w:r>
      <w:r w:rsidRPr="005E6EB3">
        <w:rPr>
          <w:i/>
          <w:iCs/>
          <w:lang w:val="en-CA"/>
        </w:rPr>
        <w:t>et seq.</w:t>
      </w:r>
      <w:r w:rsidRPr="005E6EB3">
        <w:rPr>
          <w:lang w:val="en-CA"/>
        </w:rPr>
        <w:t xml:space="preserve">; P.-A. Côté and M. Devinat, </w:t>
      </w:r>
      <w:r w:rsidRPr="005E6EB3">
        <w:rPr>
          <w:i/>
          <w:iCs/>
          <w:lang w:val="en-CA"/>
        </w:rPr>
        <w:t xml:space="preserve">supra, </w:t>
      </w:r>
      <w:r w:rsidRPr="005E6EB3">
        <w:rPr>
          <w:lang w:val="en-CA"/>
        </w:rPr>
        <w:t xml:space="preserve">note 153, at No. 685. </w:t>
      </w:r>
      <w:r w:rsidRPr="00324CF1">
        <w:rPr>
          <w:lang w:val="en-CA"/>
        </w:rPr>
        <w:t xml:space="preserve">See also section 13 of the </w:t>
      </w:r>
      <w:r w:rsidRPr="00324CF1">
        <w:rPr>
          <w:i/>
          <w:iCs/>
          <w:lang w:val="en-CA"/>
        </w:rPr>
        <w:t>Interpretation Act</w:t>
      </w:r>
      <w:r w:rsidRPr="00324CF1">
        <w:rPr>
          <w:lang w:val="en-CA"/>
        </w:rPr>
        <w:t>, CQLR, c. I-16.</w:t>
      </w:r>
    </w:p>
  </w:footnote>
  <w:footnote w:id="191">
    <w:p w14:paraId="0630F377" w14:textId="77777777" w:rsidR="00865233" w:rsidRPr="00324CF1" w:rsidRDefault="00ED47F8" w:rsidP="00865233">
      <w:pPr>
        <w:pStyle w:val="Notedebasdepage"/>
        <w:rPr>
          <w:lang w:val="en-US"/>
        </w:rPr>
      </w:pPr>
      <w:r w:rsidRPr="00324CF1">
        <w:rPr>
          <w:rStyle w:val="Appelnotedebasdep"/>
          <w:lang w:val="en-CA"/>
        </w:rPr>
        <w:footnoteRef/>
      </w:r>
      <w:r w:rsidRPr="005E6EB3">
        <w:rPr>
          <w:lang w:val="en-CA"/>
        </w:rPr>
        <w:t xml:space="preserve"> </w:t>
      </w:r>
      <w:r w:rsidRPr="005E6EB3">
        <w:rPr>
          <w:lang w:val="en-CA"/>
        </w:rPr>
        <w:tab/>
      </w:r>
      <w:r w:rsidRPr="005E6EB3">
        <w:rPr>
          <w:i/>
          <w:iCs/>
          <w:lang w:val="en-CA"/>
        </w:rPr>
        <w:t>R. v. Dineley</w:t>
      </w:r>
      <w:r w:rsidRPr="005E6EB3">
        <w:rPr>
          <w:lang w:val="en-CA"/>
        </w:rPr>
        <w:t>, 2012 SCC 58, at para 10 [</w:t>
      </w:r>
      <w:r w:rsidRPr="005E6EB3">
        <w:rPr>
          <w:i/>
          <w:iCs/>
          <w:lang w:val="en-CA"/>
        </w:rPr>
        <w:t>Dineley</w:t>
      </w:r>
      <w:r w:rsidRPr="005E6EB3">
        <w:rPr>
          <w:lang w:val="en-CA"/>
        </w:rPr>
        <w:t xml:space="preserve">]. </w:t>
      </w:r>
      <w:r w:rsidRPr="00324CF1">
        <w:rPr>
          <w:lang w:val="en-CA"/>
        </w:rPr>
        <w:t xml:space="preserve">See also: </w:t>
      </w:r>
      <w:r w:rsidRPr="00324CF1">
        <w:rPr>
          <w:i/>
          <w:iCs/>
          <w:lang w:val="en-CA"/>
        </w:rPr>
        <w:t>R. v. Archambault</w:t>
      </w:r>
      <w:r w:rsidRPr="00324CF1">
        <w:rPr>
          <w:lang w:val="en-CA"/>
        </w:rPr>
        <w:t xml:space="preserve">, 2024 SCC 35, at paras 203 </w:t>
      </w:r>
      <w:r w:rsidRPr="00324CF1">
        <w:rPr>
          <w:i/>
          <w:iCs/>
          <w:lang w:val="en-CA"/>
        </w:rPr>
        <w:t>et seq.</w:t>
      </w:r>
      <w:r w:rsidRPr="00324CF1">
        <w:rPr>
          <w:lang w:val="en-CA"/>
        </w:rPr>
        <w:t xml:space="preserve"> [the judges agreed on these principles but were divided on their application].</w:t>
      </w:r>
    </w:p>
  </w:footnote>
  <w:footnote w:id="192">
    <w:p w14:paraId="1EF8DC26" w14:textId="77777777" w:rsidR="00865233" w:rsidRPr="005E6EB3" w:rsidRDefault="00ED47F8" w:rsidP="00865233">
      <w:pPr>
        <w:pStyle w:val="Notedebasdepage"/>
        <w:rPr>
          <w:lang w:val="en-CA"/>
        </w:rPr>
      </w:pPr>
      <w:r w:rsidRPr="00324CF1">
        <w:rPr>
          <w:rStyle w:val="Appelnotedebasdep"/>
          <w:lang w:val="en-CA"/>
        </w:rPr>
        <w:footnoteRef/>
      </w:r>
      <w:r w:rsidRPr="005E6EB3">
        <w:rPr>
          <w:lang w:val="en-CA"/>
        </w:rPr>
        <w:t xml:space="preserve"> </w:t>
      </w:r>
      <w:r w:rsidRPr="005E6EB3">
        <w:rPr>
          <w:lang w:val="en-CA"/>
        </w:rPr>
        <w:tab/>
        <w:t xml:space="preserve">P.-A. Côté and M. Devinat, </w:t>
      </w:r>
      <w:r w:rsidRPr="005E6EB3">
        <w:rPr>
          <w:i/>
          <w:iCs/>
          <w:lang w:val="en-CA"/>
        </w:rPr>
        <w:t xml:space="preserve">supra, </w:t>
      </w:r>
      <w:r w:rsidRPr="005E6EB3">
        <w:rPr>
          <w:lang w:val="en-CA"/>
        </w:rPr>
        <w:t>at note 153.</w:t>
      </w:r>
    </w:p>
  </w:footnote>
  <w:footnote w:id="193">
    <w:p w14:paraId="4C224EF5"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457.</w:t>
      </w:r>
    </w:p>
  </w:footnote>
  <w:footnote w:id="194">
    <w:p w14:paraId="5B3BECD6"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458.</w:t>
      </w:r>
    </w:p>
  </w:footnote>
  <w:footnote w:id="195">
    <w:p w14:paraId="24F9B3CC"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459.</w:t>
      </w:r>
    </w:p>
  </w:footnote>
  <w:footnote w:id="196">
    <w:p w14:paraId="1A735BB9"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Ibid.</w:t>
      </w:r>
      <w:r w:rsidRPr="00324CF1">
        <w:rPr>
          <w:lang w:val="en-CA"/>
        </w:rPr>
        <w:t>, at No. 461.</w:t>
      </w:r>
    </w:p>
  </w:footnote>
  <w:footnote w:id="197">
    <w:p w14:paraId="56928E0A" w14:textId="77777777" w:rsidR="00865233" w:rsidRPr="00324CF1" w:rsidRDefault="00ED47F8" w:rsidP="00865233">
      <w:pPr>
        <w:pStyle w:val="Notedebasdepage"/>
        <w:rPr>
          <w:lang w:val="en-US"/>
        </w:rPr>
      </w:pPr>
      <w:r w:rsidRPr="00324CF1">
        <w:rPr>
          <w:rStyle w:val="Appelnotedebasdep"/>
          <w:lang w:val="en-CA"/>
        </w:rPr>
        <w:footnoteRef/>
      </w:r>
      <w:r w:rsidRPr="005E6EB3">
        <w:rPr>
          <w:lang w:val="en-CA"/>
        </w:rPr>
        <w:t xml:space="preserve"> </w:t>
      </w:r>
      <w:r w:rsidRPr="005E6EB3">
        <w:rPr>
          <w:lang w:val="en-CA"/>
        </w:rPr>
        <w:tab/>
      </w:r>
      <w:r w:rsidRPr="005E6EB3">
        <w:rPr>
          <w:i/>
          <w:iCs/>
          <w:lang w:val="en-CA"/>
        </w:rPr>
        <w:t>Dineley</w:t>
      </w:r>
      <w:r w:rsidRPr="005E6EB3">
        <w:rPr>
          <w:lang w:val="en-CA"/>
        </w:rPr>
        <w:t xml:space="preserve">, </w:t>
      </w:r>
      <w:r w:rsidRPr="005E6EB3">
        <w:rPr>
          <w:i/>
          <w:iCs/>
          <w:lang w:val="en-CA"/>
        </w:rPr>
        <w:t>supra</w:t>
      </w:r>
      <w:r w:rsidRPr="005E6EB3">
        <w:rPr>
          <w:lang w:val="en-CA"/>
        </w:rPr>
        <w:t xml:space="preserve">, note 191, at para 44. </w:t>
      </w:r>
      <w:r w:rsidRPr="00324CF1">
        <w:rPr>
          <w:lang w:val="en-CA"/>
        </w:rPr>
        <w:t xml:space="preserve">See also: </w:t>
      </w:r>
      <w:r w:rsidRPr="00324CF1">
        <w:rPr>
          <w:i/>
          <w:iCs/>
          <w:lang w:val="en-CA"/>
        </w:rPr>
        <w:t xml:space="preserve">Tran v. Canada (Public Safety and Emergency Preparedness), </w:t>
      </w:r>
      <w:r w:rsidRPr="00324CF1">
        <w:rPr>
          <w:lang w:val="en-CA"/>
        </w:rPr>
        <w:t>2017 SCC 50, at para 50.</w:t>
      </w:r>
    </w:p>
  </w:footnote>
  <w:footnote w:id="198">
    <w:p w14:paraId="4F5FFA90"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Provi-Grain, supra, </w:t>
      </w:r>
      <w:r w:rsidRPr="00324CF1">
        <w:rPr>
          <w:lang w:val="en-CA"/>
        </w:rPr>
        <w:t>at note 179.</w:t>
      </w:r>
    </w:p>
  </w:footnote>
  <w:footnote w:id="199">
    <w:p w14:paraId="301C337D"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9183-7708 Québec inc. c. Soltron Realty Inc.</w:t>
      </w:r>
      <w:r w:rsidRPr="00324CF1">
        <w:rPr>
          <w:lang w:val="en-CA"/>
        </w:rPr>
        <w:t>, 2016 QCCA 155, at paras 56–58 [</w:t>
      </w:r>
      <w:r w:rsidRPr="00324CF1">
        <w:rPr>
          <w:i/>
          <w:iCs/>
          <w:lang w:val="en-CA"/>
        </w:rPr>
        <w:t>Soltron Realty</w:t>
      </w:r>
      <w:r w:rsidRPr="00324CF1">
        <w:rPr>
          <w:lang w:val="en-CA"/>
        </w:rPr>
        <w:t>].</w:t>
      </w:r>
    </w:p>
  </w:footnote>
  <w:footnote w:id="200">
    <w:p w14:paraId="44F01FB2"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 xml:space="preserve">Provi-Grain, supra, </w:t>
      </w:r>
      <w:r w:rsidRPr="00324CF1">
        <w:rPr>
          <w:lang w:val="en-CA"/>
        </w:rPr>
        <w:t>note 179, at 5 and 7.</w:t>
      </w:r>
    </w:p>
  </w:footnote>
  <w:footnote w:id="201">
    <w:p w14:paraId="4AFCCEF9" w14:textId="77777777" w:rsidR="00865233" w:rsidRPr="00324CF1" w:rsidRDefault="00ED47F8" w:rsidP="00865233">
      <w:pPr>
        <w:pStyle w:val="Notedebasdepage"/>
        <w:rPr>
          <w:lang w:val="en-US"/>
        </w:rPr>
      </w:pPr>
      <w:r w:rsidRPr="00324CF1">
        <w:rPr>
          <w:rStyle w:val="Appelnotedebasdep"/>
          <w:lang w:val="en-CA"/>
        </w:rPr>
        <w:footnoteRef/>
      </w:r>
      <w:r w:rsidRPr="00324CF1">
        <w:rPr>
          <w:lang w:val="en-CA"/>
        </w:rPr>
        <w:t xml:space="preserve"> </w:t>
      </w:r>
      <w:r w:rsidRPr="00324CF1">
        <w:rPr>
          <w:lang w:val="en-CA"/>
        </w:rPr>
        <w:tab/>
      </w:r>
      <w:r w:rsidRPr="00324CF1">
        <w:rPr>
          <w:i/>
          <w:iCs/>
          <w:lang w:val="en-CA"/>
        </w:rPr>
        <w:t>Soltron Realty</w:t>
      </w:r>
      <w:r w:rsidRPr="00324CF1">
        <w:rPr>
          <w:lang w:val="en-CA"/>
        </w:rPr>
        <w:t xml:space="preserve">, </w:t>
      </w:r>
      <w:r w:rsidRPr="00324CF1">
        <w:rPr>
          <w:i/>
          <w:iCs/>
          <w:lang w:val="en-CA"/>
        </w:rPr>
        <w:t>supra</w:t>
      </w:r>
      <w:r w:rsidRPr="00324CF1">
        <w:rPr>
          <w:lang w:val="en-CA"/>
        </w:rPr>
        <w:t>, note 199, at para 57.</w:t>
      </w:r>
    </w:p>
  </w:footnote>
  <w:footnote w:id="202">
    <w:p w14:paraId="5F9D0218" w14:textId="77777777" w:rsidR="00865233" w:rsidRPr="00324CF1" w:rsidRDefault="00ED47F8" w:rsidP="00865233">
      <w:pPr>
        <w:pStyle w:val="Notedebasdepage"/>
      </w:pPr>
      <w:r w:rsidRPr="00324CF1">
        <w:rPr>
          <w:rStyle w:val="Appelnotedebasdep"/>
          <w:rFonts w:cs="Arial"/>
          <w:lang w:val="en-CA"/>
        </w:rPr>
        <w:footnoteRef/>
      </w:r>
      <w:r w:rsidRPr="00324CF1">
        <w:t xml:space="preserve"> </w:t>
      </w:r>
      <w:r w:rsidRPr="00324CF1">
        <w:tab/>
        <w:t xml:space="preserve">Arnaud Fraticelli, “Les saisies avant jugement”, in École du Barreau, </w:t>
      </w:r>
      <w:r w:rsidRPr="00324CF1">
        <w:rPr>
          <w:i/>
          <w:iCs/>
        </w:rPr>
        <w:t>Collection de droit 2023-2024</w:t>
      </w:r>
      <w:r w:rsidRPr="00324CF1">
        <w:t xml:space="preserve">, </w:t>
      </w:r>
      <w:r w:rsidRPr="00324CF1">
        <w:rPr>
          <w:i/>
          <w:iCs/>
        </w:rPr>
        <w:t>Vol. 2 Preuve et procédure</w:t>
      </w:r>
      <w:r w:rsidRPr="00324CF1">
        <w:t xml:space="preserve"> (Montreal: Éditions Yvon Blais, 2023) at 222–223.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A9B6" w14:textId="77777777" w:rsidR="007E33E4" w:rsidRPr="00324CF1" w:rsidRDefault="00ED47F8" w:rsidP="00DB2119">
    <w:pPr>
      <w:tabs>
        <w:tab w:val="center" w:pos="4709"/>
        <w:tab w:val="right" w:pos="9360"/>
      </w:tabs>
      <w:spacing w:line="360" w:lineRule="auto"/>
      <w:ind w:right="524"/>
    </w:pPr>
    <w:bookmarkStart w:id="140" w:name="EntDossier"/>
    <w:r w:rsidRPr="00324CF1">
      <w:rPr>
        <w:lang w:val="en-CA"/>
      </w:rPr>
      <w:t>500-09-030393-235</w:t>
    </w:r>
    <w:bookmarkEnd w:id="140"/>
    <w:r w:rsidRPr="00324CF1">
      <w:rPr>
        <w:lang w:val="en-CA"/>
      </w:rPr>
      <w:t>, 500-09-029899-226, 500-09-700124-225</w:t>
    </w:r>
    <w:r w:rsidRPr="00324CF1">
      <w:rPr>
        <w:lang w:val="en-CA"/>
      </w:rPr>
      <w:tab/>
      <w:t xml:space="preserve">PAGE: </w:t>
    </w:r>
    <w:r w:rsidRPr="00324CF1">
      <w:rPr>
        <w:lang w:val="en-CA"/>
      </w:rPr>
      <w:fldChar w:fldCharType="begin"/>
    </w:r>
    <w:r w:rsidRPr="00324CF1">
      <w:rPr>
        <w:lang w:val="en-CA"/>
      </w:rPr>
      <w:instrText xml:space="preserve"> PAGE </w:instrText>
    </w:r>
    <w:r w:rsidRPr="00324CF1">
      <w:rPr>
        <w:lang w:val="en-CA"/>
      </w:rPr>
      <w:fldChar w:fldCharType="separate"/>
    </w:r>
    <w:r w:rsidRPr="00324CF1">
      <w:rPr>
        <w:lang w:val="en-CA"/>
      </w:rPr>
      <w:t>57</w:t>
    </w:r>
    <w:r w:rsidRPr="00324CF1">
      <w:rPr>
        <w:lang w:val="en-CA"/>
      </w:rPr>
      <w:fldChar w:fldCharType="end"/>
    </w:r>
  </w:p>
  <w:p w14:paraId="34106B55" w14:textId="77777777" w:rsidR="007E33E4" w:rsidRPr="00324CF1"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48EED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54143C1"/>
    <w:multiLevelType w:val="hybridMultilevel"/>
    <w:tmpl w:val="4AAE87DA"/>
    <w:lvl w:ilvl="0" w:tplc="A80C7D4E">
      <w:start w:val="1"/>
      <w:numFmt w:val="bullet"/>
      <w:lvlText w:val=""/>
      <w:lvlJc w:val="left"/>
      <w:pPr>
        <w:ind w:left="720" w:hanging="360"/>
      </w:pPr>
      <w:rPr>
        <w:rFonts w:ascii="Symbol" w:hAnsi="Symbol" w:hint="default"/>
      </w:rPr>
    </w:lvl>
    <w:lvl w:ilvl="1" w:tplc="B930177E" w:tentative="1">
      <w:start w:val="1"/>
      <w:numFmt w:val="bullet"/>
      <w:lvlText w:val="o"/>
      <w:lvlJc w:val="left"/>
      <w:pPr>
        <w:ind w:left="1440" w:hanging="360"/>
      </w:pPr>
      <w:rPr>
        <w:rFonts w:ascii="Courier New" w:hAnsi="Courier New" w:cs="Courier New" w:hint="default"/>
      </w:rPr>
    </w:lvl>
    <w:lvl w:ilvl="2" w:tplc="B7DC2384" w:tentative="1">
      <w:start w:val="1"/>
      <w:numFmt w:val="bullet"/>
      <w:lvlText w:val=""/>
      <w:lvlJc w:val="left"/>
      <w:pPr>
        <w:ind w:left="2160" w:hanging="360"/>
      </w:pPr>
      <w:rPr>
        <w:rFonts w:ascii="Wingdings" w:hAnsi="Wingdings" w:hint="default"/>
      </w:rPr>
    </w:lvl>
    <w:lvl w:ilvl="3" w:tplc="C3E83CA4" w:tentative="1">
      <w:start w:val="1"/>
      <w:numFmt w:val="bullet"/>
      <w:lvlText w:val=""/>
      <w:lvlJc w:val="left"/>
      <w:pPr>
        <w:ind w:left="2880" w:hanging="360"/>
      </w:pPr>
      <w:rPr>
        <w:rFonts w:ascii="Symbol" w:hAnsi="Symbol" w:hint="default"/>
      </w:rPr>
    </w:lvl>
    <w:lvl w:ilvl="4" w:tplc="CBFC01A4" w:tentative="1">
      <w:start w:val="1"/>
      <w:numFmt w:val="bullet"/>
      <w:lvlText w:val="o"/>
      <w:lvlJc w:val="left"/>
      <w:pPr>
        <w:ind w:left="3600" w:hanging="360"/>
      </w:pPr>
      <w:rPr>
        <w:rFonts w:ascii="Courier New" w:hAnsi="Courier New" w:cs="Courier New" w:hint="default"/>
      </w:rPr>
    </w:lvl>
    <w:lvl w:ilvl="5" w:tplc="6FBE281A" w:tentative="1">
      <w:start w:val="1"/>
      <w:numFmt w:val="bullet"/>
      <w:lvlText w:val=""/>
      <w:lvlJc w:val="left"/>
      <w:pPr>
        <w:ind w:left="4320" w:hanging="360"/>
      </w:pPr>
      <w:rPr>
        <w:rFonts w:ascii="Wingdings" w:hAnsi="Wingdings" w:hint="default"/>
      </w:rPr>
    </w:lvl>
    <w:lvl w:ilvl="6" w:tplc="C0563526" w:tentative="1">
      <w:start w:val="1"/>
      <w:numFmt w:val="bullet"/>
      <w:lvlText w:val=""/>
      <w:lvlJc w:val="left"/>
      <w:pPr>
        <w:ind w:left="5040" w:hanging="360"/>
      </w:pPr>
      <w:rPr>
        <w:rFonts w:ascii="Symbol" w:hAnsi="Symbol" w:hint="default"/>
      </w:rPr>
    </w:lvl>
    <w:lvl w:ilvl="7" w:tplc="75FE1A70" w:tentative="1">
      <w:start w:val="1"/>
      <w:numFmt w:val="bullet"/>
      <w:lvlText w:val="o"/>
      <w:lvlJc w:val="left"/>
      <w:pPr>
        <w:ind w:left="5760" w:hanging="360"/>
      </w:pPr>
      <w:rPr>
        <w:rFonts w:ascii="Courier New" w:hAnsi="Courier New" w:cs="Courier New" w:hint="default"/>
      </w:rPr>
    </w:lvl>
    <w:lvl w:ilvl="8" w:tplc="B1E086E4" w:tentative="1">
      <w:start w:val="1"/>
      <w:numFmt w:val="bullet"/>
      <w:lvlText w:val=""/>
      <w:lvlJc w:val="left"/>
      <w:pPr>
        <w:ind w:left="6480" w:hanging="360"/>
      </w:pPr>
      <w:rPr>
        <w:rFonts w:ascii="Wingdings" w:hAnsi="Wingdings" w:hint="default"/>
      </w:rPr>
    </w:lvl>
  </w:abstractNum>
  <w:abstractNum w:abstractNumId="2" w15:restartNumberingAfterBreak="0">
    <w:nsid w:val="0E590DB3"/>
    <w:multiLevelType w:val="hybridMultilevel"/>
    <w:tmpl w:val="719CF7F6"/>
    <w:lvl w:ilvl="0" w:tplc="8DACA03A">
      <w:start w:val="1"/>
      <w:numFmt w:val="bullet"/>
      <w:lvlText w:val=""/>
      <w:lvlJc w:val="left"/>
      <w:pPr>
        <w:ind w:left="720" w:hanging="360"/>
      </w:pPr>
      <w:rPr>
        <w:rFonts w:ascii="Symbol" w:hAnsi="Symbol" w:hint="default"/>
      </w:rPr>
    </w:lvl>
    <w:lvl w:ilvl="1" w:tplc="6E726DE6" w:tentative="1">
      <w:start w:val="1"/>
      <w:numFmt w:val="bullet"/>
      <w:lvlText w:val="o"/>
      <w:lvlJc w:val="left"/>
      <w:pPr>
        <w:ind w:left="1440" w:hanging="360"/>
      </w:pPr>
      <w:rPr>
        <w:rFonts w:ascii="Courier New" w:hAnsi="Courier New" w:cs="Courier New" w:hint="default"/>
      </w:rPr>
    </w:lvl>
    <w:lvl w:ilvl="2" w:tplc="8E2CD720" w:tentative="1">
      <w:start w:val="1"/>
      <w:numFmt w:val="bullet"/>
      <w:lvlText w:val=""/>
      <w:lvlJc w:val="left"/>
      <w:pPr>
        <w:ind w:left="2160" w:hanging="360"/>
      </w:pPr>
      <w:rPr>
        <w:rFonts w:ascii="Wingdings" w:hAnsi="Wingdings" w:hint="default"/>
      </w:rPr>
    </w:lvl>
    <w:lvl w:ilvl="3" w:tplc="7DAEEDD2" w:tentative="1">
      <w:start w:val="1"/>
      <w:numFmt w:val="bullet"/>
      <w:lvlText w:val=""/>
      <w:lvlJc w:val="left"/>
      <w:pPr>
        <w:ind w:left="2880" w:hanging="360"/>
      </w:pPr>
      <w:rPr>
        <w:rFonts w:ascii="Symbol" w:hAnsi="Symbol" w:hint="default"/>
      </w:rPr>
    </w:lvl>
    <w:lvl w:ilvl="4" w:tplc="34865540" w:tentative="1">
      <w:start w:val="1"/>
      <w:numFmt w:val="bullet"/>
      <w:lvlText w:val="o"/>
      <w:lvlJc w:val="left"/>
      <w:pPr>
        <w:ind w:left="3600" w:hanging="360"/>
      </w:pPr>
      <w:rPr>
        <w:rFonts w:ascii="Courier New" w:hAnsi="Courier New" w:cs="Courier New" w:hint="default"/>
      </w:rPr>
    </w:lvl>
    <w:lvl w:ilvl="5" w:tplc="09F0ABF2" w:tentative="1">
      <w:start w:val="1"/>
      <w:numFmt w:val="bullet"/>
      <w:lvlText w:val=""/>
      <w:lvlJc w:val="left"/>
      <w:pPr>
        <w:ind w:left="4320" w:hanging="360"/>
      </w:pPr>
      <w:rPr>
        <w:rFonts w:ascii="Wingdings" w:hAnsi="Wingdings" w:hint="default"/>
      </w:rPr>
    </w:lvl>
    <w:lvl w:ilvl="6" w:tplc="ED382FF8" w:tentative="1">
      <w:start w:val="1"/>
      <w:numFmt w:val="bullet"/>
      <w:lvlText w:val=""/>
      <w:lvlJc w:val="left"/>
      <w:pPr>
        <w:ind w:left="5040" w:hanging="360"/>
      </w:pPr>
      <w:rPr>
        <w:rFonts w:ascii="Symbol" w:hAnsi="Symbol" w:hint="default"/>
      </w:rPr>
    </w:lvl>
    <w:lvl w:ilvl="7" w:tplc="9294A8C4" w:tentative="1">
      <w:start w:val="1"/>
      <w:numFmt w:val="bullet"/>
      <w:lvlText w:val="o"/>
      <w:lvlJc w:val="left"/>
      <w:pPr>
        <w:ind w:left="5760" w:hanging="360"/>
      </w:pPr>
      <w:rPr>
        <w:rFonts w:ascii="Courier New" w:hAnsi="Courier New" w:cs="Courier New" w:hint="default"/>
      </w:rPr>
    </w:lvl>
    <w:lvl w:ilvl="8" w:tplc="E74E34BE" w:tentative="1">
      <w:start w:val="1"/>
      <w:numFmt w:val="bullet"/>
      <w:lvlText w:val=""/>
      <w:lvlJc w:val="left"/>
      <w:pPr>
        <w:ind w:left="6480" w:hanging="360"/>
      </w:pPr>
      <w:rPr>
        <w:rFonts w:ascii="Wingdings" w:hAnsi="Wingdings" w:hint="default"/>
      </w:rPr>
    </w:lvl>
  </w:abstractNum>
  <w:abstractNum w:abstractNumId="3" w15:restartNumberingAfterBreak="0">
    <w:nsid w:val="19CC51D4"/>
    <w:multiLevelType w:val="hybridMultilevel"/>
    <w:tmpl w:val="7CFAEBBC"/>
    <w:lvl w:ilvl="0" w:tplc="B97C4654">
      <w:start w:val="1"/>
      <w:numFmt w:val="lowerRoman"/>
      <w:lvlText w:val="(%1)"/>
      <w:lvlJc w:val="left"/>
      <w:pPr>
        <w:ind w:left="2138" w:hanging="720"/>
      </w:pPr>
      <w:rPr>
        <w:rFonts w:hint="default"/>
      </w:rPr>
    </w:lvl>
    <w:lvl w:ilvl="1" w:tplc="82C8ABC4" w:tentative="1">
      <w:start w:val="1"/>
      <w:numFmt w:val="lowerLetter"/>
      <w:lvlText w:val="%2."/>
      <w:lvlJc w:val="left"/>
      <w:pPr>
        <w:ind w:left="2498" w:hanging="360"/>
      </w:pPr>
    </w:lvl>
    <w:lvl w:ilvl="2" w:tplc="11428CE2" w:tentative="1">
      <w:start w:val="1"/>
      <w:numFmt w:val="lowerRoman"/>
      <w:lvlText w:val="%3."/>
      <w:lvlJc w:val="right"/>
      <w:pPr>
        <w:ind w:left="3218" w:hanging="180"/>
      </w:pPr>
    </w:lvl>
    <w:lvl w:ilvl="3" w:tplc="3EDAB9CC" w:tentative="1">
      <w:start w:val="1"/>
      <w:numFmt w:val="decimal"/>
      <w:lvlText w:val="%4."/>
      <w:lvlJc w:val="left"/>
      <w:pPr>
        <w:ind w:left="3938" w:hanging="360"/>
      </w:pPr>
    </w:lvl>
    <w:lvl w:ilvl="4" w:tplc="3998D836" w:tentative="1">
      <w:start w:val="1"/>
      <w:numFmt w:val="lowerLetter"/>
      <w:lvlText w:val="%5."/>
      <w:lvlJc w:val="left"/>
      <w:pPr>
        <w:ind w:left="4658" w:hanging="360"/>
      </w:pPr>
    </w:lvl>
    <w:lvl w:ilvl="5" w:tplc="0C1E33AA" w:tentative="1">
      <w:start w:val="1"/>
      <w:numFmt w:val="lowerRoman"/>
      <w:lvlText w:val="%6."/>
      <w:lvlJc w:val="right"/>
      <w:pPr>
        <w:ind w:left="5378" w:hanging="180"/>
      </w:pPr>
    </w:lvl>
    <w:lvl w:ilvl="6" w:tplc="84B69FCC" w:tentative="1">
      <w:start w:val="1"/>
      <w:numFmt w:val="decimal"/>
      <w:lvlText w:val="%7."/>
      <w:lvlJc w:val="left"/>
      <w:pPr>
        <w:ind w:left="6098" w:hanging="360"/>
      </w:pPr>
    </w:lvl>
    <w:lvl w:ilvl="7" w:tplc="07D0FFB6" w:tentative="1">
      <w:start w:val="1"/>
      <w:numFmt w:val="lowerLetter"/>
      <w:lvlText w:val="%8."/>
      <w:lvlJc w:val="left"/>
      <w:pPr>
        <w:ind w:left="6818" w:hanging="360"/>
      </w:pPr>
    </w:lvl>
    <w:lvl w:ilvl="8" w:tplc="9E9091F6" w:tentative="1">
      <w:start w:val="1"/>
      <w:numFmt w:val="lowerRoman"/>
      <w:lvlText w:val="%9."/>
      <w:lvlJc w:val="right"/>
      <w:pPr>
        <w:ind w:left="7538" w:hanging="180"/>
      </w:pPr>
    </w:lvl>
  </w:abstractNum>
  <w:abstractNum w:abstractNumId="4" w15:restartNumberingAfterBreak="0">
    <w:nsid w:val="1B4D0817"/>
    <w:multiLevelType w:val="hybridMultilevel"/>
    <w:tmpl w:val="91A4CF18"/>
    <w:lvl w:ilvl="0" w:tplc="26F4DAB8">
      <w:start w:val="1"/>
      <w:numFmt w:val="upperRoman"/>
      <w:lvlText w:val="%1."/>
      <w:lvlJc w:val="left"/>
      <w:pPr>
        <w:ind w:left="1080" w:hanging="720"/>
      </w:pPr>
      <w:rPr>
        <w:rFonts w:hint="default"/>
      </w:rPr>
    </w:lvl>
    <w:lvl w:ilvl="1" w:tplc="4290FED8" w:tentative="1">
      <w:start w:val="1"/>
      <w:numFmt w:val="lowerLetter"/>
      <w:lvlText w:val="%2."/>
      <w:lvlJc w:val="left"/>
      <w:pPr>
        <w:ind w:left="1440" w:hanging="360"/>
      </w:pPr>
    </w:lvl>
    <w:lvl w:ilvl="2" w:tplc="388A7812" w:tentative="1">
      <w:start w:val="1"/>
      <w:numFmt w:val="lowerRoman"/>
      <w:lvlText w:val="%3."/>
      <w:lvlJc w:val="right"/>
      <w:pPr>
        <w:ind w:left="2160" w:hanging="180"/>
      </w:pPr>
    </w:lvl>
    <w:lvl w:ilvl="3" w:tplc="B0403B72" w:tentative="1">
      <w:start w:val="1"/>
      <w:numFmt w:val="decimal"/>
      <w:lvlText w:val="%4."/>
      <w:lvlJc w:val="left"/>
      <w:pPr>
        <w:ind w:left="2880" w:hanging="360"/>
      </w:pPr>
    </w:lvl>
    <w:lvl w:ilvl="4" w:tplc="EF202A42" w:tentative="1">
      <w:start w:val="1"/>
      <w:numFmt w:val="lowerLetter"/>
      <w:lvlText w:val="%5."/>
      <w:lvlJc w:val="left"/>
      <w:pPr>
        <w:ind w:left="3600" w:hanging="360"/>
      </w:pPr>
    </w:lvl>
    <w:lvl w:ilvl="5" w:tplc="92A42EE4" w:tentative="1">
      <w:start w:val="1"/>
      <w:numFmt w:val="lowerRoman"/>
      <w:lvlText w:val="%6."/>
      <w:lvlJc w:val="right"/>
      <w:pPr>
        <w:ind w:left="4320" w:hanging="180"/>
      </w:pPr>
    </w:lvl>
    <w:lvl w:ilvl="6" w:tplc="4D60B9B0" w:tentative="1">
      <w:start w:val="1"/>
      <w:numFmt w:val="decimal"/>
      <w:lvlText w:val="%7."/>
      <w:lvlJc w:val="left"/>
      <w:pPr>
        <w:ind w:left="5040" w:hanging="360"/>
      </w:pPr>
    </w:lvl>
    <w:lvl w:ilvl="7" w:tplc="3EBC1A58" w:tentative="1">
      <w:start w:val="1"/>
      <w:numFmt w:val="lowerLetter"/>
      <w:lvlText w:val="%8."/>
      <w:lvlJc w:val="left"/>
      <w:pPr>
        <w:ind w:left="5760" w:hanging="360"/>
      </w:pPr>
    </w:lvl>
    <w:lvl w:ilvl="8" w:tplc="E94CB68E" w:tentative="1">
      <w:start w:val="1"/>
      <w:numFmt w:val="lowerRoman"/>
      <w:lvlText w:val="%9."/>
      <w:lvlJc w:val="right"/>
      <w:pPr>
        <w:ind w:left="6480" w:hanging="180"/>
      </w:pPr>
    </w:lvl>
  </w:abstractNum>
  <w:abstractNum w:abstractNumId="5" w15:restartNumberingAfterBreak="0">
    <w:nsid w:val="28BB52DE"/>
    <w:multiLevelType w:val="multilevel"/>
    <w:tmpl w:val="3CF8585C"/>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3CC101D7"/>
    <w:multiLevelType w:val="multilevel"/>
    <w:tmpl w:val="A184BE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E1F7F21"/>
    <w:multiLevelType w:val="hybridMultilevel"/>
    <w:tmpl w:val="32BCD576"/>
    <w:lvl w:ilvl="0" w:tplc="9C7A6AC8">
      <w:start w:val="1"/>
      <w:numFmt w:val="decimal"/>
      <w:lvlText w:val="%1."/>
      <w:lvlJc w:val="left"/>
      <w:pPr>
        <w:ind w:left="720" w:hanging="360"/>
      </w:pPr>
      <w:rPr>
        <w:rFonts w:hint="default"/>
      </w:rPr>
    </w:lvl>
    <w:lvl w:ilvl="1" w:tplc="F8B28A3A" w:tentative="1">
      <w:start w:val="1"/>
      <w:numFmt w:val="lowerLetter"/>
      <w:lvlText w:val="%2."/>
      <w:lvlJc w:val="left"/>
      <w:pPr>
        <w:ind w:left="1440" w:hanging="360"/>
      </w:pPr>
    </w:lvl>
    <w:lvl w:ilvl="2" w:tplc="62FCBB30" w:tentative="1">
      <w:start w:val="1"/>
      <w:numFmt w:val="lowerRoman"/>
      <w:lvlText w:val="%3."/>
      <w:lvlJc w:val="right"/>
      <w:pPr>
        <w:ind w:left="2160" w:hanging="180"/>
      </w:pPr>
    </w:lvl>
    <w:lvl w:ilvl="3" w:tplc="B126A328" w:tentative="1">
      <w:start w:val="1"/>
      <w:numFmt w:val="decimal"/>
      <w:lvlText w:val="%4."/>
      <w:lvlJc w:val="left"/>
      <w:pPr>
        <w:ind w:left="2880" w:hanging="360"/>
      </w:pPr>
    </w:lvl>
    <w:lvl w:ilvl="4" w:tplc="CE84221C" w:tentative="1">
      <w:start w:val="1"/>
      <w:numFmt w:val="lowerLetter"/>
      <w:lvlText w:val="%5."/>
      <w:lvlJc w:val="left"/>
      <w:pPr>
        <w:ind w:left="3600" w:hanging="360"/>
      </w:pPr>
    </w:lvl>
    <w:lvl w:ilvl="5" w:tplc="09F2CED6" w:tentative="1">
      <w:start w:val="1"/>
      <w:numFmt w:val="lowerRoman"/>
      <w:lvlText w:val="%6."/>
      <w:lvlJc w:val="right"/>
      <w:pPr>
        <w:ind w:left="4320" w:hanging="180"/>
      </w:pPr>
    </w:lvl>
    <w:lvl w:ilvl="6" w:tplc="A23E9D48" w:tentative="1">
      <w:start w:val="1"/>
      <w:numFmt w:val="decimal"/>
      <w:lvlText w:val="%7."/>
      <w:lvlJc w:val="left"/>
      <w:pPr>
        <w:ind w:left="5040" w:hanging="360"/>
      </w:pPr>
    </w:lvl>
    <w:lvl w:ilvl="7" w:tplc="631207F2" w:tentative="1">
      <w:start w:val="1"/>
      <w:numFmt w:val="lowerLetter"/>
      <w:lvlText w:val="%8."/>
      <w:lvlJc w:val="left"/>
      <w:pPr>
        <w:ind w:left="5760" w:hanging="360"/>
      </w:pPr>
    </w:lvl>
    <w:lvl w:ilvl="8" w:tplc="4B22B3DC" w:tentative="1">
      <w:start w:val="1"/>
      <w:numFmt w:val="lowerRoman"/>
      <w:lvlText w:val="%9."/>
      <w:lvlJc w:val="right"/>
      <w:pPr>
        <w:ind w:left="6480" w:hanging="180"/>
      </w:pPr>
    </w:lvl>
  </w:abstractNum>
  <w:abstractNum w:abstractNumId="8" w15:restartNumberingAfterBreak="0">
    <w:nsid w:val="3EEB76D6"/>
    <w:multiLevelType w:val="hybridMultilevel"/>
    <w:tmpl w:val="AE1AB11E"/>
    <w:lvl w:ilvl="0" w:tplc="B8C03E6A">
      <w:start w:val="1"/>
      <w:numFmt w:val="upperLetter"/>
      <w:lvlText w:val="%1."/>
      <w:lvlJc w:val="left"/>
      <w:pPr>
        <w:ind w:left="720" w:hanging="360"/>
      </w:pPr>
      <w:rPr>
        <w:rFonts w:hint="default"/>
      </w:rPr>
    </w:lvl>
    <w:lvl w:ilvl="1" w:tplc="B7BAF7FA" w:tentative="1">
      <w:start w:val="1"/>
      <w:numFmt w:val="lowerLetter"/>
      <w:lvlText w:val="%2."/>
      <w:lvlJc w:val="left"/>
      <w:pPr>
        <w:ind w:left="1440" w:hanging="360"/>
      </w:pPr>
    </w:lvl>
    <w:lvl w:ilvl="2" w:tplc="C50CF7B6" w:tentative="1">
      <w:start w:val="1"/>
      <w:numFmt w:val="lowerRoman"/>
      <w:lvlText w:val="%3."/>
      <w:lvlJc w:val="right"/>
      <w:pPr>
        <w:ind w:left="2160" w:hanging="180"/>
      </w:pPr>
    </w:lvl>
    <w:lvl w:ilvl="3" w:tplc="96A23412" w:tentative="1">
      <w:start w:val="1"/>
      <w:numFmt w:val="decimal"/>
      <w:lvlText w:val="%4."/>
      <w:lvlJc w:val="left"/>
      <w:pPr>
        <w:ind w:left="2880" w:hanging="360"/>
      </w:pPr>
    </w:lvl>
    <w:lvl w:ilvl="4" w:tplc="FC5C14A8" w:tentative="1">
      <w:start w:val="1"/>
      <w:numFmt w:val="lowerLetter"/>
      <w:lvlText w:val="%5."/>
      <w:lvlJc w:val="left"/>
      <w:pPr>
        <w:ind w:left="3600" w:hanging="360"/>
      </w:pPr>
    </w:lvl>
    <w:lvl w:ilvl="5" w:tplc="E278C8EE" w:tentative="1">
      <w:start w:val="1"/>
      <w:numFmt w:val="lowerRoman"/>
      <w:lvlText w:val="%6."/>
      <w:lvlJc w:val="right"/>
      <w:pPr>
        <w:ind w:left="4320" w:hanging="180"/>
      </w:pPr>
    </w:lvl>
    <w:lvl w:ilvl="6" w:tplc="DDCCA052" w:tentative="1">
      <w:start w:val="1"/>
      <w:numFmt w:val="decimal"/>
      <w:lvlText w:val="%7."/>
      <w:lvlJc w:val="left"/>
      <w:pPr>
        <w:ind w:left="5040" w:hanging="360"/>
      </w:pPr>
    </w:lvl>
    <w:lvl w:ilvl="7" w:tplc="DC1475EC" w:tentative="1">
      <w:start w:val="1"/>
      <w:numFmt w:val="lowerLetter"/>
      <w:lvlText w:val="%8."/>
      <w:lvlJc w:val="left"/>
      <w:pPr>
        <w:ind w:left="5760" w:hanging="360"/>
      </w:pPr>
    </w:lvl>
    <w:lvl w:ilvl="8" w:tplc="6C8005CA" w:tentative="1">
      <w:start w:val="1"/>
      <w:numFmt w:val="lowerRoman"/>
      <w:lvlText w:val="%9."/>
      <w:lvlJc w:val="right"/>
      <w:pPr>
        <w:ind w:left="6480" w:hanging="180"/>
      </w:pPr>
    </w:lvl>
  </w:abstractNum>
  <w:abstractNum w:abstractNumId="9" w15:restartNumberingAfterBreak="0">
    <w:nsid w:val="4603130A"/>
    <w:multiLevelType w:val="multilevel"/>
    <w:tmpl w:val="19E8346C"/>
    <w:lvl w:ilvl="0">
      <w:start w:val="1"/>
      <w:numFmt w:val="upperRoman"/>
      <w:pStyle w:val="Title1LevelTitre1Niveau-AltL"/>
      <w:lvlText w:val="%1."/>
      <w:lvlJc w:val="left"/>
      <w:pPr>
        <w:tabs>
          <w:tab w:val="num" w:pos="5616"/>
        </w:tabs>
        <w:ind w:left="5616" w:hanging="432"/>
      </w:pPr>
      <w:rPr>
        <w:rFonts w:hint="default"/>
        <w:sz w:val="24"/>
      </w:rPr>
    </w:lvl>
    <w:lvl w:ilvl="1">
      <w:start w:val="1"/>
      <w:numFmt w:val="upperLetter"/>
      <w:pStyle w:val="Title2LevelTitre2Niveau"/>
      <w:lvlText w:val="%2."/>
      <w:lvlJc w:val="left"/>
      <w:pPr>
        <w:tabs>
          <w:tab w:val="num" w:pos="5616"/>
        </w:tabs>
        <w:ind w:left="5616" w:hanging="432"/>
      </w:pPr>
      <w:rPr>
        <w:rFonts w:ascii="Times New Roman" w:hAnsi="Times New Roman" w:hint="default"/>
        <w:b w:val="0"/>
        <w:i w:val="0"/>
        <w:sz w:val="24"/>
      </w:rPr>
    </w:lvl>
    <w:lvl w:ilvl="2">
      <w:start w:val="1"/>
      <w:numFmt w:val="decimal"/>
      <w:lvlText w:val="(%3)"/>
      <w:lvlJc w:val="left"/>
      <w:pPr>
        <w:tabs>
          <w:tab w:val="num" w:pos="6048"/>
        </w:tabs>
        <w:ind w:left="6048" w:hanging="432"/>
      </w:pPr>
      <w:rPr>
        <w:rFonts w:ascii="Times New Roman" w:hAnsi="Times New Roman" w:hint="default"/>
        <w:b w:val="0"/>
        <w:i w:val="0"/>
        <w:sz w:val="24"/>
      </w:rPr>
    </w:lvl>
    <w:lvl w:ilvl="3">
      <w:start w:val="1"/>
      <w:numFmt w:val="lowerLetter"/>
      <w:lvlText w:val="(%4)"/>
      <w:lvlJc w:val="left"/>
      <w:pPr>
        <w:tabs>
          <w:tab w:val="num" w:pos="6480"/>
        </w:tabs>
        <w:ind w:left="6480" w:hanging="432"/>
      </w:pPr>
      <w:rPr>
        <w:rFonts w:hint="default"/>
        <w:b w:val="0"/>
        <w:i w:val="0"/>
      </w:rPr>
    </w:lvl>
    <w:lvl w:ilvl="4">
      <w:start w:val="1"/>
      <w:numFmt w:val="lowerRoman"/>
      <w:pStyle w:val="Title5LevelTitre5Niveau"/>
      <w:lvlText w:val="(%5)"/>
      <w:lvlJc w:val="left"/>
      <w:pPr>
        <w:tabs>
          <w:tab w:val="num" w:pos="6912"/>
        </w:tabs>
        <w:ind w:left="6912" w:hanging="432"/>
      </w:pPr>
      <w:rPr>
        <w:rFonts w:hint="default"/>
      </w:rPr>
    </w:lvl>
    <w:lvl w:ilvl="5">
      <w:start w:val="1"/>
      <w:numFmt w:val="decimal"/>
      <w:lvlText w:val="(%6)"/>
      <w:lvlJc w:val="left"/>
      <w:pPr>
        <w:ind w:left="7776" w:hanging="432"/>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10" w15:restartNumberingAfterBreak="0">
    <w:nsid w:val="4D020AC4"/>
    <w:multiLevelType w:val="hybridMultilevel"/>
    <w:tmpl w:val="C43E34B2"/>
    <w:lvl w:ilvl="0" w:tplc="788E813C">
      <w:start w:val="2"/>
      <w:numFmt w:val="upperLetter"/>
      <w:lvlText w:val="%1."/>
      <w:lvlJc w:val="left"/>
      <w:pPr>
        <w:ind w:left="3052" w:hanging="360"/>
      </w:pPr>
      <w:rPr>
        <w:rFonts w:hint="default"/>
      </w:rPr>
    </w:lvl>
    <w:lvl w:ilvl="1" w:tplc="6762765A" w:tentative="1">
      <w:start w:val="1"/>
      <w:numFmt w:val="lowerLetter"/>
      <w:lvlText w:val="%2."/>
      <w:lvlJc w:val="left"/>
      <w:pPr>
        <w:ind w:left="3772" w:hanging="360"/>
      </w:pPr>
    </w:lvl>
    <w:lvl w:ilvl="2" w:tplc="DD56AACE" w:tentative="1">
      <w:start w:val="1"/>
      <w:numFmt w:val="lowerRoman"/>
      <w:lvlText w:val="%3."/>
      <w:lvlJc w:val="right"/>
      <w:pPr>
        <w:ind w:left="4492" w:hanging="180"/>
      </w:pPr>
    </w:lvl>
    <w:lvl w:ilvl="3" w:tplc="2FAC2D22" w:tentative="1">
      <w:start w:val="1"/>
      <w:numFmt w:val="decimal"/>
      <w:lvlText w:val="%4."/>
      <w:lvlJc w:val="left"/>
      <w:pPr>
        <w:ind w:left="5212" w:hanging="360"/>
      </w:pPr>
    </w:lvl>
    <w:lvl w:ilvl="4" w:tplc="D4F8B0E0" w:tentative="1">
      <w:start w:val="1"/>
      <w:numFmt w:val="lowerLetter"/>
      <w:lvlText w:val="%5."/>
      <w:lvlJc w:val="left"/>
      <w:pPr>
        <w:ind w:left="5932" w:hanging="360"/>
      </w:pPr>
    </w:lvl>
    <w:lvl w:ilvl="5" w:tplc="29B8C2F4" w:tentative="1">
      <w:start w:val="1"/>
      <w:numFmt w:val="lowerRoman"/>
      <w:lvlText w:val="%6."/>
      <w:lvlJc w:val="right"/>
      <w:pPr>
        <w:ind w:left="6652" w:hanging="180"/>
      </w:pPr>
    </w:lvl>
    <w:lvl w:ilvl="6" w:tplc="869A686C" w:tentative="1">
      <w:start w:val="1"/>
      <w:numFmt w:val="decimal"/>
      <w:lvlText w:val="%7."/>
      <w:lvlJc w:val="left"/>
      <w:pPr>
        <w:ind w:left="7372" w:hanging="360"/>
      </w:pPr>
    </w:lvl>
    <w:lvl w:ilvl="7" w:tplc="78E2D80E" w:tentative="1">
      <w:start w:val="1"/>
      <w:numFmt w:val="lowerLetter"/>
      <w:lvlText w:val="%8."/>
      <w:lvlJc w:val="left"/>
      <w:pPr>
        <w:ind w:left="8092" w:hanging="360"/>
      </w:pPr>
    </w:lvl>
    <w:lvl w:ilvl="8" w:tplc="4D90F95C" w:tentative="1">
      <w:start w:val="1"/>
      <w:numFmt w:val="lowerRoman"/>
      <w:lvlText w:val="%9."/>
      <w:lvlJc w:val="right"/>
      <w:pPr>
        <w:ind w:left="8812" w:hanging="180"/>
      </w:pPr>
    </w:lvl>
  </w:abstractNum>
  <w:abstractNum w:abstractNumId="11" w15:restartNumberingAfterBreak="0">
    <w:nsid w:val="54283EE8"/>
    <w:multiLevelType w:val="multilevel"/>
    <w:tmpl w:val="E1AADB44"/>
    <w:lvl w:ilvl="0">
      <w:start w:val="1"/>
      <w:numFmt w:val="decimal"/>
      <w:pStyle w:val="ParaNoNdepar-AltN"/>
      <w:lvlText w:val="[%1]"/>
      <w:lvlJc w:val="left"/>
      <w:pPr>
        <w:tabs>
          <w:tab w:val="num" w:pos="1152"/>
        </w:tabs>
        <w:ind w:left="0" w:firstLine="0"/>
      </w:pPr>
      <w:rPr>
        <w:rFonts w:ascii="Times New Roman" w:hAnsi="Times New Roman" w:hint="default"/>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77B501F"/>
    <w:multiLevelType w:val="hybridMultilevel"/>
    <w:tmpl w:val="6EE857FA"/>
    <w:lvl w:ilvl="0" w:tplc="92C6491A">
      <w:start w:val="1"/>
      <w:numFmt w:val="bullet"/>
      <w:lvlText w:val=""/>
      <w:lvlJc w:val="left"/>
      <w:pPr>
        <w:ind w:left="720" w:hanging="360"/>
      </w:pPr>
      <w:rPr>
        <w:rFonts w:ascii="Symbol" w:hAnsi="Symbol" w:hint="default"/>
      </w:rPr>
    </w:lvl>
    <w:lvl w:ilvl="1" w:tplc="C9008B50" w:tentative="1">
      <w:start w:val="1"/>
      <w:numFmt w:val="bullet"/>
      <w:lvlText w:val="o"/>
      <w:lvlJc w:val="left"/>
      <w:pPr>
        <w:ind w:left="1440" w:hanging="360"/>
      </w:pPr>
      <w:rPr>
        <w:rFonts w:ascii="Courier New" w:hAnsi="Courier New" w:cs="Courier New" w:hint="default"/>
      </w:rPr>
    </w:lvl>
    <w:lvl w:ilvl="2" w:tplc="F3BABA30" w:tentative="1">
      <w:start w:val="1"/>
      <w:numFmt w:val="bullet"/>
      <w:lvlText w:val=""/>
      <w:lvlJc w:val="left"/>
      <w:pPr>
        <w:ind w:left="2160" w:hanging="360"/>
      </w:pPr>
      <w:rPr>
        <w:rFonts w:ascii="Wingdings" w:hAnsi="Wingdings" w:hint="default"/>
      </w:rPr>
    </w:lvl>
    <w:lvl w:ilvl="3" w:tplc="42EA61A0" w:tentative="1">
      <w:start w:val="1"/>
      <w:numFmt w:val="bullet"/>
      <w:lvlText w:val=""/>
      <w:lvlJc w:val="left"/>
      <w:pPr>
        <w:ind w:left="2880" w:hanging="360"/>
      </w:pPr>
      <w:rPr>
        <w:rFonts w:ascii="Symbol" w:hAnsi="Symbol" w:hint="default"/>
      </w:rPr>
    </w:lvl>
    <w:lvl w:ilvl="4" w:tplc="AD2843E2" w:tentative="1">
      <w:start w:val="1"/>
      <w:numFmt w:val="bullet"/>
      <w:lvlText w:val="o"/>
      <w:lvlJc w:val="left"/>
      <w:pPr>
        <w:ind w:left="3600" w:hanging="360"/>
      </w:pPr>
      <w:rPr>
        <w:rFonts w:ascii="Courier New" w:hAnsi="Courier New" w:cs="Courier New" w:hint="default"/>
      </w:rPr>
    </w:lvl>
    <w:lvl w:ilvl="5" w:tplc="AA527BEC" w:tentative="1">
      <w:start w:val="1"/>
      <w:numFmt w:val="bullet"/>
      <w:lvlText w:val=""/>
      <w:lvlJc w:val="left"/>
      <w:pPr>
        <w:ind w:left="4320" w:hanging="360"/>
      </w:pPr>
      <w:rPr>
        <w:rFonts w:ascii="Wingdings" w:hAnsi="Wingdings" w:hint="default"/>
      </w:rPr>
    </w:lvl>
    <w:lvl w:ilvl="6" w:tplc="8EE09D76" w:tentative="1">
      <w:start w:val="1"/>
      <w:numFmt w:val="bullet"/>
      <w:lvlText w:val=""/>
      <w:lvlJc w:val="left"/>
      <w:pPr>
        <w:ind w:left="5040" w:hanging="360"/>
      </w:pPr>
      <w:rPr>
        <w:rFonts w:ascii="Symbol" w:hAnsi="Symbol" w:hint="default"/>
      </w:rPr>
    </w:lvl>
    <w:lvl w:ilvl="7" w:tplc="2C309834" w:tentative="1">
      <w:start w:val="1"/>
      <w:numFmt w:val="bullet"/>
      <w:lvlText w:val="o"/>
      <w:lvlJc w:val="left"/>
      <w:pPr>
        <w:ind w:left="5760" w:hanging="360"/>
      </w:pPr>
      <w:rPr>
        <w:rFonts w:ascii="Courier New" w:hAnsi="Courier New" w:cs="Courier New" w:hint="default"/>
      </w:rPr>
    </w:lvl>
    <w:lvl w:ilvl="8" w:tplc="8D7C4966" w:tentative="1">
      <w:start w:val="1"/>
      <w:numFmt w:val="bullet"/>
      <w:lvlText w:val=""/>
      <w:lvlJc w:val="left"/>
      <w:pPr>
        <w:ind w:left="6480" w:hanging="360"/>
      </w:pPr>
      <w:rPr>
        <w:rFonts w:ascii="Wingdings" w:hAnsi="Wingdings" w:hint="default"/>
      </w:rPr>
    </w:lvl>
  </w:abstractNum>
  <w:abstractNum w:abstractNumId="13" w15:restartNumberingAfterBreak="0">
    <w:nsid w:val="6E772045"/>
    <w:multiLevelType w:val="hybridMultilevel"/>
    <w:tmpl w:val="1CC0505E"/>
    <w:lvl w:ilvl="0" w:tplc="004A7872">
      <w:start w:val="1"/>
      <w:numFmt w:val="decimal"/>
      <w:lvlText w:val="%1."/>
      <w:lvlJc w:val="left"/>
      <w:pPr>
        <w:ind w:left="720" w:hanging="360"/>
      </w:pPr>
      <w:rPr>
        <w:rFonts w:ascii="Arial" w:eastAsia="Times New Roman" w:hAnsi="Arial" w:cs="Times New Roman"/>
      </w:rPr>
    </w:lvl>
    <w:lvl w:ilvl="1" w:tplc="2C8A10D0" w:tentative="1">
      <w:start w:val="1"/>
      <w:numFmt w:val="lowerLetter"/>
      <w:lvlText w:val="%2."/>
      <w:lvlJc w:val="left"/>
      <w:pPr>
        <w:ind w:left="1440" w:hanging="360"/>
      </w:pPr>
    </w:lvl>
    <w:lvl w:ilvl="2" w:tplc="40DA7A14" w:tentative="1">
      <w:start w:val="1"/>
      <w:numFmt w:val="lowerRoman"/>
      <w:lvlText w:val="%3."/>
      <w:lvlJc w:val="right"/>
      <w:pPr>
        <w:ind w:left="2160" w:hanging="180"/>
      </w:pPr>
    </w:lvl>
    <w:lvl w:ilvl="3" w:tplc="B0148DCA" w:tentative="1">
      <w:start w:val="1"/>
      <w:numFmt w:val="decimal"/>
      <w:lvlText w:val="%4."/>
      <w:lvlJc w:val="left"/>
      <w:pPr>
        <w:ind w:left="2880" w:hanging="360"/>
      </w:pPr>
    </w:lvl>
    <w:lvl w:ilvl="4" w:tplc="090A2F14" w:tentative="1">
      <w:start w:val="1"/>
      <w:numFmt w:val="lowerLetter"/>
      <w:lvlText w:val="%5."/>
      <w:lvlJc w:val="left"/>
      <w:pPr>
        <w:ind w:left="3600" w:hanging="360"/>
      </w:pPr>
    </w:lvl>
    <w:lvl w:ilvl="5" w:tplc="80FCA380" w:tentative="1">
      <w:start w:val="1"/>
      <w:numFmt w:val="lowerRoman"/>
      <w:lvlText w:val="%6."/>
      <w:lvlJc w:val="right"/>
      <w:pPr>
        <w:ind w:left="4320" w:hanging="180"/>
      </w:pPr>
    </w:lvl>
    <w:lvl w:ilvl="6" w:tplc="DF5C5396" w:tentative="1">
      <w:start w:val="1"/>
      <w:numFmt w:val="decimal"/>
      <w:lvlText w:val="%7."/>
      <w:lvlJc w:val="left"/>
      <w:pPr>
        <w:ind w:left="5040" w:hanging="360"/>
      </w:pPr>
    </w:lvl>
    <w:lvl w:ilvl="7" w:tplc="FC8E8E52" w:tentative="1">
      <w:start w:val="1"/>
      <w:numFmt w:val="lowerLetter"/>
      <w:lvlText w:val="%8."/>
      <w:lvlJc w:val="left"/>
      <w:pPr>
        <w:ind w:left="5760" w:hanging="360"/>
      </w:pPr>
    </w:lvl>
    <w:lvl w:ilvl="8" w:tplc="5E6A5C1A" w:tentative="1">
      <w:start w:val="1"/>
      <w:numFmt w:val="lowerRoman"/>
      <w:lvlText w:val="%9."/>
      <w:lvlJc w:val="right"/>
      <w:pPr>
        <w:ind w:left="6480" w:hanging="180"/>
      </w:pPr>
    </w:lvl>
  </w:abstractNum>
  <w:abstractNum w:abstractNumId="14" w15:restartNumberingAfterBreak="0">
    <w:nsid w:val="71E51D8F"/>
    <w:multiLevelType w:val="hybridMultilevel"/>
    <w:tmpl w:val="D2D01B28"/>
    <w:lvl w:ilvl="0" w:tplc="090A0640">
      <w:start w:val="2"/>
      <w:numFmt w:val="upperLetter"/>
      <w:lvlText w:val="%1."/>
      <w:lvlJc w:val="left"/>
      <w:pPr>
        <w:ind w:left="644" w:hanging="360"/>
      </w:pPr>
      <w:rPr>
        <w:rFonts w:hint="default"/>
      </w:rPr>
    </w:lvl>
    <w:lvl w:ilvl="1" w:tplc="43125CFA" w:tentative="1">
      <w:start w:val="1"/>
      <w:numFmt w:val="lowerLetter"/>
      <w:lvlText w:val="%2."/>
      <w:lvlJc w:val="left"/>
      <w:pPr>
        <w:ind w:left="1364" w:hanging="360"/>
      </w:pPr>
    </w:lvl>
    <w:lvl w:ilvl="2" w:tplc="3ABE13F0" w:tentative="1">
      <w:start w:val="1"/>
      <w:numFmt w:val="lowerRoman"/>
      <w:lvlText w:val="%3."/>
      <w:lvlJc w:val="right"/>
      <w:pPr>
        <w:ind w:left="2084" w:hanging="180"/>
      </w:pPr>
    </w:lvl>
    <w:lvl w:ilvl="3" w:tplc="3438A270" w:tentative="1">
      <w:start w:val="1"/>
      <w:numFmt w:val="decimal"/>
      <w:lvlText w:val="%4."/>
      <w:lvlJc w:val="left"/>
      <w:pPr>
        <w:ind w:left="2804" w:hanging="360"/>
      </w:pPr>
    </w:lvl>
    <w:lvl w:ilvl="4" w:tplc="1EA029E6" w:tentative="1">
      <w:start w:val="1"/>
      <w:numFmt w:val="lowerLetter"/>
      <w:lvlText w:val="%5."/>
      <w:lvlJc w:val="left"/>
      <w:pPr>
        <w:ind w:left="3524" w:hanging="360"/>
      </w:pPr>
    </w:lvl>
    <w:lvl w:ilvl="5" w:tplc="B8DEB82A" w:tentative="1">
      <w:start w:val="1"/>
      <w:numFmt w:val="lowerRoman"/>
      <w:lvlText w:val="%6."/>
      <w:lvlJc w:val="right"/>
      <w:pPr>
        <w:ind w:left="4244" w:hanging="180"/>
      </w:pPr>
    </w:lvl>
    <w:lvl w:ilvl="6" w:tplc="B85A0DA6" w:tentative="1">
      <w:start w:val="1"/>
      <w:numFmt w:val="decimal"/>
      <w:lvlText w:val="%7."/>
      <w:lvlJc w:val="left"/>
      <w:pPr>
        <w:ind w:left="4964" w:hanging="360"/>
      </w:pPr>
    </w:lvl>
    <w:lvl w:ilvl="7" w:tplc="0C2EAA9A" w:tentative="1">
      <w:start w:val="1"/>
      <w:numFmt w:val="lowerLetter"/>
      <w:lvlText w:val="%8."/>
      <w:lvlJc w:val="left"/>
      <w:pPr>
        <w:ind w:left="5684" w:hanging="360"/>
      </w:pPr>
    </w:lvl>
    <w:lvl w:ilvl="8" w:tplc="6696FE1E" w:tentative="1">
      <w:start w:val="1"/>
      <w:numFmt w:val="lowerRoman"/>
      <w:lvlText w:val="%9."/>
      <w:lvlJc w:val="right"/>
      <w:pPr>
        <w:ind w:left="6404" w:hanging="180"/>
      </w:pPr>
    </w:lvl>
  </w:abstractNum>
  <w:abstractNum w:abstractNumId="15" w15:restartNumberingAfterBreak="0">
    <w:nsid w:val="784E1CF0"/>
    <w:multiLevelType w:val="hybridMultilevel"/>
    <w:tmpl w:val="D4848C1A"/>
    <w:lvl w:ilvl="0" w:tplc="A454A3B0">
      <w:start w:val="1"/>
      <w:numFmt w:val="upperRoman"/>
      <w:lvlText w:val="%1."/>
      <w:lvlJc w:val="left"/>
      <w:pPr>
        <w:ind w:left="1080" w:hanging="720"/>
      </w:pPr>
      <w:rPr>
        <w:rFonts w:hint="default"/>
      </w:rPr>
    </w:lvl>
    <w:lvl w:ilvl="1" w:tplc="17E05CBE" w:tentative="1">
      <w:start w:val="1"/>
      <w:numFmt w:val="lowerLetter"/>
      <w:lvlText w:val="%2."/>
      <w:lvlJc w:val="left"/>
      <w:pPr>
        <w:ind w:left="1440" w:hanging="360"/>
      </w:pPr>
    </w:lvl>
    <w:lvl w:ilvl="2" w:tplc="70E43440" w:tentative="1">
      <w:start w:val="1"/>
      <w:numFmt w:val="lowerRoman"/>
      <w:lvlText w:val="%3."/>
      <w:lvlJc w:val="right"/>
      <w:pPr>
        <w:ind w:left="2160" w:hanging="180"/>
      </w:pPr>
    </w:lvl>
    <w:lvl w:ilvl="3" w:tplc="E8546CEE" w:tentative="1">
      <w:start w:val="1"/>
      <w:numFmt w:val="decimal"/>
      <w:lvlText w:val="%4."/>
      <w:lvlJc w:val="left"/>
      <w:pPr>
        <w:ind w:left="2880" w:hanging="360"/>
      </w:pPr>
    </w:lvl>
    <w:lvl w:ilvl="4" w:tplc="89A888A2" w:tentative="1">
      <w:start w:val="1"/>
      <w:numFmt w:val="lowerLetter"/>
      <w:lvlText w:val="%5."/>
      <w:lvlJc w:val="left"/>
      <w:pPr>
        <w:ind w:left="3600" w:hanging="360"/>
      </w:pPr>
    </w:lvl>
    <w:lvl w:ilvl="5" w:tplc="297E1F8A" w:tentative="1">
      <w:start w:val="1"/>
      <w:numFmt w:val="lowerRoman"/>
      <w:lvlText w:val="%6."/>
      <w:lvlJc w:val="right"/>
      <w:pPr>
        <w:ind w:left="4320" w:hanging="180"/>
      </w:pPr>
    </w:lvl>
    <w:lvl w:ilvl="6" w:tplc="5B1A6A34" w:tentative="1">
      <w:start w:val="1"/>
      <w:numFmt w:val="decimal"/>
      <w:lvlText w:val="%7."/>
      <w:lvlJc w:val="left"/>
      <w:pPr>
        <w:ind w:left="5040" w:hanging="360"/>
      </w:pPr>
    </w:lvl>
    <w:lvl w:ilvl="7" w:tplc="D360C7BC" w:tentative="1">
      <w:start w:val="1"/>
      <w:numFmt w:val="lowerLetter"/>
      <w:lvlText w:val="%8."/>
      <w:lvlJc w:val="left"/>
      <w:pPr>
        <w:ind w:left="5760" w:hanging="360"/>
      </w:pPr>
    </w:lvl>
    <w:lvl w:ilvl="8" w:tplc="10981146" w:tentative="1">
      <w:start w:val="1"/>
      <w:numFmt w:val="lowerRoman"/>
      <w:lvlText w:val="%9."/>
      <w:lvlJc w:val="right"/>
      <w:pPr>
        <w:ind w:left="6480" w:hanging="180"/>
      </w:pPr>
    </w:lvl>
  </w:abstractNum>
  <w:abstractNum w:abstractNumId="16" w15:restartNumberingAfterBreak="0">
    <w:nsid w:val="788732E5"/>
    <w:multiLevelType w:val="hybridMultilevel"/>
    <w:tmpl w:val="7B0C10F6"/>
    <w:lvl w:ilvl="0" w:tplc="2E8AE02C">
      <w:numFmt w:val="bullet"/>
      <w:lvlText w:val="-"/>
      <w:lvlJc w:val="left"/>
      <w:pPr>
        <w:ind w:left="720" w:hanging="360"/>
      </w:pPr>
      <w:rPr>
        <w:rFonts w:ascii="Arial" w:eastAsia="Times New Roman" w:hAnsi="Arial" w:cs="Arial" w:hint="default"/>
      </w:rPr>
    </w:lvl>
    <w:lvl w:ilvl="1" w:tplc="739CCC24" w:tentative="1">
      <w:start w:val="1"/>
      <w:numFmt w:val="bullet"/>
      <w:lvlText w:val="o"/>
      <w:lvlJc w:val="left"/>
      <w:pPr>
        <w:ind w:left="1440" w:hanging="360"/>
      </w:pPr>
      <w:rPr>
        <w:rFonts w:ascii="Courier New" w:hAnsi="Courier New" w:cs="Courier New" w:hint="default"/>
      </w:rPr>
    </w:lvl>
    <w:lvl w:ilvl="2" w:tplc="33B6370C" w:tentative="1">
      <w:start w:val="1"/>
      <w:numFmt w:val="bullet"/>
      <w:lvlText w:val=""/>
      <w:lvlJc w:val="left"/>
      <w:pPr>
        <w:ind w:left="2160" w:hanging="360"/>
      </w:pPr>
      <w:rPr>
        <w:rFonts w:ascii="Wingdings" w:hAnsi="Wingdings" w:hint="default"/>
      </w:rPr>
    </w:lvl>
    <w:lvl w:ilvl="3" w:tplc="33AA7B2E" w:tentative="1">
      <w:start w:val="1"/>
      <w:numFmt w:val="bullet"/>
      <w:lvlText w:val=""/>
      <w:lvlJc w:val="left"/>
      <w:pPr>
        <w:ind w:left="2880" w:hanging="360"/>
      </w:pPr>
      <w:rPr>
        <w:rFonts w:ascii="Symbol" w:hAnsi="Symbol" w:hint="default"/>
      </w:rPr>
    </w:lvl>
    <w:lvl w:ilvl="4" w:tplc="EFD0A248" w:tentative="1">
      <w:start w:val="1"/>
      <w:numFmt w:val="bullet"/>
      <w:lvlText w:val="o"/>
      <w:lvlJc w:val="left"/>
      <w:pPr>
        <w:ind w:left="3600" w:hanging="360"/>
      </w:pPr>
      <w:rPr>
        <w:rFonts w:ascii="Courier New" w:hAnsi="Courier New" w:cs="Courier New" w:hint="default"/>
      </w:rPr>
    </w:lvl>
    <w:lvl w:ilvl="5" w:tplc="2954E306" w:tentative="1">
      <w:start w:val="1"/>
      <w:numFmt w:val="bullet"/>
      <w:lvlText w:val=""/>
      <w:lvlJc w:val="left"/>
      <w:pPr>
        <w:ind w:left="4320" w:hanging="360"/>
      </w:pPr>
      <w:rPr>
        <w:rFonts w:ascii="Wingdings" w:hAnsi="Wingdings" w:hint="default"/>
      </w:rPr>
    </w:lvl>
    <w:lvl w:ilvl="6" w:tplc="02BC325C" w:tentative="1">
      <w:start w:val="1"/>
      <w:numFmt w:val="bullet"/>
      <w:lvlText w:val=""/>
      <w:lvlJc w:val="left"/>
      <w:pPr>
        <w:ind w:left="5040" w:hanging="360"/>
      </w:pPr>
      <w:rPr>
        <w:rFonts w:ascii="Symbol" w:hAnsi="Symbol" w:hint="default"/>
      </w:rPr>
    </w:lvl>
    <w:lvl w:ilvl="7" w:tplc="553EA354" w:tentative="1">
      <w:start w:val="1"/>
      <w:numFmt w:val="bullet"/>
      <w:lvlText w:val="o"/>
      <w:lvlJc w:val="left"/>
      <w:pPr>
        <w:ind w:left="5760" w:hanging="360"/>
      </w:pPr>
      <w:rPr>
        <w:rFonts w:ascii="Courier New" w:hAnsi="Courier New" w:cs="Courier New" w:hint="default"/>
      </w:rPr>
    </w:lvl>
    <w:lvl w:ilvl="8" w:tplc="5AAE4F68" w:tentative="1">
      <w:start w:val="1"/>
      <w:numFmt w:val="bullet"/>
      <w:lvlText w:val=""/>
      <w:lvlJc w:val="left"/>
      <w:pPr>
        <w:ind w:left="6480" w:hanging="360"/>
      </w:pPr>
      <w:rPr>
        <w:rFonts w:ascii="Wingdings" w:hAnsi="Wingdings" w:hint="default"/>
      </w:rPr>
    </w:lvl>
  </w:abstractNum>
  <w:num w:numId="1" w16cid:durableId="1165167706">
    <w:abstractNumId w:val="5"/>
  </w:num>
  <w:num w:numId="2" w16cid:durableId="1981153565">
    <w:abstractNumId w:val="15"/>
  </w:num>
  <w:num w:numId="3" w16cid:durableId="948706922">
    <w:abstractNumId w:val="13"/>
  </w:num>
  <w:num w:numId="4" w16cid:durableId="1898975855">
    <w:abstractNumId w:val="6"/>
  </w:num>
  <w:num w:numId="5" w16cid:durableId="1396388709">
    <w:abstractNumId w:val="7"/>
  </w:num>
  <w:num w:numId="6" w16cid:durableId="1128357826">
    <w:abstractNumId w:val="11"/>
  </w:num>
  <w:num w:numId="7" w16cid:durableId="425157129">
    <w:abstractNumId w:val="9"/>
  </w:num>
  <w:num w:numId="8" w16cid:durableId="600915417">
    <w:abstractNumId w:val="16"/>
  </w:num>
  <w:num w:numId="9" w16cid:durableId="1421946774">
    <w:abstractNumId w:val="3"/>
  </w:num>
  <w:num w:numId="10" w16cid:durableId="659236497">
    <w:abstractNumId w:val="2"/>
  </w:num>
  <w:num w:numId="11" w16cid:durableId="1452623769">
    <w:abstractNumId w:val="1"/>
  </w:num>
  <w:num w:numId="12" w16cid:durableId="856577681">
    <w:abstractNumId w:val="12"/>
  </w:num>
  <w:num w:numId="13" w16cid:durableId="497815971">
    <w:abstractNumId w:val="4"/>
  </w:num>
  <w:num w:numId="14" w16cid:durableId="1906068300">
    <w:abstractNumId w:val="10"/>
  </w:num>
  <w:num w:numId="15" w16cid:durableId="1494104729">
    <w:abstractNumId w:val="14"/>
  </w:num>
  <w:num w:numId="16" w16cid:durableId="1516075998">
    <w:abstractNumId w:val="8"/>
  </w:num>
  <w:num w:numId="17" w16cid:durableId="213116544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7A"/>
    <w:rsid w:val="00001832"/>
    <w:rsid w:val="000023EF"/>
    <w:rsid w:val="00004570"/>
    <w:rsid w:val="00005C57"/>
    <w:rsid w:val="00005F36"/>
    <w:rsid w:val="0000712B"/>
    <w:rsid w:val="00007C42"/>
    <w:rsid w:val="00007D4C"/>
    <w:rsid w:val="0001288F"/>
    <w:rsid w:val="000131E1"/>
    <w:rsid w:val="000151CF"/>
    <w:rsid w:val="00015EEC"/>
    <w:rsid w:val="00017820"/>
    <w:rsid w:val="00017BB6"/>
    <w:rsid w:val="00025105"/>
    <w:rsid w:val="000254BB"/>
    <w:rsid w:val="000259D9"/>
    <w:rsid w:val="00025FC1"/>
    <w:rsid w:val="00031619"/>
    <w:rsid w:val="000317D6"/>
    <w:rsid w:val="00032430"/>
    <w:rsid w:val="00032CB7"/>
    <w:rsid w:val="00033B09"/>
    <w:rsid w:val="00033B99"/>
    <w:rsid w:val="00036F5C"/>
    <w:rsid w:val="0003721D"/>
    <w:rsid w:val="0003764A"/>
    <w:rsid w:val="00037708"/>
    <w:rsid w:val="00042BE9"/>
    <w:rsid w:val="00042E89"/>
    <w:rsid w:val="00043823"/>
    <w:rsid w:val="0004394C"/>
    <w:rsid w:val="00046510"/>
    <w:rsid w:val="00047B6C"/>
    <w:rsid w:val="00050828"/>
    <w:rsid w:val="00050BA7"/>
    <w:rsid w:val="000513E1"/>
    <w:rsid w:val="000517DD"/>
    <w:rsid w:val="00053691"/>
    <w:rsid w:val="000579E7"/>
    <w:rsid w:val="0006117A"/>
    <w:rsid w:val="00062658"/>
    <w:rsid w:val="00062F8A"/>
    <w:rsid w:val="000639F1"/>
    <w:rsid w:val="0006485A"/>
    <w:rsid w:val="000654BA"/>
    <w:rsid w:val="00067ED3"/>
    <w:rsid w:val="00070C91"/>
    <w:rsid w:val="000717EF"/>
    <w:rsid w:val="000722A3"/>
    <w:rsid w:val="000726BC"/>
    <w:rsid w:val="0007274E"/>
    <w:rsid w:val="0007520F"/>
    <w:rsid w:val="00075FA1"/>
    <w:rsid w:val="000765B6"/>
    <w:rsid w:val="000767CE"/>
    <w:rsid w:val="0007754B"/>
    <w:rsid w:val="00077A33"/>
    <w:rsid w:val="0008103B"/>
    <w:rsid w:val="0008687D"/>
    <w:rsid w:val="00091B3B"/>
    <w:rsid w:val="00093EAC"/>
    <w:rsid w:val="00096E40"/>
    <w:rsid w:val="000A1C96"/>
    <w:rsid w:val="000A319F"/>
    <w:rsid w:val="000A381F"/>
    <w:rsid w:val="000A5DC2"/>
    <w:rsid w:val="000A6E66"/>
    <w:rsid w:val="000A7516"/>
    <w:rsid w:val="000B0112"/>
    <w:rsid w:val="000B0353"/>
    <w:rsid w:val="000B0607"/>
    <w:rsid w:val="000B42AF"/>
    <w:rsid w:val="000B456F"/>
    <w:rsid w:val="000B4A7E"/>
    <w:rsid w:val="000B59C9"/>
    <w:rsid w:val="000B6BD5"/>
    <w:rsid w:val="000B7ADE"/>
    <w:rsid w:val="000C0078"/>
    <w:rsid w:val="000C12FD"/>
    <w:rsid w:val="000C331D"/>
    <w:rsid w:val="000C3FD8"/>
    <w:rsid w:val="000C412D"/>
    <w:rsid w:val="000C478C"/>
    <w:rsid w:val="000C487B"/>
    <w:rsid w:val="000C6C1A"/>
    <w:rsid w:val="000C745D"/>
    <w:rsid w:val="000D00A2"/>
    <w:rsid w:val="000D1461"/>
    <w:rsid w:val="000D25A5"/>
    <w:rsid w:val="000D2CFB"/>
    <w:rsid w:val="000D53F4"/>
    <w:rsid w:val="000D5800"/>
    <w:rsid w:val="000D5836"/>
    <w:rsid w:val="000E2374"/>
    <w:rsid w:val="000E4163"/>
    <w:rsid w:val="000E4355"/>
    <w:rsid w:val="000E65CE"/>
    <w:rsid w:val="000F0FF7"/>
    <w:rsid w:val="000F2273"/>
    <w:rsid w:val="000F4A06"/>
    <w:rsid w:val="000F5B15"/>
    <w:rsid w:val="000F6475"/>
    <w:rsid w:val="000F67FC"/>
    <w:rsid w:val="000F73BF"/>
    <w:rsid w:val="00100B56"/>
    <w:rsid w:val="00101613"/>
    <w:rsid w:val="00101A4B"/>
    <w:rsid w:val="00103660"/>
    <w:rsid w:val="0010773D"/>
    <w:rsid w:val="00107ECD"/>
    <w:rsid w:val="00110B53"/>
    <w:rsid w:val="001111B2"/>
    <w:rsid w:val="001115C6"/>
    <w:rsid w:val="00112321"/>
    <w:rsid w:val="00116704"/>
    <w:rsid w:val="001172E4"/>
    <w:rsid w:val="00117914"/>
    <w:rsid w:val="0012059F"/>
    <w:rsid w:val="001231CF"/>
    <w:rsid w:val="0012370F"/>
    <w:rsid w:val="00126A55"/>
    <w:rsid w:val="0013028C"/>
    <w:rsid w:val="001321E1"/>
    <w:rsid w:val="00132958"/>
    <w:rsid w:val="001362C5"/>
    <w:rsid w:val="00136CBA"/>
    <w:rsid w:val="001372B7"/>
    <w:rsid w:val="00140DB6"/>
    <w:rsid w:val="001423B1"/>
    <w:rsid w:val="00142425"/>
    <w:rsid w:val="0014366F"/>
    <w:rsid w:val="001449FC"/>
    <w:rsid w:val="00144D4F"/>
    <w:rsid w:val="00146EE1"/>
    <w:rsid w:val="00147FF0"/>
    <w:rsid w:val="00150005"/>
    <w:rsid w:val="001516A3"/>
    <w:rsid w:val="00151740"/>
    <w:rsid w:val="0015238B"/>
    <w:rsid w:val="00152B05"/>
    <w:rsid w:val="00155EC5"/>
    <w:rsid w:val="0015610F"/>
    <w:rsid w:val="00160B31"/>
    <w:rsid w:val="00161037"/>
    <w:rsid w:val="00161CBE"/>
    <w:rsid w:val="00162589"/>
    <w:rsid w:val="00163184"/>
    <w:rsid w:val="00164890"/>
    <w:rsid w:val="00164B92"/>
    <w:rsid w:val="001670BB"/>
    <w:rsid w:val="0016771E"/>
    <w:rsid w:val="00171E19"/>
    <w:rsid w:val="00174E34"/>
    <w:rsid w:val="00176E9D"/>
    <w:rsid w:val="00177913"/>
    <w:rsid w:val="00177B07"/>
    <w:rsid w:val="00181F56"/>
    <w:rsid w:val="001830C6"/>
    <w:rsid w:val="0018363D"/>
    <w:rsid w:val="00184814"/>
    <w:rsid w:val="00185105"/>
    <w:rsid w:val="00185FDE"/>
    <w:rsid w:val="00187EAA"/>
    <w:rsid w:val="001900C0"/>
    <w:rsid w:val="00190FA7"/>
    <w:rsid w:val="00191852"/>
    <w:rsid w:val="0019251E"/>
    <w:rsid w:val="00192CFA"/>
    <w:rsid w:val="00193A56"/>
    <w:rsid w:val="00193FBB"/>
    <w:rsid w:val="00195B58"/>
    <w:rsid w:val="00196DDE"/>
    <w:rsid w:val="001972F2"/>
    <w:rsid w:val="001A22AC"/>
    <w:rsid w:val="001A2D82"/>
    <w:rsid w:val="001A3A51"/>
    <w:rsid w:val="001A3CB0"/>
    <w:rsid w:val="001A58D2"/>
    <w:rsid w:val="001A71DA"/>
    <w:rsid w:val="001B0BF5"/>
    <w:rsid w:val="001B11B4"/>
    <w:rsid w:val="001B2B75"/>
    <w:rsid w:val="001B2E43"/>
    <w:rsid w:val="001B4F9B"/>
    <w:rsid w:val="001B6632"/>
    <w:rsid w:val="001B732B"/>
    <w:rsid w:val="001B78C9"/>
    <w:rsid w:val="001C2394"/>
    <w:rsid w:val="001C2BB7"/>
    <w:rsid w:val="001C34B2"/>
    <w:rsid w:val="001C36A8"/>
    <w:rsid w:val="001C3865"/>
    <w:rsid w:val="001C3890"/>
    <w:rsid w:val="001C506B"/>
    <w:rsid w:val="001C60F3"/>
    <w:rsid w:val="001D17A4"/>
    <w:rsid w:val="001D2794"/>
    <w:rsid w:val="001D29D0"/>
    <w:rsid w:val="001D64BA"/>
    <w:rsid w:val="001D7856"/>
    <w:rsid w:val="001E06DB"/>
    <w:rsid w:val="001E0841"/>
    <w:rsid w:val="001E315D"/>
    <w:rsid w:val="001E33E1"/>
    <w:rsid w:val="001E386C"/>
    <w:rsid w:val="001E44AD"/>
    <w:rsid w:val="001E5C0A"/>
    <w:rsid w:val="001E7C16"/>
    <w:rsid w:val="001F0C27"/>
    <w:rsid w:val="001F2363"/>
    <w:rsid w:val="001F3FC4"/>
    <w:rsid w:val="001F4448"/>
    <w:rsid w:val="001F5B48"/>
    <w:rsid w:val="001F6FB0"/>
    <w:rsid w:val="00202A9B"/>
    <w:rsid w:val="002036E4"/>
    <w:rsid w:val="00203726"/>
    <w:rsid w:val="00204BAE"/>
    <w:rsid w:val="00205361"/>
    <w:rsid w:val="00205DC4"/>
    <w:rsid w:val="00205ED5"/>
    <w:rsid w:val="00207428"/>
    <w:rsid w:val="002105F9"/>
    <w:rsid w:val="0021400A"/>
    <w:rsid w:val="002148A0"/>
    <w:rsid w:val="0021548E"/>
    <w:rsid w:val="00217399"/>
    <w:rsid w:val="00217780"/>
    <w:rsid w:val="002178A9"/>
    <w:rsid w:val="00220CF2"/>
    <w:rsid w:val="00221935"/>
    <w:rsid w:val="00222DF6"/>
    <w:rsid w:val="00222EE4"/>
    <w:rsid w:val="00223002"/>
    <w:rsid w:val="00223DC9"/>
    <w:rsid w:val="00225A23"/>
    <w:rsid w:val="00225DE3"/>
    <w:rsid w:val="00226207"/>
    <w:rsid w:val="002262B7"/>
    <w:rsid w:val="002273F5"/>
    <w:rsid w:val="0023035A"/>
    <w:rsid w:val="002305BA"/>
    <w:rsid w:val="00230D8E"/>
    <w:rsid w:val="00230DF1"/>
    <w:rsid w:val="0023351A"/>
    <w:rsid w:val="0023383A"/>
    <w:rsid w:val="002355AD"/>
    <w:rsid w:val="00244BAC"/>
    <w:rsid w:val="00244C5B"/>
    <w:rsid w:val="0024555C"/>
    <w:rsid w:val="00245994"/>
    <w:rsid w:val="00251CC4"/>
    <w:rsid w:val="002548E9"/>
    <w:rsid w:val="00255F8A"/>
    <w:rsid w:val="00257C33"/>
    <w:rsid w:val="00260B79"/>
    <w:rsid w:val="002637EF"/>
    <w:rsid w:val="00263CA2"/>
    <w:rsid w:val="002642C7"/>
    <w:rsid w:val="00265132"/>
    <w:rsid w:val="00265CFB"/>
    <w:rsid w:val="00265D87"/>
    <w:rsid w:val="00270523"/>
    <w:rsid w:val="00270B61"/>
    <w:rsid w:val="00273DF0"/>
    <w:rsid w:val="00275733"/>
    <w:rsid w:val="00275AAA"/>
    <w:rsid w:val="00276CDA"/>
    <w:rsid w:val="00283C8D"/>
    <w:rsid w:val="00285122"/>
    <w:rsid w:val="002868F8"/>
    <w:rsid w:val="00290245"/>
    <w:rsid w:val="0029162F"/>
    <w:rsid w:val="00291C6F"/>
    <w:rsid w:val="002922FF"/>
    <w:rsid w:val="0029233C"/>
    <w:rsid w:val="0029250D"/>
    <w:rsid w:val="0029440C"/>
    <w:rsid w:val="00296EAB"/>
    <w:rsid w:val="0029702C"/>
    <w:rsid w:val="00297FA4"/>
    <w:rsid w:val="002A2E70"/>
    <w:rsid w:val="002A5623"/>
    <w:rsid w:val="002A687A"/>
    <w:rsid w:val="002B2E94"/>
    <w:rsid w:val="002B4272"/>
    <w:rsid w:val="002B4A07"/>
    <w:rsid w:val="002B4B73"/>
    <w:rsid w:val="002B4F10"/>
    <w:rsid w:val="002B5C6F"/>
    <w:rsid w:val="002B6392"/>
    <w:rsid w:val="002C0CCD"/>
    <w:rsid w:val="002C1600"/>
    <w:rsid w:val="002C161B"/>
    <w:rsid w:val="002C1924"/>
    <w:rsid w:val="002C4107"/>
    <w:rsid w:val="002C623C"/>
    <w:rsid w:val="002C6FAD"/>
    <w:rsid w:val="002C77EA"/>
    <w:rsid w:val="002D0B81"/>
    <w:rsid w:val="002D1523"/>
    <w:rsid w:val="002D15F8"/>
    <w:rsid w:val="002D3E7E"/>
    <w:rsid w:val="002D4206"/>
    <w:rsid w:val="002D4FDF"/>
    <w:rsid w:val="002D5C17"/>
    <w:rsid w:val="002D6A58"/>
    <w:rsid w:val="002D716A"/>
    <w:rsid w:val="002E1F0E"/>
    <w:rsid w:val="002E229C"/>
    <w:rsid w:val="002E2D7E"/>
    <w:rsid w:val="002E3BFA"/>
    <w:rsid w:val="002E4177"/>
    <w:rsid w:val="002E41EF"/>
    <w:rsid w:val="002E4734"/>
    <w:rsid w:val="002E51F1"/>
    <w:rsid w:val="002E52E5"/>
    <w:rsid w:val="002E56C4"/>
    <w:rsid w:val="002E5FD8"/>
    <w:rsid w:val="002E6352"/>
    <w:rsid w:val="002E6B70"/>
    <w:rsid w:val="002E6E4D"/>
    <w:rsid w:val="002F1015"/>
    <w:rsid w:val="002F1350"/>
    <w:rsid w:val="002F1873"/>
    <w:rsid w:val="002F2803"/>
    <w:rsid w:val="002F5574"/>
    <w:rsid w:val="002F6136"/>
    <w:rsid w:val="002F6835"/>
    <w:rsid w:val="003001F5"/>
    <w:rsid w:val="00300B02"/>
    <w:rsid w:val="0030323D"/>
    <w:rsid w:val="003033E8"/>
    <w:rsid w:val="00303C45"/>
    <w:rsid w:val="00304259"/>
    <w:rsid w:val="0030570C"/>
    <w:rsid w:val="003073A6"/>
    <w:rsid w:val="00313FA0"/>
    <w:rsid w:val="00314927"/>
    <w:rsid w:val="00314D30"/>
    <w:rsid w:val="00315014"/>
    <w:rsid w:val="00315B59"/>
    <w:rsid w:val="00317084"/>
    <w:rsid w:val="00317F1B"/>
    <w:rsid w:val="003227CD"/>
    <w:rsid w:val="00322CFE"/>
    <w:rsid w:val="00322DE0"/>
    <w:rsid w:val="0032363D"/>
    <w:rsid w:val="00324CF1"/>
    <w:rsid w:val="0032736F"/>
    <w:rsid w:val="0033062A"/>
    <w:rsid w:val="003316A4"/>
    <w:rsid w:val="0033190E"/>
    <w:rsid w:val="00331CB3"/>
    <w:rsid w:val="003327D7"/>
    <w:rsid w:val="0033384D"/>
    <w:rsid w:val="00334B58"/>
    <w:rsid w:val="00335032"/>
    <w:rsid w:val="003364E6"/>
    <w:rsid w:val="003371E9"/>
    <w:rsid w:val="00343454"/>
    <w:rsid w:val="00346E5E"/>
    <w:rsid w:val="00352AC5"/>
    <w:rsid w:val="003554E3"/>
    <w:rsid w:val="003565E4"/>
    <w:rsid w:val="003602DE"/>
    <w:rsid w:val="00360963"/>
    <w:rsid w:val="00361325"/>
    <w:rsid w:val="00363E39"/>
    <w:rsid w:val="003642F9"/>
    <w:rsid w:val="00364A1B"/>
    <w:rsid w:val="00365394"/>
    <w:rsid w:val="00365953"/>
    <w:rsid w:val="00367EBB"/>
    <w:rsid w:val="0037085A"/>
    <w:rsid w:val="00371351"/>
    <w:rsid w:val="0037249B"/>
    <w:rsid w:val="0037345F"/>
    <w:rsid w:val="0037369B"/>
    <w:rsid w:val="00373C0F"/>
    <w:rsid w:val="00374888"/>
    <w:rsid w:val="00374E40"/>
    <w:rsid w:val="003750FB"/>
    <w:rsid w:val="00375571"/>
    <w:rsid w:val="003779AA"/>
    <w:rsid w:val="00380122"/>
    <w:rsid w:val="00381476"/>
    <w:rsid w:val="00381C09"/>
    <w:rsid w:val="00383860"/>
    <w:rsid w:val="00383EA4"/>
    <w:rsid w:val="003849DD"/>
    <w:rsid w:val="00384DD8"/>
    <w:rsid w:val="00385EFF"/>
    <w:rsid w:val="00387772"/>
    <w:rsid w:val="00391737"/>
    <w:rsid w:val="00393E9A"/>
    <w:rsid w:val="003958AC"/>
    <w:rsid w:val="003959D5"/>
    <w:rsid w:val="0039739A"/>
    <w:rsid w:val="00397624"/>
    <w:rsid w:val="003A13B3"/>
    <w:rsid w:val="003A2DE4"/>
    <w:rsid w:val="003A37E6"/>
    <w:rsid w:val="003A3816"/>
    <w:rsid w:val="003A652E"/>
    <w:rsid w:val="003A7682"/>
    <w:rsid w:val="003B038B"/>
    <w:rsid w:val="003B18E5"/>
    <w:rsid w:val="003B2E66"/>
    <w:rsid w:val="003B42CB"/>
    <w:rsid w:val="003B55CC"/>
    <w:rsid w:val="003C0E56"/>
    <w:rsid w:val="003C0FC9"/>
    <w:rsid w:val="003C2166"/>
    <w:rsid w:val="003C2ADF"/>
    <w:rsid w:val="003C5867"/>
    <w:rsid w:val="003C61DB"/>
    <w:rsid w:val="003C6741"/>
    <w:rsid w:val="003C7E34"/>
    <w:rsid w:val="003D0BD7"/>
    <w:rsid w:val="003D2DD4"/>
    <w:rsid w:val="003D487D"/>
    <w:rsid w:val="003D4998"/>
    <w:rsid w:val="003D62FD"/>
    <w:rsid w:val="003D660C"/>
    <w:rsid w:val="003D7BF5"/>
    <w:rsid w:val="003E2261"/>
    <w:rsid w:val="003E3239"/>
    <w:rsid w:val="003E36CD"/>
    <w:rsid w:val="003E3E3C"/>
    <w:rsid w:val="003E4923"/>
    <w:rsid w:val="003E79B3"/>
    <w:rsid w:val="003F10B2"/>
    <w:rsid w:val="003F21CF"/>
    <w:rsid w:val="003F386F"/>
    <w:rsid w:val="003F3BF1"/>
    <w:rsid w:val="003F4201"/>
    <w:rsid w:val="003F4616"/>
    <w:rsid w:val="003F4D74"/>
    <w:rsid w:val="00400B6A"/>
    <w:rsid w:val="00400D64"/>
    <w:rsid w:val="004024BB"/>
    <w:rsid w:val="00402F1A"/>
    <w:rsid w:val="00405A77"/>
    <w:rsid w:val="004142E2"/>
    <w:rsid w:val="00416C5A"/>
    <w:rsid w:val="00417A82"/>
    <w:rsid w:val="00422F03"/>
    <w:rsid w:val="00423DF1"/>
    <w:rsid w:val="0042501E"/>
    <w:rsid w:val="004252D2"/>
    <w:rsid w:val="004264E6"/>
    <w:rsid w:val="00427109"/>
    <w:rsid w:val="00427A80"/>
    <w:rsid w:val="00427D75"/>
    <w:rsid w:val="00430C58"/>
    <w:rsid w:val="00432494"/>
    <w:rsid w:val="004331C4"/>
    <w:rsid w:val="0043564D"/>
    <w:rsid w:val="00435A2D"/>
    <w:rsid w:val="00436270"/>
    <w:rsid w:val="00436821"/>
    <w:rsid w:val="004376D2"/>
    <w:rsid w:val="00441387"/>
    <w:rsid w:val="004419F2"/>
    <w:rsid w:val="00441C25"/>
    <w:rsid w:val="00444193"/>
    <w:rsid w:val="00444BD6"/>
    <w:rsid w:val="00444E1F"/>
    <w:rsid w:val="00445B6A"/>
    <w:rsid w:val="00445CA9"/>
    <w:rsid w:val="00446325"/>
    <w:rsid w:val="00446452"/>
    <w:rsid w:val="00447B44"/>
    <w:rsid w:val="00447DBE"/>
    <w:rsid w:val="00450EE5"/>
    <w:rsid w:val="004518C1"/>
    <w:rsid w:val="004528CC"/>
    <w:rsid w:val="00452BDB"/>
    <w:rsid w:val="00453D72"/>
    <w:rsid w:val="00455031"/>
    <w:rsid w:val="00455B63"/>
    <w:rsid w:val="00455E75"/>
    <w:rsid w:val="00457B98"/>
    <w:rsid w:val="00457D00"/>
    <w:rsid w:val="00461231"/>
    <w:rsid w:val="004625DD"/>
    <w:rsid w:val="00462C32"/>
    <w:rsid w:val="00462EE0"/>
    <w:rsid w:val="0046357D"/>
    <w:rsid w:val="00463BD3"/>
    <w:rsid w:val="00465264"/>
    <w:rsid w:val="004655F3"/>
    <w:rsid w:val="00465832"/>
    <w:rsid w:val="004662DF"/>
    <w:rsid w:val="00466F0B"/>
    <w:rsid w:val="00470046"/>
    <w:rsid w:val="00470A12"/>
    <w:rsid w:val="00470FC1"/>
    <w:rsid w:val="004715DC"/>
    <w:rsid w:val="00471A45"/>
    <w:rsid w:val="00472DC8"/>
    <w:rsid w:val="00475CD5"/>
    <w:rsid w:val="004764FF"/>
    <w:rsid w:val="0047696F"/>
    <w:rsid w:val="00476F0F"/>
    <w:rsid w:val="004802EC"/>
    <w:rsid w:val="00480682"/>
    <w:rsid w:val="00480E66"/>
    <w:rsid w:val="0048205F"/>
    <w:rsid w:val="00490BD8"/>
    <w:rsid w:val="004913A4"/>
    <w:rsid w:val="00491612"/>
    <w:rsid w:val="0049417F"/>
    <w:rsid w:val="00494369"/>
    <w:rsid w:val="004977CF"/>
    <w:rsid w:val="004A00EE"/>
    <w:rsid w:val="004A1748"/>
    <w:rsid w:val="004A1A78"/>
    <w:rsid w:val="004A1C43"/>
    <w:rsid w:val="004A29F1"/>
    <w:rsid w:val="004A2C16"/>
    <w:rsid w:val="004A3877"/>
    <w:rsid w:val="004A4486"/>
    <w:rsid w:val="004A604A"/>
    <w:rsid w:val="004A6641"/>
    <w:rsid w:val="004A6FC4"/>
    <w:rsid w:val="004A7114"/>
    <w:rsid w:val="004B13F0"/>
    <w:rsid w:val="004B1E94"/>
    <w:rsid w:val="004B2368"/>
    <w:rsid w:val="004B275F"/>
    <w:rsid w:val="004B3075"/>
    <w:rsid w:val="004B33FF"/>
    <w:rsid w:val="004B69A5"/>
    <w:rsid w:val="004B6AFE"/>
    <w:rsid w:val="004B741E"/>
    <w:rsid w:val="004B7999"/>
    <w:rsid w:val="004C113F"/>
    <w:rsid w:val="004C1FF0"/>
    <w:rsid w:val="004C2C8B"/>
    <w:rsid w:val="004C306E"/>
    <w:rsid w:val="004C73C4"/>
    <w:rsid w:val="004D2729"/>
    <w:rsid w:val="004D2F69"/>
    <w:rsid w:val="004D3E76"/>
    <w:rsid w:val="004D6652"/>
    <w:rsid w:val="004D718D"/>
    <w:rsid w:val="004D7917"/>
    <w:rsid w:val="004D7995"/>
    <w:rsid w:val="004E1929"/>
    <w:rsid w:val="004E2613"/>
    <w:rsid w:val="004E30DF"/>
    <w:rsid w:val="004E410C"/>
    <w:rsid w:val="004E4FBA"/>
    <w:rsid w:val="004F1450"/>
    <w:rsid w:val="004F2897"/>
    <w:rsid w:val="004F3E6A"/>
    <w:rsid w:val="004F4621"/>
    <w:rsid w:val="004F48BF"/>
    <w:rsid w:val="004F5FDF"/>
    <w:rsid w:val="00501709"/>
    <w:rsid w:val="005039D7"/>
    <w:rsid w:val="00503A5E"/>
    <w:rsid w:val="00507311"/>
    <w:rsid w:val="005114F7"/>
    <w:rsid w:val="005121D7"/>
    <w:rsid w:val="005131F1"/>
    <w:rsid w:val="00513CFC"/>
    <w:rsid w:val="0051484F"/>
    <w:rsid w:val="0051685F"/>
    <w:rsid w:val="00516B3E"/>
    <w:rsid w:val="00516D2D"/>
    <w:rsid w:val="0051788E"/>
    <w:rsid w:val="00517D7B"/>
    <w:rsid w:val="00520014"/>
    <w:rsid w:val="00520759"/>
    <w:rsid w:val="00520F9E"/>
    <w:rsid w:val="00521D0E"/>
    <w:rsid w:val="005225CB"/>
    <w:rsid w:val="00522FF8"/>
    <w:rsid w:val="00523CE1"/>
    <w:rsid w:val="005244AA"/>
    <w:rsid w:val="00524A0D"/>
    <w:rsid w:val="005262C9"/>
    <w:rsid w:val="00527CBD"/>
    <w:rsid w:val="00531D70"/>
    <w:rsid w:val="00532D42"/>
    <w:rsid w:val="005341AB"/>
    <w:rsid w:val="00535B9E"/>
    <w:rsid w:val="00535D52"/>
    <w:rsid w:val="00537A33"/>
    <w:rsid w:val="00537A8D"/>
    <w:rsid w:val="00541219"/>
    <w:rsid w:val="00542A1B"/>
    <w:rsid w:val="005476A9"/>
    <w:rsid w:val="00547A28"/>
    <w:rsid w:val="00552CBA"/>
    <w:rsid w:val="005544D7"/>
    <w:rsid w:val="00555E90"/>
    <w:rsid w:val="00556417"/>
    <w:rsid w:val="00556A1A"/>
    <w:rsid w:val="00556CA3"/>
    <w:rsid w:val="00562C7E"/>
    <w:rsid w:val="00562E31"/>
    <w:rsid w:val="00564AE8"/>
    <w:rsid w:val="0056548D"/>
    <w:rsid w:val="005662DC"/>
    <w:rsid w:val="00566BF6"/>
    <w:rsid w:val="00570419"/>
    <w:rsid w:val="00572897"/>
    <w:rsid w:val="00572A9B"/>
    <w:rsid w:val="00573767"/>
    <w:rsid w:val="00574234"/>
    <w:rsid w:val="005744BD"/>
    <w:rsid w:val="00574A08"/>
    <w:rsid w:val="00576BAD"/>
    <w:rsid w:val="00580967"/>
    <w:rsid w:val="00581016"/>
    <w:rsid w:val="005818DA"/>
    <w:rsid w:val="00581C4E"/>
    <w:rsid w:val="00583434"/>
    <w:rsid w:val="0058349F"/>
    <w:rsid w:val="00584BF1"/>
    <w:rsid w:val="00585160"/>
    <w:rsid w:val="00587ABF"/>
    <w:rsid w:val="00587D5C"/>
    <w:rsid w:val="00591E0C"/>
    <w:rsid w:val="005931B0"/>
    <w:rsid w:val="00593451"/>
    <w:rsid w:val="00593B11"/>
    <w:rsid w:val="00594C4E"/>
    <w:rsid w:val="00595584"/>
    <w:rsid w:val="00595BE0"/>
    <w:rsid w:val="00595D2C"/>
    <w:rsid w:val="005A0A4F"/>
    <w:rsid w:val="005A0DC3"/>
    <w:rsid w:val="005A16E7"/>
    <w:rsid w:val="005A24AF"/>
    <w:rsid w:val="005A2924"/>
    <w:rsid w:val="005A2AC2"/>
    <w:rsid w:val="005A30D8"/>
    <w:rsid w:val="005A30F5"/>
    <w:rsid w:val="005A3144"/>
    <w:rsid w:val="005A370E"/>
    <w:rsid w:val="005A56A5"/>
    <w:rsid w:val="005A7259"/>
    <w:rsid w:val="005A7542"/>
    <w:rsid w:val="005A78BF"/>
    <w:rsid w:val="005A7A5D"/>
    <w:rsid w:val="005B13F4"/>
    <w:rsid w:val="005B2776"/>
    <w:rsid w:val="005B29BC"/>
    <w:rsid w:val="005B30E1"/>
    <w:rsid w:val="005B3FEE"/>
    <w:rsid w:val="005B556F"/>
    <w:rsid w:val="005B6ABC"/>
    <w:rsid w:val="005B6B4C"/>
    <w:rsid w:val="005B7A4A"/>
    <w:rsid w:val="005C36D7"/>
    <w:rsid w:val="005C704B"/>
    <w:rsid w:val="005C7516"/>
    <w:rsid w:val="005C7B7D"/>
    <w:rsid w:val="005D060A"/>
    <w:rsid w:val="005D06DA"/>
    <w:rsid w:val="005D0C50"/>
    <w:rsid w:val="005D1522"/>
    <w:rsid w:val="005D1FE8"/>
    <w:rsid w:val="005D22EE"/>
    <w:rsid w:val="005D3AA3"/>
    <w:rsid w:val="005D472E"/>
    <w:rsid w:val="005D6FD1"/>
    <w:rsid w:val="005D78DD"/>
    <w:rsid w:val="005E1226"/>
    <w:rsid w:val="005E1CB3"/>
    <w:rsid w:val="005E1E13"/>
    <w:rsid w:val="005E46A8"/>
    <w:rsid w:val="005E574B"/>
    <w:rsid w:val="005E5857"/>
    <w:rsid w:val="005E6576"/>
    <w:rsid w:val="005E6EB3"/>
    <w:rsid w:val="005F01FC"/>
    <w:rsid w:val="005F0B99"/>
    <w:rsid w:val="005F1253"/>
    <w:rsid w:val="005F1AB8"/>
    <w:rsid w:val="005F29B7"/>
    <w:rsid w:val="005F399F"/>
    <w:rsid w:val="005F3A2F"/>
    <w:rsid w:val="005F570C"/>
    <w:rsid w:val="005F5F5F"/>
    <w:rsid w:val="005F6B69"/>
    <w:rsid w:val="005F6DEF"/>
    <w:rsid w:val="00601125"/>
    <w:rsid w:val="00601D8C"/>
    <w:rsid w:val="00602180"/>
    <w:rsid w:val="00603C54"/>
    <w:rsid w:val="0060698E"/>
    <w:rsid w:val="006103D3"/>
    <w:rsid w:val="006105C7"/>
    <w:rsid w:val="00610DCB"/>
    <w:rsid w:val="00610FE1"/>
    <w:rsid w:val="00614824"/>
    <w:rsid w:val="00616421"/>
    <w:rsid w:val="0061724A"/>
    <w:rsid w:val="00620599"/>
    <w:rsid w:val="0062089F"/>
    <w:rsid w:val="00622B18"/>
    <w:rsid w:val="00624770"/>
    <w:rsid w:val="00624D4B"/>
    <w:rsid w:val="0062562D"/>
    <w:rsid w:val="006265CB"/>
    <w:rsid w:val="00626FBA"/>
    <w:rsid w:val="00627123"/>
    <w:rsid w:val="0062736F"/>
    <w:rsid w:val="00627D83"/>
    <w:rsid w:val="0063115C"/>
    <w:rsid w:val="0063317D"/>
    <w:rsid w:val="00633B94"/>
    <w:rsid w:val="00635491"/>
    <w:rsid w:val="006370EE"/>
    <w:rsid w:val="0063762B"/>
    <w:rsid w:val="006408B6"/>
    <w:rsid w:val="0064250B"/>
    <w:rsid w:val="006449D5"/>
    <w:rsid w:val="00644F1C"/>
    <w:rsid w:val="006458AE"/>
    <w:rsid w:val="00645EB6"/>
    <w:rsid w:val="006473F6"/>
    <w:rsid w:val="006503F0"/>
    <w:rsid w:val="00650E4E"/>
    <w:rsid w:val="0065127A"/>
    <w:rsid w:val="00652854"/>
    <w:rsid w:val="006534F0"/>
    <w:rsid w:val="006537D4"/>
    <w:rsid w:val="00653F07"/>
    <w:rsid w:val="006545D3"/>
    <w:rsid w:val="00655492"/>
    <w:rsid w:val="0065636C"/>
    <w:rsid w:val="00660001"/>
    <w:rsid w:val="00660356"/>
    <w:rsid w:val="00660FE7"/>
    <w:rsid w:val="00662C93"/>
    <w:rsid w:val="00664DB7"/>
    <w:rsid w:val="00670355"/>
    <w:rsid w:val="0067161C"/>
    <w:rsid w:val="00671FE3"/>
    <w:rsid w:val="00672691"/>
    <w:rsid w:val="00673F83"/>
    <w:rsid w:val="006752C9"/>
    <w:rsid w:val="006760BB"/>
    <w:rsid w:val="0067625C"/>
    <w:rsid w:val="006810AE"/>
    <w:rsid w:val="00681684"/>
    <w:rsid w:val="006826AA"/>
    <w:rsid w:val="00683458"/>
    <w:rsid w:val="0068356A"/>
    <w:rsid w:val="0068428A"/>
    <w:rsid w:val="0068531C"/>
    <w:rsid w:val="0069030F"/>
    <w:rsid w:val="00692A2A"/>
    <w:rsid w:val="00696630"/>
    <w:rsid w:val="006979B6"/>
    <w:rsid w:val="00697CAF"/>
    <w:rsid w:val="006A06D8"/>
    <w:rsid w:val="006A0DB0"/>
    <w:rsid w:val="006A6629"/>
    <w:rsid w:val="006A70AF"/>
    <w:rsid w:val="006A7F7A"/>
    <w:rsid w:val="006B0223"/>
    <w:rsid w:val="006B520D"/>
    <w:rsid w:val="006B5D46"/>
    <w:rsid w:val="006C0C70"/>
    <w:rsid w:val="006C142E"/>
    <w:rsid w:val="006C1B16"/>
    <w:rsid w:val="006C4715"/>
    <w:rsid w:val="006C6E7A"/>
    <w:rsid w:val="006C7E11"/>
    <w:rsid w:val="006D0FBA"/>
    <w:rsid w:val="006D264A"/>
    <w:rsid w:val="006D2F74"/>
    <w:rsid w:val="006D4BE6"/>
    <w:rsid w:val="006D4F15"/>
    <w:rsid w:val="006D7EAD"/>
    <w:rsid w:val="006E055C"/>
    <w:rsid w:val="006E07ED"/>
    <w:rsid w:val="006E5A42"/>
    <w:rsid w:val="006F1D45"/>
    <w:rsid w:val="006F2B67"/>
    <w:rsid w:val="006F38CA"/>
    <w:rsid w:val="006F58B4"/>
    <w:rsid w:val="006F61AB"/>
    <w:rsid w:val="006F6C5E"/>
    <w:rsid w:val="006F7B76"/>
    <w:rsid w:val="007016BC"/>
    <w:rsid w:val="007018B7"/>
    <w:rsid w:val="00702503"/>
    <w:rsid w:val="00704763"/>
    <w:rsid w:val="007069E1"/>
    <w:rsid w:val="00710A82"/>
    <w:rsid w:val="00711CE1"/>
    <w:rsid w:val="007134CE"/>
    <w:rsid w:val="00715FB1"/>
    <w:rsid w:val="00720626"/>
    <w:rsid w:val="00720CFC"/>
    <w:rsid w:val="00722DF4"/>
    <w:rsid w:val="00725829"/>
    <w:rsid w:val="00725A8C"/>
    <w:rsid w:val="00725C2A"/>
    <w:rsid w:val="007261D6"/>
    <w:rsid w:val="007270DC"/>
    <w:rsid w:val="00727D0E"/>
    <w:rsid w:val="00732474"/>
    <w:rsid w:val="00732FDE"/>
    <w:rsid w:val="007352BA"/>
    <w:rsid w:val="00735425"/>
    <w:rsid w:val="00740A17"/>
    <w:rsid w:val="00743071"/>
    <w:rsid w:val="00744347"/>
    <w:rsid w:val="007461ED"/>
    <w:rsid w:val="007462D6"/>
    <w:rsid w:val="0074648B"/>
    <w:rsid w:val="00746602"/>
    <w:rsid w:val="0074738B"/>
    <w:rsid w:val="00750961"/>
    <w:rsid w:val="00751E23"/>
    <w:rsid w:val="007529C0"/>
    <w:rsid w:val="00753832"/>
    <w:rsid w:val="00753FF2"/>
    <w:rsid w:val="007545DD"/>
    <w:rsid w:val="0075594F"/>
    <w:rsid w:val="00755995"/>
    <w:rsid w:val="0076062E"/>
    <w:rsid w:val="007621E7"/>
    <w:rsid w:val="00762611"/>
    <w:rsid w:val="00763524"/>
    <w:rsid w:val="00766375"/>
    <w:rsid w:val="0077009A"/>
    <w:rsid w:val="007701BC"/>
    <w:rsid w:val="00770BF6"/>
    <w:rsid w:val="00772586"/>
    <w:rsid w:val="007745B2"/>
    <w:rsid w:val="007757B1"/>
    <w:rsid w:val="00775A38"/>
    <w:rsid w:val="0078104D"/>
    <w:rsid w:val="00781108"/>
    <w:rsid w:val="00783A01"/>
    <w:rsid w:val="00783AB5"/>
    <w:rsid w:val="0078449F"/>
    <w:rsid w:val="0078457D"/>
    <w:rsid w:val="00785509"/>
    <w:rsid w:val="007859E7"/>
    <w:rsid w:val="007868E7"/>
    <w:rsid w:val="00790064"/>
    <w:rsid w:val="007902BF"/>
    <w:rsid w:val="00790604"/>
    <w:rsid w:val="00792421"/>
    <w:rsid w:val="00794282"/>
    <w:rsid w:val="007953F3"/>
    <w:rsid w:val="0079621E"/>
    <w:rsid w:val="00796299"/>
    <w:rsid w:val="007970C0"/>
    <w:rsid w:val="007A022F"/>
    <w:rsid w:val="007A12C3"/>
    <w:rsid w:val="007A3043"/>
    <w:rsid w:val="007A53A4"/>
    <w:rsid w:val="007A5415"/>
    <w:rsid w:val="007A7803"/>
    <w:rsid w:val="007A7C2E"/>
    <w:rsid w:val="007B061E"/>
    <w:rsid w:val="007B063B"/>
    <w:rsid w:val="007B237F"/>
    <w:rsid w:val="007B3283"/>
    <w:rsid w:val="007B3447"/>
    <w:rsid w:val="007B3D50"/>
    <w:rsid w:val="007B486B"/>
    <w:rsid w:val="007B48D5"/>
    <w:rsid w:val="007B64C5"/>
    <w:rsid w:val="007B6755"/>
    <w:rsid w:val="007B7E00"/>
    <w:rsid w:val="007C21C8"/>
    <w:rsid w:val="007C25FA"/>
    <w:rsid w:val="007C5DAD"/>
    <w:rsid w:val="007C78E5"/>
    <w:rsid w:val="007D086A"/>
    <w:rsid w:val="007D087C"/>
    <w:rsid w:val="007D12CE"/>
    <w:rsid w:val="007D2125"/>
    <w:rsid w:val="007D2792"/>
    <w:rsid w:val="007D298D"/>
    <w:rsid w:val="007D4B94"/>
    <w:rsid w:val="007D5853"/>
    <w:rsid w:val="007D5A5A"/>
    <w:rsid w:val="007D7CCE"/>
    <w:rsid w:val="007E1E7D"/>
    <w:rsid w:val="007E33E4"/>
    <w:rsid w:val="007E4CC9"/>
    <w:rsid w:val="007E587E"/>
    <w:rsid w:val="007E71DF"/>
    <w:rsid w:val="007F0277"/>
    <w:rsid w:val="007F0729"/>
    <w:rsid w:val="007F3537"/>
    <w:rsid w:val="007F4018"/>
    <w:rsid w:val="007F4501"/>
    <w:rsid w:val="007F76CA"/>
    <w:rsid w:val="0080012D"/>
    <w:rsid w:val="00800D23"/>
    <w:rsid w:val="008020EC"/>
    <w:rsid w:val="00810EFE"/>
    <w:rsid w:val="0081248C"/>
    <w:rsid w:val="008131A5"/>
    <w:rsid w:val="0081370B"/>
    <w:rsid w:val="00814108"/>
    <w:rsid w:val="00814D18"/>
    <w:rsid w:val="00816273"/>
    <w:rsid w:val="0082220A"/>
    <w:rsid w:val="00822DE6"/>
    <w:rsid w:val="00826F2F"/>
    <w:rsid w:val="0082717B"/>
    <w:rsid w:val="00827B04"/>
    <w:rsid w:val="0083032E"/>
    <w:rsid w:val="00832A40"/>
    <w:rsid w:val="00833C87"/>
    <w:rsid w:val="00833D40"/>
    <w:rsid w:val="00835134"/>
    <w:rsid w:val="0084114A"/>
    <w:rsid w:val="00841907"/>
    <w:rsid w:val="00846323"/>
    <w:rsid w:val="00853A37"/>
    <w:rsid w:val="00854272"/>
    <w:rsid w:val="0085738E"/>
    <w:rsid w:val="008601A6"/>
    <w:rsid w:val="0086036A"/>
    <w:rsid w:val="00864220"/>
    <w:rsid w:val="00865233"/>
    <w:rsid w:val="008653A3"/>
    <w:rsid w:val="008657A2"/>
    <w:rsid w:val="00866645"/>
    <w:rsid w:val="00866BBC"/>
    <w:rsid w:val="008670B2"/>
    <w:rsid w:val="00867495"/>
    <w:rsid w:val="00871C9D"/>
    <w:rsid w:val="008723DD"/>
    <w:rsid w:val="00872A43"/>
    <w:rsid w:val="00874D4F"/>
    <w:rsid w:val="008808E8"/>
    <w:rsid w:val="0088208E"/>
    <w:rsid w:val="00882210"/>
    <w:rsid w:val="00883D60"/>
    <w:rsid w:val="00883FAB"/>
    <w:rsid w:val="008860D1"/>
    <w:rsid w:val="0088633F"/>
    <w:rsid w:val="00893051"/>
    <w:rsid w:val="00894D39"/>
    <w:rsid w:val="008A055D"/>
    <w:rsid w:val="008A33FC"/>
    <w:rsid w:val="008A3CA7"/>
    <w:rsid w:val="008A3ED2"/>
    <w:rsid w:val="008A4905"/>
    <w:rsid w:val="008A4A20"/>
    <w:rsid w:val="008A4DEB"/>
    <w:rsid w:val="008A6185"/>
    <w:rsid w:val="008A69F0"/>
    <w:rsid w:val="008A6E45"/>
    <w:rsid w:val="008B006C"/>
    <w:rsid w:val="008B0952"/>
    <w:rsid w:val="008B1AC6"/>
    <w:rsid w:val="008B22CF"/>
    <w:rsid w:val="008B5535"/>
    <w:rsid w:val="008B65DD"/>
    <w:rsid w:val="008B67FB"/>
    <w:rsid w:val="008B6F74"/>
    <w:rsid w:val="008B720F"/>
    <w:rsid w:val="008C047A"/>
    <w:rsid w:val="008C089F"/>
    <w:rsid w:val="008C1383"/>
    <w:rsid w:val="008C1FE9"/>
    <w:rsid w:val="008C2463"/>
    <w:rsid w:val="008C36D2"/>
    <w:rsid w:val="008C43BA"/>
    <w:rsid w:val="008C55D2"/>
    <w:rsid w:val="008C7DCE"/>
    <w:rsid w:val="008D07FD"/>
    <w:rsid w:val="008D1666"/>
    <w:rsid w:val="008D185A"/>
    <w:rsid w:val="008D18FC"/>
    <w:rsid w:val="008D2FE8"/>
    <w:rsid w:val="008D398B"/>
    <w:rsid w:val="008D4ACF"/>
    <w:rsid w:val="008D4B64"/>
    <w:rsid w:val="008D5010"/>
    <w:rsid w:val="008D7B10"/>
    <w:rsid w:val="008D7E49"/>
    <w:rsid w:val="008E25A6"/>
    <w:rsid w:val="008E2DA1"/>
    <w:rsid w:val="008E2ED9"/>
    <w:rsid w:val="008E38B2"/>
    <w:rsid w:val="008E3CCD"/>
    <w:rsid w:val="008F01AB"/>
    <w:rsid w:val="008F0F64"/>
    <w:rsid w:val="008F1CE2"/>
    <w:rsid w:val="008F28C1"/>
    <w:rsid w:val="008F364A"/>
    <w:rsid w:val="008F3F53"/>
    <w:rsid w:val="008F47D9"/>
    <w:rsid w:val="008F6422"/>
    <w:rsid w:val="008F7FCE"/>
    <w:rsid w:val="009012A8"/>
    <w:rsid w:val="00901C90"/>
    <w:rsid w:val="009026B5"/>
    <w:rsid w:val="009078E2"/>
    <w:rsid w:val="00907BCE"/>
    <w:rsid w:val="00910D1D"/>
    <w:rsid w:val="00913673"/>
    <w:rsid w:val="00913E03"/>
    <w:rsid w:val="00914536"/>
    <w:rsid w:val="00917998"/>
    <w:rsid w:val="009205B2"/>
    <w:rsid w:val="00920E10"/>
    <w:rsid w:val="009216E9"/>
    <w:rsid w:val="00921C3C"/>
    <w:rsid w:val="009224DC"/>
    <w:rsid w:val="009229E9"/>
    <w:rsid w:val="00926304"/>
    <w:rsid w:val="00926953"/>
    <w:rsid w:val="00927AB5"/>
    <w:rsid w:val="0093047A"/>
    <w:rsid w:val="00931A8A"/>
    <w:rsid w:val="00931D20"/>
    <w:rsid w:val="0093212D"/>
    <w:rsid w:val="0093242F"/>
    <w:rsid w:val="00932703"/>
    <w:rsid w:val="00933138"/>
    <w:rsid w:val="00934007"/>
    <w:rsid w:val="00934E72"/>
    <w:rsid w:val="00935A8A"/>
    <w:rsid w:val="00936469"/>
    <w:rsid w:val="009400B7"/>
    <w:rsid w:val="00940425"/>
    <w:rsid w:val="0094229B"/>
    <w:rsid w:val="0094379D"/>
    <w:rsid w:val="009437B8"/>
    <w:rsid w:val="00944EE9"/>
    <w:rsid w:val="009458F1"/>
    <w:rsid w:val="00946E3B"/>
    <w:rsid w:val="009472BC"/>
    <w:rsid w:val="00947736"/>
    <w:rsid w:val="00947F94"/>
    <w:rsid w:val="0095095C"/>
    <w:rsid w:val="009522AC"/>
    <w:rsid w:val="009528C8"/>
    <w:rsid w:val="00954DC2"/>
    <w:rsid w:val="009556B5"/>
    <w:rsid w:val="00955C06"/>
    <w:rsid w:val="00956C37"/>
    <w:rsid w:val="009573C0"/>
    <w:rsid w:val="00957B92"/>
    <w:rsid w:val="009608D4"/>
    <w:rsid w:val="009618F2"/>
    <w:rsid w:val="00962218"/>
    <w:rsid w:val="00963A38"/>
    <w:rsid w:val="00963D9B"/>
    <w:rsid w:val="009650E6"/>
    <w:rsid w:val="00965A8A"/>
    <w:rsid w:val="00967F46"/>
    <w:rsid w:val="00970966"/>
    <w:rsid w:val="0097287A"/>
    <w:rsid w:val="00973468"/>
    <w:rsid w:val="0097352E"/>
    <w:rsid w:val="00973982"/>
    <w:rsid w:val="0097430E"/>
    <w:rsid w:val="00974442"/>
    <w:rsid w:val="009747A4"/>
    <w:rsid w:val="00975F0F"/>
    <w:rsid w:val="00976A27"/>
    <w:rsid w:val="00976B1D"/>
    <w:rsid w:val="0097790D"/>
    <w:rsid w:val="009801B7"/>
    <w:rsid w:val="00980F95"/>
    <w:rsid w:val="00981227"/>
    <w:rsid w:val="00984815"/>
    <w:rsid w:val="009900C6"/>
    <w:rsid w:val="009920FC"/>
    <w:rsid w:val="00993328"/>
    <w:rsid w:val="00993564"/>
    <w:rsid w:val="00993BEE"/>
    <w:rsid w:val="00994019"/>
    <w:rsid w:val="009944D1"/>
    <w:rsid w:val="00996A0D"/>
    <w:rsid w:val="009979CD"/>
    <w:rsid w:val="009A0480"/>
    <w:rsid w:val="009A0EF5"/>
    <w:rsid w:val="009A24A6"/>
    <w:rsid w:val="009A46AF"/>
    <w:rsid w:val="009A4D44"/>
    <w:rsid w:val="009A5C6C"/>
    <w:rsid w:val="009A5E80"/>
    <w:rsid w:val="009B0349"/>
    <w:rsid w:val="009B35D7"/>
    <w:rsid w:val="009B69D7"/>
    <w:rsid w:val="009C0BB6"/>
    <w:rsid w:val="009C1149"/>
    <w:rsid w:val="009C1814"/>
    <w:rsid w:val="009C1940"/>
    <w:rsid w:val="009C1DFD"/>
    <w:rsid w:val="009C2345"/>
    <w:rsid w:val="009C33C3"/>
    <w:rsid w:val="009C37E6"/>
    <w:rsid w:val="009C496A"/>
    <w:rsid w:val="009C639E"/>
    <w:rsid w:val="009C67F5"/>
    <w:rsid w:val="009D0E10"/>
    <w:rsid w:val="009D1BFC"/>
    <w:rsid w:val="009D2B57"/>
    <w:rsid w:val="009E06E8"/>
    <w:rsid w:val="009E1E1B"/>
    <w:rsid w:val="009E7B53"/>
    <w:rsid w:val="009F089A"/>
    <w:rsid w:val="009F0F46"/>
    <w:rsid w:val="009F0F9F"/>
    <w:rsid w:val="009F1F69"/>
    <w:rsid w:val="009F1FC0"/>
    <w:rsid w:val="009F6AC4"/>
    <w:rsid w:val="009F6D1A"/>
    <w:rsid w:val="00A0000D"/>
    <w:rsid w:val="00A0033D"/>
    <w:rsid w:val="00A00475"/>
    <w:rsid w:val="00A01B6C"/>
    <w:rsid w:val="00A02FD2"/>
    <w:rsid w:val="00A0476F"/>
    <w:rsid w:val="00A06E3D"/>
    <w:rsid w:val="00A10328"/>
    <w:rsid w:val="00A14380"/>
    <w:rsid w:val="00A14629"/>
    <w:rsid w:val="00A16A71"/>
    <w:rsid w:val="00A2031F"/>
    <w:rsid w:val="00A208BB"/>
    <w:rsid w:val="00A23294"/>
    <w:rsid w:val="00A23381"/>
    <w:rsid w:val="00A23BF4"/>
    <w:rsid w:val="00A256E2"/>
    <w:rsid w:val="00A25932"/>
    <w:rsid w:val="00A2593B"/>
    <w:rsid w:val="00A271F7"/>
    <w:rsid w:val="00A303FE"/>
    <w:rsid w:val="00A3360A"/>
    <w:rsid w:val="00A34E05"/>
    <w:rsid w:val="00A3638F"/>
    <w:rsid w:val="00A3775A"/>
    <w:rsid w:val="00A4023A"/>
    <w:rsid w:val="00A40B80"/>
    <w:rsid w:val="00A41382"/>
    <w:rsid w:val="00A41697"/>
    <w:rsid w:val="00A42401"/>
    <w:rsid w:val="00A433EB"/>
    <w:rsid w:val="00A4361F"/>
    <w:rsid w:val="00A4394D"/>
    <w:rsid w:val="00A43D8B"/>
    <w:rsid w:val="00A454F1"/>
    <w:rsid w:val="00A4593D"/>
    <w:rsid w:val="00A463A1"/>
    <w:rsid w:val="00A4744A"/>
    <w:rsid w:val="00A525A3"/>
    <w:rsid w:val="00A52D75"/>
    <w:rsid w:val="00A53AC2"/>
    <w:rsid w:val="00A540FA"/>
    <w:rsid w:val="00A543CC"/>
    <w:rsid w:val="00A549D4"/>
    <w:rsid w:val="00A60BB4"/>
    <w:rsid w:val="00A619C2"/>
    <w:rsid w:val="00A61D97"/>
    <w:rsid w:val="00A62F1B"/>
    <w:rsid w:val="00A643AB"/>
    <w:rsid w:val="00A64C65"/>
    <w:rsid w:val="00A67748"/>
    <w:rsid w:val="00A67978"/>
    <w:rsid w:val="00A731B7"/>
    <w:rsid w:val="00A73754"/>
    <w:rsid w:val="00A74777"/>
    <w:rsid w:val="00A74F09"/>
    <w:rsid w:val="00A801FD"/>
    <w:rsid w:val="00A805F0"/>
    <w:rsid w:val="00A83F34"/>
    <w:rsid w:val="00A85618"/>
    <w:rsid w:val="00A860DF"/>
    <w:rsid w:val="00A86FC3"/>
    <w:rsid w:val="00A87954"/>
    <w:rsid w:val="00A91B55"/>
    <w:rsid w:val="00A92438"/>
    <w:rsid w:val="00A93935"/>
    <w:rsid w:val="00A93CFF"/>
    <w:rsid w:val="00A95504"/>
    <w:rsid w:val="00A96322"/>
    <w:rsid w:val="00A97B60"/>
    <w:rsid w:val="00AA0553"/>
    <w:rsid w:val="00AA135C"/>
    <w:rsid w:val="00AA1CAB"/>
    <w:rsid w:val="00AA26D1"/>
    <w:rsid w:val="00AA29E1"/>
    <w:rsid w:val="00AA6046"/>
    <w:rsid w:val="00AA6AAB"/>
    <w:rsid w:val="00AA7A18"/>
    <w:rsid w:val="00AA7A62"/>
    <w:rsid w:val="00AB21A4"/>
    <w:rsid w:val="00AB2DC3"/>
    <w:rsid w:val="00AB3889"/>
    <w:rsid w:val="00AB61AD"/>
    <w:rsid w:val="00AB7DD2"/>
    <w:rsid w:val="00AC03B4"/>
    <w:rsid w:val="00AC5E58"/>
    <w:rsid w:val="00AC67CB"/>
    <w:rsid w:val="00AC7049"/>
    <w:rsid w:val="00AD33F7"/>
    <w:rsid w:val="00AD3651"/>
    <w:rsid w:val="00AD5865"/>
    <w:rsid w:val="00AD69FF"/>
    <w:rsid w:val="00AE0355"/>
    <w:rsid w:val="00AE2918"/>
    <w:rsid w:val="00AE4867"/>
    <w:rsid w:val="00AE4AEF"/>
    <w:rsid w:val="00AE663F"/>
    <w:rsid w:val="00AF0295"/>
    <w:rsid w:val="00AF09D9"/>
    <w:rsid w:val="00AF0C7C"/>
    <w:rsid w:val="00AF11B5"/>
    <w:rsid w:val="00AF139F"/>
    <w:rsid w:val="00AF1A4D"/>
    <w:rsid w:val="00AF35BA"/>
    <w:rsid w:val="00AF3B52"/>
    <w:rsid w:val="00AF7ED8"/>
    <w:rsid w:val="00B00FE6"/>
    <w:rsid w:val="00B01C29"/>
    <w:rsid w:val="00B01D86"/>
    <w:rsid w:val="00B01EB5"/>
    <w:rsid w:val="00B02680"/>
    <w:rsid w:val="00B0412C"/>
    <w:rsid w:val="00B075DE"/>
    <w:rsid w:val="00B07E4E"/>
    <w:rsid w:val="00B07F04"/>
    <w:rsid w:val="00B1017B"/>
    <w:rsid w:val="00B11651"/>
    <w:rsid w:val="00B11FD1"/>
    <w:rsid w:val="00B137E9"/>
    <w:rsid w:val="00B14B33"/>
    <w:rsid w:val="00B164D8"/>
    <w:rsid w:val="00B16AF2"/>
    <w:rsid w:val="00B16B21"/>
    <w:rsid w:val="00B17E2A"/>
    <w:rsid w:val="00B219A2"/>
    <w:rsid w:val="00B21EFD"/>
    <w:rsid w:val="00B23971"/>
    <w:rsid w:val="00B244F9"/>
    <w:rsid w:val="00B24823"/>
    <w:rsid w:val="00B25020"/>
    <w:rsid w:val="00B30EA2"/>
    <w:rsid w:val="00B335CA"/>
    <w:rsid w:val="00B35FCD"/>
    <w:rsid w:val="00B36ED3"/>
    <w:rsid w:val="00B425BB"/>
    <w:rsid w:val="00B443A0"/>
    <w:rsid w:val="00B45285"/>
    <w:rsid w:val="00B466A8"/>
    <w:rsid w:val="00B50CEB"/>
    <w:rsid w:val="00B513C9"/>
    <w:rsid w:val="00B557F7"/>
    <w:rsid w:val="00B56EF4"/>
    <w:rsid w:val="00B57D41"/>
    <w:rsid w:val="00B57DB1"/>
    <w:rsid w:val="00B60715"/>
    <w:rsid w:val="00B644BB"/>
    <w:rsid w:val="00B65C4A"/>
    <w:rsid w:val="00B6735C"/>
    <w:rsid w:val="00B70466"/>
    <w:rsid w:val="00B70485"/>
    <w:rsid w:val="00B708D9"/>
    <w:rsid w:val="00B71FD5"/>
    <w:rsid w:val="00B72A3E"/>
    <w:rsid w:val="00B732B9"/>
    <w:rsid w:val="00B7336E"/>
    <w:rsid w:val="00B73F30"/>
    <w:rsid w:val="00B74F2A"/>
    <w:rsid w:val="00B75353"/>
    <w:rsid w:val="00B75A2D"/>
    <w:rsid w:val="00B766A7"/>
    <w:rsid w:val="00B7725B"/>
    <w:rsid w:val="00B82A13"/>
    <w:rsid w:val="00B83E9B"/>
    <w:rsid w:val="00B85CD8"/>
    <w:rsid w:val="00B87D0F"/>
    <w:rsid w:val="00B90215"/>
    <w:rsid w:val="00B912AD"/>
    <w:rsid w:val="00B94D11"/>
    <w:rsid w:val="00B9513B"/>
    <w:rsid w:val="00B951C7"/>
    <w:rsid w:val="00B95A5B"/>
    <w:rsid w:val="00B95CA4"/>
    <w:rsid w:val="00B96B12"/>
    <w:rsid w:val="00B96B17"/>
    <w:rsid w:val="00B97B3C"/>
    <w:rsid w:val="00BA3333"/>
    <w:rsid w:val="00BA46D6"/>
    <w:rsid w:val="00BA66D9"/>
    <w:rsid w:val="00BA7198"/>
    <w:rsid w:val="00BB02CD"/>
    <w:rsid w:val="00BB359F"/>
    <w:rsid w:val="00BB77EE"/>
    <w:rsid w:val="00BB7F5B"/>
    <w:rsid w:val="00BC160A"/>
    <w:rsid w:val="00BC27B2"/>
    <w:rsid w:val="00BC3E76"/>
    <w:rsid w:val="00BC4D58"/>
    <w:rsid w:val="00BC5695"/>
    <w:rsid w:val="00BC6603"/>
    <w:rsid w:val="00BD0157"/>
    <w:rsid w:val="00BD1976"/>
    <w:rsid w:val="00BD22B0"/>
    <w:rsid w:val="00BD23E0"/>
    <w:rsid w:val="00BD2857"/>
    <w:rsid w:val="00BD5042"/>
    <w:rsid w:val="00BD55A3"/>
    <w:rsid w:val="00BD67F6"/>
    <w:rsid w:val="00BD7108"/>
    <w:rsid w:val="00BD7214"/>
    <w:rsid w:val="00BD781D"/>
    <w:rsid w:val="00BE37ED"/>
    <w:rsid w:val="00BE389D"/>
    <w:rsid w:val="00BE517A"/>
    <w:rsid w:val="00BE5C05"/>
    <w:rsid w:val="00BE6ED4"/>
    <w:rsid w:val="00BE7EFC"/>
    <w:rsid w:val="00BF0176"/>
    <w:rsid w:val="00BF1DE4"/>
    <w:rsid w:val="00BF2135"/>
    <w:rsid w:val="00BF3D9D"/>
    <w:rsid w:val="00BF40A5"/>
    <w:rsid w:val="00BF5F8E"/>
    <w:rsid w:val="00BF7188"/>
    <w:rsid w:val="00C0051B"/>
    <w:rsid w:val="00C00FB2"/>
    <w:rsid w:val="00C0263F"/>
    <w:rsid w:val="00C0288E"/>
    <w:rsid w:val="00C02AF8"/>
    <w:rsid w:val="00C04F56"/>
    <w:rsid w:val="00C0650B"/>
    <w:rsid w:val="00C06DA0"/>
    <w:rsid w:val="00C0771D"/>
    <w:rsid w:val="00C112F9"/>
    <w:rsid w:val="00C113A8"/>
    <w:rsid w:val="00C1296C"/>
    <w:rsid w:val="00C146AE"/>
    <w:rsid w:val="00C147DD"/>
    <w:rsid w:val="00C148E4"/>
    <w:rsid w:val="00C166BF"/>
    <w:rsid w:val="00C16887"/>
    <w:rsid w:val="00C17E01"/>
    <w:rsid w:val="00C235CB"/>
    <w:rsid w:val="00C267E6"/>
    <w:rsid w:val="00C278F4"/>
    <w:rsid w:val="00C30E91"/>
    <w:rsid w:val="00C31AC4"/>
    <w:rsid w:val="00C35354"/>
    <w:rsid w:val="00C3715B"/>
    <w:rsid w:val="00C37596"/>
    <w:rsid w:val="00C37AC3"/>
    <w:rsid w:val="00C40483"/>
    <w:rsid w:val="00C409BE"/>
    <w:rsid w:val="00C423CA"/>
    <w:rsid w:val="00C45106"/>
    <w:rsid w:val="00C500FD"/>
    <w:rsid w:val="00C502C0"/>
    <w:rsid w:val="00C52E9C"/>
    <w:rsid w:val="00C542A3"/>
    <w:rsid w:val="00C549EE"/>
    <w:rsid w:val="00C5598E"/>
    <w:rsid w:val="00C5654B"/>
    <w:rsid w:val="00C56780"/>
    <w:rsid w:val="00C608E2"/>
    <w:rsid w:val="00C61B50"/>
    <w:rsid w:val="00C64F56"/>
    <w:rsid w:val="00C652ED"/>
    <w:rsid w:val="00C71DDA"/>
    <w:rsid w:val="00C720BC"/>
    <w:rsid w:val="00C72667"/>
    <w:rsid w:val="00C74245"/>
    <w:rsid w:val="00C74CB2"/>
    <w:rsid w:val="00C74E34"/>
    <w:rsid w:val="00C771EC"/>
    <w:rsid w:val="00C7793C"/>
    <w:rsid w:val="00C77D06"/>
    <w:rsid w:val="00C803A1"/>
    <w:rsid w:val="00C80BEB"/>
    <w:rsid w:val="00C80E44"/>
    <w:rsid w:val="00C829C7"/>
    <w:rsid w:val="00C858C2"/>
    <w:rsid w:val="00C8648A"/>
    <w:rsid w:val="00C86859"/>
    <w:rsid w:val="00C8741C"/>
    <w:rsid w:val="00C87BC6"/>
    <w:rsid w:val="00C90A1C"/>
    <w:rsid w:val="00C90ACB"/>
    <w:rsid w:val="00C9299E"/>
    <w:rsid w:val="00C92EF5"/>
    <w:rsid w:val="00C939A8"/>
    <w:rsid w:val="00C95C05"/>
    <w:rsid w:val="00C95CB0"/>
    <w:rsid w:val="00C96091"/>
    <w:rsid w:val="00C968E7"/>
    <w:rsid w:val="00C97145"/>
    <w:rsid w:val="00CA006B"/>
    <w:rsid w:val="00CA0937"/>
    <w:rsid w:val="00CA279E"/>
    <w:rsid w:val="00CA6686"/>
    <w:rsid w:val="00CB2B64"/>
    <w:rsid w:val="00CB3D0A"/>
    <w:rsid w:val="00CB4824"/>
    <w:rsid w:val="00CB6B2C"/>
    <w:rsid w:val="00CB783A"/>
    <w:rsid w:val="00CC1590"/>
    <w:rsid w:val="00CC2C66"/>
    <w:rsid w:val="00CC2FC3"/>
    <w:rsid w:val="00CC43C8"/>
    <w:rsid w:val="00CC4674"/>
    <w:rsid w:val="00CC5C74"/>
    <w:rsid w:val="00CC69C4"/>
    <w:rsid w:val="00CC6B66"/>
    <w:rsid w:val="00CC7788"/>
    <w:rsid w:val="00CC7B4F"/>
    <w:rsid w:val="00CD023F"/>
    <w:rsid w:val="00CD0610"/>
    <w:rsid w:val="00CD09D2"/>
    <w:rsid w:val="00CD186B"/>
    <w:rsid w:val="00CD241F"/>
    <w:rsid w:val="00CD4B50"/>
    <w:rsid w:val="00CD6A05"/>
    <w:rsid w:val="00CD79F7"/>
    <w:rsid w:val="00CE0ACD"/>
    <w:rsid w:val="00CE1FE4"/>
    <w:rsid w:val="00CE3C95"/>
    <w:rsid w:val="00CE3E90"/>
    <w:rsid w:val="00CE4463"/>
    <w:rsid w:val="00CE4D44"/>
    <w:rsid w:val="00CE4FEF"/>
    <w:rsid w:val="00CF1668"/>
    <w:rsid w:val="00CF3219"/>
    <w:rsid w:val="00CF3E37"/>
    <w:rsid w:val="00CF444B"/>
    <w:rsid w:val="00CF64CB"/>
    <w:rsid w:val="00CF6C62"/>
    <w:rsid w:val="00D00D43"/>
    <w:rsid w:val="00D010FD"/>
    <w:rsid w:val="00D02812"/>
    <w:rsid w:val="00D02C9F"/>
    <w:rsid w:val="00D0374A"/>
    <w:rsid w:val="00D03C93"/>
    <w:rsid w:val="00D05E58"/>
    <w:rsid w:val="00D10490"/>
    <w:rsid w:val="00D104DC"/>
    <w:rsid w:val="00D10BB8"/>
    <w:rsid w:val="00D1198C"/>
    <w:rsid w:val="00D12752"/>
    <w:rsid w:val="00D130FC"/>
    <w:rsid w:val="00D1665E"/>
    <w:rsid w:val="00D17AC3"/>
    <w:rsid w:val="00D20056"/>
    <w:rsid w:val="00D20FA2"/>
    <w:rsid w:val="00D23FEB"/>
    <w:rsid w:val="00D240E4"/>
    <w:rsid w:val="00D255FC"/>
    <w:rsid w:val="00D2675B"/>
    <w:rsid w:val="00D274FE"/>
    <w:rsid w:val="00D312A1"/>
    <w:rsid w:val="00D31D5A"/>
    <w:rsid w:val="00D34040"/>
    <w:rsid w:val="00D3646B"/>
    <w:rsid w:val="00D36903"/>
    <w:rsid w:val="00D409C6"/>
    <w:rsid w:val="00D421B0"/>
    <w:rsid w:val="00D42D8D"/>
    <w:rsid w:val="00D45BE4"/>
    <w:rsid w:val="00D4697E"/>
    <w:rsid w:val="00D47C0D"/>
    <w:rsid w:val="00D47CAC"/>
    <w:rsid w:val="00D524F6"/>
    <w:rsid w:val="00D525A5"/>
    <w:rsid w:val="00D52FB1"/>
    <w:rsid w:val="00D532D0"/>
    <w:rsid w:val="00D53A60"/>
    <w:rsid w:val="00D54404"/>
    <w:rsid w:val="00D546E2"/>
    <w:rsid w:val="00D5502B"/>
    <w:rsid w:val="00D56196"/>
    <w:rsid w:val="00D577AD"/>
    <w:rsid w:val="00D57D96"/>
    <w:rsid w:val="00D61786"/>
    <w:rsid w:val="00D63370"/>
    <w:rsid w:val="00D644CC"/>
    <w:rsid w:val="00D64FD6"/>
    <w:rsid w:val="00D67219"/>
    <w:rsid w:val="00D677F2"/>
    <w:rsid w:val="00D72D98"/>
    <w:rsid w:val="00D750C1"/>
    <w:rsid w:val="00D75A38"/>
    <w:rsid w:val="00D769FD"/>
    <w:rsid w:val="00D76F82"/>
    <w:rsid w:val="00D80624"/>
    <w:rsid w:val="00D85011"/>
    <w:rsid w:val="00D85E18"/>
    <w:rsid w:val="00D8613A"/>
    <w:rsid w:val="00D8687C"/>
    <w:rsid w:val="00D8693C"/>
    <w:rsid w:val="00D87485"/>
    <w:rsid w:val="00D92E0C"/>
    <w:rsid w:val="00D9324B"/>
    <w:rsid w:val="00D96DC6"/>
    <w:rsid w:val="00D97479"/>
    <w:rsid w:val="00D97C02"/>
    <w:rsid w:val="00DA04AF"/>
    <w:rsid w:val="00DA0B56"/>
    <w:rsid w:val="00DA0E44"/>
    <w:rsid w:val="00DA1646"/>
    <w:rsid w:val="00DA1EDA"/>
    <w:rsid w:val="00DA2114"/>
    <w:rsid w:val="00DA5467"/>
    <w:rsid w:val="00DA6BC8"/>
    <w:rsid w:val="00DB04D0"/>
    <w:rsid w:val="00DB1567"/>
    <w:rsid w:val="00DB2119"/>
    <w:rsid w:val="00DB238F"/>
    <w:rsid w:val="00DB5EAD"/>
    <w:rsid w:val="00DB623D"/>
    <w:rsid w:val="00DC05BC"/>
    <w:rsid w:val="00DC1FBD"/>
    <w:rsid w:val="00DC2601"/>
    <w:rsid w:val="00DC3C17"/>
    <w:rsid w:val="00DC496B"/>
    <w:rsid w:val="00DC4AB4"/>
    <w:rsid w:val="00DC4CA3"/>
    <w:rsid w:val="00DC7BA0"/>
    <w:rsid w:val="00DD02A4"/>
    <w:rsid w:val="00DD0A39"/>
    <w:rsid w:val="00DD133D"/>
    <w:rsid w:val="00DD3A24"/>
    <w:rsid w:val="00DD5DC7"/>
    <w:rsid w:val="00DD6B7A"/>
    <w:rsid w:val="00DD73D7"/>
    <w:rsid w:val="00DE0DAA"/>
    <w:rsid w:val="00DE2B58"/>
    <w:rsid w:val="00DF0901"/>
    <w:rsid w:val="00DF3516"/>
    <w:rsid w:val="00DF3790"/>
    <w:rsid w:val="00DF457F"/>
    <w:rsid w:val="00DF48C9"/>
    <w:rsid w:val="00E012CF"/>
    <w:rsid w:val="00E01F33"/>
    <w:rsid w:val="00E038C9"/>
    <w:rsid w:val="00E03A13"/>
    <w:rsid w:val="00E03C07"/>
    <w:rsid w:val="00E03CF1"/>
    <w:rsid w:val="00E069D0"/>
    <w:rsid w:val="00E079DD"/>
    <w:rsid w:val="00E10C39"/>
    <w:rsid w:val="00E110DB"/>
    <w:rsid w:val="00E124A8"/>
    <w:rsid w:val="00E20815"/>
    <w:rsid w:val="00E20E3C"/>
    <w:rsid w:val="00E20E40"/>
    <w:rsid w:val="00E23504"/>
    <w:rsid w:val="00E240DF"/>
    <w:rsid w:val="00E329D7"/>
    <w:rsid w:val="00E330E7"/>
    <w:rsid w:val="00E33132"/>
    <w:rsid w:val="00E36290"/>
    <w:rsid w:val="00E364EB"/>
    <w:rsid w:val="00E36C2B"/>
    <w:rsid w:val="00E36FBA"/>
    <w:rsid w:val="00E37BE8"/>
    <w:rsid w:val="00E41228"/>
    <w:rsid w:val="00E42404"/>
    <w:rsid w:val="00E454B1"/>
    <w:rsid w:val="00E45B04"/>
    <w:rsid w:val="00E50387"/>
    <w:rsid w:val="00E52867"/>
    <w:rsid w:val="00E52F6F"/>
    <w:rsid w:val="00E5491A"/>
    <w:rsid w:val="00E56CAF"/>
    <w:rsid w:val="00E5762C"/>
    <w:rsid w:val="00E579AF"/>
    <w:rsid w:val="00E61701"/>
    <w:rsid w:val="00E617A9"/>
    <w:rsid w:val="00E6334E"/>
    <w:rsid w:val="00E63488"/>
    <w:rsid w:val="00E6436C"/>
    <w:rsid w:val="00E645BA"/>
    <w:rsid w:val="00E64E34"/>
    <w:rsid w:val="00E658C3"/>
    <w:rsid w:val="00E66253"/>
    <w:rsid w:val="00E668E2"/>
    <w:rsid w:val="00E67553"/>
    <w:rsid w:val="00E71863"/>
    <w:rsid w:val="00E7405E"/>
    <w:rsid w:val="00E74134"/>
    <w:rsid w:val="00E759AF"/>
    <w:rsid w:val="00E766D6"/>
    <w:rsid w:val="00E8014E"/>
    <w:rsid w:val="00E808D2"/>
    <w:rsid w:val="00E81E61"/>
    <w:rsid w:val="00E81F10"/>
    <w:rsid w:val="00E833BC"/>
    <w:rsid w:val="00E848B4"/>
    <w:rsid w:val="00E8517B"/>
    <w:rsid w:val="00E86CCA"/>
    <w:rsid w:val="00E90380"/>
    <w:rsid w:val="00E90EA9"/>
    <w:rsid w:val="00E91417"/>
    <w:rsid w:val="00E9264D"/>
    <w:rsid w:val="00E928F3"/>
    <w:rsid w:val="00E93BD5"/>
    <w:rsid w:val="00E942A0"/>
    <w:rsid w:val="00E94329"/>
    <w:rsid w:val="00E94461"/>
    <w:rsid w:val="00E95F05"/>
    <w:rsid w:val="00E95FA0"/>
    <w:rsid w:val="00E96B4F"/>
    <w:rsid w:val="00E97D68"/>
    <w:rsid w:val="00EA0687"/>
    <w:rsid w:val="00EA08F8"/>
    <w:rsid w:val="00EA0E8C"/>
    <w:rsid w:val="00EA0F0F"/>
    <w:rsid w:val="00EA1922"/>
    <w:rsid w:val="00EA1AB5"/>
    <w:rsid w:val="00EA211A"/>
    <w:rsid w:val="00EA33B2"/>
    <w:rsid w:val="00EA365F"/>
    <w:rsid w:val="00EA3F9D"/>
    <w:rsid w:val="00EA4CEB"/>
    <w:rsid w:val="00EA5640"/>
    <w:rsid w:val="00EA5B20"/>
    <w:rsid w:val="00EA6984"/>
    <w:rsid w:val="00EA753C"/>
    <w:rsid w:val="00EB098C"/>
    <w:rsid w:val="00EB1377"/>
    <w:rsid w:val="00EB1CA9"/>
    <w:rsid w:val="00EB37B6"/>
    <w:rsid w:val="00EB61BA"/>
    <w:rsid w:val="00EC0046"/>
    <w:rsid w:val="00EC1E33"/>
    <w:rsid w:val="00EC2D97"/>
    <w:rsid w:val="00EC2E49"/>
    <w:rsid w:val="00EC36D2"/>
    <w:rsid w:val="00EC37C0"/>
    <w:rsid w:val="00EC6E74"/>
    <w:rsid w:val="00ED0C74"/>
    <w:rsid w:val="00ED161D"/>
    <w:rsid w:val="00ED36B4"/>
    <w:rsid w:val="00ED47F8"/>
    <w:rsid w:val="00ED57A7"/>
    <w:rsid w:val="00ED5FCE"/>
    <w:rsid w:val="00ED6418"/>
    <w:rsid w:val="00ED7B7E"/>
    <w:rsid w:val="00ED7FB0"/>
    <w:rsid w:val="00EE0001"/>
    <w:rsid w:val="00EE0198"/>
    <w:rsid w:val="00EE15D7"/>
    <w:rsid w:val="00EE1771"/>
    <w:rsid w:val="00EE2E81"/>
    <w:rsid w:val="00EE656D"/>
    <w:rsid w:val="00EE6619"/>
    <w:rsid w:val="00EE6B39"/>
    <w:rsid w:val="00EE6D44"/>
    <w:rsid w:val="00EE7663"/>
    <w:rsid w:val="00EF0413"/>
    <w:rsid w:val="00EF179A"/>
    <w:rsid w:val="00EF1B84"/>
    <w:rsid w:val="00EF2741"/>
    <w:rsid w:val="00EF421F"/>
    <w:rsid w:val="00EF58BC"/>
    <w:rsid w:val="00EF5C2B"/>
    <w:rsid w:val="00EF623F"/>
    <w:rsid w:val="00EF6BFB"/>
    <w:rsid w:val="00EF7D2F"/>
    <w:rsid w:val="00EF7FF6"/>
    <w:rsid w:val="00F00048"/>
    <w:rsid w:val="00F00387"/>
    <w:rsid w:val="00F0199C"/>
    <w:rsid w:val="00F02045"/>
    <w:rsid w:val="00F03C9A"/>
    <w:rsid w:val="00F03D2B"/>
    <w:rsid w:val="00F066E2"/>
    <w:rsid w:val="00F07022"/>
    <w:rsid w:val="00F1119E"/>
    <w:rsid w:val="00F11D87"/>
    <w:rsid w:val="00F11F81"/>
    <w:rsid w:val="00F120F9"/>
    <w:rsid w:val="00F122AD"/>
    <w:rsid w:val="00F127F7"/>
    <w:rsid w:val="00F12FB4"/>
    <w:rsid w:val="00F147ED"/>
    <w:rsid w:val="00F15C96"/>
    <w:rsid w:val="00F164EC"/>
    <w:rsid w:val="00F1725A"/>
    <w:rsid w:val="00F172E9"/>
    <w:rsid w:val="00F206AF"/>
    <w:rsid w:val="00F23407"/>
    <w:rsid w:val="00F23904"/>
    <w:rsid w:val="00F25412"/>
    <w:rsid w:val="00F263F7"/>
    <w:rsid w:val="00F26E83"/>
    <w:rsid w:val="00F27F08"/>
    <w:rsid w:val="00F32A5F"/>
    <w:rsid w:val="00F337AC"/>
    <w:rsid w:val="00F33E30"/>
    <w:rsid w:val="00F34138"/>
    <w:rsid w:val="00F35881"/>
    <w:rsid w:val="00F35A34"/>
    <w:rsid w:val="00F37659"/>
    <w:rsid w:val="00F40882"/>
    <w:rsid w:val="00F40EBB"/>
    <w:rsid w:val="00F425C5"/>
    <w:rsid w:val="00F42BAF"/>
    <w:rsid w:val="00F42EAA"/>
    <w:rsid w:val="00F43559"/>
    <w:rsid w:val="00F46B39"/>
    <w:rsid w:val="00F47F94"/>
    <w:rsid w:val="00F525EF"/>
    <w:rsid w:val="00F5789B"/>
    <w:rsid w:val="00F64C4B"/>
    <w:rsid w:val="00F651A4"/>
    <w:rsid w:val="00F670D8"/>
    <w:rsid w:val="00F71874"/>
    <w:rsid w:val="00F72CCE"/>
    <w:rsid w:val="00F73668"/>
    <w:rsid w:val="00F741DA"/>
    <w:rsid w:val="00F74551"/>
    <w:rsid w:val="00F75AAB"/>
    <w:rsid w:val="00F75C76"/>
    <w:rsid w:val="00F77CDA"/>
    <w:rsid w:val="00F8064F"/>
    <w:rsid w:val="00F80968"/>
    <w:rsid w:val="00F81246"/>
    <w:rsid w:val="00F818E0"/>
    <w:rsid w:val="00F82B2F"/>
    <w:rsid w:val="00F82E6E"/>
    <w:rsid w:val="00F84C88"/>
    <w:rsid w:val="00F858C4"/>
    <w:rsid w:val="00F86128"/>
    <w:rsid w:val="00F87B10"/>
    <w:rsid w:val="00F903F7"/>
    <w:rsid w:val="00F9437F"/>
    <w:rsid w:val="00F95905"/>
    <w:rsid w:val="00F96CBC"/>
    <w:rsid w:val="00F97E17"/>
    <w:rsid w:val="00FA003F"/>
    <w:rsid w:val="00FB081D"/>
    <w:rsid w:val="00FB1660"/>
    <w:rsid w:val="00FB40C2"/>
    <w:rsid w:val="00FB47D2"/>
    <w:rsid w:val="00FB5A91"/>
    <w:rsid w:val="00FB6CB7"/>
    <w:rsid w:val="00FB7785"/>
    <w:rsid w:val="00FC0614"/>
    <w:rsid w:val="00FC1FCA"/>
    <w:rsid w:val="00FC25A6"/>
    <w:rsid w:val="00FC2CE1"/>
    <w:rsid w:val="00FC2DCD"/>
    <w:rsid w:val="00FC720B"/>
    <w:rsid w:val="00FD1118"/>
    <w:rsid w:val="00FD1448"/>
    <w:rsid w:val="00FD4831"/>
    <w:rsid w:val="00FD4FA9"/>
    <w:rsid w:val="00FD5021"/>
    <w:rsid w:val="00FD5A8C"/>
    <w:rsid w:val="00FD5AC9"/>
    <w:rsid w:val="00FD6F48"/>
    <w:rsid w:val="00FE03A4"/>
    <w:rsid w:val="00FE0660"/>
    <w:rsid w:val="00FE0EC7"/>
    <w:rsid w:val="00FE1019"/>
    <w:rsid w:val="00FE28B3"/>
    <w:rsid w:val="00FE3FE9"/>
    <w:rsid w:val="00FE411A"/>
    <w:rsid w:val="00FE4777"/>
    <w:rsid w:val="00FE6A10"/>
    <w:rsid w:val="00FE6D06"/>
    <w:rsid w:val="00FF1290"/>
    <w:rsid w:val="00FF216E"/>
    <w:rsid w:val="00FF2BD0"/>
    <w:rsid w:val="00FF3A9D"/>
    <w:rsid w:val="00FF47B7"/>
    <w:rsid w:val="00FF5D48"/>
    <w:rsid w:val="00FF682C"/>
    <w:rsid w:val="00FF7B9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21F3"/>
  <w15:docId w15:val="{F8E5DCF4-DB17-49EB-BC20-63313F3F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77"/>
    <w:pPr>
      <w:spacing w:line="280" w:lineRule="exact"/>
    </w:pPr>
    <w:rPr>
      <w:rFonts w:ascii="Arial" w:hAnsi="Arial"/>
      <w:sz w:val="24"/>
      <w:lang w:eastAsia="fr-FR"/>
    </w:rPr>
  </w:style>
  <w:style w:type="paragraph" w:styleId="Titre1">
    <w:name w:val="heading 1"/>
    <w:basedOn w:val="Normal"/>
    <w:next w:val="Normal"/>
    <w:qFormat/>
    <w:pPr>
      <w:keepNext/>
      <w:spacing w:before="240" w:after="60" w:line="500" w:lineRule="exact"/>
      <w:outlineLvl w:val="0"/>
    </w:pPr>
    <w:rPr>
      <w:b/>
      <w:kern w:val="28"/>
      <w:sz w:val="28"/>
    </w:rPr>
  </w:style>
  <w:style w:type="paragraph" w:styleId="Titre2">
    <w:name w:val="heading 2"/>
    <w:basedOn w:val="Normal"/>
    <w:next w:val="Normal"/>
    <w:link w:val="Titre2Car"/>
    <w:qFormat/>
    <w:pPr>
      <w:keepNext/>
      <w:spacing w:before="240" w:after="60"/>
      <w:outlineLvl w:val="1"/>
    </w:pPr>
    <w:rPr>
      <w:b/>
      <w:i/>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aliases w:val=" Char1 Char1 Char Char, Char1 Char1 Char1, Char1 Char2 Char, Char1 Char3,Char1 Char1 Char Char,Char1 Char1 Char1,Char1 Char2 Char,Footnote Text Char Char Char,Footnote Text Char Char1,Footnote Text Char1 Char,Footnote Text Char2,fn"/>
    <w:basedOn w:val="Normal"/>
    <w:link w:val="NotedebasdepageCar"/>
    <w:qFormat/>
    <w:pPr>
      <w:spacing w:line="240" w:lineRule="auto"/>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uiPriority w:val="99"/>
    <w:qFormat/>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customStyle="1" w:styleId="zSoquijdatNomPartieMec">
    <w:name w:val="zSoquij_datNomPartieMec"/>
    <w:basedOn w:val="Normal"/>
    <w:qFormat/>
    <w:rsid w:val="0006117A"/>
    <w:pPr>
      <w:spacing w:line="240" w:lineRule="auto"/>
      <w:jc w:val="center"/>
    </w:pPr>
    <w:rPr>
      <w:b/>
      <w:bCs/>
    </w:rPr>
  </w:style>
  <w:style w:type="character" w:customStyle="1" w:styleId="ParagrapheCar">
    <w:name w:val="Paragraphe Car"/>
    <w:link w:val="Paragraphe"/>
    <w:qFormat/>
    <w:rsid w:val="00A4023A"/>
    <w:rPr>
      <w:rFonts w:ascii="Arial" w:hAnsi="Arial"/>
      <w:kern w:val="28"/>
      <w:sz w:val="24"/>
      <w:lang w:eastAsia="fr-FR"/>
    </w:rPr>
  </w:style>
  <w:style w:type="character" w:customStyle="1" w:styleId="NotedebasdepageCar">
    <w:name w:val="Note de bas de page Car"/>
    <w:aliases w:val=" Char1 Char1 Char Char Car, Char1 Char1 Char1 Car, Char1 Char2 Char Car, Char1 Char3 Car,Char1 Char1 Char Char Car,Char1 Char1 Char1 Car,Char1 Char2 Char Car,Footnote Text Char Char Char Car,Footnote Text Char Char1 Car,fn Car"/>
    <w:link w:val="Notedebasdepage"/>
    <w:rsid w:val="00A4023A"/>
    <w:rPr>
      <w:rFonts w:ascii="Arial" w:hAnsi="Arial"/>
      <w:lang w:eastAsia="fr-FR"/>
    </w:rPr>
  </w:style>
  <w:style w:type="paragraph" w:styleId="Paragraphedeliste">
    <w:name w:val="List Paragraph"/>
    <w:basedOn w:val="Paragraphe"/>
    <w:uiPriority w:val="34"/>
    <w:qFormat/>
    <w:rsid w:val="00660356"/>
    <w:pPr>
      <w:spacing w:line="360" w:lineRule="auto"/>
    </w:pPr>
  </w:style>
  <w:style w:type="paragraph" w:styleId="Rvision">
    <w:name w:val="Revision"/>
    <w:hidden/>
    <w:uiPriority w:val="99"/>
    <w:semiHidden/>
    <w:rsid w:val="00671FE3"/>
    <w:rPr>
      <w:rFonts w:ascii="Arial" w:hAnsi="Arial"/>
      <w:sz w:val="24"/>
      <w:lang w:eastAsia="fr-FR"/>
    </w:rPr>
  </w:style>
  <w:style w:type="paragraph" w:customStyle="1" w:styleId="paragraphe0">
    <w:name w:val="paragraphe"/>
    <w:basedOn w:val="Normal"/>
    <w:rsid w:val="003959D5"/>
    <w:pPr>
      <w:spacing w:before="120" w:after="120" w:line="500" w:lineRule="atLeast"/>
      <w:jc w:val="both"/>
    </w:pPr>
    <w:rPr>
      <w:rFonts w:cs="Arial"/>
      <w:szCs w:val="24"/>
      <w:lang w:eastAsia="fr-CA"/>
    </w:rPr>
  </w:style>
  <w:style w:type="paragraph" w:customStyle="1" w:styleId="citationenretrait0">
    <w:name w:val="citationenretrait"/>
    <w:basedOn w:val="Normal"/>
    <w:rsid w:val="003959D5"/>
    <w:pPr>
      <w:spacing w:before="120" w:after="120" w:line="280" w:lineRule="atLeast"/>
      <w:ind w:left="720" w:right="720"/>
      <w:jc w:val="both"/>
    </w:pPr>
    <w:rPr>
      <w:rFonts w:cs="Arial"/>
      <w:sz w:val="22"/>
      <w:szCs w:val="22"/>
      <w:lang w:eastAsia="fr-CA"/>
    </w:rPr>
  </w:style>
  <w:style w:type="paragraph" w:styleId="Citation">
    <w:name w:val="Quote"/>
    <w:basedOn w:val="Normal"/>
    <w:next w:val="Normal"/>
    <w:link w:val="CitationCar"/>
    <w:uiPriority w:val="29"/>
    <w:qFormat/>
    <w:rsid w:val="000B7AD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0B7ADE"/>
    <w:rPr>
      <w:rFonts w:ascii="Arial" w:hAnsi="Arial"/>
      <w:i/>
      <w:iCs/>
      <w:color w:val="404040" w:themeColor="text1" w:themeTint="BF"/>
      <w:sz w:val="24"/>
      <w:lang w:eastAsia="fr-FR"/>
    </w:rPr>
  </w:style>
  <w:style w:type="character" w:customStyle="1" w:styleId="ui-provider">
    <w:name w:val="ui-provider"/>
    <w:basedOn w:val="Policepardfaut"/>
    <w:rsid w:val="000B7ADE"/>
  </w:style>
  <w:style w:type="character" w:styleId="Hyperlien">
    <w:name w:val="Hyperlink"/>
    <w:uiPriority w:val="99"/>
    <w:rsid w:val="00865233"/>
    <w:rPr>
      <w:noProof w:val="0"/>
      <w:color w:val="0000FF"/>
      <w:u w:val="single"/>
      <w:lang w:val="fr-CA"/>
    </w:rPr>
  </w:style>
  <w:style w:type="character" w:styleId="Marquedecommentaire">
    <w:name w:val="annotation reference"/>
    <w:basedOn w:val="Policepardfaut"/>
    <w:uiPriority w:val="99"/>
    <w:semiHidden/>
    <w:unhideWhenUsed/>
    <w:rsid w:val="005E1CB3"/>
    <w:rPr>
      <w:sz w:val="16"/>
      <w:szCs w:val="16"/>
    </w:rPr>
  </w:style>
  <w:style w:type="paragraph" w:styleId="Commentaire">
    <w:name w:val="annotation text"/>
    <w:basedOn w:val="Normal"/>
    <w:link w:val="CommentaireCar"/>
    <w:uiPriority w:val="99"/>
    <w:unhideWhenUsed/>
    <w:rsid w:val="005E1CB3"/>
    <w:pPr>
      <w:spacing w:line="240" w:lineRule="auto"/>
    </w:pPr>
    <w:rPr>
      <w:sz w:val="20"/>
    </w:rPr>
  </w:style>
  <w:style w:type="character" w:customStyle="1" w:styleId="CommentaireCar">
    <w:name w:val="Commentaire Car"/>
    <w:basedOn w:val="Policepardfaut"/>
    <w:link w:val="Commentaire"/>
    <w:uiPriority w:val="99"/>
    <w:rsid w:val="005E1CB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5E1CB3"/>
    <w:rPr>
      <w:b/>
      <w:bCs/>
    </w:rPr>
  </w:style>
  <w:style w:type="character" w:customStyle="1" w:styleId="ObjetducommentaireCar">
    <w:name w:val="Objet du commentaire Car"/>
    <w:basedOn w:val="CommentaireCar"/>
    <w:link w:val="Objetducommentaire"/>
    <w:uiPriority w:val="99"/>
    <w:semiHidden/>
    <w:rsid w:val="005E1CB3"/>
    <w:rPr>
      <w:rFonts w:ascii="Arial" w:hAnsi="Arial"/>
      <w:b/>
      <w:bCs/>
      <w:lang w:eastAsia="fr-FR"/>
    </w:rPr>
  </w:style>
  <w:style w:type="paragraph" w:customStyle="1" w:styleId="Paragrdouble">
    <w:name w:val="Paragr. double"/>
    <w:basedOn w:val="Normal"/>
    <w:rsid w:val="002E6E4D"/>
    <w:pPr>
      <w:spacing w:before="120" w:after="120" w:line="500" w:lineRule="exact"/>
      <w:jc w:val="both"/>
    </w:pPr>
    <w:rPr>
      <w:kern w:val="28"/>
      <w:lang w:val="en-CA"/>
    </w:rPr>
  </w:style>
  <w:style w:type="paragraph" w:customStyle="1" w:styleId="Paragrsimple">
    <w:name w:val="Paragr. simple"/>
    <w:basedOn w:val="Paragrdouble"/>
    <w:qFormat/>
    <w:rsid w:val="002E6E4D"/>
    <w:pPr>
      <w:spacing w:line="240" w:lineRule="auto"/>
    </w:pPr>
  </w:style>
  <w:style w:type="character" w:customStyle="1" w:styleId="Titre3Car">
    <w:name w:val="Titre 3 Car"/>
    <w:basedOn w:val="Policepardfaut"/>
    <w:link w:val="Titre3"/>
    <w:rsid w:val="00263CA2"/>
    <w:rPr>
      <w:rFonts w:ascii="Arial" w:hAnsi="Arial"/>
      <w:sz w:val="24"/>
      <w:lang w:eastAsia="fr-FR"/>
    </w:rPr>
  </w:style>
  <w:style w:type="paragraph" w:customStyle="1" w:styleId="Default">
    <w:name w:val="Default"/>
    <w:rsid w:val="00263CA2"/>
    <w:pPr>
      <w:autoSpaceDE w:val="0"/>
      <w:autoSpaceDN w:val="0"/>
      <w:adjustRightInd w:val="0"/>
    </w:pPr>
    <w:rPr>
      <w:rFonts w:ascii="Arial" w:hAnsi="Arial" w:cs="Arial"/>
      <w:color w:val="000000"/>
      <w:sz w:val="24"/>
      <w:szCs w:val="24"/>
    </w:rPr>
  </w:style>
  <w:style w:type="paragraph" w:customStyle="1" w:styleId="SCCNormalDoubleSpacing">
    <w:name w:val="SCC.Normal.DoubleSpacing"/>
    <w:basedOn w:val="Normal"/>
    <w:link w:val="SCCNormalDoubleSpacingChar"/>
    <w:rsid w:val="00263CA2"/>
    <w:pPr>
      <w:tabs>
        <w:tab w:val="left" w:pos="1168"/>
      </w:tabs>
      <w:spacing w:line="480" w:lineRule="auto"/>
      <w:jc w:val="both"/>
    </w:pPr>
    <w:rPr>
      <w:rFonts w:ascii="Times New Roman" w:hAnsi="Times New Roman"/>
      <w:lang w:val="en-CA" w:eastAsia="en-CA"/>
    </w:rPr>
  </w:style>
  <w:style w:type="character" w:customStyle="1" w:styleId="SCCNormalDoubleSpacingChar">
    <w:name w:val="SCC.Normal.DoubleSpacing Char"/>
    <w:basedOn w:val="Policepardfaut"/>
    <w:link w:val="SCCNormalDoubleSpacing"/>
    <w:rsid w:val="00263CA2"/>
    <w:rPr>
      <w:sz w:val="24"/>
      <w:lang w:val="en-CA" w:eastAsia="en-CA"/>
    </w:rPr>
  </w:style>
  <w:style w:type="paragraph" w:customStyle="1" w:styleId="ParaNoNdepar-AltN">
    <w:name w:val="Para. No. / Nº de par. - Alt N"/>
    <w:qFormat/>
    <w:rsid w:val="00263CA2"/>
    <w:pPr>
      <w:numPr>
        <w:numId w:val="6"/>
      </w:numPr>
      <w:spacing w:before="480" w:after="480" w:line="480" w:lineRule="auto"/>
      <w:jc w:val="both"/>
    </w:pPr>
    <w:rPr>
      <w:rFonts w:eastAsiaTheme="minorEastAsia" w:cstheme="minorBidi"/>
      <w:sz w:val="24"/>
      <w:szCs w:val="22"/>
      <w:lang w:val="en-CA" w:eastAsia="en-US"/>
    </w:rPr>
  </w:style>
  <w:style w:type="paragraph" w:customStyle="1" w:styleId="Title1LevelTitre1Niveau-AltL">
    <w:name w:val="Title 1 Level / Titre 1 Niveau - Alt L"/>
    <w:next w:val="ParaNoNdepar-AltN"/>
    <w:uiPriority w:val="4"/>
    <w:qFormat/>
    <w:rsid w:val="00263CA2"/>
    <w:pPr>
      <w:numPr>
        <w:numId w:val="7"/>
      </w:numPr>
      <w:tabs>
        <w:tab w:val="left" w:pos="576"/>
      </w:tabs>
      <w:spacing w:before="480" w:after="720"/>
      <w:ind w:left="578" w:hanging="578"/>
    </w:pPr>
    <w:rPr>
      <w:rFonts w:eastAsiaTheme="minorHAnsi" w:cstheme="minorBidi"/>
      <w:sz w:val="24"/>
      <w:szCs w:val="22"/>
      <w:u w:val="single"/>
      <w:lang w:val="en-CA" w:eastAsia="en-US"/>
    </w:rPr>
  </w:style>
  <w:style w:type="paragraph" w:customStyle="1" w:styleId="Title2LevelTitre2Niveau">
    <w:name w:val="Title 2 Level / Titre 2 Niveau"/>
    <w:basedOn w:val="Title1LevelTitre1Niveau-AltL"/>
    <w:next w:val="ParaNoNdepar-AltN"/>
    <w:uiPriority w:val="4"/>
    <w:qFormat/>
    <w:rsid w:val="00263CA2"/>
    <w:pPr>
      <w:numPr>
        <w:ilvl w:val="1"/>
      </w:numPr>
      <w:ind w:left="576" w:hanging="576"/>
    </w:pPr>
    <w:rPr>
      <w:i/>
      <w:u w:val="none"/>
    </w:rPr>
  </w:style>
  <w:style w:type="paragraph" w:customStyle="1" w:styleId="Title5LevelTitre5Niveau">
    <w:name w:val="Title 5 Level / Titre 5 Niveau"/>
    <w:basedOn w:val="Title1LevelTitre1Niveau-AltL"/>
    <w:next w:val="ParaNoNdepar-AltN"/>
    <w:uiPriority w:val="4"/>
    <w:qFormat/>
    <w:rsid w:val="00263CA2"/>
    <w:pPr>
      <w:numPr>
        <w:ilvl w:val="4"/>
      </w:numPr>
      <w:tabs>
        <w:tab w:val="clear" w:pos="576"/>
        <w:tab w:val="left" w:pos="1620"/>
      </w:tabs>
      <w:ind w:left="1620" w:hanging="540"/>
    </w:pPr>
  </w:style>
  <w:style w:type="character" w:customStyle="1" w:styleId="Mentionnonrsolue1">
    <w:name w:val="Mention non résolue1"/>
    <w:basedOn w:val="Policepardfaut"/>
    <w:uiPriority w:val="99"/>
    <w:semiHidden/>
    <w:unhideWhenUsed/>
    <w:rsid w:val="00263CA2"/>
    <w:rPr>
      <w:color w:val="605E5C"/>
      <w:shd w:val="clear" w:color="auto" w:fill="E1DFDD"/>
    </w:rPr>
  </w:style>
  <w:style w:type="character" w:customStyle="1" w:styleId="sectionlabel">
    <w:name w:val="sectionlabel"/>
    <w:basedOn w:val="Policepardfaut"/>
    <w:rsid w:val="00263CA2"/>
  </w:style>
  <w:style w:type="paragraph" w:styleId="PrformatHTML">
    <w:name w:val="HTML Preformatted"/>
    <w:basedOn w:val="Normal"/>
    <w:link w:val="PrformatHTMLCar"/>
    <w:uiPriority w:val="99"/>
    <w:semiHidden/>
    <w:unhideWhenUsed/>
    <w:rsid w:val="00263CA2"/>
    <w:pPr>
      <w:spacing w:line="240" w:lineRule="auto"/>
    </w:pPr>
    <w:rPr>
      <w:rFonts w:ascii="Consolas" w:hAnsi="Consolas"/>
      <w:sz w:val="20"/>
    </w:rPr>
  </w:style>
  <w:style w:type="character" w:customStyle="1" w:styleId="PrformatHTMLCar">
    <w:name w:val="Préformaté HTML Car"/>
    <w:basedOn w:val="Policepardfaut"/>
    <w:link w:val="PrformatHTML"/>
    <w:uiPriority w:val="99"/>
    <w:semiHidden/>
    <w:rsid w:val="00263CA2"/>
    <w:rPr>
      <w:rFonts w:ascii="Consolas" w:hAnsi="Consolas"/>
      <w:lang w:eastAsia="fr-FR"/>
    </w:rPr>
  </w:style>
  <w:style w:type="character" w:customStyle="1" w:styleId="Titre2Car">
    <w:name w:val="Titre 2 Car"/>
    <w:basedOn w:val="Policepardfaut"/>
    <w:link w:val="Titre2"/>
    <w:rsid w:val="00FC2CE1"/>
    <w:rPr>
      <w:rFonts w:ascii="Arial" w:hAnsi="Arial"/>
      <w:b/>
      <w:i/>
      <w:sz w:val="24"/>
      <w:lang w:eastAsia="fr-FR"/>
    </w:rPr>
  </w:style>
  <w:style w:type="character" w:customStyle="1" w:styleId="cf01">
    <w:name w:val="cf01"/>
    <w:basedOn w:val="Policepardfaut"/>
    <w:rsid w:val="0048205F"/>
    <w:rPr>
      <w:rFonts w:ascii="Segoe UI" w:hAnsi="Segoe UI" w:cs="Segoe UI" w:hint="default"/>
      <w:sz w:val="18"/>
      <w:szCs w:val="18"/>
    </w:rPr>
  </w:style>
  <w:style w:type="character" w:customStyle="1" w:styleId="cf11">
    <w:name w:val="cf11"/>
    <w:basedOn w:val="Policepardfaut"/>
    <w:rsid w:val="00C0263F"/>
    <w:rPr>
      <w:rFonts w:ascii="Segoe UI" w:hAnsi="Segoe UI" w:cs="Segoe UI" w:hint="default"/>
      <w:sz w:val="18"/>
      <w:szCs w:val="18"/>
    </w:rPr>
  </w:style>
  <w:style w:type="paragraph" w:styleId="En-ttedetabledesmatires">
    <w:name w:val="TOC Heading"/>
    <w:basedOn w:val="Titre1"/>
    <w:next w:val="Normal"/>
    <w:uiPriority w:val="39"/>
    <w:unhideWhenUsed/>
    <w:qFormat/>
    <w:rsid w:val="006760BB"/>
    <w:pPr>
      <w:keepLines/>
      <w:spacing w:after="0" w:line="259" w:lineRule="auto"/>
      <w:outlineLvl w:val="9"/>
    </w:pPr>
    <w:rPr>
      <w:rFonts w:asciiTheme="majorHAnsi" w:eastAsiaTheme="majorEastAsia" w:hAnsiTheme="majorHAnsi" w:cstheme="majorBidi"/>
      <w:b w:val="0"/>
      <w:color w:val="2E74B5" w:themeColor="accent1" w:themeShade="BF"/>
      <w:kern w:val="0"/>
      <w:sz w:val="32"/>
      <w:szCs w:val="32"/>
      <w:lang w:eastAsia="fr-CA"/>
    </w:rPr>
  </w:style>
  <w:style w:type="paragraph" w:styleId="TM1">
    <w:name w:val="toc 1"/>
    <w:basedOn w:val="Normal"/>
    <w:next w:val="Normal"/>
    <w:autoRedefine/>
    <w:uiPriority w:val="39"/>
    <w:unhideWhenUsed/>
    <w:rsid w:val="00F127F7"/>
    <w:pPr>
      <w:tabs>
        <w:tab w:val="left" w:pos="480"/>
        <w:tab w:val="right" w:leader="dot" w:pos="9352"/>
      </w:tabs>
      <w:spacing w:after="100"/>
    </w:pPr>
    <w:rPr>
      <w:b/>
      <w:bCs/>
      <w:smallCaps/>
      <w:noProof/>
      <w:lang w:val="en-CA"/>
    </w:rPr>
  </w:style>
  <w:style w:type="paragraph" w:styleId="TM2">
    <w:name w:val="toc 2"/>
    <w:basedOn w:val="Normal"/>
    <w:next w:val="Normal"/>
    <w:autoRedefine/>
    <w:uiPriority w:val="39"/>
    <w:unhideWhenUsed/>
    <w:rsid w:val="00EA365F"/>
    <w:pPr>
      <w:tabs>
        <w:tab w:val="left" w:pos="880"/>
        <w:tab w:val="right" w:leader="dot" w:pos="9352"/>
      </w:tabs>
      <w:spacing w:after="100"/>
      <w:ind w:left="240"/>
    </w:pPr>
    <w:rPr>
      <w:b/>
      <w:bCs/>
      <w:noProof/>
    </w:rPr>
  </w:style>
  <w:style w:type="paragraph" w:styleId="TM3">
    <w:name w:val="toc 3"/>
    <w:basedOn w:val="Normal"/>
    <w:next w:val="Normal"/>
    <w:autoRedefine/>
    <w:uiPriority w:val="39"/>
    <w:unhideWhenUsed/>
    <w:rsid w:val="00F03D2B"/>
    <w:pPr>
      <w:tabs>
        <w:tab w:val="right" w:leader="dot" w:pos="9352"/>
      </w:tabs>
      <w:spacing w:after="100"/>
      <w:ind w:left="480"/>
    </w:pPr>
    <w:rPr>
      <w:b/>
      <w:bCs/>
      <w:noProof/>
    </w:rPr>
  </w:style>
  <w:style w:type="character" w:styleId="Lienvisit">
    <w:name w:val="FollowedHyperlink"/>
    <w:basedOn w:val="Policepardfaut"/>
    <w:uiPriority w:val="99"/>
    <w:semiHidden/>
    <w:unhideWhenUsed/>
    <w:rsid w:val="00781108"/>
    <w:rPr>
      <w:color w:val="954F72" w:themeColor="followedHyperlink"/>
      <w:u w:val="single"/>
    </w:rPr>
  </w:style>
  <w:style w:type="character" w:styleId="Mentionnonrsolue">
    <w:name w:val="Unresolved Mention"/>
    <w:basedOn w:val="Policepardfaut"/>
    <w:uiPriority w:val="99"/>
    <w:semiHidden/>
    <w:unhideWhenUsed/>
    <w:rsid w:val="00B24823"/>
    <w:rPr>
      <w:color w:val="605E5C"/>
      <w:shd w:val="clear" w:color="auto" w:fill="E1DFDD"/>
    </w:rPr>
  </w:style>
  <w:style w:type="paragraph" w:styleId="Listepuces">
    <w:name w:val="List Bullet"/>
    <w:basedOn w:val="Normal"/>
    <w:uiPriority w:val="99"/>
    <w:unhideWhenUsed/>
    <w:rsid w:val="00755995"/>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24BC-8327-434E-900B-FE9C61529830}">
  <ds:schemaRefs>
    <ds:schemaRef ds:uri="http://schemas.openxmlformats.org/officeDocument/2006/bibliography"/>
  </ds:schemaRefs>
</ds:datastoreItem>
</file>

<file path=docMetadata/LabelInfo.xml><?xml version="1.0" encoding="utf-8"?>
<clbl:labelList xmlns:clbl="http://schemas.microsoft.com/office/2020/mipLabelMetadata">
  <clbl:label id="{3f6dec78-7ded-4395-975c-6edbb7d10b16}" enabled="0" method="" siteId="{3f6dec78-7ded-4395-975c-6edbb7d10b16}" removed="1"/>
</clbl:labelList>
</file>

<file path=docProps/app.xml><?xml version="1.0" encoding="utf-8"?>
<Properties xmlns="http://schemas.openxmlformats.org/officeDocument/2006/extended-properties" xmlns:vt="http://schemas.openxmlformats.org/officeDocument/2006/docPropsVTypes">
  <Template>Normal</Template>
  <TotalTime>1</TotalTime>
  <Pages>71</Pages>
  <Words>24534</Words>
  <Characters>134937</Characters>
  <Application>Microsoft Office Word</Application>
  <DocSecurity>0</DocSecurity>
  <Lines>1124</Lines>
  <Paragraphs>318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Ubiqus Canada</dc:creator>
  <cp:lastModifiedBy>Traduction</cp:lastModifiedBy>
  <cp:revision>2</cp:revision>
  <dcterms:created xsi:type="dcterms:W3CDTF">2025-04-10T14:28:00Z</dcterms:created>
  <dcterms:modified xsi:type="dcterms:W3CDTF">2025-04-10T14:28:00Z</dcterms:modified>
</cp:coreProperties>
</file>