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4F08" w14:textId="2516C78A" w:rsidR="00931347" w:rsidRPr="00931347" w:rsidRDefault="00931347">
      <w:pPr>
        <w:rPr>
          <w:b/>
          <w:bCs/>
        </w:rPr>
      </w:pPr>
      <w:r w:rsidRPr="00931347">
        <w:rPr>
          <w:b/>
          <w:bCs/>
          <w:szCs w:val="24"/>
          <w:lang w:val="en-CA"/>
        </w:rPr>
        <w:t>English translation of the judgment of the Court</w:t>
      </w:r>
    </w:p>
    <w:tbl>
      <w:tblPr>
        <w:tblW w:w="9360" w:type="dxa"/>
        <w:tblLayout w:type="fixed"/>
        <w:tblCellMar>
          <w:left w:w="0" w:type="dxa"/>
          <w:right w:w="0" w:type="dxa"/>
        </w:tblCellMar>
        <w:tblLook w:val="0000" w:firstRow="0" w:lastRow="0" w:firstColumn="0" w:lastColumn="0" w:noHBand="0" w:noVBand="0"/>
      </w:tblPr>
      <w:tblGrid>
        <w:gridCol w:w="1030"/>
        <w:gridCol w:w="388"/>
        <w:gridCol w:w="202"/>
        <w:gridCol w:w="2350"/>
        <w:gridCol w:w="3402"/>
        <w:gridCol w:w="1988"/>
      </w:tblGrid>
      <w:tr w:rsidR="0004225D" w:rsidRPr="00403CE7" w14:paraId="17F5F17C" w14:textId="77777777" w:rsidTr="008D18FC">
        <w:trPr>
          <w:trHeight w:val="248"/>
        </w:trPr>
        <w:tc>
          <w:tcPr>
            <w:tcW w:w="7372" w:type="dxa"/>
            <w:gridSpan w:val="5"/>
          </w:tcPr>
          <w:p w14:paraId="17F5F17A" w14:textId="3C0064AC" w:rsidR="0004225D" w:rsidRPr="00E86980" w:rsidRDefault="0004225D" w:rsidP="0004225D">
            <w:pPr>
              <w:pStyle w:val="zSoquijdatRepertorie"/>
              <w:rPr>
                <w:sz w:val="24"/>
                <w:szCs w:val="24"/>
                <w:lang w:val="en-CA"/>
              </w:rPr>
            </w:pPr>
            <w:r>
              <w:rPr>
                <w:rFonts w:cs="Arial"/>
              </w:rPr>
              <w:t xml:space="preserve">Procureur général du Québec c. </w:t>
            </w:r>
            <w:proofErr w:type="spellStart"/>
            <w:r>
              <w:rPr>
                <w:rFonts w:cs="Arial"/>
              </w:rPr>
              <w:t>Quebec</w:t>
            </w:r>
            <w:proofErr w:type="spellEnd"/>
            <w:r>
              <w:rPr>
                <w:rFonts w:cs="Arial"/>
              </w:rPr>
              <w:t xml:space="preserve"> English </w:t>
            </w:r>
            <w:proofErr w:type="spellStart"/>
            <w:r>
              <w:rPr>
                <w:rFonts w:cs="Arial"/>
              </w:rPr>
              <w:t>School</w:t>
            </w:r>
            <w:proofErr w:type="spellEnd"/>
            <w:r>
              <w:rPr>
                <w:rFonts w:cs="Arial"/>
              </w:rPr>
              <w:t xml:space="preserve"> </w:t>
            </w:r>
            <w:proofErr w:type="spellStart"/>
            <w:r>
              <w:rPr>
                <w:rFonts w:cs="Arial"/>
              </w:rPr>
              <w:t>Boards</w:t>
            </w:r>
            <w:proofErr w:type="spellEnd"/>
            <w:r>
              <w:rPr>
                <w:rFonts w:cs="Arial"/>
              </w:rPr>
              <w:t xml:space="preserve"> Association</w:t>
            </w:r>
          </w:p>
        </w:tc>
        <w:tc>
          <w:tcPr>
            <w:tcW w:w="1988" w:type="dxa"/>
          </w:tcPr>
          <w:p w14:paraId="17F5F17B" w14:textId="7622EEB3" w:rsidR="0004225D" w:rsidRPr="000A0EA1" w:rsidRDefault="0004225D" w:rsidP="0004225D">
            <w:pPr>
              <w:pStyle w:val="zSoquijdatRefNeutre"/>
              <w:jc w:val="right"/>
              <w:rPr>
                <w:lang w:val="en-CA"/>
              </w:rPr>
            </w:pPr>
            <w:r>
              <w:rPr>
                <w:rFonts w:cs="Arial"/>
              </w:rPr>
              <w:t>2025 QCCA 383</w:t>
            </w:r>
          </w:p>
        </w:tc>
      </w:tr>
      <w:tr w:rsidR="004936F2" w:rsidRPr="000A0EA1" w14:paraId="17F5F17E" w14:textId="77777777" w:rsidTr="008D18FC">
        <w:trPr>
          <w:trHeight w:val="247"/>
        </w:trPr>
        <w:tc>
          <w:tcPr>
            <w:tcW w:w="9360" w:type="dxa"/>
            <w:gridSpan w:val="6"/>
          </w:tcPr>
          <w:p w14:paraId="17F5F17D" w14:textId="7AF3F19A" w:rsidR="008F364A" w:rsidRPr="000A0EA1" w:rsidRDefault="00B02E00" w:rsidP="00B255B8">
            <w:pPr>
              <w:pStyle w:val="zSoquijlblCour"/>
              <w:spacing w:line="240" w:lineRule="auto"/>
              <w:rPr>
                <w:lang w:val="en-CA"/>
              </w:rPr>
            </w:pPr>
            <w:r w:rsidRPr="000A0EA1">
              <w:rPr>
                <w:bCs/>
                <w:lang w:val="en-CA"/>
              </w:rPr>
              <w:t>COURT OF APPEAL</w:t>
            </w:r>
          </w:p>
        </w:tc>
      </w:tr>
      <w:tr w:rsidR="004936F2" w:rsidRPr="000A0EA1" w14:paraId="17F5F180" w14:textId="77777777" w:rsidTr="008D18FC">
        <w:trPr>
          <w:trHeight w:val="540"/>
        </w:trPr>
        <w:tc>
          <w:tcPr>
            <w:tcW w:w="9360" w:type="dxa"/>
            <w:gridSpan w:val="6"/>
          </w:tcPr>
          <w:p w14:paraId="17F5F17F" w14:textId="77777777" w:rsidR="008F364A" w:rsidRPr="000A0EA1" w:rsidRDefault="008F364A" w:rsidP="00B255B8">
            <w:pPr>
              <w:pStyle w:val="zSoquijdatDivision"/>
              <w:spacing w:line="240" w:lineRule="auto"/>
              <w:rPr>
                <w:lang w:val="en-CA"/>
              </w:rPr>
            </w:pPr>
          </w:p>
        </w:tc>
      </w:tr>
      <w:tr w:rsidR="004936F2" w:rsidRPr="000A0EA1" w14:paraId="17F5F182" w14:textId="77777777" w:rsidTr="008D18FC">
        <w:tc>
          <w:tcPr>
            <w:tcW w:w="9360" w:type="dxa"/>
            <w:gridSpan w:val="6"/>
          </w:tcPr>
          <w:p w14:paraId="17F5F181" w14:textId="77777777" w:rsidR="008F364A" w:rsidRPr="000A0EA1" w:rsidRDefault="00B02E00" w:rsidP="00B255B8">
            <w:pPr>
              <w:pStyle w:val="zSoquijlblPays"/>
              <w:spacing w:line="240" w:lineRule="auto"/>
              <w:rPr>
                <w:lang w:val="en-CA"/>
              </w:rPr>
            </w:pPr>
            <w:r w:rsidRPr="000A0EA1">
              <w:rPr>
                <w:lang w:val="en-CA"/>
              </w:rPr>
              <w:t>CANADA</w:t>
            </w:r>
          </w:p>
        </w:tc>
      </w:tr>
      <w:tr w:rsidR="004936F2" w:rsidRPr="000A0EA1" w14:paraId="17F5F184" w14:textId="77777777" w:rsidTr="008D18FC">
        <w:tc>
          <w:tcPr>
            <w:tcW w:w="9360" w:type="dxa"/>
            <w:gridSpan w:val="6"/>
          </w:tcPr>
          <w:p w14:paraId="17F5F183" w14:textId="77777777" w:rsidR="008F364A" w:rsidRPr="000A0EA1" w:rsidRDefault="00B02E00" w:rsidP="00B255B8">
            <w:pPr>
              <w:pStyle w:val="zSoquijlblProvince"/>
              <w:spacing w:line="240" w:lineRule="auto"/>
              <w:rPr>
                <w:lang w:val="en-CA"/>
              </w:rPr>
            </w:pPr>
            <w:r w:rsidRPr="000A0EA1">
              <w:rPr>
                <w:lang w:val="en-CA"/>
              </w:rPr>
              <w:t>PROVINCE OF QUEBEC</w:t>
            </w:r>
          </w:p>
        </w:tc>
      </w:tr>
      <w:tr w:rsidR="004936F2" w:rsidRPr="000A0EA1" w14:paraId="17F5F188" w14:textId="77777777" w:rsidTr="00B02E00">
        <w:tc>
          <w:tcPr>
            <w:tcW w:w="1418" w:type="dxa"/>
            <w:gridSpan w:val="2"/>
          </w:tcPr>
          <w:p w14:paraId="1A21C6FF" w14:textId="43DB3477" w:rsidR="008F364A" w:rsidRDefault="00631B58" w:rsidP="00B255B8">
            <w:pPr>
              <w:pStyle w:val="zSoquijdatGreffe"/>
              <w:spacing w:line="240" w:lineRule="auto"/>
              <w:rPr>
                <w:lang w:val="en-CA"/>
              </w:rPr>
            </w:pPr>
            <w:r w:rsidRPr="00B02E00">
              <w:t>MONTREAL</w:t>
            </w:r>
            <w:r w:rsidRPr="00631B58">
              <w:rPr>
                <w:lang w:val="en-CA"/>
              </w:rPr>
              <w:t xml:space="preserve"> </w:t>
            </w:r>
          </w:p>
          <w:p w14:paraId="17F5F186" w14:textId="282363E5" w:rsidR="00631B58" w:rsidRPr="000A0EA1" w:rsidRDefault="00631B58" w:rsidP="00B255B8">
            <w:pPr>
              <w:pStyle w:val="zSoquijlblGreffe"/>
              <w:spacing w:line="240" w:lineRule="auto"/>
              <w:rPr>
                <w:lang w:val="en-CA"/>
              </w:rPr>
            </w:pPr>
          </w:p>
        </w:tc>
        <w:tc>
          <w:tcPr>
            <w:tcW w:w="7942" w:type="dxa"/>
            <w:gridSpan w:val="4"/>
          </w:tcPr>
          <w:p w14:paraId="17F5F187" w14:textId="02B7A344" w:rsidR="008F364A" w:rsidRPr="000A0EA1" w:rsidRDefault="00B02E00" w:rsidP="00B255B8">
            <w:pPr>
              <w:pStyle w:val="zSoquijlblGreffe"/>
              <w:spacing w:line="240" w:lineRule="auto"/>
              <w:rPr>
                <w:lang w:val="en-CA"/>
              </w:rPr>
            </w:pPr>
            <w:r w:rsidRPr="00B02E00">
              <w:t>SEAT</w:t>
            </w:r>
          </w:p>
        </w:tc>
      </w:tr>
      <w:tr w:rsidR="004936F2" w:rsidRPr="000A0EA1" w14:paraId="17F5F18B" w14:textId="77777777" w:rsidTr="008D18FC">
        <w:tc>
          <w:tcPr>
            <w:tcW w:w="1030" w:type="dxa"/>
          </w:tcPr>
          <w:p w14:paraId="17F5F189" w14:textId="77777777" w:rsidR="008F364A" w:rsidRPr="000A0EA1" w:rsidRDefault="00B02E00" w:rsidP="00B255B8">
            <w:pPr>
              <w:pStyle w:val="zSoquijlblNoDossier"/>
              <w:spacing w:line="240" w:lineRule="auto"/>
              <w:rPr>
                <w:lang w:val="en-CA"/>
              </w:rPr>
            </w:pPr>
            <w:r w:rsidRPr="000A0EA1">
              <w:rPr>
                <w:lang w:val="en-CA"/>
              </w:rPr>
              <w:t>No.:</w:t>
            </w:r>
          </w:p>
        </w:tc>
        <w:tc>
          <w:tcPr>
            <w:tcW w:w="8330" w:type="dxa"/>
            <w:gridSpan w:val="5"/>
          </w:tcPr>
          <w:p w14:paraId="17F5F18A" w14:textId="77777777" w:rsidR="008F364A" w:rsidRPr="000A0EA1" w:rsidRDefault="00B02E00" w:rsidP="00B255B8">
            <w:pPr>
              <w:pStyle w:val="zSoquijdatNoDossier"/>
              <w:spacing w:line="240" w:lineRule="auto"/>
              <w:rPr>
                <w:lang w:val="en-CA"/>
              </w:rPr>
            </w:pPr>
            <w:bookmarkStart w:id="0" w:name="NoDossier"/>
            <w:r w:rsidRPr="000A0EA1">
              <w:rPr>
                <w:lang w:val="en-CA"/>
              </w:rPr>
              <w:t>500-09-030704-233</w:t>
            </w:r>
            <w:bookmarkEnd w:id="0"/>
          </w:p>
        </w:tc>
      </w:tr>
      <w:tr w:rsidR="004936F2" w:rsidRPr="000A0EA1" w14:paraId="17F5F18D" w14:textId="77777777" w:rsidTr="008D18FC">
        <w:tc>
          <w:tcPr>
            <w:tcW w:w="9360" w:type="dxa"/>
            <w:gridSpan w:val="6"/>
          </w:tcPr>
          <w:p w14:paraId="17F5F18C" w14:textId="77777777" w:rsidR="00B05482" w:rsidRPr="000A0EA1" w:rsidRDefault="00B02E00" w:rsidP="00B255B8">
            <w:pPr>
              <w:pStyle w:val="zSoquijdatNoDossierAnt"/>
              <w:spacing w:line="240" w:lineRule="auto"/>
              <w:rPr>
                <w:lang w:val="en-CA"/>
              </w:rPr>
            </w:pPr>
            <w:r w:rsidRPr="000A0EA1">
              <w:rPr>
                <w:lang w:val="en-CA"/>
              </w:rPr>
              <w:t>(500-17-112190-205)</w:t>
            </w:r>
          </w:p>
        </w:tc>
      </w:tr>
      <w:tr w:rsidR="004936F2" w:rsidRPr="000A0EA1" w14:paraId="17F5F18F" w14:textId="77777777" w:rsidTr="008D18FC">
        <w:tc>
          <w:tcPr>
            <w:tcW w:w="9360" w:type="dxa"/>
            <w:gridSpan w:val="6"/>
          </w:tcPr>
          <w:p w14:paraId="17F5F18E" w14:textId="77777777" w:rsidR="008F364A" w:rsidRPr="000A0EA1" w:rsidRDefault="008F364A" w:rsidP="00B255B8">
            <w:pPr>
              <w:spacing w:line="240" w:lineRule="auto"/>
              <w:rPr>
                <w:lang w:val="en-CA"/>
              </w:rPr>
            </w:pPr>
          </w:p>
        </w:tc>
      </w:tr>
      <w:tr w:rsidR="004936F2" w:rsidRPr="00481163" w14:paraId="17F5F192" w14:textId="77777777" w:rsidTr="008D18FC">
        <w:tc>
          <w:tcPr>
            <w:tcW w:w="1030" w:type="dxa"/>
          </w:tcPr>
          <w:p w14:paraId="17F5F190" w14:textId="77777777" w:rsidR="008F364A" w:rsidRPr="000A0EA1" w:rsidRDefault="00B02E00" w:rsidP="00B255B8">
            <w:pPr>
              <w:pStyle w:val="zSoquijlblDateJugement"/>
              <w:spacing w:line="240" w:lineRule="auto"/>
              <w:rPr>
                <w:lang w:val="en-CA"/>
              </w:rPr>
            </w:pPr>
            <w:r w:rsidRPr="000A0EA1">
              <w:rPr>
                <w:lang w:val="en-CA"/>
              </w:rPr>
              <w:t>DATE:</w:t>
            </w:r>
          </w:p>
        </w:tc>
        <w:tc>
          <w:tcPr>
            <w:tcW w:w="8330" w:type="dxa"/>
            <w:gridSpan w:val="5"/>
          </w:tcPr>
          <w:p w14:paraId="17F5F191" w14:textId="65FA8FE1" w:rsidR="008F364A" w:rsidRPr="00C1673A" w:rsidRDefault="00233157" w:rsidP="00B255B8">
            <w:pPr>
              <w:pStyle w:val="zSoquijdatDateJugement"/>
              <w:spacing w:line="240" w:lineRule="auto"/>
              <w:rPr>
                <w:lang w:val="en-CA"/>
              </w:rPr>
            </w:pPr>
            <w:r>
              <w:rPr>
                <w:lang w:val="en-CA"/>
              </w:rPr>
              <w:t>April</w:t>
            </w:r>
            <w:r w:rsidR="00C1673A" w:rsidRPr="00C1673A">
              <w:rPr>
                <w:lang w:val="en-CA"/>
              </w:rPr>
              <w:t xml:space="preserve"> </w:t>
            </w:r>
            <w:r w:rsidR="00D70422">
              <w:rPr>
                <w:lang w:val="en-CA"/>
              </w:rPr>
              <w:t>3</w:t>
            </w:r>
            <w:r w:rsidR="00C1673A" w:rsidRPr="00C1673A">
              <w:rPr>
                <w:lang w:val="en-CA"/>
              </w:rPr>
              <w:t>, 2025</w:t>
            </w:r>
          </w:p>
        </w:tc>
      </w:tr>
      <w:tr w:rsidR="004936F2" w:rsidRPr="00481163" w14:paraId="17F5F194" w14:textId="77777777" w:rsidTr="00B255B8">
        <w:tc>
          <w:tcPr>
            <w:tcW w:w="9360" w:type="dxa"/>
            <w:gridSpan w:val="6"/>
          </w:tcPr>
          <w:p w14:paraId="17F5F193" w14:textId="77777777" w:rsidR="008F364A" w:rsidRPr="00C1673A" w:rsidRDefault="008F364A" w:rsidP="00B255B8">
            <w:pPr>
              <w:spacing w:line="240" w:lineRule="auto"/>
              <w:rPr>
                <w:lang w:val="en-CA"/>
              </w:rPr>
            </w:pPr>
          </w:p>
        </w:tc>
      </w:tr>
      <w:tr w:rsidR="004936F2" w:rsidRPr="00481163" w14:paraId="17F5F196" w14:textId="77777777" w:rsidTr="00B255B8">
        <w:tc>
          <w:tcPr>
            <w:tcW w:w="9360" w:type="dxa"/>
            <w:gridSpan w:val="6"/>
          </w:tcPr>
          <w:p w14:paraId="17F5F195" w14:textId="77777777" w:rsidR="008F364A" w:rsidRPr="00C1673A" w:rsidRDefault="008F364A" w:rsidP="00B255B8">
            <w:pPr>
              <w:spacing w:line="240" w:lineRule="auto"/>
              <w:rPr>
                <w:lang w:val="en-CA"/>
              </w:rPr>
            </w:pPr>
          </w:p>
        </w:tc>
      </w:tr>
      <w:tr w:rsidR="004936F2" w:rsidRPr="000A0EA1" w14:paraId="17F5F19C" w14:textId="77777777" w:rsidTr="008D18FC">
        <w:tc>
          <w:tcPr>
            <w:tcW w:w="1620" w:type="dxa"/>
            <w:gridSpan w:val="3"/>
          </w:tcPr>
          <w:p w14:paraId="17F5F197" w14:textId="77777777" w:rsidR="008F364A" w:rsidRPr="000A0EA1" w:rsidRDefault="00B02E00" w:rsidP="00B255B8">
            <w:pPr>
              <w:pStyle w:val="zSoquijlblJuge"/>
              <w:spacing w:line="240" w:lineRule="auto"/>
              <w:ind w:right="-142"/>
              <w:rPr>
                <w:lang w:val="en-CA"/>
              </w:rPr>
            </w:pPr>
            <w:bookmarkStart w:id="1" w:name="FORMATION"/>
            <w:r w:rsidRPr="000A0EA1">
              <w:rPr>
                <w:bCs/>
                <w:lang w:val="en-CA"/>
              </w:rPr>
              <w:t>CORAM:</w:t>
            </w:r>
            <w:bookmarkEnd w:id="1"/>
          </w:p>
        </w:tc>
        <w:tc>
          <w:tcPr>
            <w:tcW w:w="2350" w:type="dxa"/>
          </w:tcPr>
          <w:p w14:paraId="17F5F198" w14:textId="77777777" w:rsidR="008F364A" w:rsidRPr="000A0EA1" w:rsidRDefault="00B02E00" w:rsidP="00B255B8">
            <w:pPr>
              <w:pStyle w:val="zSoquijdatQteJuge"/>
              <w:spacing w:line="240" w:lineRule="auto"/>
              <w:rPr>
                <w:lang w:val="en-CA"/>
              </w:rPr>
            </w:pPr>
            <w:bookmarkStart w:id="2" w:name="Honorables"/>
            <w:r w:rsidRPr="000A0EA1">
              <w:rPr>
                <w:bCs/>
                <w:lang w:val="en-CA"/>
              </w:rPr>
              <w:t>THE HONOURABLE</w:t>
            </w:r>
            <w:bookmarkEnd w:id="2"/>
          </w:p>
        </w:tc>
        <w:tc>
          <w:tcPr>
            <w:tcW w:w="5390" w:type="dxa"/>
            <w:gridSpan w:val="2"/>
          </w:tcPr>
          <w:p w14:paraId="17F5F199" w14:textId="77777777" w:rsidR="008F364A" w:rsidRPr="007D51DF" w:rsidRDefault="00B02E00" w:rsidP="00B255B8">
            <w:pPr>
              <w:pStyle w:val="zSoquijdatJuge"/>
              <w:spacing w:line="240" w:lineRule="auto"/>
            </w:pPr>
            <w:bookmarkStart w:id="3" w:name="NomJuge1"/>
            <w:r w:rsidRPr="007D51DF">
              <w:rPr>
                <w:bCs/>
              </w:rPr>
              <w:t>ROBERT M. MAINVILLE, J.A.</w:t>
            </w:r>
            <w:bookmarkEnd w:id="3"/>
          </w:p>
          <w:p w14:paraId="17F5F19A" w14:textId="77777777" w:rsidR="008F364A" w:rsidRPr="000A0EA1" w:rsidRDefault="00B02E00" w:rsidP="00B255B8">
            <w:pPr>
              <w:pStyle w:val="zSoquijdatJuge"/>
              <w:spacing w:line="240" w:lineRule="auto"/>
              <w:rPr>
                <w:lang w:val="en-CA"/>
              </w:rPr>
            </w:pPr>
            <w:bookmarkStart w:id="4" w:name="NomJuge2"/>
            <w:r w:rsidRPr="000A0EA1">
              <w:rPr>
                <w:bCs/>
                <w:lang w:val="en-CA"/>
              </w:rPr>
              <w:t>CHRISTINE BAUDOUIN, J.A.</w:t>
            </w:r>
            <w:bookmarkEnd w:id="4"/>
          </w:p>
          <w:p w14:paraId="17F5F19B" w14:textId="77777777" w:rsidR="005A78BF" w:rsidRPr="000A0EA1" w:rsidRDefault="00B02E00" w:rsidP="00B255B8">
            <w:pPr>
              <w:pStyle w:val="zSoquijdatJuge"/>
              <w:spacing w:line="240" w:lineRule="auto"/>
              <w:rPr>
                <w:lang w:val="en-CA"/>
              </w:rPr>
            </w:pPr>
            <w:bookmarkStart w:id="5" w:name="_Hlt520513784"/>
            <w:bookmarkStart w:id="6" w:name="NomJuge3"/>
            <w:bookmarkEnd w:id="5"/>
            <w:r w:rsidRPr="000A0EA1">
              <w:rPr>
                <w:bCs/>
                <w:lang w:val="en-CA"/>
              </w:rPr>
              <w:t>JUDITH HARVIE, J.A.</w:t>
            </w:r>
            <w:bookmarkEnd w:id="6"/>
          </w:p>
        </w:tc>
      </w:tr>
      <w:tr w:rsidR="004936F2" w:rsidRPr="000A0EA1" w14:paraId="17F5F19E" w14:textId="77777777" w:rsidTr="00B255B8">
        <w:tc>
          <w:tcPr>
            <w:tcW w:w="9360" w:type="dxa"/>
            <w:gridSpan w:val="6"/>
          </w:tcPr>
          <w:p w14:paraId="17F5F19D" w14:textId="77777777" w:rsidR="008F364A" w:rsidRPr="000A0EA1" w:rsidRDefault="008F364A" w:rsidP="00B255B8">
            <w:pPr>
              <w:spacing w:line="240" w:lineRule="auto"/>
              <w:rPr>
                <w:lang w:val="en-CA"/>
              </w:rPr>
            </w:pPr>
          </w:p>
        </w:tc>
      </w:tr>
      <w:tr w:rsidR="004936F2" w:rsidRPr="000A0EA1" w14:paraId="17F5F1A0" w14:textId="77777777" w:rsidTr="008D18FC">
        <w:tc>
          <w:tcPr>
            <w:tcW w:w="9360" w:type="dxa"/>
            <w:gridSpan w:val="6"/>
          </w:tcPr>
          <w:p w14:paraId="17F5F19F" w14:textId="77777777" w:rsidR="008F364A" w:rsidRPr="000A0EA1" w:rsidRDefault="008F364A" w:rsidP="00B255B8">
            <w:pPr>
              <w:spacing w:line="240" w:lineRule="auto"/>
              <w:rPr>
                <w:lang w:val="en-CA"/>
              </w:rPr>
            </w:pPr>
          </w:p>
        </w:tc>
      </w:tr>
      <w:tr w:rsidR="004936F2" w:rsidRPr="000A0EA1" w14:paraId="17F5F1A2" w14:textId="77777777" w:rsidTr="008D18FC">
        <w:tc>
          <w:tcPr>
            <w:tcW w:w="9360" w:type="dxa"/>
            <w:gridSpan w:val="6"/>
          </w:tcPr>
          <w:p w14:paraId="17F5F1A1" w14:textId="77777777" w:rsidR="008F364A" w:rsidRPr="000A0EA1" w:rsidRDefault="00B02E00" w:rsidP="00B255B8">
            <w:pPr>
              <w:pStyle w:val="zSoquijdatNomPartieDem"/>
              <w:spacing w:line="240" w:lineRule="auto"/>
              <w:rPr>
                <w:lang w:val="en-CA"/>
              </w:rPr>
            </w:pPr>
            <w:r w:rsidRPr="000A0EA1">
              <w:rPr>
                <w:lang w:val="en-CA"/>
              </w:rPr>
              <w:t>ATTORNEY GENERAL OF QUEBEC</w:t>
            </w:r>
          </w:p>
        </w:tc>
      </w:tr>
      <w:tr w:rsidR="004936F2" w:rsidRPr="000A0EA1" w14:paraId="17F5F1A4" w14:textId="77777777" w:rsidTr="008D18FC">
        <w:tc>
          <w:tcPr>
            <w:tcW w:w="9360" w:type="dxa"/>
            <w:gridSpan w:val="6"/>
          </w:tcPr>
          <w:p w14:paraId="17F5F1A3" w14:textId="77777777" w:rsidR="008F364A" w:rsidRPr="000A0EA1" w:rsidRDefault="00B02E00" w:rsidP="00B255B8">
            <w:pPr>
              <w:pStyle w:val="zSoquijdatQtePartieDem"/>
              <w:spacing w:line="240" w:lineRule="auto"/>
              <w:rPr>
                <w:lang w:val="en-CA"/>
              </w:rPr>
            </w:pPr>
            <w:r w:rsidRPr="000A0EA1">
              <w:rPr>
                <w:lang w:val="en-CA"/>
              </w:rPr>
              <w:t>APPELLANT – Defendant</w:t>
            </w:r>
          </w:p>
        </w:tc>
      </w:tr>
      <w:tr w:rsidR="004936F2" w:rsidRPr="000A0EA1" w14:paraId="17F5F1A6" w14:textId="77777777" w:rsidTr="008D18FC">
        <w:tc>
          <w:tcPr>
            <w:tcW w:w="9360" w:type="dxa"/>
            <w:gridSpan w:val="6"/>
          </w:tcPr>
          <w:p w14:paraId="17F5F1A5" w14:textId="77777777" w:rsidR="008F364A" w:rsidRPr="000A0EA1" w:rsidRDefault="00B02E00" w:rsidP="00B255B8">
            <w:pPr>
              <w:pStyle w:val="zSoquijlblLienParties"/>
              <w:spacing w:line="240" w:lineRule="auto"/>
              <w:rPr>
                <w:lang w:val="en-CA"/>
              </w:rPr>
            </w:pPr>
            <w:r w:rsidRPr="000A0EA1">
              <w:rPr>
                <w:lang w:val="en-CA"/>
              </w:rPr>
              <w:t>v.</w:t>
            </w:r>
          </w:p>
        </w:tc>
      </w:tr>
      <w:tr w:rsidR="004936F2" w:rsidRPr="000A0EA1" w14:paraId="17F5F1A8" w14:textId="77777777" w:rsidTr="008D18FC">
        <w:tc>
          <w:tcPr>
            <w:tcW w:w="9360" w:type="dxa"/>
            <w:gridSpan w:val="6"/>
          </w:tcPr>
          <w:p w14:paraId="17F5F1A7" w14:textId="77777777" w:rsidR="008F364A" w:rsidRPr="000A0EA1" w:rsidRDefault="008F364A" w:rsidP="00B255B8">
            <w:pPr>
              <w:spacing w:line="240" w:lineRule="auto"/>
              <w:rPr>
                <w:lang w:val="en-CA"/>
              </w:rPr>
            </w:pPr>
          </w:p>
        </w:tc>
      </w:tr>
      <w:tr w:rsidR="004936F2" w:rsidRPr="00403CE7" w14:paraId="17F5F1AA" w14:textId="77777777" w:rsidTr="008D18FC">
        <w:tc>
          <w:tcPr>
            <w:tcW w:w="9360" w:type="dxa"/>
            <w:gridSpan w:val="6"/>
          </w:tcPr>
          <w:p w14:paraId="17F5F1A9" w14:textId="77777777" w:rsidR="008F364A" w:rsidRPr="000A0EA1" w:rsidRDefault="00B02E00" w:rsidP="00B255B8">
            <w:pPr>
              <w:pStyle w:val="zSoquijdatNomPartieDef"/>
              <w:spacing w:line="240" w:lineRule="auto"/>
              <w:rPr>
                <w:lang w:val="en-CA"/>
              </w:rPr>
            </w:pPr>
            <w:r w:rsidRPr="000A0EA1">
              <w:rPr>
                <w:lang w:val="en-CA"/>
              </w:rPr>
              <w:t>QUEBEC ENGLISH SCHOOL BOARDS ASSOCIATION</w:t>
            </w:r>
          </w:p>
        </w:tc>
      </w:tr>
      <w:tr w:rsidR="004936F2" w:rsidRPr="00403CE7" w14:paraId="17F5F1AC" w14:textId="77777777" w:rsidTr="008D18FC">
        <w:tc>
          <w:tcPr>
            <w:tcW w:w="9360" w:type="dxa"/>
            <w:gridSpan w:val="6"/>
          </w:tcPr>
          <w:p w14:paraId="17F5F1AB" w14:textId="77777777" w:rsidR="00B05482" w:rsidRPr="000A0EA1" w:rsidRDefault="00B02E00" w:rsidP="00B255B8">
            <w:pPr>
              <w:pStyle w:val="zSoquijdatNomPartieDef"/>
              <w:spacing w:line="240" w:lineRule="auto"/>
              <w:rPr>
                <w:lang w:val="en-CA"/>
              </w:rPr>
            </w:pPr>
            <w:r w:rsidRPr="000A0EA1">
              <w:rPr>
                <w:lang w:val="en-CA"/>
              </w:rPr>
              <w:t>LESTER B. PEARSON SCHOOL BOARD</w:t>
            </w:r>
          </w:p>
        </w:tc>
      </w:tr>
      <w:tr w:rsidR="004936F2" w:rsidRPr="000A0EA1" w14:paraId="17F5F1AE" w14:textId="77777777" w:rsidTr="008D18FC">
        <w:tc>
          <w:tcPr>
            <w:tcW w:w="9360" w:type="dxa"/>
            <w:gridSpan w:val="6"/>
          </w:tcPr>
          <w:p w14:paraId="17F5F1AD" w14:textId="77777777" w:rsidR="00B05482" w:rsidRPr="000A0EA1" w:rsidRDefault="00B02E00" w:rsidP="00B255B8">
            <w:pPr>
              <w:pStyle w:val="zSoquijdatNomPartieDef"/>
              <w:spacing w:line="240" w:lineRule="auto"/>
              <w:rPr>
                <w:lang w:val="en-CA"/>
              </w:rPr>
            </w:pPr>
            <w:r w:rsidRPr="000A0EA1">
              <w:rPr>
                <w:lang w:val="en-CA"/>
              </w:rPr>
              <w:t>ADAM GORDON</w:t>
            </w:r>
          </w:p>
        </w:tc>
      </w:tr>
      <w:tr w:rsidR="004936F2" w:rsidRPr="000A0EA1" w14:paraId="17F5F1B0" w14:textId="77777777" w:rsidTr="008D18FC">
        <w:tc>
          <w:tcPr>
            <w:tcW w:w="9360" w:type="dxa"/>
            <w:gridSpan w:val="6"/>
          </w:tcPr>
          <w:p w14:paraId="17F5F1AF" w14:textId="76416D62" w:rsidR="008F364A" w:rsidRPr="000A0EA1" w:rsidRDefault="00B02E00" w:rsidP="00B255B8">
            <w:pPr>
              <w:pStyle w:val="zSoquijdatQtePartieDef"/>
              <w:spacing w:line="240" w:lineRule="auto"/>
              <w:rPr>
                <w:lang w:val="en-CA"/>
              </w:rPr>
            </w:pPr>
            <w:r w:rsidRPr="000A0EA1">
              <w:rPr>
                <w:lang w:val="en-CA"/>
              </w:rPr>
              <w:t xml:space="preserve">RESPONDENTS – </w:t>
            </w:r>
            <w:r w:rsidR="00403CE7">
              <w:rPr>
                <w:lang w:val="en-CA"/>
              </w:rPr>
              <w:t>Plaintiffs</w:t>
            </w:r>
          </w:p>
        </w:tc>
      </w:tr>
      <w:tr w:rsidR="004936F2" w:rsidRPr="000A0EA1" w14:paraId="17F5F1B2" w14:textId="77777777" w:rsidTr="008D18FC">
        <w:tc>
          <w:tcPr>
            <w:tcW w:w="9360" w:type="dxa"/>
            <w:gridSpan w:val="6"/>
          </w:tcPr>
          <w:p w14:paraId="17F5F1B1" w14:textId="77777777" w:rsidR="00B05482" w:rsidRPr="000A0EA1" w:rsidRDefault="00B02E00" w:rsidP="00B255B8">
            <w:pPr>
              <w:pStyle w:val="zSoquijlblLienParties"/>
              <w:spacing w:line="240" w:lineRule="auto"/>
              <w:rPr>
                <w:lang w:val="en-CA"/>
              </w:rPr>
            </w:pPr>
            <w:r w:rsidRPr="000A0EA1">
              <w:rPr>
                <w:lang w:val="en-CA"/>
              </w:rPr>
              <w:t>and</w:t>
            </w:r>
          </w:p>
        </w:tc>
      </w:tr>
      <w:tr w:rsidR="004936F2" w:rsidRPr="000A0EA1" w14:paraId="17F5F1B4" w14:textId="77777777" w:rsidTr="008D18FC">
        <w:tc>
          <w:tcPr>
            <w:tcW w:w="9360" w:type="dxa"/>
            <w:gridSpan w:val="6"/>
          </w:tcPr>
          <w:p w14:paraId="17F5F1B3" w14:textId="77777777" w:rsidR="00B05482" w:rsidRPr="000A0EA1" w:rsidRDefault="00B05482" w:rsidP="00B255B8">
            <w:pPr>
              <w:spacing w:line="240" w:lineRule="auto"/>
              <w:rPr>
                <w:lang w:val="en-CA"/>
              </w:rPr>
            </w:pPr>
          </w:p>
        </w:tc>
      </w:tr>
      <w:tr w:rsidR="004936F2" w:rsidRPr="000A0EA1" w14:paraId="17F5F1B6" w14:textId="77777777" w:rsidTr="008D18FC">
        <w:tc>
          <w:tcPr>
            <w:tcW w:w="9360" w:type="dxa"/>
            <w:gridSpan w:val="6"/>
          </w:tcPr>
          <w:p w14:paraId="17F5F1B5" w14:textId="77777777" w:rsidR="00B05482" w:rsidRPr="000A0EA1" w:rsidRDefault="00B02E00" w:rsidP="00B255B8">
            <w:pPr>
              <w:pStyle w:val="zSoquijdatNomPartieDef"/>
              <w:spacing w:line="240" w:lineRule="auto"/>
              <w:rPr>
                <w:lang w:val="en-CA"/>
              </w:rPr>
            </w:pPr>
            <w:r w:rsidRPr="000A0EA1">
              <w:rPr>
                <w:lang w:val="en-CA"/>
              </w:rPr>
              <w:t>NEW FRONTIERS SCHOOL BOARD</w:t>
            </w:r>
          </w:p>
        </w:tc>
      </w:tr>
      <w:tr w:rsidR="004936F2" w:rsidRPr="000A0EA1" w14:paraId="17F5F1B8" w14:textId="77777777" w:rsidTr="008D18FC">
        <w:tc>
          <w:tcPr>
            <w:tcW w:w="9360" w:type="dxa"/>
            <w:gridSpan w:val="6"/>
          </w:tcPr>
          <w:p w14:paraId="17F5F1B7" w14:textId="77777777" w:rsidR="00B05482" w:rsidRPr="000A0EA1" w:rsidRDefault="00B02E00" w:rsidP="00B255B8">
            <w:pPr>
              <w:pStyle w:val="zSoquijdatNomPartieDef"/>
              <w:spacing w:line="240" w:lineRule="auto"/>
              <w:rPr>
                <w:lang w:val="en-CA"/>
              </w:rPr>
            </w:pPr>
            <w:r w:rsidRPr="000A0EA1">
              <w:rPr>
                <w:lang w:val="en-CA"/>
              </w:rPr>
              <w:t>SHANNON KEYES</w:t>
            </w:r>
          </w:p>
        </w:tc>
      </w:tr>
      <w:tr w:rsidR="004936F2" w:rsidRPr="000A0EA1" w14:paraId="17F5F1BA" w14:textId="77777777" w:rsidTr="008D18FC">
        <w:tc>
          <w:tcPr>
            <w:tcW w:w="9360" w:type="dxa"/>
            <w:gridSpan w:val="6"/>
          </w:tcPr>
          <w:p w14:paraId="17F5F1B9" w14:textId="77777777" w:rsidR="00B05482" w:rsidRPr="000A0EA1" w:rsidRDefault="00B02E00" w:rsidP="00B255B8">
            <w:pPr>
              <w:pStyle w:val="zSoquijdatNomPartieDef"/>
              <w:spacing w:line="240" w:lineRule="auto"/>
              <w:rPr>
                <w:lang w:val="en-CA"/>
              </w:rPr>
            </w:pPr>
            <w:r w:rsidRPr="000A0EA1">
              <w:rPr>
                <w:lang w:val="en-CA"/>
              </w:rPr>
              <w:t>ENGLISH MONTREAL SCHOOL BOARD</w:t>
            </w:r>
          </w:p>
        </w:tc>
      </w:tr>
      <w:tr w:rsidR="004936F2" w:rsidRPr="000A0EA1" w14:paraId="17F5F1BC" w14:textId="77777777" w:rsidTr="008D18FC">
        <w:tc>
          <w:tcPr>
            <w:tcW w:w="9360" w:type="dxa"/>
            <w:gridSpan w:val="6"/>
          </w:tcPr>
          <w:p w14:paraId="17F5F1BB" w14:textId="0D110B58" w:rsidR="00B05482" w:rsidRPr="000A0EA1" w:rsidRDefault="00B02E00" w:rsidP="00B255B8">
            <w:pPr>
              <w:pStyle w:val="zSoquijdatNomPartieDef"/>
              <w:spacing w:line="240" w:lineRule="auto"/>
              <w:rPr>
                <w:lang w:val="en-CA"/>
              </w:rPr>
            </w:pPr>
            <w:r w:rsidRPr="000A0EA1">
              <w:rPr>
                <w:lang w:val="en-CA"/>
              </w:rPr>
              <w:t>WESTERN QU</w:t>
            </w:r>
            <w:r w:rsidR="00403CE7">
              <w:rPr>
                <w:lang w:val="en-CA"/>
              </w:rPr>
              <w:t>E</w:t>
            </w:r>
            <w:r w:rsidRPr="000A0EA1">
              <w:rPr>
                <w:lang w:val="en-CA"/>
              </w:rPr>
              <w:t>BEC SCHOOL BOARD</w:t>
            </w:r>
          </w:p>
        </w:tc>
      </w:tr>
      <w:tr w:rsidR="004936F2" w:rsidRPr="000A0EA1" w14:paraId="17F5F1BE" w14:textId="77777777" w:rsidTr="008D18FC">
        <w:tc>
          <w:tcPr>
            <w:tcW w:w="9360" w:type="dxa"/>
            <w:gridSpan w:val="6"/>
          </w:tcPr>
          <w:p w14:paraId="17F5F1BD" w14:textId="77777777" w:rsidR="00B05482" w:rsidRPr="000A0EA1" w:rsidRDefault="00B02E00" w:rsidP="00B255B8">
            <w:pPr>
              <w:pStyle w:val="zSoquijdatNomPartieDef"/>
              <w:spacing w:line="240" w:lineRule="auto"/>
              <w:rPr>
                <w:lang w:val="en-CA"/>
              </w:rPr>
            </w:pPr>
            <w:r w:rsidRPr="000A0EA1">
              <w:rPr>
                <w:lang w:val="en-CA"/>
              </w:rPr>
              <w:t>RIVERSIDE SCHOOL BOARD</w:t>
            </w:r>
          </w:p>
        </w:tc>
      </w:tr>
      <w:tr w:rsidR="004936F2" w:rsidRPr="000A0EA1" w14:paraId="17F5F1C0" w14:textId="77777777" w:rsidTr="008D18FC">
        <w:tc>
          <w:tcPr>
            <w:tcW w:w="9360" w:type="dxa"/>
            <w:gridSpan w:val="6"/>
          </w:tcPr>
          <w:p w14:paraId="17F5F1BF" w14:textId="77777777" w:rsidR="00B05482" w:rsidRPr="000A0EA1" w:rsidRDefault="00B02E00" w:rsidP="00B255B8">
            <w:pPr>
              <w:pStyle w:val="zSoquijdatNomPartieDef"/>
              <w:spacing w:line="240" w:lineRule="auto"/>
              <w:rPr>
                <w:lang w:val="en-CA"/>
              </w:rPr>
            </w:pPr>
            <w:r w:rsidRPr="000A0EA1">
              <w:rPr>
                <w:lang w:val="en-CA"/>
              </w:rPr>
              <w:t>EASTERN TOWNSHIPS SCHOOL BOARD</w:t>
            </w:r>
          </w:p>
        </w:tc>
      </w:tr>
      <w:tr w:rsidR="004936F2" w:rsidRPr="00403CE7" w14:paraId="17F5F1C2" w14:textId="77777777" w:rsidTr="008D18FC">
        <w:tc>
          <w:tcPr>
            <w:tcW w:w="9360" w:type="dxa"/>
            <w:gridSpan w:val="6"/>
          </w:tcPr>
          <w:p w14:paraId="17F5F1C1" w14:textId="77777777" w:rsidR="00B05482" w:rsidRPr="000A0EA1" w:rsidRDefault="00B02E00" w:rsidP="00B255B8">
            <w:pPr>
              <w:pStyle w:val="zSoquijdatNomPartieDef"/>
              <w:spacing w:line="240" w:lineRule="auto"/>
              <w:rPr>
                <w:lang w:val="en-CA"/>
              </w:rPr>
            </w:pPr>
            <w:r w:rsidRPr="000A0EA1">
              <w:rPr>
                <w:lang w:val="en-CA"/>
              </w:rPr>
              <w:t>SIR WILFRID LAURIER SCHOOL BOARD</w:t>
            </w:r>
          </w:p>
        </w:tc>
      </w:tr>
      <w:tr w:rsidR="004936F2" w:rsidRPr="000A0EA1" w14:paraId="17F5F1C4" w14:textId="77777777" w:rsidTr="008D18FC">
        <w:tc>
          <w:tcPr>
            <w:tcW w:w="9360" w:type="dxa"/>
            <w:gridSpan w:val="6"/>
          </w:tcPr>
          <w:p w14:paraId="17F5F1C3" w14:textId="77777777" w:rsidR="00B05482" w:rsidRPr="000A0EA1" w:rsidRDefault="00B02E00" w:rsidP="00B255B8">
            <w:pPr>
              <w:pStyle w:val="zSoquijdatNomPartieDef"/>
              <w:spacing w:line="240" w:lineRule="auto"/>
              <w:rPr>
                <w:lang w:val="en-CA"/>
              </w:rPr>
            </w:pPr>
            <w:r w:rsidRPr="000A0EA1">
              <w:rPr>
                <w:lang w:val="en-CA"/>
              </w:rPr>
              <w:t>EASTERN SHORES SCHOOL BOARD</w:t>
            </w:r>
          </w:p>
        </w:tc>
      </w:tr>
      <w:tr w:rsidR="004936F2" w:rsidRPr="000A0EA1" w14:paraId="17F5F1C6" w14:textId="77777777" w:rsidTr="008D18FC">
        <w:tc>
          <w:tcPr>
            <w:tcW w:w="9360" w:type="dxa"/>
            <w:gridSpan w:val="6"/>
          </w:tcPr>
          <w:p w14:paraId="17F5F1C5" w14:textId="5622B352" w:rsidR="00B05482" w:rsidRPr="000A0EA1" w:rsidRDefault="00B02E00" w:rsidP="00B255B8">
            <w:pPr>
              <w:pStyle w:val="zSoquijdatNomPartieDef"/>
              <w:spacing w:line="240" w:lineRule="auto"/>
              <w:rPr>
                <w:lang w:val="en-CA"/>
              </w:rPr>
            </w:pPr>
            <w:r w:rsidRPr="000A0EA1">
              <w:rPr>
                <w:lang w:val="en-CA"/>
              </w:rPr>
              <w:t>CENTRAL QU</w:t>
            </w:r>
            <w:r w:rsidR="00403CE7">
              <w:rPr>
                <w:lang w:val="en-CA"/>
              </w:rPr>
              <w:t>E</w:t>
            </w:r>
            <w:r w:rsidRPr="000A0EA1">
              <w:rPr>
                <w:lang w:val="en-CA"/>
              </w:rPr>
              <w:t>BEC SCHOOL BOARD</w:t>
            </w:r>
          </w:p>
        </w:tc>
      </w:tr>
      <w:tr w:rsidR="004936F2" w:rsidRPr="000A0EA1" w14:paraId="17F5F1C8" w14:textId="77777777" w:rsidTr="008D18FC">
        <w:tc>
          <w:tcPr>
            <w:tcW w:w="9360" w:type="dxa"/>
            <w:gridSpan w:val="6"/>
          </w:tcPr>
          <w:p w14:paraId="17F5F1C7" w14:textId="77777777" w:rsidR="00B05482" w:rsidRPr="000A0EA1" w:rsidRDefault="00B02E00" w:rsidP="00B255B8">
            <w:pPr>
              <w:pStyle w:val="zSoquijdatNomPartieDef"/>
              <w:spacing w:line="240" w:lineRule="auto"/>
              <w:rPr>
                <w:lang w:val="en-CA"/>
              </w:rPr>
            </w:pPr>
            <w:r w:rsidRPr="000A0EA1">
              <w:rPr>
                <w:lang w:val="en-CA"/>
              </w:rPr>
              <w:t>CHRIS EUSTACE</w:t>
            </w:r>
          </w:p>
        </w:tc>
      </w:tr>
      <w:tr w:rsidR="004936F2" w:rsidRPr="000A0EA1" w14:paraId="17F5F1CA" w14:textId="77777777" w:rsidTr="008D18FC">
        <w:tc>
          <w:tcPr>
            <w:tcW w:w="9360" w:type="dxa"/>
            <w:gridSpan w:val="6"/>
          </w:tcPr>
          <w:p w14:paraId="17F5F1C9" w14:textId="77777777" w:rsidR="00B05482" w:rsidRPr="000A0EA1" w:rsidRDefault="00B02E00" w:rsidP="00B255B8">
            <w:pPr>
              <w:pStyle w:val="zSoquijdatQtePartieDef"/>
              <w:spacing w:line="240" w:lineRule="auto"/>
              <w:rPr>
                <w:lang w:val="en-CA"/>
              </w:rPr>
            </w:pPr>
            <w:r w:rsidRPr="000A0EA1">
              <w:rPr>
                <w:lang w:val="en-CA"/>
              </w:rPr>
              <w:t>IMPLEADED PARTIES – Interveners</w:t>
            </w:r>
          </w:p>
        </w:tc>
      </w:tr>
      <w:tr w:rsidR="004936F2" w:rsidRPr="000A0EA1" w14:paraId="17F5F1CC" w14:textId="77777777" w:rsidTr="008D18FC">
        <w:tc>
          <w:tcPr>
            <w:tcW w:w="9360" w:type="dxa"/>
            <w:gridSpan w:val="6"/>
          </w:tcPr>
          <w:p w14:paraId="17F5F1CB" w14:textId="77777777" w:rsidR="002B5BB5" w:rsidRPr="000A0EA1" w:rsidRDefault="00B02E00" w:rsidP="00B255B8">
            <w:pPr>
              <w:pStyle w:val="zSoquijlblLienParties"/>
              <w:spacing w:line="240" w:lineRule="auto"/>
              <w:rPr>
                <w:lang w:val="en-CA"/>
              </w:rPr>
            </w:pPr>
            <w:r w:rsidRPr="000A0EA1">
              <w:rPr>
                <w:lang w:val="en-CA"/>
              </w:rPr>
              <w:t>and</w:t>
            </w:r>
          </w:p>
        </w:tc>
      </w:tr>
      <w:tr w:rsidR="004936F2" w:rsidRPr="000A0EA1" w14:paraId="17F5F1CE" w14:textId="77777777" w:rsidTr="008D18FC">
        <w:tc>
          <w:tcPr>
            <w:tcW w:w="9360" w:type="dxa"/>
            <w:gridSpan w:val="6"/>
          </w:tcPr>
          <w:p w14:paraId="17F5F1CD" w14:textId="77777777" w:rsidR="002B5BB5" w:rsidRPr="000A0EA1" w:rsidRDefault="002B5BB5" w:rsidP="00B255B8">
            <w:pPr>
              <w:spacing w:line="240" w:lineRule="auto"/>
              <w:rPr>
                <w:lang w:val="en-CA"/>
              </w:rPr>
            </w:pPr>
          </w:p>
        </w:tc>
      </w:tr>
      <w:tr w:rsidR="004936F2" w:rsidRPr="000A0EA1" w14:paraId="17F5F1D0" w14:textId="77777777" w:rsidTr="00B255B8">
        <w:tc>
          <w:tcPr>
            <w:tcW w:w="9360" w:type="dxa"/>
            <w:gridSpan w:val="6"/>
          </w:tcPr>
          <w:p w14:paraId="17F5F1CF" w14:textId="77777777" w:rsidR="002B5BB5" w:rsidRPr="000A0EA1" w:rsidRDefault="00B02E00" w:rsidP="00B255B8">
            <w:pPr>
              <w:pStyle w:val="zSoquijdatNomPartieDef"/>
              <w:spacing w:line="240" w:lineRule="auto"/>
              <w:rPr>
                <w:lang w:val="en-CA"/>
              </w:rPr>
            </w:pPr>
            <w:r w:rsidRPr="000A0EA1">
              <w:rPr>
                <w:lang w:val="en-CA"/>
              </w:rPr>
              <w:t>QUEBEC COMMUNITY GROUPS NETWORK</w:t>
            </w:r>
          </w:p>
        </w:tc>
      </w:tr>
      <w:tr w:rsidR="004936F2" w:rsidRPr="000A0EA1" w14:paraId="17F5F1D2" w14:textId="77777777" w:rsidTr="00403CE7">
        <w:tc>
          <w:tcPr>
            <w:tcW w:w="9360" w:type="dxa"/>
            <w:gridSpan w:val="6"/>
          </w:tcPr>
          <w:p w14:paraId="17F5F1D1" w14:textId="77777777" w:rsidR="002B5BB5" w:rsidRPr="000A0EA1" w:rsidRDefault="00B02E00" w:rsidP="00B255B8">
            <w:pPr>
              <w:pStyle w:val="zSoquijdatQtePartieDef"/>
              <w:spacing w:line="240" w:lineRule="auto"/>
              <w:rPr>
                <w:lang w:val="en-CA"/>
              </w:rPr>
            </w:pPr>
            <w:r w:rsidRPr="000A0EA1">
              <w:rPr>
                <w:lang w:val="en-CA"/>
              </w:rPr>
              <w:t>INTERVENER</w:t>
            </w:r>
          </w:p>
        </w:tc>
      </w:tr>
      <w:tr w:rsidR="00B255B8" w:rsidRPr="000A0EA1" w14:paraId="05E32DD8" w14:textId="77777777" w:rsidTr="00403CE7">
        <w:tc>
          <w:tcPr>
            <w:tcW w:w="9360" w:type="dxa"/>
            <w:gridSpan w:val="6"/>
            <w:tcBorders>
              <w:bottom w:val="single" w:sz="4" w:space="0" w:color="auto"/>
            </w:tcBorders>
          </w:tcPr>
          <w:p w14:paraId="5B9F35E3" w14:textId="77777777" w:rsidR="00B255B8" w:rsidRPr="000A0EA1" w:rsidRDefault="00B255B8" w:rsidP="00B255B8">
            <w:pPr>
              <w:pStyle w:val="zSoquijdatQtePartieDef"/>
              <w:spacing w:line="240" w:lineRule="auto"/>
              <w:rPr>
                <w:lang w:val="en-CA"/>
              </w:rPr>
            </w:pPr>
          </w:p>
        </w:tc>
      </w:tr>
      <w:tr w:rsidR="00B255B8" w:rsidRPr="000A0EA1" w14:paraId="4F9E809B" w14:textId="77777777" w:rsidTr="00403CE7">
        <w:tc>
          <w:tcPr>
            <w:tcW w:w="9360" w:type="dxa"/>
            <w:gridSpan w:val="6"/>
            <w:tcBorders>
              <w:top w:val="single" w:sz="4" w:space="0" w:color="auto"/>
              <w:bottom w:val="single" w:sz="8" w:space="0" w:color="auto"/>
            </w:tcBorders>
          </w:tcPr>
          <w:p w14:paraId="51C3624A" w14:textId="77777777" w:rsidR="00B255B8" w:rsidRPr="000A0EA1" w:rsidRDefault="00B255B8" w:rsidP="00B255B8">
            <w:pPr>
              <w:pStyle w:val="zSoquijdatQtePartieDef"/>
              <w:spacing w:line="240" w:lineRule="auto"/>
              <w:rPr>
                <w:lang w:val="en-CA"/>
              </w:rPr>
            </w:pPr>
          </w:p>
        </w:tc>
      </w:tr>
      <w:tr w:rsidR="004936F2" w:rsidRPr="000A0EA1" w14:paraId="17F5F1D4" w14:textId="77777777" w:rsidTr="00B255B8">
        <w:tc>
          <w:tcPr>
            <w:tcW w:w="9360" w:type="dxa"/>
            <w:gridSpan w:val="6"/>
            <w:tcBorders>
              <w:top w:val="single" w:sz="8" w:space="0" w:color="auto"/>
            </w:tcBorders>
          </w:tcPr>
          <w:p w14:paraId="17F5F1D3" w14:textId="77777777" w:rsidR="00B05482" w:rsidRPr="000A0EA1" w:rsidRDefault="00B05482" w:rsidP="00B255B8">
            <w:pPr>
              <w:spacing w:line="240" w:lineRule="auto"/>
              <w:rPr>
                <w:lang w:val="en-CA"/>
              </w:rPr>
            </w:pPr>
          </w:p>
        </w:tc>
      </w:tr>
      <w:tr w:rsidR="004936F2" w:rsidRPr="000A0EA1" w14:paraId="17F5F1D8" w14:textId="77777777" w:rsidTr="00B255B8">
        <w:tc>
          <w:tcPr>
            <w:tcW w:w="9360" w:type="dxa"/>
            <w:gridSpan w:val="6"/>
          </w:tcPr>
          <w:p w14:paraId="17F5F1D7" w14:textId="77777777" w:rsidR="008F364A" w:rsidRPr="000A0EA1" w:rsidRDefault="00B02E00" w:rsidP="00B255B8">
            <w:pPr>
              <w:pStyle w:val="zSoquijlblTypeDocument"/>
              <w:spacing w:line="240" w:lineRule="auto"/>
              <w:rPr>
                <w:lang w:val="en-CA"/>
              </w:rPr>
            </w:pPr>
            <w:bookmarkStart w:id="7" w:name="TitreDocument"/>
            <w:bookmarkStart w:id="8" w:name="Arret"/>
            <w:r w:rsidRPr="000A0EA1">
              <w:rPr>
                <w:lang w:val="en-CA"/>
              </w:rPr>
              <w:t>JUDGMENT</w:t>
            </w:r>
            <w:bookmarkEnd w:id="7"/>
          </w:p>
        </w:tc>
      </w:tr>
      <w:tr w:rsidR="004936F2" w:rsidRPr="000A0EA1" w14:paraId="17F5F1DA" w14:textId="77777777" w:rsidTr="00B255B8">
        <w:tc>
          <w:tcPr>
            <w:tcW w:w="9360" w:type="dxa"/>
            <w:gridSpan w:val="6"/>
            <w:tcBorders>
              <w:bottom w:val="single" w:sz="8" w:space="0" w:color="auto"/>
            </w:tcBorders>
          </w:tcPr>
          <w:p w14:paraId="17F5F1D9" w14:textId="77777777" w:rsidR="008F364A" w:rsidRPr="000A0EA1" w:rsidRDefault="008F364A" w:rsidP="00B255B8">
            <w:pPr>
              <w:spacing w:line="240" w:lineRule="auto"/>
              <w:rPr>
                <w:lang w:val="en-CA"/>
              </w:rPr>
            </w:pPr>
          </w:p>
        </w:tc>
      </w:tr>
    </w:tbl>
    <w:p w14:paraId="17F5F1DD" w14:textId="258AB95B" w:rsidR="00F75613" w:rsidRPr="000A0EA1" w:rsidRDefault="00B02E00" w:rsidP="00B255B8">
      <w:pPr>
        <w:pStyle w:val="Paragraphe"/>
        <w:spacing w:before="240" w:line="240" w:lineRule="auto"/>
        <w:rPr>
          <w:lang w:val="en-CA"/>
        </w:rPr>
      </w:pPr>
      <w:r w:rsidRPr="000A0EA1">
        <w:rPr>
          <w:lang w:val="en-CA"/>
        </w:rPr>
        <w:t xml:space="preserve">The Attorney General of Quebec (the </w:t>
      </w:r>
      <w:r w:rsidR="00E46AFD">
        <w:rPr>
          <w:lang w:val="en-CA"/>
        </w:rPr>
        <w:t>“</w:t>
      </w:r>
      <w:r w:rsidRPr="000A0EA1">
        <w:rPr>
          <w:lang w:val="en-CA"/>
        </w:rPr>
        <w:t>AGQ</w:t>
      </w:r>
      <w:r w:rsidR="00E46AFD">
        <w:rPr>
          <w:lang w:val="en-CA"/>
        </w:rPr>
        <w:t>”</w:t>
      </w:r>
      <w:r w:rsidRPr="000A0EA1">
        <w:rPr>
          <w:lang w:val="en-CA"/>
        </w:rPr>
        <w:t>) appeals against the judgment dated August 2, 2023, rendered by the Honourable Sylvain Lussier of the Superior Court, district of Montreal,</w:t>
      </w:r>
      <w:r w:rsidRPr="000A0EA1">
        <w:rPr>
          <w:vertAlign w:val="superscript"/>
          <w:lang w:val="en-CA"/>
        </w:rPr>
        <w:footnoteReference w:id="1"/>
      </w:r>
      <w:r w:rsidRPr="000A0EA1">
        <w:rPr>
          <w:lang w:val="en-CA"/>
        </w:rPr>
        <w:t xml:space="preserve"> which declared that certain provisions of the </w:t>
      </w:r>
      <w:r w:rsidRPr="000A0EA1">
        <w:rPr>
          <w:i/>
          <w:iCs/>
          <w:lang w:val="en-CA"/>
        </w:rPr>
        <w:t xml:space="preserve">Act to amend mainly the Education Act with regard to school organization and governance </w:t>
      </w:r>
      <w:r w:rsidRPr="000A0EA1">
        <w:rPr>
          <w:lang w:val="en-CA"/>
        </w:rPr>
        <w:t>(</w:t>
      </w:r>
      <w:r w:rsidR="00E46AFD">
        <w:rPr>
          <w:lang w:val="en-CA"/>
        </w:rPr>
        <w:t>“</w:t>
      </w:r>
      <w:r w:rsidR="00C33BBC">
        <w:rPr>
          <w:i/>
          <w:iCs/>
          <w:lang w:val="en-CA"/>
        </w:rPr>
        <w:t>Bill 40</w:t>
      </w:r>
      <w:r w:rsidR="00E46AFD">
        <w:rPr>
          <w:lang w:val="en-CA"/>
        </w:rPr>
        <w:t>”</w:t>
      </w:r>
      <w:r w:rsidRPr="000A0EA1">
        <w:rPr>
          <w:lang w:val="en-CA"/>
        </w:rPr>
        <w:t>)</w:t>
      </w:r>
      <w:r w:rsidRPr="000A0EA1">
        <w:rPr>
          <w:vertAlign w:val="superscript"/>
          <w:lang w:val="en-CA"/>
        </w:rPr>
        <w:footnoteReference w:id="2"/>
      </w:r>
      <w:r w:rsidRPr="000A0EA1">
        <w:rPr>
          <w:lang w:val="en-CA"/>
        </w:rPr>
        <w:t xml:space="preserve"> and certain provisions of the </w:t>
      </w:r>
      <w:r w:rsidRPr="000A0EA1">
        <w:rPr>
          <w:i/>
          <w:iCs/>
          <w:lang w:val="en-CA"/>
        </w:rPr>
        <w:t xml:space="preserve">Education Act </w:t>
      </w:r>
      <w:r w:rsidRPr="000A0EA1">
        <w:rPr>
          <w:lang w:val="en-CA"/>
        </w:rPr>
        <w:t xml:space="preserve">(the </w:t>
      </w:r>
      <w:r w:rsidR="00E46AFD">
        <w:rPr>
          <w:lang w:val="en-CA"/>
        </w:rPr>
        <w:t>“</w:t>
      </w:r>
      <w:r w:rsidRPr="000A0EA1">
        <w:rPr>
          <w:i/>
          <w:iCs/>
          <w:lang w:val="en-CA"/>
        </w:rPr>
        <w:t>EA</w:t>
      </w:r>
      <w:r w:rsidR="00E46AFD">
        <w:rPr>
          <w:lang w:val="en-CA"/>
        </w:rPr>
        <w:t>”</w:t>
      </w:r>
      <w:r w:rsidRPr="000A0EA1">
        <w:rPr>
          <w:lang w:val="en-CA"/>
        </w:rPr>
        <w:t>)</w:t>
      </w:r>
      <w:r w:rsidRPr="000A0EA1">
        <w:rPr>
          <w:vertAlign w:val="superscript"/>
          <w:lang w:val="en-CA"/>
        </w:rPr>
        <w:footnoteReference w:id="3"/>
      </w:r>
      <w:r w:rsidRPr="000A0EA1">
        <w:rPr>
          <w:lang w:val="en-CA"/>
        </w:rPr>
        <w:t xml:space="preserve"> are of no force or effect with respect to Quebec</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school boards because they unjustifiably infringe the rights guaranteed to Quebec</w:t>
      </w:r>
      <w:r w:rsidR="00E46AFD">
        <w:rPr>
          <w:lang w:val="en-CA"/>
        </w:rPr>
        <w:t>’</w:t>
      </w:r>
      <w:r w:rsidRPr="000A0EA1">
        <w:rPr>
          <w:lang w:val="en-CA"/>
        </w:rPr>
        <w:t xml:space="preserve">s minority language group by </w:t>
      </w:r>
      <w:r w:rsidR="0062160E">
        <w:rPr>
          <w:lang w:val="en-CA"/>
        </w:rPr>
        <w:t>s. 2</w:t>
      </w:r>
      <w:r w:rsidRPr="000A0EA1">
        <w:rPr>
          <w:lang w:val="en-CA"/>
        </w:rPr>
        <w:t xml:space="preserve">3 of the </w:t>
      </w:r>
      <w:r w:rsidRPr="000A0EA1">
        <w:rPr>
          <w:i/>
          <w:iCs/>
          <w:lang w:val="en-CA"/>
        </w:rPr>
        <w:t>Canadian Charter of Rights and Freedoms</w:t>
      </w:r>
      <w:r w:rsidRPr="000A0EA1">
        <w:rPr>
          <w:lang w:val="en-CA"/>
        </w:rPr>
        <w:t xml:space="preserve"> (the </w:t>
      </w:r>
      <w:r w:rsidR="00E46AFD">
        <w:rPr>
          <w:lang w:val="en-CA"/>
        </w:rPr>
        <w:t>“</w:t>
      </w:r>
      <w:r w:rsidRPr="000A0EA1">
        <w:rPr>
          <w:i/>
          <w:iCs/>
          <w:lang w:val="en-CA"/>
        </w:rPr>
        <w:t>Charter</w:t>
      </w:r>
      <w:r w:rsidR="00E46AFD">
        <w:rPr>
          <w:lang w:val="en-CA"/>
        </w:rPr>
        <w:t>”</w:t>
      </w:r>
      <w:r w:rsidRPr="000A0EA1">
        <w:rPr>
          <w:lang w:val="en-CA"/>
        </w:rPr>
        <w:t>).</w:t>
      </w:r>
    </w:p>
    <w:p w14:paraId="17F5F1DE"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conclusions of the impugned judgment are worded as follows:</w:t>
      </w:r>
    </w:p>
    <w:p w14:paraId="56D36032" w14:textId="5FFAF84E" w:rsidR="00274B2E" w:rsidRDefault="00B02E00" w:rsidP="00B255B8">
      <w:pPr>
        <w:spacing w:before="120" w:after="120" w:line="240" w:lineRule="auto"/>
        <w:ind w:left="720" w:right="720"/>
        <w:jc w:val="both"/>
        <w:rPr>
          <w:kern w:val="24"/>
          <w:sz w:val="22"/>
          <w:lang w:val="en-CA"/>
        </w:rPr>
      </w:pPr>
      <w:r w:rsidRPr="000A0EA1">
        <w:rPr>
          <w:kern w:val="24"/>
          <w:sz w:val="22"/>
          <w:lang w:val="en-CA"/>
        </w:rPr>
        <w:t>[</w:t>
      </w:r>
      <w:r w:rsidRPr="00274B2E">
        <w:rPr>
          <w:smallCaps/>
          <w:kern w:val="24"/>
          <w:sz w:val="22"/>
          <w:lang w:val="en-CA"/>
        </w:rPr>
        <w:t>translation</w:t>
      </w:r>
      <w:r w:rsidRPr="000A0EA1">
        <w:rPr>
          <w:kern w:val="24"/>
          <w:sz w:val="22"/>
          <w:lang w:val="en-CA"/>
        </w:rPr>
        <w:t>]</w:t>
      </w:r>
    </w:p>
    <w:p w14:paraId="17F5F1DF" w14:textId="1302A253"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[438]</w:t>
      </w:r>
      <w:r w:rsidRPr="000A0EA1">
        <w:rPr>
          <w:kern w:val="24"/>
          <w:sz w:val="22"/>
          <w:lang w:val="en-CA"/>
        </w:rPr>
        <w:tab/>
      </w:r>
      <w:r w:rsidRPr="000A0EA1">
        <w:rPr>
          <w:b/>
          <w:bCs/>
          <w:kern w:val="24"/>
          <w:sz w:val="22"/>
          <w:lang w:val="en-CA"/>
        </w:rPr>
        <w:t>GRANTS</w:t>
      </w:r>
      <w:r w:rsidRPr="000A0EA1">
        <w:rPr>
          <w:kern w:val="24"/>
          <w:sz w:val="22"/>
          <w:lang w:val="en-CA"/>
        </w:rPr>
        <w:t xml:space="preserve"> in part the applicants</w:t>
      </w:r>
      <w:r w:rsidR="00E46AFD">
        <w:rPr>
          <w:kern w:val="24"/>
          <w:sz w:val="22"/>
          <w:lang w:val="en-CA"/>
        </w:rPr>
        <w:t>’</w:t>
      </w:r>
      <w:r w:rsidRPr="000A0EA1">
        <w:rPr>
          <w:kern w:val="24"/>
          <w:sz w:val="22"/>
          <w:lang w:val="en-CA"/>
        </w:rPr>
        <w:t xml:space="preserve"> application for judicial review;</w:t>
      </w:r>
    </w:p>
    <w:p w14:paraId="17F5F1E0"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[439]</w:t>
      </w:r>
      <w:r w:rsidRPr="000A0EA1">
        <w:rPr>
          <w:kern w:val="24"/>
          <w:sz w:val="22"/>
          <w:lang w:val="en-CA"/>
        </w:rPr>
        <w:tab/>
      </w:r>
      <w:r w:rsidRPr="000A0EA1">
        <w:rPr>
          <w:b/>
          <w:bCs/>
          <w:kern w:val="24"/>
          <w:sz w:val="22"/>
          <w:lang w:val="en-CA"/>
        </w:rPr>
        <w:t>DECLARES</w:t>
      </w:r>
      <w:r w:rsidRPr="000A0EA1">
        <w:rPr>
          <w:kern w:val="24"/>
          <w:sz w:val="22"/>
          <w:lang w:val="en-CA"/>
        </w:rPr>
        <w:t xml:space="preserve"> </w:t>
      </w:r>
      <w:r w:rsidRPr="000A0EA1">
        <w:rPr>
          <w:b/>
          <w:bCs/>
          <w:kern w:val="24"/>
          <w:sz w:val="22"/>
          <w:lang w:val="en-CA"/>
        </w:rPr>
        <w:t>THAT</w:t>
      </w:r>
      <w:r w:rsidRPr="000A0EA1">
        <w:rPr>
          <w:kern w:val="24"/>
          <w:sz w:val="22"/>
          <w:lang w:val="en-CA"/>
        </w:rPr>
        <w:t xml:space="preserve"> sections 50, 52 in respect of the addition of section 155 to the </w:t>
      </w:r>
      <w:r w:rsidRPr="000A0EA1">
        <w:rPr>
          <w:i/>
          <w:iCs/>
          <w:kern w:val="24"/>
          <w:sz w:val="22"/>
          <w:lang w:val="en-CA"/>
        </w:rPr>
        <w:t>EA</w:t>
      </w:r>
      <w:r w:rsidRPr="000A0EA1">
        <w:rPr>
          <w:kern w:val="24"/>
          <w:sz w:val="22"/>
          <w:lang w:val="en-CA"/>
        </w:rPr>
        <w:t xml:space="preserve">, 66, 91, 93, 196, 208, 212, and 216 of the </w:t>
      </w:r>
      <w:r w:rsidRPr="000A0EA1">
        <w:rPr>
          <w:i/>
          <w:iCs/>
          <w:kern w:val="24"/>
          <w:sz w:val="22"/>
          <w:lang w:val="en-CA"/>
        </w:rPr>
        <w:t>Act to amend mainly the Education Act with regard to school organization and governance</w:t>
      </w:r>
      <w:r w:rsidRPr="000A0EA1">
        <w:rPr>
          <w:kern w:val="24"/>
          <w:sz w:val="22"/>
          <w:lang w:val="en-CA"/>
        </w:rPr>
        <w:t xml:space="preserve"> and 155 and 473.1 of the </w:t>
      </w:r>
      <w:r w:rsidRPr="000A0EA1">
        <w:rPr>
          <w:i/>
          <w:iCs/>
          <w:kern w:val="24"/>
          <w:sz w:val="22"/>
          <w:lang w:val="en-CA"/>
        </w:rPr>
        <w:t xml:space="preserve">Education Act </w:t>
      </w:r>
      <w:r w:rsidRPr="000A0EA1">
        <w:rPr>
          <w:kern w:val="24"/>
          <w:sz w:val="22"/>
          <w:lang w:val="en-CA"/>
        </w:rPr>
        <w:t xml:space="preserve">infringe the rights guaranteed under section 23 of the </w:t>
      </w:r>
      <w:r w:rsidRPr="000A0EA1">
        <w:rPr>
          <w:i/>
          <w:iCs/>
          <w:kern w:val="24"/>
          <w:sz w:val="22"/>
          <w:lang w:val="en-CA"/>
        </w:rPr>
        <w:t>Canadian Charter of Rights and Freedoms</w:t>
      </w:r>
      <w:r w:rsidRPr="000A0EA1">
        <w:rPr>
          <w:kern w:val="24"/>
          <w:sz w:val="22"/>
          <w:lang w:val="en-CA"/>
        </w:rPr>
        <w:t>;</w:t>
      </w:r>
    </w:p>
    <w:p w14:paraId="17F5F1E1"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[440]</w:t>
      </w:r>
      <w:r w:rsidRPr="000A0EA1">
        <w:rPr>
          <w:kern w:val="24"/>
          <w:sz w:val="22"/>
          <w:lang w:val="en-CA"/>
        </w:rPr>
        <w:tab/>
      </w:r>
      <w:r w:rsidRPr="000A0EA1">
        <w:rPr>
          <w:b/>
          <w:bCs/>
          <w:kern w:val="24"/>
          <w:sz w:val="22"/>
          <w:lang w:val="en-CA"/>
        </w:rPr>
        <w:t>DECLARES</w:t>
      </w:r>
      <w:r w:rsidRPr="000A0EA1">
        <w:rPr>
          <w:kern w:val="24"/>
          <w:sz w:val="22"/>
          <w:lang w:val="en-CA"/>
        </w:rPr>
        <w:t xml:space="preserve"> that these infringements cannot be justified under section 1 of the </w:t>
      </w:r>
      <w:r w:rsidRPr="000A0EA1">
        <w:rPr>
          <w:i/>
          <w:iCs/>
          <w:kern w:val="24"/>
          <w:sz w:val="22"/>
          <w:lang w:val="en-CA"/>
        </w:rPr>
        <w:t>Canadian Charter of Rights and Freedoms</w:t>
      </w:r>
      <w:r w:rsidRPr="000A0EA1">
        <w:rPr>
          <w:kern w:val="24"/>
          <w:sz w:val="22"/>
          <w:lang w:val="en-CA"/>
        </w:rPr>
        <w:t>;</w:t>
      </w:r>
    </w:p>
    <w:p w14:paraId="17F5F1E2" w14:textId="533D754D"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[441]</w:t>
      </w:r>
      <w:r w:rsidRPr="000A0EA1">
        <w:rPr>
          <w:kern w:val="24"/>
          <w:sz w:val="22"/>
          <w:lang w:val="en-CA"/>
        </w:rPr>
        <w:tab/>
      </w:r>
      <w:r w:rsidRPr="000A0EA1">
        <w:rPr>
          <w:b/>
          <w:bCs/>
          <w:kern w:val="24"/>
          <w:sz w:val="22"/>
          <w:lang w:val="en-CA"/>
        </w:rPr>
        <w:t>DECLARES THAT</w:t>
      </w:r>
      <w:r w:rsidRPr="000A0EA1">
        <w:rPr>
          <w:kern w:val="24"/>
          <w:sz w:val="22"/>
          <w:lang w:val="en-CA"/>
        </w:rPr>
        <w:t xml:space="preserve"> these provisions are inoperative with regard to the </w:t>
      </w:r>
      <w:r w:rsidR="00AE3408">
        <w:rPr>
          <w:kern w:val="24"/>
          <w:sz w:val="22"/>
          <w:lang w:val="en-CA"/>
        </w:rPr>
        <w:t>English</w:t>
      </w:r>
      <w:r w:rsidR="00AE3408">
        <w:rPr>
          <w:kern w:val="24"/>
          <w:sz w:val="22"/>
          <w:lang w:val="en-CA"/>
        </w:rPr>
        <w:noBreakHyphen/>
        <w:t>language</w:t>
      </w:r>
      <w:r w:rsidRPr="000A0EA1">
        <w:rPr>
          <w:kern w:val="24"/>
          <w:sz w:val="22"/>
          <w:lang w:val="en-CA"/>
        </w:rPr>
        <w:t xml:space="preserve"> school boards of Quebec;</w:t>
      </w:r>
    </w:p>
    <w:p w14:paraId="17F5F1E3"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[442]</w:t>
      </w:r>
      <w:r w:rsidRPr="000A0EA1">
        <w:rPr>
          <w:kern w:val="24"/>
          <w:sz w:val="22"/>
          <w:lang w:val="en-CA"/>
        </w:rPr>
        <w:tab/>
      </w:r>
      <w:r w:rsidRPr="000A0EA1">
        <w:rPr>
          <w:b/>
          <w:bCs/>
          <w:kern w:val="24"/>
          <w:sz w:val="22"/>
          <w:lang w:val="en-CA"/>
        </w:rPr>
        <w:t>DISMISSES</w:t>
      </w:r>
      <w:r w:rsidRPr="000A0EA1">
        <w:rPr>
          <w:kern w:val="24"/>
          <w:sz w:val="22"/>
          <w:lang w:val="en-CA"/>
        </w:rPr>
        <w:t xml:space="preserve"> the application concerning sections 105, 142, 329, and 330 of the </w:t>
      </w:r>
      <w:r w:rsidRPr="000A0EA1">
        <w:rPr>
          <w:i/>
          <w:iCs/>
          <w:kern w:val="24"/>
          <w:sz w:val="22"/>
          <w:lang w:val="en-CA"/>
        </w:rPr>
        <w:t>Act to amend mainly the Education Act with regard to school organization and governance</w:t>
      </w:r>
      <w:r w:rsidRPr="000A0EA1">
        <w:rPr>
          <w:kern w:val="24"/>
          <w:sz w:val="22"/>
          <w:lang w:val="en-CA"/>
        </w:rPr>
        <w:t>;</w:t>
      </w:r>
    </w:p>
    <w:p w14:paraId="17F5F1E4" w14:textId="1B5E0311"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[443]</w:t>
      </w:r>
      <w:r w:rsidRPr="000A0EA1">
        <w:rPr>
          <w:kern w:val="24"/>
          <w:sz w:val="22"/>
          <w:lang w:val="en-CA"/>
        </w:rPr>
        <w:tab/>
      </w:r>
      <w:r w:rsidRPr="000A0EA1">
        <w:rPr>
          <w:b/>
          <w:bCs/>
          <w:kern w:val="24"/>
          <w:sz w:val="22"/>
          <w:lang w:val="en-CA"/>
        </w:rPr>
        <w:t>SUSPENDS</w:t>
      </w:r>
      <w:r w:rsidRPr="000A0EA1">
        <w:rPr>
          <w:kern w:val="24"/>
          <w:sz w:val="22"/>
          <w:lang w:val="en-CA"/>
        </w:rPr>
        <w:t xml:space="preserve"> the declaration of inoperability of section 15 of the </w:t>
      </w:r>
      <w:r w:rsidRPr="000A0EA1">
        <w:rPr>
          <w:i/>
          <w:iCs/>
          <w:kern w:val="24"/>
          <w:sz w:val="22"/>
          <w:lang w:val="en-CA"/>
        </w:rPr>
        <w:t xml:space="preserve">Act respecting school elections to elect certain members of the boards of directors of </w:t>
      </w:r>
      <w:r w:rsidR="00AE3408">
        <w:rPr>
          <w:i/>
          <w:iCs/>
          <w:kern w:val="24"/>
          <w:sz w:val="22"/>
          <w:lang w:val="en-CA"/>
        </w:rPr>
        <w:lastRenderedPageBreak/>
        <w:t>English</w:t>
      </w:r>
      <w:r w:rsidR="00AE3408">
        <w:rPr>
          <w:i/>
          <w:iCs/>
          <w:kern w:val="24"/>
          <w:sz w:val="22"/>
          <w:lang w:val="en-CA"/>
        </w:rPr>
        <w:noBreakHyphen/>
        <w:t>language</w:t>
      </w:r>
      <w:r w:rsidRPr="000A0EA1">
        <w:rPr>
          <w:i/>
          <w:iCs/>
          <w:kern w:val="24"/>
          <w:sz w:val="22"/>
          <w:lang w:val="en-CA"/>
        </w:rPr>
        <w:t xml:space="preserve"> school service centres</w:t>
      </w:r>
      <w:r w:rsidRPr="000A0EA1">
        <w:rPr>
          <w:kern w:val="24"/>
          <w:sz w:val="22"/>
          <w:lang w:val="en-CA"/>
        </w:rPr>
        <w:t xml:space="preserve"> for a period of 18 months from the date of this judgment;</w:t>
      </w:r>
    </w:p>
    <w:p w14:paraId="17F5F1E5"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[444]</w:t>
      </w:r>
      <w:r w:rsidRPr="000A0EA1">
        <w:rPr>
          <w:kern w:val="24"/>
          <w:sz w:val="22"/>
          <w:lang w:val="en-CA"/>
        </w:rPr>
        <w:tab/>
      </w:r>
      <w:r w:rsidRPr="000A0EA1">
        <w:rPr>
          <w:b/>
          <w:bCs/>
          <w:kern w:val="24"/>
          <w:sz w:val="22"/>
          <w:lang w:val="en-CA"/>
        </w:rPr>
        <w:t xml:space="preserve">EXTENDS </w:t>
      </w:r>
      <w:r w:rsidRPr="000A0EA1">
        <w:rPr>
          <w:kern w:val="24"/>
          <w:sz w:val="22"/>
          <w:lang w:val="en-CA"/>
        </w:rPr>
        <w:t xml:space="preserve">the suspension of the application of the </w:t>
      </w:r>
      <w:r w:rsidRPr="000A0EA1">
        <w:rPr>
          <w:i/>
          <w:iCs/>
          <w:kern w:val="24"/>
          <w:sz w:val="22"/>
          <w:lang w:val="en-CA"/>
        </w:rPr>
        <w:t>Act</w:t>
      </w:r>
      <w:r w:rsidRPr="000A0EA1">
        <w:rPr>
          <w:kern w:val="24"/>
          <w:sz w:val="22"/>
          <w:lang w:val="en-CA"/>
        </w:rPr>
        <w:t xml:space="preserve"> and other statutory provisions ordered on August 10, 2020, until the time limit to appeal this judgment has expired;</w:t>
      </w:r>
    </w:p>
    <w:p w14:paraId="17F5F1E6" w14:textId="58BFEBEB"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[445]</w:t>
      </w:r>
      <w:r w:rsidRPr="000A0EA1">
        <w:rPr>
          <w:kern w:val="24"/>
          <w:sz w:val="22"/>
          <w:lang w:val="en-CA"/>
        </w:rPr>
        <w:tab/>
      </w:r>
      <w:r w:rsidRPr="000A0EA1">
        <w:rPr>
          <w:b/>
          <w:bCs/>
          <w:kern w:val="24"/>
          <w:sz w:val="22"/>
          <w:lang w:val="en-CA"/>
        </w:rPr>
        <w:t xml:space="preserve">SUSPENDS </w:t>
      </w:r>
      <w:r w:rsidRPr="000A0EA1">
        <w:rPr>
          <w:kern w:val="24"/>
          <w:sz w:val="22"/>
          <w:lang w:val="en-CA"/>
        </w:rPr>
        <w:t>for a period of six months from the date of this judgment the application of the statutory provisions listed in the Schedule to this judgment[</w:t>
      </w:r>
      <w:r w:rsidRPr="000A0EA1">
        <w:rPr>
          <w:kern w:val="24"/>
          <w:sz w:val="22"/>
          <w:vertAlign w:val="superscript"/>
          <w:lang w:val="en-CA"/>
        </w:rPr>
        <w:footnoteReference w:id="4"/>
      </w:r>
      <w:r w:rsidRPr="000A0EA1">
        <w:rPr>
          <w:kern w:val="24"/>
          <w:sz w:val="22"/>
          <w:lang w:val="en-CA"/>
        </w:rPr>
        <w:t xml:space="preserve">] to the </w:t>
      </w:r>
      <w:r w:rsidR="00AE3408">
        <w:rPr>
          <w:kern w:val="24"/>
          <w:sz w:val="22"/>
          <w:lang w:val="en-CA"/>
        </w:rPr>
        <w:t>English</w:t>
      </w:r>
      <w:r w:rsidR="00AE3408">
        <w:rPr>
          <w:kern w:val="24"/>
          <w:sz w:val="22"/>
          <w:lang w:val="en-CA"/>
        </w:rPr>
        <w:noBreakHyphen/>
        <w:t>language</w:t>
      </w:r>
      <w:r w:rsidRPr="000A0EA1">
        <w:rPr>
          <w:kern w:val="24"/>
          <w:sz w:val="22"/>
          <w:lang w:val="en-CA"/>
        </w:rPr>
        <w:t xml:space="preserve"> school boards or school service centres;</w:t>
      </w:r>
    </w:p>
    <w:p w14:paraId="17F5F1E7"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[446]</w:t>
      </w:r>
      <w:r w:rsidRPr="000A0EA1">
        <w:rPr>
          <w:kern w:val="24"/>
          <w:sz w:val="22"/>
          <w:lang w:val="en-CA"/>
        </w:rPr>
        <w:tab/>
      </w:r>
      <w:r w:rsidRPr="000A0EA1">
        <w:rPr>
          <w:b/>
          <w:bCs/>
          <w:kern w:val="24"/>
          <w:sz w:val="22"/>
          <w:lang w:val="en-CA"/>
        </w:rPr>
        <w:t xml:space="preserve">RETAINS </w:t>
      </w:r>
      <w:r w:rsidRPr="000A0EA1">
        <w:rPr>
          <w:kern w:val="24"/>
          <w:sz w:val="22"/>
          <w:lang w:val="en-CA"/>
        </w:rPr>
        <w:t>jurisdiction over this file to resolve any issues that may arise in this respect;</w:t>
      </w:r>
    </w:p>
    <w:p w14:paraId="17F5F1E8" w14:textId="6A8B8203"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[447]</w:t>
      </w:r>
      <w:r w:rsidRPr="000A0EA1">
        <w:rPr>
          <w:kern w:val="24"/>
          <w:sz w:val="22"/>
          <w:lang w:val="en-CA"/>
        </w:rPr>
        <w:tab/>
      </w:r>
      <w:r w:rsidRPr="000A0EA1">
        <w:rPr>
          <w:b/>
          <w:bCs/>
          <w:kern w:val="24"/>
          <w:sz w:val="22"/>
          <w:lang w:val="en-CA"/>
        </w:rPr>
        <w:t>THE WHOLE</w:t>
      </w:r>
      <w:r w:rsidRPr="000A0EA1">
        <w:rPr>
          <w:kern w:val="24"/>
          <w:sz w:val="22"/>
          <w:lang w:val="en-CA"/>
        </w:rPr>
        <w:t>, with legal costs, including experts</w:t>
      </w:r>
      <w:r w:rsidR="00E46AFD">
        <w:rPr>
          <w:kern w:val="24"/>
          <w:sz w:val="22"/>
          <w:lang w:val="en-CA"/>
        </w:rPr>
        <w:t>’</w:t>
      </w:r>
      <w:r w:rsidRPr="000A0EA1">
        <w:rPr>
          <w:kern w:val="24"/>
          <w:sz w:val="22"/>
          <w:lang w:val="en-CA"/>
        </w:rPr>
        <w:t xml:space="preserve"> fees, in favour of the applicants.</w:t>
      </w:r>
    </w:p>
    <w:p w14:paraId="17F5F1E9" w14:textId="77777777" w:rsidR="00F75613" w:rsidRPr="000A0EA1" w:rsidRDefault="00B02E00" w:rsidP="00B255B8">
      <w:pPr>
        <w:pStyle w:val="Paragraphe"/>
        <w:spacing w:before="240" w:line="240" w:lineRule="auto"/>
        <w:rPr>
          <w:lang w:val="en-CA"/>
        </w:rPr>
      </w:pPr>
      <w:r w:rsidRPr="000A0EA1">
        <w:rPr>
          <w:lang w:val="en-CA"/>
        </w:rPr>
        <w:t>The respondents did not lodge an incidental appeal. The interveners before the Superior Court are parties to the appeal as impleaded parties. Additionally, the Quebec Community Groups Network was authorized intervene on appeal.</w:t>
      </w:r>
      <w:r w:rsidRPr="000A0EA1">
        <w:rPr>
          <w:rStyle w:val="Appelnotedebasdep"/>
          <w:lang w:val="en-CA"/>
        </w:rPr>
        <w:footnoteReference w:id="5"/>
      </w:r>
      <w:r w:rsidRPr="000A0EA1">
        <w:rPr>
          <w:lang w:val="en-CA"/>
        </w:rPr>
        <w:t xml:space="preserve"> The appeal was heard over three days, from January 27 to 29, 2025. </w:t>
      </w:r>
    </w:p>
    <w:p w14:paraId="17F5F1EA" w14:textId="68825736" w:rsidR="00F75613" w:rsidRPr="000A0EA1" w:rsidRDefault="00B02E00" w:rsidP="00B255B8">
      <w:pPr>
        <w:pStyle w:val="Paragraphe"/>
        <w:spacing w:line="240" w:lineRule="auto"/>
        <w:rPr>
          <w:lang w:val="en-CA"/>
        </w:rPr>
      </w:pPr>
      <w:r w:rsidRPr="000A0EA1">
        <w:rPr>
          <w:lang w:val="en-CA"/>
        </w:rPr>
        <w:t xml:space="preserve">After setting out the general context for </w:t>
      </w:r>
      <w:r w:rsidR="00C33BBC">
        <w:rPr>
          <w:i/>
          <w:iCs/>
          <w:lang w:val="en-CA"/>
        </w:rPr>
        <w:t>Bill 40</w:t>
      </w:r>
      <w:r w:rsidRPr="000A0EA1">
        <w:rPr>
          <w:lang w:val="en-CA"/>
        </w:rPr>
        <w:t>, describing the proceedings in first instance and summarizing the trial judgment, the Court will address the general scope of the linguistic minority</w:t>
      </w:r>
      <w:r w:rsidR="00E46AFD">
        <w:rPr>
          <w:lang w:val="en-CA"/>
        </w:rPr>
        <w:t>’</w:t>
      </w:r>
      <w:r w:rsidRPr="000A0EA1">
        <w:rPr>
          <w:lang w:val="en-CA"/>
        </w:rPr>
        <w:t xml:space="preserve">s rights of management and control over its educational facilities and will identify the holders of those rights. It will then deal with the analysis of the provisions of </w:t>
      </w:r>
      <w:r w:rsidR="00C33BBC">
        <w:rPr>
          <w:i/>
          <w:iCs/>
          <w:lang w:val="en-CA"/>
        </w:rPr>
        <w:t>Bill 40</w:t>
      </w:r>
      <w:r w:rsidRPr="000A0EA1">
        <w:rPr>
          <w:lang w:val="en-CA"/>
        </w:rPr>
        <w:t xml:space="preserve"> that were found to infringe </w:t>
      </w:r>
      <w:r w:rsidR="0062160E">
        <w:rPr>
          <w:lang w:val="en-CA"/>
        </w:rPr>
        <w:t>s. 2</w:t>
      </w:r>
      <w:r w:rsidRPr="000A0EA1">
        <w:rPr>
          <w:lang w:val="en-CA"/>
        </w:rPr>
        <w:t xml:space="preserve">3 of the </w:t>
      </w:r>
      <w:r w:rsidRPr="000A0EA1">
        <w:rPr>
          <w:i/>
          <w:iCs/>
          <w:lang w:val="en-CA"/>
        </w:rPr>
        <w:t>Charter</w:t>
      </w:r>
      <w:r w:rsidRPr="000A0EA1">
        <w:rPr>
          <w:lang w:val="en-CA"/>
        </w:rPr>
        <w:t xml:space="preserve"> and the justification submitted for these provisions under </w:t>
      </w:r>
      <w:r w:rsidR="0062160E">
        <w:rPr>
          <w:lang w:val="en-CA"/>
        </w:rPr>
        <w:t>s. 1</w:t>
      </w:r>
      <w:r w:rsidRPr="000A0EA1">
        <w:rPr>
          <w:lang w:val="en-CA"/>
        </w:rPr>
        <w:t xml:space="preserve"> of </w:t>
      </w:r>
      <w:r w:rsidRPr="000A0EA1">
        <w:rPr>
          <w:i/>
          <w:iCs/>
          <w:lang w:val="en-CA"/>
        </w:rPr>
        <w:t>Charter</w:t>
      </w:r>
      <w:r w:rsidRPr="000A0EA1">
        <w:rPr>
          <w:lang w:val="en-CA"/>
        </w:rPr>
        <w:t>. The Court will then turn to the question of the state</w:t>
      </w:r>
      <w:r w:rsidR="00E46AFD">
        <w:rPr>
          <w:lang w:val="en-CA"/>
        </w:rPr>
        <w:t>’</w:t>
      </w:r>
      <w:r w:rsidRPr="000A0EA1">
        <w:rPr>
          <w:lang w:val="en-CA"/>
        </w:rPr>
        <w:t>s duty to consult the linguistic minority as part of the law-making process. Lastly, the Court will address the matter of remedies.</w:t>
      </w:r>
    </w:p>
    <w:p w14:paraId="17F5F1EB" w14:textId="77777777" w:rsidR="00F75613" w:rsidRPr="000A0EA1" w:rsidRDefault="00B02E00" w:rsidP="00B255B8">
      <w:pPr>
        <w:spacing w:before="240" w:after="120" w:line="240" w:lineRule="auto"/>
        <w:jc w:val="both"/>
        <w:rPr>
          <w:b/>
          <w:bCs/>
          <w:kern w:val="28"/>
          <w:u w:val="single"/>
          <w:lang w:val="en-CA"/>
        </w:rPr>
      </w:pPr>
      <w:r w:rsidRPr="000A0EA1">
        <w:rPr>
          <w:b/>
          <w:bCs/>
          <w:kern w:val="28"/>
          <w:u w:val="single"/>
          <w:lang w:val="en-CA"/>
        </w:rPr>
        <w:t>CONTEXT</w:t>
      </w:r>
    </w:p>
    <w:p w14:paraId="17F5F1EC" w14:textId="7EFB41B0" w:rsidR="00F75613" w:rsidRPr="000A0EA1" w:rsidRDefault="00B02E00" w:rsidP="00B255B8">
      <w:pPr>
        <w:pStyle w:val="Paragraphedeliste"/>
        <w:numPr>
          <w:ilvl w:val="0"/>
          <w:numId w:val="5"/>
        </w:numPr>
        <w:spacing w:before="120" w:after="120" w:line="240" w:lineRule="auto"/>
        <w:ind w:left="1077" w:hanging="357"/>
        <w:contextualSpacing w:val="0"/>
        <w:jc w:val="both"/>
        <w:rPr>
          <w:rFonts w:ascii="Arial" w:hAnsi="Arial" w:cs="Arial"/>
          <w:b/>
          <w:bCs/>
          <w:kern w:val="28"/>
          <w:sz w:val="24"/>
          <w:szCs w:val="24"/>
          <w:u w:val="single"/>
          <w:lang w:val="en-CA"/>
        </w:rPr>
      </w:pPr>
      <w:r w:rsidRPr="000A0EA1">
        <w:rPr>
          <w:rFonts w:ascii="Arial" w:hAnsi="Arial" w:cs="Arial"/>
          <w:b/>
          <w:bCs/>
          <w:kern w:val="28"/>
          <w:sz w:val="24"/>
          <w:szCs w:val="24"/>
          <w:u w:val="single"/>
          <w:lang w:val="en-CA"/>
        </w:rPr>
        <w:t>General context</w:t>
      </w:r>
    </w:p>
    <w:p w14:paraId="17F5F1ED" w14:textId="4083605A"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lastRenderedPageBreak/>
        <w:t xml:space="preserve">Section 93 of the </w:t>
      </w:r>
      <w:r w:rsidRPr="000A0EA1">
        <w:rPr>
          <w:i/>
          <w:iCs/>
          <w:kern w:val="28"/>
          <w:lang w:val="en-CA"/>
        </w:rPr>
        <w:t>Constitution Act, 1867</w:t>
      </w:r>
      <w:r w:rsidRPr="000A0EA1">
        <w:rPr>
          <w:kern w:val="28"/>
          <w:lang w:val="en-CA"/>
        </w:rPr>
        <w:t xml:space="preserve"> gives the provinces the exclusive power to legislate in relation to education. Within certain provinces, however, including Quebec until 1997, this power is subject to protections for the Catholic or Protestant religious minorities, as the case may be:</w:t>
      </w:r>
      <w:r w:rsidR="00DA0570" w:rsidRPr="00DA0570">
        <w:rPr>
          <w:rStyle w:val="Appelnotedebasdep"/>
          <w:kern w:val="28"/>
          <w:lang w:val="en-CA"/>
        </w:rPr>
        <w:t xml:space="preserve"> </w:t>
      </w:r>
      <w:r w:rsidR="00DA0570" w:rsidRPr="000A0EA1">
        <w:rPr>
          <w:rStyle w:val="Appelnotedebasdep"/>
          <w:kern w:val="28"/>
          <w:lang w:val="en-CA"/>
        </w:rPr>
        <w:footnoteReference w:id="6"/>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4936F2" w:rsidRPr="000A0EA1" w14:paraId="17F5F1F9" w14:textId="77777777" w:rsidTr="00313499">
        <w:tc>
          <w:tcPr>
            <w:tcW w:w="4676" w:type="dxa"/>
            <w:hideMark/>
          </w:tcPr>
          <w:p w14:paraId="17F5F1EE" w14:textId="4B6E248A"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93</w:t>
            </w:r>
            <w:r w:rsidR="00EE4DEB">
              <w:rPr>
                <w:rFonts w:cs="Arial"/>
                <w:b/>
                <w:bCs/>
                <w:sz w:val="22"/>
                <w:szCs w:val="22"/>
                <w:lang w:val="en-CA" w:eastAsia="fr-CA"/>
              </w:rPr>
              <w:t>.</w:t>
            </w:r>
            <w:r w:rsidR="00AC60FF">
              <w:rPr>
                <w:rFonts w:cs="Arial"/>
                <w:sz w:val="22"/>
                <w:szCs w:val="22"/>
                <w:lang w:val="en-CA" w:eastAsia="fr-CA"/>
              </w:rPr>
              <w:t xml:space="preserve"> </w:t>
            </w:r>
            <w:r w:rsidRPr="000A0EA1">
              <w:rPr>
                <w:rFonts w:cs="Arial"/>
                <w:sz w:val="22"/>
                <w:szCs w:val="22"/>
                <w:lang w:val="en-CA" w:eastAsia="fr-CA"/>
              </w:rPr>
              <w:t>In and for each Province the Legislature may exclusively make Laws in relation to Education, subject and according to the following Provisions:</w:t>
            </w:r>
          </w:p>
          <w:p w14:paraId="17F5F1EF"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1.</w:t>
            </w:r>
            <w:r w:rsidRPr="000A0EA1">
              <w:rPr>
                <w:rFonts w:cs="Arial"/>
                <w:sz w:val="22"/>
                <w:szCs w:val="22"/>
                <w:lang w:val="en-CA" w:eastAsia="fr-CA"/>
              </w:rPr>
              <w:t> Nothing in any such Law shall prejudicially affect any Right or Privilege with respect to Denominational Schools which any Class of Persons have by Law in the Province at the Union;</w:t>
            </w:r>
          </w:p>
          <w:p w14:paraId="17F5F1F0" w14:textId="02DCBF4D" w:rsidR="00F75613" w:rsidRPr="000A0EA1" w:rsidRDefault="00B02E00" w:rsidP="00B255B8">
            <w:pPr>
              <w:shd w:val="clear" w:color="auto" w:fill="FFFFFF"/>
              <w:spacing w:before="360" w:after="120" w:line="240" w:lineRule="auto"/>
              <w:ind w:left="720" w:right="142"/>
              <w:jc w:val="both"/>
              <w:rPr>
                <w:rFonts w:cs="Arial"/>
                <w:sz w:val="22"/>
                <w:szCs w:val="22"/>
                <w:lang w:val="en-CA" w:eastAsia="fr-CA"/>
              </w:rPr>
            </w:pPr>
            <w:r w:rsidRPr="000A0EA1">
              <w:rPr>
                <w:rFonts w:cs="Arial"/>
                <w:b/>
                <w:bCs/>
                <w:sz w:val="22"/>
                <w:szCs w:val="22"/>
                <w:lang w:val="en-CA" w:eastAsia="fr-CA"/>
              </w:rPr>
              <w:t>2.</w:t>
            </w:r>
            <w:r w:rsidRPr="000A0EA1">
              <w:rPr>
                <w:rFonts w:cs="Arial"/>
                <w:sz w:val="22"/>
                <w:szCs w:val="22"/>
                <w:lang w:val="en-CA" w:eastAsia="fr-CA"/>
              </w:rPr>
              <w:t> All the Powers, Privileges, and Duties at the Union by Law conferred and imposed in Upper Canada on the Separate Schools and School Trustees of the Queen</w:t>
            </w:r>
            <w:r w:rsidR="00E46AFD">
              <w:rPr>
                <w:rFonts w:cs="Arial"/>
                <w:sz w:val="22"/>
                <w:szCs w:val="22"/>
                <w:lang w:val="en-CA" w:eastAsia="fr-CA"/>
              </w:rPr>
              <w:t>’</w:t>
            </w:r>
            <w:r w:rsidRPr="000A0EA1">
              <w:rPr>
                <w:rFonts w:cs="Arial"/>
                <w:sz w:val="22"/>
                <w:szCs w:val="22"/>
                <w:lang w:val="en-CA" w:eastAsia="fr-CA"/>
              </w:rPr>
              <w:t>s Roman Catholic Subjects shall be and the same are hereby extended to the Dissentient Schools of the Queen</w:t>
            </w:r>
            <w:r w:rsidR="00E46AFD">
              <w:rPr>
                <w:rFonts w:cs="Arial"/>
                <w:sz w:val="22"/>
                <w:szCs w:val="22"/>
                <w:lang w:val="en-CA" w:eastAsia="fr-CA"/>
              </w:rPr>
              <w:t>’</w:t>
            </w:r>
            <w:r w:rsidRPr="000A0EA1">
              <w:rPr>
                <w:rFonts w:cs="Arial"/>
                <w:sz w:val="22"/>
                <w:szCs w:val="22"/>
                <w:lang w:val="en-CA" w:eastAsia="fr-CA"/>
              </w:rPr>
              <w:t>s Protestant and Roman Catholic Subjects in Quebec;</w:t>
            </w:r>
          </w:p>
          <w:p w14:paraId="17F5F1F1" w14:textId="42AE8BB7" w:rsidR="00F75613" w:rsidRPr="000A0EA1" w:rsidRDefault="00B02E00" w:rsidP="00941113">
            <w:pPr>
              <w:shd w:val="clear" w:color="auto" w:fill="FFFFFF"/>
              <w:spacing w:before="120" w:after="40" w:line="240" w:lineRule="auto"/>
              <w:ind w:left="720" w:right="142"/>
              <w:jc w:val="both"/>
              <w:rPr>
                <w:rFonts w:cs="Arial"/>
                <w:sz w:val="22"/>
                <w:szCs w:val="22"/>
                <w:lang w:val="en-CA" w:eastAsia="fr-CA"/>
              </w:rPr>
            </w:pPr>
            <w:r w:rsidRPr="000A0EA1">
              <w:rPr>
                <w:rFonts w:cs="Arial"/>
                <w:b/>
                <w:bCs/>
                <w:sz w:val="22"/>
                <w:szCs w:val="22"/>
                <w:lang w:val="en-CA" w:eastAsia="fr-CA"/>
              </w:rPr>
              <w:t>3.</w:t>
            </w:r>
            <w:r w:rsidRPr="000A0EA1">
              <w:rPr>
                <w:rFonts w:cs="Arial"/>
                <w:sz w:val="22"/>
                <w:szCs w:val="22"/>
                <w:lang w:val="en-CA" w:eastAsia="fr-CA"/>
              </w:rPr>
              <w:t xml:space="preserve"> Where in any Province a System of Separate or Dissentient Schools exists by Law at the Union or is thereafter established by the Legislature of the Province, an Appeal shall lie to the Governor General in Council from any act or </w:t>
            </w:r>
            <w:r w:rsidRPr="000A0EA1">
              <w:rPr>
                <w:rFonts w:cs="Arial"/>
                <w:sz w:val="22"/>
                <w:szCs w:val="22"/>
                <w:lang w:val="en-CA" w:eastAsia="fr-CA"/>
              </w:rPr>
              <w:lastRenderedPageBreak/>
              <w:t>Decision of any Provincial Authority affecting any Right or Privilege of the Protestant or Roman Catholic Minority of the Queen</w:t>
            </w:r>
            <w:r w:rsidR="00E46AFD">
              <w:rPr>
                <w:rFonts w:cs="Arial"/>
                <w:sz w:val="22"/>
                <w:szCs w:val="22"/>
                <w:lang w:val="en-CA" w:eastAsia="fr-CA"/>
              </w:rPr>
              <w:t>’</w:t>
            </w:r>
            <w:r w:rsidRPr="000A0EA1">
              <w:rPr>
                <w:rFonts w:cs="Arial"/>
                <w:sz w:val="22"/>
                <w:szCs w:val="22"/>
                <w:lang w:val="en-CA" w:eastAsia="fr-CA"/>
              </w:rPr>
              <w:t>s Subjects in relation to Education;</w:t>
            </w:r>
          </w:p>
          <w:p w14:paraId="17F5F1F2" w14:textId="77777777" w:rsidR="00F75613" w:rsidRPr="000A0EA1" w:rsidRDefault="00B02E00" w:rsidP="00B255B8">
            <w:pPr>
              <w:shd w:val="clear" w:color="auto" w:fill="FFFFFF"/>
              <w:spacing w:before="480" w:after="120" w:line="240" w:lineRule="auto"/>
              <w:ind w:left="720" w:right="142"/>
              <w:jc w:val="both"/>
              <w:rPr>
                <w:rFonts w:cs="Arial"/>
                <w:sz w:val="22"/>
                <w:szCs w:val="22"/>
                <w:lang w:val="en-CA" w:eastAsia="fr-CA"/>
              </w:rPr>
            </w:pPr>
            <w:r w:rsidRPr="000A0EA1">
              <w:rPr>
                <w:rFonts w:cs="Arial"/>
                <w:b/>
                <w:bCs/>
                <w:sz w:val="22"/>
                <w:szCs w:val="22"/>
                <w:lang w:val="en-CA" w:eastAsia="fr-CA"/>
              </w:rPr>
              <w:t>4.</w:t>
            </w:r>
            <w:r w:rsidRPr="000A0EA1">
              <w:rPr>
                <w:rFonts w:cs="Arial"/>
                <w:sz w:val="22"/>
                <w:szCs w:val="22"/>
                <w:lang w:val="en-CA" w:eastAsia="fr-CA"/>
              </w:rPr>
              <w:t xml:space="preserve"> In case any such Provincial Law as from Time to Time seems to the Governor General in Council requisite for the due Execution of the Provisions of this Section is not made, or in case any Decision of the Governor General in Council on any Appeal under this Section is not duly executed by the proper Provincial Authority in that Behalf, then and in every such Case, and as far only as the Circumstances of each Case require, the Parliament of Canada may make remedial Laws for the due Execution of the Provisions of this Section and of any Decision of the Governor General in Council under this Section. </w:t>
            </w:r>
          </w:p>
        </w:tc>
        <w:tc>
          <w:tcPr>
            <w:tcW w:w="4676" w:type="dxa"/>
          </w:tcPr>
          <w:p w14:paraId="17F5F1F3" w14:textId="5B7C8FAF" w:rsidR="00F75613" w:rsidRPr="007C6C94" w:rsidRDefault="00B02E00" w:rsidP="00B255B8">
            <w:pPr>
              <w:shd w:val="clear" w:color="auto" w:fill="FFFFFF"/>
              <w:spacing w:before="120" w:after="120" w:line="240" w:lineRule="auto"/>
              <w:ind w:left="142" w:right="720"/>
              <w:jc w:val="both"/>
              <w:rPr>
                <w:rFonts w:cs="Arial"/>
                <w:sz w:val="22"/>
                <w:szCs w:val="22"/>
                <w:lang w:eastAsia="fr-CA"/>
              </w:rPr>
            </w:pPr>
            <w:r w:rsidRPr="007C6C94">
              <w:rPr>
                <w:rFonts w:cs="Arial"/>
                <w:b/>
                <w:bCs/>
                <w:sz w:val="22"/>
                <w:szCs w:val="22"/>
                <w:lang w:eastAsia="fr-CA"/>
              </w:rPr>
              <w:lastRenderedPageBreak/>
              <w:t>93</w:t>
            </w:r>
            <w:r w:rsidR="00EE4DEB">
              <w:rPr>
                <w:rFonts w:cs="Arial"/>
                <w:b/>
                <w:bCs/>
                <w:sz w:val="22"/>
                <w:szCs w:val="22"/>
                <w:lang w:eastAsia="fr-CA"/>
              </w:rPr>
              <w:t>.</w:t>
            </w:r>
            <w:r w:rsidRPr="007C6C94">
              <w:rPr>
                <w:rFonts w:cs="Arial"/>
                <w:sz w:val="22"/>
                <w:szCs w:val="22"/>
                <w:lang w:eastAsia="fr-CA"/>
              </w:rPr>
              <w:t> Dans chaque province, la législature pourra exclusivement décréter des lois relatives à l</w:t>
            </w:r>
            <w:r w:rsidR="00E46AFD">
              <w:rPr>
                <w:rFonts w:cs="Arial"/>
                <w:sz w:val="22"/>
                <w:szCs w:val="22"/>
                <w:lang w:eastAsia="fr-CA"/>
              </w:rPr>
              <w:t>’</w:t>
            </w:r>
            <w:r w:rsidRPr="007C6C94">
              <w:rPr>
                <w:rFonts w:cs="Arial"/>
                <w:sz w:val="22"/>
                <w:szCs w:val="22"/>
                <w:lang w:eastAsia="fr-CA"/>
              </w:rPr>
              <w:t>éducation, sujettes et conformes aux dispositions suivantes :</w:t>
            </w:r>
          </w:p>
          <w:p w14:paraId="17F5F1F4" w14:textId="5BE0F99C" w:rsidR="00F75613" w:rsidRPr="007C6C94" w:rsidRDefault="00B02E00" w:rsidP="00B255B8">
            <w:pPr>
              <w:shd w:val="clear" w:color="auto" w:fill="FFFFFF"/>
              <w:spacing w:before="120" w:after="120" w:line="240" w:lineRule="auto"/>
              <w:ind w:left="142" w:right="720"/>
              <w:jc w:val="both"/>
              <w:rPr>
                <w:rFonts w:cs="Arial"/>
                <w:sz w:val="22"/>
                <w:szCs w:val="22"/>
                <w:lang w:eastAsia="fr-CA"/>
              </w:rPr>
            </w:pPr>
            <w:r w:rsidRPr="007C6C94">
              <w:rPr>
                <w:rFonts w:cs="Arial"/>
                <w:b/>
                <w:bCs/>
                <w:sz w:val="22"/>
                <w:szCs w:val="22"/>
                <w:lang w:eastAsia="fr-CA"/>
              </w:rPr>
              <w:t>1.</w:t>
            </w:r>
            <w:r w:rsidRPr="007C6C94">
              <w:rPr>
                <w:rFonts w:cs="Arial"/>
                <w:sz w:val="22"/>
                <w:szCs w:val="22"/>
                <w:lang w:eastAsia="fr-CA"/>
              </w:rPr>
              <w:t> Rien dans ces lois ne devra préjudicier à aucun droit ou privilège conféré, lors de l</w:t>
            </w:r>
            <w:r w:rsidR="00E46AFD">
              <w:rPr>
                <w:rFonts w:cs="Arial"/>
                <w:sz w:val="22"/>
                <w:szCs w:val="22"/>
                <w:lang w:eastAsia="fr-CA"/>
              </w:rPr>
              <w:t>’</w:t>
            </w:r>
            <w:r w:rsidRPr="007C6C94">
              <w:rPr>
                <w:rFonts w:cs="Arial"/>
                <w:sz w:val="22"/>
                <w:szCs w:val="22"/>
                <w:lang w:eastAsia="fr-CA"/>
              </w:rPr>
              <w:t>union, par la loi à aucune classe particulière de personnes dans la province, relativement aux écoles séparées (</w:t>
            </w:r>
            <w:proofErr w:type="spellStart"/>
            <w:r w:rsidRPr="007C6C94">
              <w:rPr>
                <w:rFonts w:cs="Arial"/>
                <w:i/>
                <w:iCs/>
                <w:sz w:val="22"/>
                <w:szCs w:val="22"/>
                <w:lang w:eastAsia="fr-CA"/>
              </w:rPr>
              <w:t>denominational</w:t>
            </w:r>
            <w:proofErr w:type="spellEnd"/>
            <w:r w:rsidRPr="007C6C94">
              <w:rPr>
                <w:rFonts w:cs="Arial"/>
                <w:sz w:val="22"/>
                <w:szCs w:val="22"/>
                <w:lang w:eastAsia="fr-CA"/>
              </w:rPr>
              <w:t>);</w:t>
            </w:r>
          </w:p>
          <w:p w14:paraId="17F5F1F5" w14:textId="00A8BD2F" w:rsidR="00F75613" w:rsidRPr="007C6C94" w:rsidRDefault="00B02E00" w:rsidP="00B255B8">
            <w:pPr>
              <w:shd w:val="clear" w:color="auto" w:fill="FFFFFF"/>
              <w:spacing w:before="120" w:after="120" w:line="240" w:lineRule="auto"/>
              <w:ind w:left="142" w:right="720"/>
              <w:jc w:val="both"/>
              <w:rPr>
                <w:rFonts w:cs="Arial"/>
                <w:sz w:val="22"/>
                <w:szCs w:val="22"/>
                <w:lang w:eastAsia="fr-CA"/>
              </w:rPr>
            </w:pPr>
            <w:r w:rsidRPr="007C6C94">
              <w:rPr>
                <w:rFonts w:cs="Arial"/>
                <w:b/>
                <w:bCs/>
                <w:sz w:val="22"/>
                <w:szCs w:val="22"/>
                <w:lang w:eastAsia="fr-CA"/>
              </w:rPr>
              <w:t>2.</w:t>
            </w:r>
            <w:r w:rsidRPr="007C6C94">
              <w:rPr>
                <w:rFonts w:cs="Arial"/>
                <w:sz w:val="22"/>
                <w:szCs w:val="22"/>
                <w:lang w:eastAsia="fr-CA"/>
              </w:rPr>
              <w:t> Tous les pouvoirs, privilèges et devoirs conférés et imposés par la loi dans le Haut-Canada, lors de l</w:t>
            </w:r>
            <w:r w:rsidR="00E46AFD">
              <w:rPr>
                <w:rFonts w:cs="Arial"/>
                <w:sz w:val="22"/>
                <w:szCs w:val="22"/>
                <w:lang w:eastAsia="fr-CA"/>
              </w:rPr>
              <w:t>’</w:t>
            </w:r>
            <w:r w:rsidRPr="007C6C94">
              <w:rPr>
                <w:rFonts w:cs="Arial"/>
                <w:sz w:val="22"/>
                <w:szCs w:val="22"/>
                <w:lang w:eastAsia="fr-CA"/>
              </w:rPr>
              <w:t>union, aux écoles séparées et aux syndics d</w:t>
            </w:r>
            <w:r w:rsidR="00E46AFD">
              <w:rPr>
                <w:rFonts w:cs="Arial"/>
                <w:sz w:val="22"/>
                <w:szCs w:val="22"/>
                <w:lang w:eastAsia="fr-CA"/>
              </w:rPr>
              <w:t>’</w:t>
            </w:r>
            <w:r w:rsidRPr="007C6C94">
              <w:rPr>
                <w:rFonts w:cs="Arial"/>
                <w:sz w:val="22"/>
                <w:szCs w:val="22"/>
                <w:lang w:eastAsia="fr-CA"/>
              </w:rPr>
              <w:t>écoles des sujets catholiques romains de Sa Majesté, seront et sont par la présente étendus aux écoles dissidentes des sujets protestants et catholiques romains de la Reine dans la province de Québec;</w:t>
            </w:r>
          </w:p>
          <w:p w14:paraId="17F5F1F6" w14:textId="46793F67" w:rsidR="00F75613" w:rsidRPr="007C6C94" w:rsidRDefault="00B02E00" w:rsidP="00B255B8">
            <w:pPr>
              <w:shd w:val="clear" w:color="auto" w:fill="FFFFFF"/>
              <w:spacing w:before="120" w:after="120" w:line="240" w:lineRule="auto"/>
              <w:ind w:left="142" w:right="720"/>
              <w:jc w:val="both"/>
              <w:rPr>
                <w:rFonts w:cs="Arial"/>
                <w:sz w:val="22"/>
                <w:szCs w:val="22"/>
                <w:lang w:eastAsia="fr-CA"/>
              </w:rPr>
            </w:pPr>
            <w:r w:rsidRPr="007C6C94">
              <w:rPr>
                <w:rFonts w:cs="Arial"/>
                <w:b/>
                <w:bCs/>
                <w:sz w:val="22"/>
                <w:szCs w:val="22"/>
                <w:lang w:eastAsia="fr-CA"/>
              </w:rPr>
              <w:t>3.</w:t>
            </w:r>
            <w:r w:rsidRPr="007C6C94">
              <w:rPr>
                <w:rFonts w:cs="Arial"/>
                <w:sz w:val="22"/>
                <w:szCs w:val="22"/>
                <w:lang w:eastAsia="fr-CA"/>
              </w:rPr>
              <w:t> Dans toute province où un système d</w:t>
            </w:r>
            <w:r w:rsidR="00E46AFD">
              <w:rPr>
                <w:rFonts w:cs="Arial"/>
                <w:sz w:val="22"/>
                <w:szCs w:val="22"/>
                <w:lang w:eastAsia="fr-CA"/>
              </w:rPr>
              <w:t>’</w:t>
            </w:r>
            <w:r w:rsidRPr="007C6C94">
              <w:rPr>
                <w:rFonts w:cs="Arial"/>
                <w:sz w:val="22"/>
                <w:szCs w:val="22"/>
                <w:lang w:eastAsia="fr-CA"/>
              </w:rPr>
              <w:t>écoles séparées ou dissidentes existera par la loi, lors de l</w:t>
            </w:r>
            <w:r w:rsidR="00E46AFD">
              <w:rPr>
                <w:rFonts w:cs="Arial"/>
                <w:sz w:val="22"/>
                <w:szCs w:val="22"/>
                <w:lang w:eastAsia="fr-CA"/>
              </w:rPr>
              <w:t>’</w:t>
            </w:r>
            <w:r w:rsidRPr="007C6C94">
              <w:rPr>
                <w:rFonts w:cs="Arial"/>
                <w:sz w:val="22"/>
                <w:szCs w:val="22"/>
                <w:lang w:eastAsia="fr-CA"/>
              </w:rPr>
              <w:t xml:space="preserve">union, ou sera subséquemment établi par la législature de la province — il pourra être interjeté appel au gouverneur-général en conseil de </w:t>
            </w:r>
            <w:r w:rsidRPr="007C6C94">
              <w:rPr>
                <w:rFonts w:cs="Arial"/>
                <w:sz w:val="22"/>
                <w:szCs w:val="22"/>
                <w:lang w:eastAsia="fr-CA"/>
              </w:rPr>
              <w:lastRenderedPageBreak/>
              <w:t>toute loi ou décision d</w:t>
            </w:r>
            <w:r w:rsidR="00E46AFD">
              <w:rPr>
                <w:rFonts w:cs="Arial"/>
                <w:sz w:val="22"/>
                <w:szCs w:val="22"/>
                <w:lang w:eastAsia="fr-CA"/>
              </w:rPr>
              <w:t>’</w:t>
            </w:r>
            <w:r w:rsidRPr="007C6C94">
              <w:rPr>
                <w:rFonts w:cs="Arial"/>
                <w:sz w:val="22"/>
                <w:szCs w:val="22"/>
                <w:lang w:eastAsia="fr-CA"/>
              </w:rPr>
              <w:t>aucune autorité provinciale affectant aucun des droits ou privilèges de la minorité protestante ou catholique romaine des sujets de Sa Majesté relativement à l</w:t>
            </w:r>
            <w:r w:rsidR="00E46AFD">
              <w:rPr>
                <w:rFonts w:cs="Arial"/>
                <w:sz w:val="22"/>
                <w:szCs w:val="22"/>
                <w:lang w:eastAsia="fr-CA"/>
              </w:rPr>
              <w:t>’</w:t>
            </w:r>
            <w:r w:rsidRPr="007C6C94">
              <w:rPr>
                <w:rFonts w:cs="Arial"/>
                <w:sz w:val="22"/>
                <w:szCs w:val="22"/>
                <w:lang w:eastAsia="fr-CA"/>
              </w:rPr>
              <w:t>éducation;</w:t>
            </w:r>
          </w:p>
          <w:p w14:paraId="17F5F1F8" w14:textId="34849F3E" w:rsidR="00F75613" w:rsidRPr="00B255B8" w:rsidRDefault="00B02E00" w:rsidP="00B255B8">
            <w:pPr>
              <w:shd w:val="clear" w:color="auto" w:fill="FFFFFF"/>
              <w:spacing w:before="120" w:after="120" w:line="240" w:lineRule="auto"/>
              <w:ind w:left="142" w:right="720"/>
              <w:jc w:val="both"/>
              <w:rPr>
                <w:rFonts w:cs="Arial"/>
                <w:sz w:val="22"/>
                <w:szCs w:val="22"/>
                <w:lang w:eastAsia="fr-CA"/>
              </w:rPr>
            </w:pPr>
            <w:r w:rsidRPr="007C6C94">
              <w:rPr>
                <w:rFonts w:cs="Arial"/>
                <w:b/>
                <w:bCs/>
                <w:sz w:val="22"/>
                <w:szCs w:val="22"/>
                <w:lang w:eastAsia="fr-CA"/>
              </w:rPr>
              <w:t>4.</w:t>
            </w:r>
            <w:r w:rsidRPr="007C6C94">
              <w:rPr>
                <w:rFonts w:cs="Arial"/>
                <w:sz w:val="22"/>
                <w:szCs w:val="22"/>
                <w:lang w:eastAsia="fr-CA"/>
              </w:rPr>
              <w:t> Dans le cas où il ne serait pas décrété telle loi provinciale que, de temps à autre, le gouverneur-général en conseil jugera nécessaire pour donner suite et exécution aux dispositions du présent article, — ou dans le cas où quelque décision du gouverneur-général en conseil, sur appel interjeté en vertu du présent article, ne serait pas mise à exécution par l</w:t>
            </w:r>
            <w:r w:rsidR="00E46AFD">
              <w:rPr>
                <w:rFonts w:cs="Arial"/>
                <w:sz w:val="22"/>
                <w:szCs w:val="22"/>
                <w:lang w:eastAsia="fr-CA"/>
              </w:rPr>
              <w:t>’</w:t>
            </w:r>
            <w:r w:rsidRPr="007C6C94">
              <w:rPr>
                <w:rFonts w:cs="Arial"/>
                <w:sz w:val="22"/>
                <w:szCs w:val="22"/>
                <w:lang w:eastAsia="fr-CA"/>
              </w:rPr>
              <w:t>autorité provinciale compétente — alors et en tout tel cas, et en tant seulement que les circonstances de chaque cas l</w:t>
            </w:r>
            <w:r w:rsidR="00E46AFD">
              <w:rPr>
                <w:rFonts w:cs="Arial"/>
                <w:sz w:val="22"/>
                <w:szCs w:val="22"/>
                <w:lang w:eastAsia="fr-CA"/>
              </w:rPr>
              <w:t>’</w:t>
            </w:r>
            <w:r w:rsidRPr="007C6C94">
              <w:rPr>
                <w:rFonts w:cs="Arial"/>
                <w:sz w:val="22"/>
                <w:szCs w:val="22"/>
                <w:lang w:eastAsia="fr-CA"/>
              </w:rPr>
              <w:t>exigeront, le parlement du Canada pourra décréter des lois propres à y remédier pour donner suite et exécution aux dispositions du présent article, ainsi qu</w:t>
            </w:r>
            <w:r w:rsidR="00E46AFD">
              <w:rPr>
                <w:rFonts w:cs="Arial"/>
                <w:sz w:val="22"/>
                <w:szCs w:val="22"/>
                <w:lang w:eastAsia="fr-CA"/>
              </w:rPr>
              <w:t>’</w:t>
            </w:r>
            <w:r w:rsidRPr="007C6C94">
              <w:rPr>
                <w:rFonts w:cs="Arial"/>
                <w:sz w:val="22"/>
                <w:szCs w:val="22"/>
                <w:lang w:eastAsia="fr-CA"/>
              </w:rPr>
              <w:t>à toute décision rendue par le gouverneur-général en conseil sous l</w:t>
            </w:r>
            <w:r w:rsidR="00E46AFD">
              <w:rPr>
                <w:rFonts w:cs="Arial"/>
                <w:sz w:val="22"/>
                <w:szCs w:val="22"/>
                <w:lang w:eastAsia="fr-CA"/>
              </w:rPr>
              <w:t>’</w:t>
            </w:r>
            <w:r w:rsidRPr="007C6C94">
              <w:rPr>
                <w:rFonts w:cs="Arial"/>
                <w:sz w:val="22"/>
                <w:szCs w:val="22"/>
                <w:lang w:eastAsia="fr-CA"/>
              </w:rPr>
              <w:t xml:space="preserve">autorité de ce même article. </w:t>
            </w:r>
          </w:p>
        </w:tc>
      </w:tr>
    </w:tbl>
    <w:p w14:paraId="17F5F1FA" w14:textId="2FA5DC90" w:rsidR="00F75613" w:rsidRPr="000A0EA1" w:rsidRDefault="00B02E00" w:rsidP="00B255B8">
      <w:pPr>
        <w:numPr>
          <w:ilvl w:val="0"/>
          <w:numId w:val="1"/>
        </w:numPr>
        <w:spacing w:before="240" w:after="120" w:line="240" w:lineRule="auto"/>
        <w:jc w:val="both"/>
        <w:rPr>
          <w:kern w:val="28"/>
          <w:lang w:val="en-CA"/>
        </w:rPr>
      </w:pPr>
      <w:r w:rsidRPr="000A0EA1">
        <w:rPr>
          <w:kern w:val="28"/>
          <w:lang w:val="en-CA"/>
        </w:rPr>
        <w:lastRenderedPageBreak/>
        <w:t>Although there is some overlap in Canada between the Catholic and Protestant religions and the French and English languages,</w:t>
      </w:r>
      <w:r w:rsidRPr="000A0EA1">
        <w:rPr>
          <w:kern w:val="28"/>
          <w:vertAlign w:val="superscript"/>
          <w:lang w:val="en-CA"/>
        </w:rPr>
        <w:footnoteReference w:id="7"/>
      </w:r>
      <w:r w:rsidRPr="000A0EA1">
        <w:rPr>
          <w:kern w:val="28"/>
          <w:lang w:val="en-CA"/>
        </w:rPr>
        <w:t xml:space="preserve"> the constitutional protections conferred by paragraphs (1) to (4) of </w:t>
      </w:r>
      <w:r w:rsidR="0062160E">
        <w:rPr>
          <w:kern w:val="28"/>
          <w:lang w:val="en-CA"/>
        </w:rPr>
        <w:t>s. 9</w:t>
      </w:r>
      <w:r w:rsidRPr="000A0EA1">
        <w:rPr>
          <w:kern w:val="28"/>
          <w:lang w:val="en-CA"/>
        </w:rPr>
        <w:t xml:space="preserve">3 apply only to religious education and not to the language of instruction, as the Privy Council decided over a century ago in </w:t>
      </w:r>
      <w:proofErr w:type="spellStart"/>
      <w:r w:rsidRPr="000A0EA1">
        <w:rPr>
          <w:i/>
          <w:iCs/>
          <w:kern w:val="28"/>
          <w:lang w:val="en-CA"/>
        </w:rPr>
        <w:t>Mackell</w:t>
      </w:r>
      <w:proofErr w:type="spellEnd"/>
      <w:r w:rsidRPr="000A0EA1">
        <w:rPr>
          <w:kern w:val="28"/>
          <w:lang w:val="en-CA"/>
        </w:rPr>
        <w:t>.</w:t>
      </w:r>
      <w:r w:rsidRPr="000A0EA1">
        <w:rPr>
          <w:kern w:val="28"/>
          <w:vertAlign w:val="superscript"/>
          <w:lang w:val="en-CA"/>
        </w:rPr>
        <w:footnoteReference w:id="8"/>
      </w:r>
      <w:r w:rsidRPr="000A0EA1">
        <w:rPr>
          <w:kern w:val="28"/>
          <w:lang w:val="en-CA"/>
        </w:rPr>
        <w:t xml:space="preserve"> Thus, until the </w:t>
      </w:r>
      <w:r w:rsidRPr="000A0EA1">
        <w:rPr>
          <w:i/>
          <w:iCs/>
          <w:kern w:val="28"/>
          <w:lang w:val="en-CA"/>
        </w:rPr>
        <w:t>Charter</w:t>
      </w:r>
      <w:r w:rsidRPr="000A0EA1">
        <w:rPr>
          <w:kern w:val="28"/>
          <w:lang w:val="en-CA"/>
        </w:rPr>
        <w:t xml:space="preserve"> came into force in 1982, the Canadian Constitution offered no constitutional protection to members of the English and French linguistic minorities as regards the language of instruction of their children. </w:t>
      </w:r>
    </w:p>
    <w:p w14:paraId="17F5F1FB" w14:textId="569532D5"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That said, in Quebec, unfettered choice of the language of instruction was the norm for the first century after Confederation, and indeed, instruction in Quebec</w:t>
      </w:r>
      <w:r w:rsidR="00E46AFD">
        <w:rPr>
          <w:kern w:val="28"/>
          <w:lang w:val="en-CA"/>
        </w:rPr>
        <w:t>’</w:t>
      </w:r>
      <w:r w:rsidRPr="000A0EA1">
        <w:rPr>
          <w:kern w:val="28"/>
          <w:lang w:val="en-CA"/>
        </w:rPr>
        <w:t xml:space="preserve">s Protestant school boards was largely (though not exclusively) in English. A large </w:t>
      </w:r>
      <w:r w:rsidR="00AE3408">
        <w:rPr>
          <w:kern w:val="28"/>
          <w:lang w:val="en-CA"/>
        </w:rPr>
        <w:t>English</w:t>
      </w:r>
      <w:r w:rsidR="00AE3408">
        <w:rPr>
          <w:kern w:val="28"/>
          <w:lang w:val="en-CA"/>
        </w:rPr>
        <w:noBreakHyphen/>
        <w:t>language</w:t>
      </w:r>
      <w:r w:rsidRPr="000A0EA1">
        <w:rPr>
          <w:kern w:val="28"/>
          <w:lang w:val="en-CA"/>
        </w:rPr>
        <w:t xml:space="preserve"> </w:t>
      </w:r>
      <w:r w:rsidRPr="000A0EA1">
        <w:rPr>
          <w:kern w:val="28"/>
          <w:lang w:val="en-CA"/>
        </w:rPr>
        <w:lastRenderedPageBreak/>
        <w:t>teaching sector also developed within Quebec</w:t>
      </w:r>
      <w:r w:rsidR="00E46AFD">
        <w:rPr>
          <w:kern w:val="28"/>
          <w:lang w:val="en-CA"/>
        </w:rPr>
        <w:t>’</w:t>
      </w:r>
      <w:r w:rsidRPr="000A0EA1">
        <w:rPr>
          <w:kern w:val="28"/>
          <w:lang w:val="en-CA"/>
        </w:rPr>
        <w:t>s Catholic school boards, mainly in the Montreal area.</w:t>
      </w:r>
    </w:p>
    <w:p w14:paraId="17F5F1FC" w14:textId="120243D9" w:rsidR="00F75613" w:rsidRPr="002031E7" w:rsidRDefault="00B02E00" w:rsidP="00B255B8">
      <w:pPr>
        <w:pStyle w:val="Paragraphe"/>
        <w:spacing w:line="240" w:lineRule="auto"/>
        <w:rPr>
          <w:lang w:val="en-CA"/>
        </w:rPr>
      </w:pPr>
      <w:r w:rsidRPr="000A0EA1">
        <w:rPr>
          <w:lang w:val="en-CA"/>
        </w:rPr>
        <w:t xml:space="preserve">For purposes of this appeal, it is not necessary to undertake a detailed historical analysis of minority language instruction, nor to deal with the abundant and complex case law regarding </w:t>
      </w:r>
      <w:r w:rsidR="0062160E">
        <w:rPr>
          <w:lang w:val="en-CA"/>
        </w:rPr>
        <w:t>s. 9</w:t>
      </w:r>
      <w:r w:rsidRPr="000A0EA1">
        <w:rPr>
          <w:lang w:val="en-CA"/>
        </w:rPr>
        <w:t xml:space="preserve">3 of the </w:t>
      </w:r>
      <w:r w:rsidRPr="000A0EA1">
        <w:rPr>
          <w:i/>
          <w:iCs/>
          <w:lang w:val="en-CA"/>
        </w:rPr>
        <w:t>Constitution Act, 1867</w:t>
      </w:r>
      <w:r w:rsidRPr="000A0EA1">
        <w:rPr>
          <w:lang w:val="en-CA"/>
        </w:rPr>
        <w:t>.</w:t>
      </w:r>
      <w:r w:rsidRPr="000A0EA1">
        <w:rPr>
          <w:vertAlign w:val="superscript"/>
          <w:lang w:val="en-CA"/>
        </w:rPr>
        <w:footnoteReference w:id="9"/>
      </w:r>
      <w:r w:rsidRPr="000A0EA1">
        <w:rPr>
          <w:lang w:val="en-CA"/>
        </w:rPr>
        <w:t xml:space="preserve"> Suffice it to say that in Quebec, </w:t>
      </w:r>
      <w:r w:rsidR="00AE3408">
        <w:rPr>
          <w:lang w:val="en-CA"/>
        </w:rPr>
        <w:t>English</w:t>
      </w:r>
      <w:r w:rsidR="00AE3408">
        <w:rPr>
          <w:lang w:val="en-CA"/>
        </w:rPr>
        <w:noBreakHyphen/>
        <w:t>language</w:t>
      </w:r>
      <w:r w:rsidRPr="000A0EA1">
        <w:rPr>
          <w:lang w:val="en-CA"/>
        </w:rPr>
        <w:t xml:space="preserve"> instruction at the primary and secondary levels was not prohibited for any student whose parents requested it. Moreover, in Quebec, such instruction was provided by local educational institutions whose management and control were generally entrusted to local elected officials or to representatives appointed by these officials. In short, the constitutional protections conferred by </w:t>
      </w:r>
      <w:r w:rsidR="0062160E">
        <w:rPr>
          <w:lang w:val="en-CA"/>
        </w:rPr>
        <w:t>s. 9</w:t>
      </w:r>
      <w:r w:rsidRPr="000A0EA1">
        <w:rPr>
          <w:lang w:val="en-CA"/>
        </w:rPr>
        <w:t xml:space="preserve">3 </w:t>
      </w:r>
      <w:r w:rsidR="005A16F6">
        <w:rPr>
          <w:lang w:val="en-CA"/>
        </w:rPr>
        <w:t>on</w:t>
      </w:r>
      <w:r w:rsidR="000C357B">
        <w:rPr>
          <w:lang w:val="en-CA"/>
        </w:rPr>
        <w:t xml:space="preserve"> </w:t>
      </w:r>
      <w:r w:rsidRPr="000A0EA1">
        <w:rPr>
          <w:lang w:val="en-CA"/>
        </w:rPr>
        <w:t>Quebec</w:t>
      </w:r>
      <w:r w:rsidR="00E46AFD">
        <w:rPr>
          <w:lang w:val="en-CA"/>
        </w:rPr>
        <w:t>’</w:t>
      </w:r>
      <w:r w:rsidRPr="000A0EA1">
        <w:rPr>
          <w:lang w:val="en-CA"/>
        </w:rPr>
        <w:t xml:space="preserve">s Protestant minority, combined with government policies on the choice of the language of instruction, enabled a vigorous </w:t>
      </w:r>
      <w:r w:rsidR="00AE3408">
        <w:rPr>
          <w:lang w:val="en-CA"/>
        </w:rPr>
        <w:t>English</w:t>
      </w:r>
      <w:r w:rsidR="00AE3408">
        <w:rPr>
          <w:lang w:val="en-CA"/>
        </w:rPr>
        <w:noBreakHyphen/>
        <w:t>language</w:t>
      </w:r>
      <w:r w:rsidRPr="000A0EA1">
        <w:rPr>
          <w:lang w:val="en-CA"/>
        </w:rPr>
        <w:t xml:space="preserve"> educational sector to flourish in Quebec. </w:t>
      </w:r>
      <w:r w:rsidR="00EE4DEB">
        <w:rPr>
          <w:lang w:val="en-CA"/>
        </w:rPr>
        <w:t>It</w:t>
      </w:r>
      <w:r w:rsidR="002031E7">
        <w:rPr>
          <w:lang w:val="en-CA"/>
        </w:rPr>
        <w:t xml:space="preserve"> can thus </w:t>
      </w:r>
      <w:r w:rsidR="00EE4DEB">
        <w:rPr>
          <w:lang w:val="en-CA"/>
        </w:rPr>
        <w:t xml:space="preserve">be </w:t>
      </w:r>
      <w:r w:rsidR="002031E7">
        <w:rPr>
          <w:lang w:val="en-CA"/>
        </w:rPr>
        <w:t>state</w:t>
      </w:r>
      <w:r w:rsidR="00EE4DEB">
        <w:rPr>
          <w:lang w:val="en-CA"/>
        </w:rPr>
        <w:t>d</w:t>
      </w:r>
      <w:r w:rsidR="002031E7">
        <w:rPr>
          <w:lang w:val="en-CA"/>
        </w:rPr>
        <w:t xml:space="preserve">, as the Court recently did in </w:t>
      </w:r>
      <w:r w:rsidR="002031E7" w:rsidRPr="002031E7">
        <w:rPr>
          <w:i/>
          <w:iCs/>
          <w:lang w:val="en-CA"/>
        </w:rPr>
        <w:t xml:space="preserve">Organisation </w:t>
      </w:r>
      <w:proofErr w:type="spellStart"/>
      <w:r w:rsidR="002031E7" w:rsidRPr="002031E7">
        <w:rPr>
          <w:i/>
          <w:iCs/>
          <w:lang w:val="en-CA"/>
        </w:rPr>
        <w:t>mondiale</w:t>
      </w:r>
      <w:proofErr w:type="spellEnd"/>
      <w:r w:rsidR="002031E7" w:rsidRPr="002031E7">
        <w:rPr>
          <w:i/>
          <w:iCs/>
          <w:lang w:val="en-CA"/>
        </w:rPr>
        <w:t xml:space="preserve"> </w:t>
      </w:r>
      <w:proofErr w:type="spellStart"/>
      <w:r w:rsidR="002031E7" w:rsidRPr="002031E7">
        <w:rPr>
          <w:i/>
          <w:iCs/>
          <w:lang w:val="en-CA"/>
        </w:rPr>
        <w:t>sikhe</w:t>
      </w:r>
      <w:proofErr w:type="spellEnd"/>
      <w:r w:rsidR="002031E7" w:rsidRPr="002031E7">
        <w:rPr>
          <w:i/>
          <w:iCs/>
          <w:lang w:val="en-CA"/>
        </w:rPr>
        <w:t xml:space="preserve"> du Canada</w:t>
      </w:r>
      <w:r w:rsidR="002031E7">
        <w:rPr>
          <w:lang w:val="en-CA"/>
        </w:rPr>
        <w:t xml:space="preserve">, that section 93 of the </w:t>
      </w:r>
      <w:r w:rsidR="002031E7">
        <w:rPr>
          <w:i/>
          <w:iCs/>
          <w:lang w:val="en-CA"/>
        </w:rPr>
        <w:t>Constitution Act, 1867</w:t>
      </w:r>
      <w:r w:rsidR="002031E7">
        <w:rPr>
          <w:lang w:val="en-CA"/>
        </w:rPr>
        <w:t xml:space="preserve"> </w:t>
      </w:r>
      <w:r w:rsidR="00EE4DEB">
        <w:rPr>
          <w:lang w:val="en-CA"/>
        </w:rPr>
        <w:t>[</w:t>
      </w:r>
      <w:r w:rsidR="00EE4DEB" w:rsidRPr="00EE4DEB">
        <w:rPr>
          <w:sz w:val="20"/>
          <w:lang w:val="en-CA"/>
        </w:rPr>
        <w:t>TRANSLATION</w:t>
      </w:r>
      <w:r w:rsidR="00EE4DEB">
        <w:rPr>
          <w:lang w:val="en-CA"/>
        </w:rPr>
        <w:t xml:space="preserve">] </w:t>
      </w:r>
      <w:r w:rsidR="002031E7">
        <w:rPr>
          <w:lang w:val="en-CA"/>
        </w:rPr>
        <w:t>“</w:t>
      </w:r>
      <w:r w:rsidR="002031E7" w:rsidRPr="002031E7">
        <w:rPr>
          <w:lang w:val="en-CA"/>
        </w:rPr>
        <w:t xml:space="preserve">is the precursor to s. 23 of the </w:t>
      </w:r>
      <w:r w:rsidR="002031E7" w:rsidRPr="002031E7">
        <w:rPr>
          <w:i/>
          <w:iCs/>
          <w:lang w:val="en-CA"/>
        </w:rPr>
        <w:t>Canadian Charter</w:t>
      </w:r>
      <w:r w:rsidR="002031E7">
        <w:rPr>
          <w:lang w:val="en-CA"/>
        </w:rPr>
        <w:t>”.</w:t>
      </w:r>
      <w:r w:rsidR="002031E7">
        <w:rPr>
          <w:rStyle w:val="Appelnotedebasdep"/>
        </w:rPr>
        <w:footnoteReference w:id="10"/>
      </w:r>
    </w:p>
    <w:p w14:paraId="17F5F1FD"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Access to primary and secondary education in English, however, has been restricted in Quebec since the 1970s. In </w:t>
      </w:r>
      <w:r w:rsidRPr="000A0EA1">
        <w:rPr>
          <w:i/>
          <w:iCs/>
          <w:kern w:val="28"/>
          <w:lang w:val="en-CA"/>
        </w:rPr>
        <w:t>Quebec Association of Protestant School Boards</w:t>
      </w:r>
      <w:r w:rsidRPr="000A0EA1">
        <w:rPr>
          <w:kern w:val="28"/>
          <w:lang w:val="en-CA"/>
        </w:rPr>
        <w:t>,</w:t>
      </w:r>
      <w:r w:rsidRPr="000A0EA1">
        <w:rPr>
          <w:kern w:val="28"/>
          <w:vertAlign w:val="superscript"/>
          <w:lang w:val="en-CA"/>
        </w:rPr>
        <w:footnoteReference w:id="11"/>
      </w:r>
      <w:r w:rsidRPr="000A0EA1">
        <w:rPr>
          <w:kern w:val="28"/>
          <w:lang w:val="en-CA"/>
        </w:rPr>
        <w:t xml:space="preserve"> the Supreme Court provided a comprehensive overview of the various measures taken in that regard, from Bill 63 in 1969</w:t>
      </w:r>
      <w:r w:rsidRPr="000A0EA1">
        <w:rPr>
          <w:kern w:val="28"/>
          <w:vertAlign w:val="superscript"/>
          <w:lang w:val="en-CA"/>
        </w:rPr>
        <w:footnoteReference w:id="12"/>
      </w:r>
      <w:r w:rsidRPr="000A0EA1">
        <w:rPr>
          <w:kern w:val="28"/>
          <w:lang w:val="en-CA"/>
        </w:rPr>
        <w:t xml:space="preserve"> to the </w:t>
      </w:r>
      <w:r w:rsidRPr="000A0EA1">
        <w:rPr>
          <w:i/>
          <w:iCs/>
          <w:kern w:val="28"/>
          <w:lang w:val="en-CA"/>
        </w:rPr>
        <w:t>Charter of the French Language</w:t>
      </w:r>
      <w:r w:rsidRPr="000A0EA1">
        <w:rPr>
          <w:kern w:val="28"/>
          <w:lang w:val="en-CA"/>
        </w:rPr>
        <w:t>,</w:t>
      </w:r>
      <w:r w:rsidRPr="000A0EA1">
        <w:rPr>
          <w:kern w:val="28"/>
          <w:vertAlign w:val="superscript"/>
          <w:lang w:val="en-CA"/>
        </w:rPr>
        <w:footnoteReference w:id="13"/>
      </w:r>
      <w:r w:rsidRPr="000A0EA1">
        <w:rPr>
          <w:kern w:val="28"/>
          <w:lang w:val="en-CA"/>
        </w:rPr>
        <w:t xml:space="preserve"> which came into force in 1977.</w:t>
      </w:r>
      <w:bookmarkStart w:id="13" w:name="_Hlk187990161"/>
      <w:r w:rsidRPr="000A0EA1">
        <w:rPr>
          <w:kern w:val="28"/>
          <w:lang w:val="en-CA"/>
        </w:rPr>
        <w:t xml:space="preserve"> </w:t>
      </w:r>
    </w:p>
    <w:bookmarkEnd w:id="13"/>
    <w:p w14:paraId="17F5F1FE" w14:textId="2F03325C"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It was these restrictions on access to instruction in the language of Quebec</w:t>
      </w:r>
      <w:r w:rsidR="00E46AFD">
        <w:rPr>
          <w:kern w:val="28"/>
          <w:lang w:val="en-CA"/>
        </w:rPr>
        <w:t>’</w:t>
      </w:r>
      <w:r w:rsidRPr="000A0EA1">
        <w:rPr>
          <w:kern w:val="28"/>
          <w:lang w:val="en-CA"/>
        </w:rPr>
        <w:t xml:space="preserve">s English linguistic minority, combined with the lack of eagerness – if not a wait-and-see attitude or even a refusal in some cases – on the part of other Canadian provinces to provide instruction in the language of the French linguistic minority outside Quebec, that led to the enactment of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kern w:val="28"/>
          <w:vertAlign w:val="superscript"/>
          <w:lang w:val="en-CA"/>
        </w:rPr>
        <w:footnoteReference w:id="14"/>
      </w:r>
      <w:r w:rsidR="00AC60FF">
        <w:rPr>
          <w:i/>
          <w:iCs/>
          <w:kern w:val="28"/>
          <w:lang w:val="en-CA"/>
        </w:rPr>
        <w:t xml:space="preserve"> </w:t>
      </w:r>
      <w:r w:rsidRPr="000A0EA1">
        <w:rPr>
          <w:kern w:val="28"/>
          <w:lang w:val="en-CA"/>
        </w:rPr>
        <w:t>This provision reads as follows: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4936F2" w:rsidRPr="000A0EA1" w14:paraId="17F5F20F" w14:textId="77777777" w:rsidTr="00313499">
        <w:tc>
          <w:tcPr>
            <w:tcW w:w="4315" w:type="dxa"/>
          </w:tcPr>
          <w:p w14:paraId="17F5F1FF"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lastRenderedPageBreak/>
              <w:t>23</w:t>
            </w:r>
            <w:r w:rsidRPr="000A0EA1">
              <w:rPr>
                <w:rFonts w:cs="Arial"/>
                <w:sz w:val="22"/>
                <w:szCs w:val="22"/>
                <w:lang w:val="en-CA" w:eastAsia="fr-CA"/>
              </w:rPr>
              <w:t> </w:t>
            </w:r>
            <w:r w:rsidRPr="000A0EA1">
              <w:rPr>
                <w:rFonts w:cs="Arial"/>
                <w:b/>
                <w:bCs/>
                <w:sz w:val="22"/>
                <w:szCs w:val="22"/>
                <w:lang w:val="en-CA" w:eastAsia="fr-CA"/>
              </w:rPr>
              <w:t>(1)</w:t>
            </w:r>
            <w:r w:rsidRPr="000A0EA1">
              <w:rPr>
                <w:rFonts w:cs="Arial"/>
                <w:sz w:val="22"/>
                <w:szCs w:val="22"/>
                <w:lang w:val="en-CA" w:eastAsia="fr-CA"/>
              </w:rPr>
              <w:t> Citizens of Canada</w:t>
            </w:r>
          </w:p>
          <w:p w14:paraId="17F5F200"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(a)</w:t>
            </w:r>
            <w:r w:rsidRPr="000A0EA1">
              <w:rPr>
                <w:rFonts w:cs="Arial"/>
                <w:sz w:val="22"/>
                <w:szCs w:val="22"/>
                <w:lang w:val="en-CA" w:eastAsia="fr-CA"/>
              </w:rPr>
              <w:t> whose first language learned and still understood is that of the English or French linguistic minority population of the province in which they reside, or</w:t>
            </w:r>
          </w:p>
          <w:p w14:paraId="17F5F201"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(b)</w:t>
            </w:r>
            <w:r w:rsidRPr="000A0EA1">
              <w:rPr>
                <w:rFonts w:cs="Arial"/>
                <w:sz w:val="22"/>
                <w:szCs w:val="22"/>
                <w:lang w:val="en-CA" w:eastAsia="fr-CA"/>
              </w:rPr>
              <w:t> who have received their primary school instruction in Canada in English or French and reside in a province where the language in which they received that instruction is the language of the English or French linguistic minority population of the province,</w:t>
            </w:r>
          </w:p>
          <w:p w14:paraId="17F5F202" w14:textId="6BE856EC"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sz w:val="22"/>
                <w:szCs w:val="22"/>
                <w:lang w:val="en-CA" w:eastAsia="fr-CA"/>
              </w:rPr>
              <w:t xml:space="preserve">have the right to have their children receive primary and secondary school instruction in that language in that province. </w:t>
            </w:r>
          </w:p>
          <w:p w14:paraId="17F5F203"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(2)</w:t>
            </w:r>
            <w:r w:rsidRPr="000A0EA1">
              <w:rPr>
                <w:rFonts w:cs="Arial"/>
                <w:sz w:val="22"/>
                <w:szCs w:val="22"/>
                <w:lang w:val="en-CA" w:eastAsia="fr-CA"/>
              </w:rPr>
              <w:t> Citizens of Canada of whom any child has received or is receiving primary or secondary school instruction in English or French in Canada, have the right to have all their children receive primary and secondary school instruction in the same language.</w:t>
            </w:r>
          </w:p>
          <w:p w14:paraId="17F5F204" w14:textId="77777777" w:rsidR="00F75613" w:rsidRPr="000A0EA1" w:rsidRDefault="00B02E00" w:rsidP="00B255B8">
            <w:pPr>
              <w:shd w:val="clear" w:color="auto" w:fill="FFFFFF"/>
              <w:spacing w:before="360" w:after="120" w:line="240" w:lineRule="auto"/>
              <w:ind w:left="720" w:right="142"/>
              <w:jc w:val="both"/>
              <w:rPr>
                <w:rFonts w:cs="Arial"/>
                <w:sz w:val="22"/>
                <w:szCs w:val="22"/>
                <w:lang w:val="en-CA" w:eastAsia="fr-CA"/>
              </w:rPr>
            </w:pPr>
            <w:r w:rsidRPr="000A0EA1">
              <w:rPr>
                <w:rFonts w:cs="Arial"/>
                <w:b/>
                <w:bCs/>
                <w:sz w:val="22"/>
                <w:szCs w:val="22"/>
                <w:lang w:val="en-CA" w:eastAsia="fr-CA"/>
              </w:rPr>
              <w:t>(3)</w:t>
            </w:r>
            <w:r w:rsidRPr="000A0EA1">
              <w:rPr>
                <w:rFonts w:cs="Arial"/>
                <w:sz w:val="22"/>
                <w:szCs w:val="22"/>
                <w:lang w:val="en-CA" w:eastAsia="fr-CA"/>
              </w:rPr>
              <w:t> The right of citizens of Canada under subsections (1) and (2) to have their children receive primary and secondary school instruction in the language of the English or French linguistic minority population of a province</w:t>
            </w:r>
          </w:p>
          <w:p w14:paraId="17F5F205"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(a)</w:t>
            </w:r>
            <w:r w:rsidRPr="000A0EA1">
              <w:rPr>
                <w:rFonts w:cs="Arial"/>
                <w:sz w:val="22"/>
                <w:szCs w:val="22"/>
                <w:lang w:val="en-CA" w:eastAsia="fr-CA"/>
              </w:rPr>
              <w:t xml:space="preserve"> applies wherever in the province the number of children of citizens who have such a right is sufficient to warrant the provision to them out of public </w:t>
            </w:r>
            <w:r w:rsidRPr="000A0EA1">
              <w:rPr>
                <w:rFonts w:cs="Arial"/>
                <w:sz w:val="22"/>
                <w:szCs w:val="22"/>
                <w:lang w:val="en-CA" w:eastAsia="fr-CA"/>
              </w:rPr>
              <w:lastRenderedPageBreak/>
              <w:t>funds of minority language instruction; and</w:t>
            </w:r>
          </w:p>
          <w:p w14:paraId="17F5F206" w14:textId="288280D1" w:rsidR="00F75613" w:rsidRPr="000A0EA1" w:rsidRDefault="00B02E00" w:rsidP="00B255B8">
            <w:pPr>
              <w:shd w:val="clear" w:color="auto" w:fill="FFFFFF"/>
              <w:spacing w:before="120" w:after="120" w:line="240" w:lineRule="auto"/>
              <w:ind w:left="720" w:right="142"/>
              <w:jc w:val="both"/>
              <w:outlineLvl w:val="2"/>
              <w:rPr>
                <w:rFonts w:eastAsiaTheme="minorHAnsi" w:cs="Arial"/>
                <w:kern w:val="2"/>
                <w:sz w:val="22"/>
                <w:szCs w:val="22"/>
                <w:lang w:val="en-CA" w:eastAsia="en-US"/>
                <w14:ligatures w14:val="standardContextual"/>
              </w:rPr>
            </w:pPr>
            <w:r w:rsidRPr="000A0EA1">
              <w:rPr>
                <w:rFonts w:cs="Arial"/>
                <w:b/>
                <w:bCs/>
                <w:sz w:val="22"/>
                <w:szCs w:val="22"/>
                <w:lang w:val="en-CA" w:eastAsia="fr-CA"/>
              </w:rPr>
              <w:t>(b)</w:t>
            </w:r>
            <w:r w:rsidRPr="000A0EA1">
              <w:rPr>
                <w:rFonts w:cs="Arial"/>
                <w:bCs/>
                <w:sz w:val="22"/>
                <w:szCs w:val="22"/>
                <w:lang w:val="en-CA" w:eastAsia="fr-CA"/>
              </w:rPr>
              <w:t> </w:t>
            </w:r>
            <w:bookmarkStart w:id="14" w:name="_Hlk189118682"/>
            <w:r w:rsidRPr="000A0EA1">
              <w:rPr>
                <w:rFonts w:cs="Arial"/>
                <w:sz w:val="22"/>
                <w:szCs w:val="22"/>
                <w:lang w:val="en-CA" w:eastAsia="fr-CA"/>
              </w:rPr>
              <w:t>includes, where the number of those children so warrants, the right to have them receive that instruction in minority language educational facilities provided out of public funds</w:t>
            </w:r>
            <w:bookmarkEnd w:id="14"/>
            <w:r w:rsidRPr="000A0EA1">
              <w:rPr>
                <w:rFonts w:cs="Arial"/>
                <w:sz w:val="22"/>
                <w:szCs w:val="22"/>
                <w:lang w:val="en-CA" w:eastAsia="fr-CA"/>
              </w:rPr>
              <w:t>.</w:t>
            </w:r>
          </w:p>
        </w:tc>
        <w:tc>
          <w:tcPr>
            <w:tcW w:w="4315" w:type="dxa"/>
          </w:tcPr>
          <w:p w14:paraId="17F5F207" w14:textId="77777777"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lastRenderedPageBreak/>
              <w:t>23</w:t>
            </w:r>
            <w:r w:rsidRPr="00974E29">
              <w:rPr>
                <w:rFonts w:cs="Arial"/>
                <w:kern w:val="2"/>
                <w:sz w:val="22"/>
                <w:szCs w:val="22"/>
                <w:lang w:eastAsia="en-US"/>
                <w14:ligatures w14:val="standardContextual"/>
              </w:rPr>
              <w:t> </w:t>
            </w:r>
            <w:r w:rsidRPr="00974E29">
              <w:rPr>
                <w:rFonts w:cs="Arial"/>
                <w:b/>
                <w:bCs/>
                <w:kern w:val="2"/>
                <w:sz w:val="22"/>
                <w:szCs w:val="22"/>
                <w:lang w:eastAsia="en-US"/>
                <w14:ligatures w14:val="standardContextual"/>
              </w:rPr>
              <w:t>(1)</w:t>
            </w:r>
            <w:r w:rsidRPr="00974E29">
              <w:rPr>
                <w:rFonts w:cs="Arial"/>
                <w:kern w:val="2"/>
                <w:sz w:val="22"/>
                <w:szCs w:val="22"/>
                <w:lang w:eastAsia="en-US"/>
                <w14:ligatures w14:val="standardContextual"/>
              </w:rPr>
              <w:t> Les citoyens canadiens :</w:t>
            </w:r>
          </w:p>
          <w:p w14:paraId="17F5F208" w14:textId="77777777"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a)</w:t>
            </w:r>
            <w:r w:rsidRPr="00974E29">
              <w:rPr>
                <w:rFonts w:cs="Arial"/>
                <w:kern w:val="2"/>
                <w:sz w:val="22"/>
                <w:szCs w:val="22"/>
                <w:lang w:eastAsia="en-US"/>
                <w14:ligatures w14:val="standardContextual"/>
              </w:rPr>
              <w:t> dont la première langue apprise et encore comprise est celle de la minorité francophone ou anglophone de la province où ils résident,</w:t>
            </w:r>
          </w:p>
          <w:p w14:paraId="17F5F209" w14:textId="77777777"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b)</w:t>
            </w:r>
            <w:r w:rsidRPr="00974E29">
              <w:rPr>
                <w:rFonts w:cs="Arial"/>
                <w:kern w:val="2"/>
                <w:sz w:val="22"/>
                <w:szCs w:val="22"/>
                <w:lang w:eastAsia="en-US"/>
                <w14:ligatures w14:val="standardContextual"/>
              </w:rPr>
              <w:t> qui ont reçu leur instruction, au niveau primaire, en français ou en anglais au Canada et qui résident dans une province où la langue dans laquelle ils ont reçu cette instruction est celle de la minorité francophone ou anglophone de la province,</w:t>
            </w:r>
          </w:p>
          <w:p w14:paraId="17F5F20A" w14:textId="31792155" w:rsidR="00F75613" w:rsidRPr="00974E29" w:rsidRDefault="00B02E00" w:rsidP="00B255B8">
            <w:pPr>
              <w:shd w:val="clear" w:color="auto" w:fill="FFFFFF"/>
              <w:spacing w:before="360" w:after="120" w:line="240" w:lineRule="auto"/>
              <w:ind w:left="142" w:right="720"/>
              <w:jc w:val="both"/>
              <w:rPr>
                <w:rFonts w:cs="Arial"/>
                <w:kern w:val="2"/>
                <w:sz w:val="22"/>
                <w:szCs w:val="22"/>
                <w:lang w:eastAsia="en-US"/>
                <w14:ligatures w14:val="standardContextual"/>
              </w:rPr>
            </w:pPr>
            <w:r w:rsidRPr="00974E29">
              <w:rPr>
                <w:rFonts w:cs="Arial"/>
                <w:kern w:val="2"/>
                <w:sz w:val="22"/>
                <w:szCs w:val="22"/>
                <w:lang w:eastAsia="en-US"/>
                <w14:ligatures w14:val="standardContextual"/>
              </w:rPr>
              <w:t>ont, dans l</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un ou l</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autre cas, le droit d</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 xml:space="preserve">y faire instruire leurs enfants, aux niveaux primaire et secondaire, dans cette langue. </w:t>
            </w:r>
          </w:p>
          <w:p w14:paraId="17F5F20B" w14:textId="77777777"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(2)</w:t>
            </w:r>
            <w:r w:rsidRPr="00974E29">
              <w:rPr>
                <w:rFonts w:cs="Arial"/>
                <w:kern w:val="2"/>
                <w:sz w:val="22"/>
                <w:szCs w:val="22"/>
                <w:lang w:eastAsia="en-US"/>
                <w14:ligatures w14:val="standardContextual"/>
              </w:rPr>
              <w:t> Les citoyens canadiens dont un enfant a reçu ou reçoit son instruction, au niveau primaire ou secondaire, en français ou en anglais au Canada ont le droit de faire instruire tous leurs enfants, aux niveaux primaire et secondaire, dans la langue de cette instruction.</w:t>
            </w:r>
          </w:p>
          <w:p w14:paraId="17F5F20C" w14:textId="22A04BE1"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(3)</w:t>
            </w:r>
            <w:r w:rsidRPr="00974E29">
              <w:rPr>
                <w:rFonts w:cs="Arial"/>
                <w:kern w:val="2"/>
                <w:sz w:val="22"/>
                <w:szCs w:val="22"/>
                <w:lang w:eastAsia="en-US"/>
                <w14:ligatures w14:val="standardContextual"/>
              </w:rPr>
              <w:t> Le droit reconnu aux citoyens canadiens par les paragraphes (1) et (2) de faire instruire leurs enfants, aux niveaux primaire et secondaire, dans la langue de la minorité francophone ou anglophone d</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une province :</w:t>
            </w:r>
          </w:p>
          <w:p w14:paraId="17F5F20D" w14:textId="758DE911"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a)</w:t>
            </w:r>
            <w:r w:rsidRPr="00974E29">
              <w:rPr>
                <w:rFonts w:cs="Arial"/>
                <w:kern w:val="2"/>
                <w:sz w:val="22"/>
                <w:szCs w:val="22"/>
                <w:lang w:eastAsia="en-US"/>
                <w14:ligatures w14:val="standardContextual"/>
              </w:rPr>
              <w:t> s</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 xml:space="preserve">exerce partout dans la province où le nombre des enfants des citoyens qui ont ce droit est suffisant pour justifier à leur endroit la prestation, sur les </w:t>
            </w:r>
            <w:r w:rsidRPr="00974E29">
              <w:rPr>
                <w:rFonts w:cs="Arial"/>
                <w:kern w:val="2"/>
                <w:sz w:val="22"/>
                <w:szCs w:val="22"/>
                <w:lang w:eastAsia="en-US"/>
                <w14:ligatures w14:val="standardContextual"/>
              </w:rPr>
              <w:lastRenderedPageBreak/>
              <w:t>fonds publics, de l</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instruction dans la langue de la minorité;</w:t>
            </w:r>
          </w:p>
          <w:p w14:paraId="17F5F20E" w14:textId="27EB9D20" w:rsidR="00F75613" w:rsidRPr="00974E29" w:rsidRDefault="00B02E00" w:rsidP="00B255B8">
            <w:pPr>
              <w:shd w:val="clear" w:color="auto" w:fill="FFFFFF"/>
              <w:spacing w:before="120" w:after="120" w:line="240" w:lineRule="auto"/>
              <w:ind w:left="142" w:right="720"/>
              <w:jc w:val="both"/>
              <w:rPr>
                <w:rFonts w:cs="Arial"/>
                <w:kern w:val="2"/>
                <w:sz w:val="22"/>
                <w:szCs w:val="22"/>
                <w:lang w:eastAsia="en-US"/>
                <w14:ligatures w14:val="standardContextual"/>
              </w:rPr>
            </w:pPr>
            <w:r w:rsidRPr="00974E29">
              <w:rPr>
                <w:rFonts w:cs="Arial"/>
                <w:b/>
                <w:bCs/>
                <w:kern w:val="2"/>
                <w:sz w:val="22"/>
                <w:szCs w:val="22"/>
                <w:lang w:eastAsia="en-US"/>
                <w14:ligatures w14:val="standardContextual"/>
              </w:rPr>
              <w:t>b)</w:t>
            </w:r>
            <w:r w:rsidRPr="00974E29">
              <w:rPr>
                <w:rFonts w:cs="Arial"/>
                <w:kern w:val="2"/>
                <w:sz w:val="22"/>
                <w:szCs w:val="22"/>
                <w:lang w:eastAsia="en-US"/>
                <w14:ligatures w14:val="standardContextual"/>
              </w:rPr>
              <w:t> comprend, lorsque le nombre de ces enfants le justifie, le droit de les faire instruire dans des établissements d</w:t>
            </w:r>
            <w:r w:rsidR="00E46AFD">
              <w:rPr>
                <w:rFonts w:cs="Arial"/>
                <w:kern w:val="2"/>
                <w:sz w:val="22"/>
                <w:szCs w:val="22"/>
                <w:lang w:eastAsia="en-US"/>
                <w14:ligatures w14:val="standardContextual"/>
              </w:rPr>
              <w:t>’</w:t>
            </w:r>
            <w:r w:rsidRPr="00974E29">
              <w:rPr>
                <w:rFonts w:cs="Arial"/>
                <w:kern w:val="2"/>
                <w:sz w:val="22"/>
                <w:szCs w:val="22"/>
                <w:lang w:eastAsia="en-US"/>
                <w14:ligatures w14:val="standardContextual"/>
              </w:rPr>
              <w:t>enseignement de la minorité linguistique financés sur les fonds publics.</w:t>
            </w:r>
          </w:p>
        </w:tc>
      </w:tr>
    </w:tbl>
    <w:p w14:paraId="17F5F210" w14:textId="33AACE2A" w:rsidR="00F75613" w:rsidRPr="000A0EA1" w:rsidRDefault="00B02E00" w:rsidP="00B255B8">
      <w:pPr>
        <w:numPr>
          <w:ilvl w:val="0"/>
          <w:numId w:val="1"/>
        </w:numPr>
        <w:spacing w:before="240" w:after="120" w:line="240" w:lineRule="auto"/>
        <w:jc w:val="both"/>
        <w:rPr>
          <w:kern w:val="28"/>
          <w:lang w:val="en-CA"/>
        </w:rPr>
      </w:pPr>
      <w:r w:rsidRPr="000A0EA1">
        <w:rPr>
          <w:kern w:val="28"/>
          <w:lang w:val="en-CA"/>
        </w:rPr>
        <w:lastRenderedPageBreak/>
        <w:t xml:space="preserve">It should be noted that </w:t>
      </w:r>
      <w:r w:rsidR="00960AB7">
        <w:rPr>
          <w:kern w:val="28"/>
          <w:lang w:val="en-CA"/>
        </w:rPr>
        <w:t xml:space="preserve">s. </w:t>
      </w:r>
      <w:r w:rsidRPr="000A0EA1">
        <w:rPr>
          <w:kern w:val="28"/>
          <w:lang w:val="en-CA"/>
        </w:rPr>
        <w:t>23(1)(</w:t>
      </w:r>
      <w:r w:rsidRPr="000A0EA1">
        <w:rPr>
          <w:i/>
          <w:iCs/>
          <w:kern w:val="28"/>
          <w:lang w:val="en-CA"/>
        </w:rPr>
        <w:t>a</w:t>
      </w:r>
      <w:r w:rsidRPr="000A0EA1">
        <w:rPr>
          <w:kern w:val="28"/>
          <w:lang w:val="en-CA"/>
        </w:rPr>
        <w:t xml:space="preserve">) does not apply in Quebec. Indeed, </w:t>
      </w:r>
      <w:r w:rsidR="0062160E">
        <w:rPr>
          <w:kern w:val="28"/>
          <w:lang w:val="en-CA"/>
        </w:rPr>
        <w:t>s. 5</w:t>
      </w:r>
      <w:r w:rsidRPr="000A0EA1">
        <w:rPr>
          <w:kern w:val="28"/>
          <w:lang w:val="en-CA"/>
        </w:rPr>
        <w:t xml:space="preserve">9 of the </w:t>
      </w:r>
      <w:r w:rsidRPr="000A0EA1">
        <w:rPr>
          <w:i/>
          <w:iCs/>
          <w:kern w:val="28"/>
          <w:lang w:val="en-CA"/>
        </w:rPr>
        <w:t>Constitution Act, 1982</w:t>
      </w:r>
      <w:r w:rsidRPr="000A0EA1">
        <w:rPr>
          <w:kern w:val="28"/>
          <w:lang w:val="en-CA"/>
        </w:rPr>
        <w:t xml:space="preserve"> provides as follows: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4936F2" w:rsidRPr="00CA4864" w14:paraId="17F5F215" w14:textId="77777777" w:rsidTr="00313499">
        <w:tc>
          <w:tcPr>
            <w:tcW w:w="4676" w:type="dxa"/>
            <w:hideMark/>
          </w:tcPr>
          <w:p w14:paraId="17F5F211" w14:textId="77777777"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b/>
                <w:bCs/>
                <w:sz w:val="22"/>
                <w:szCs w:val="22"/>
                <w:lang w:val="en-CA" w:eastAsia="fr-CA"/>
              </w:rPr>
              <w:t>59</w:t>
            </w:r>
            <w:r w:rsidRPr="000A0EA1">
              <w:rPr>
                <w:rFonts w:cs="Arial"/>
                <w:sz w:val="22"/>
                <w:szCs w:val="22"/>
                <w:lang w:val="en-CA" w:eastAsia="fr-CA"/>
              </w:rPr>
              <w:t> </w:t>
            </w:r>
            <w:r w:rsidRPr="000A0EA1">
              <w:rPr>
                <w:rFonts w:cs="Arial"/>
                <w:b/>
                <w:bCs/>
                <w:sz w:val="22"/>
                <w:szCs w:val="22"/>
                <w:lang w:val="en-CA" w:eastAsia="fr-CA"/>
              </w:rPr>
              <w:t>(1)</w:t>
            </w:r>
            <w:r w:rsidRPr="000A0EA1">
              <w:rPr>
                <w:rFonts w:cs="Arial"/>
                <w:sz w:val="22"/>
                <w:szCs w:val="22"/>
                <w:lang w:val="en-CA" w:eastAsia="fr-CA"/>
              </w:rPr>
              <w:t> Paragraph 23(1)(</w:t>
            </w:r>
            <w:r w:rsidRPr="000811F4">
              <w:rPr>
                <w:rFonts w:cs="Arial"/>
                <w:sz w:val="22"/>
                <w:szCs w:val="22"/>
                <w:lang w:val="en-CA" w:eastAsia="fr-CA"/>
              </w:rPr>
              <w:t>a</w:t>
            </w:r>
            <w:r w:rsidRPr="000A0EA1">
              <w:rPr>
                <w:rFonts w:cs="Arial"/>
                <w:sz w:val="22"/>
                <w:szCs w:val="22"/>
                <w:lang w:val="en-CA" w:eastAsia="fr-CA"/>
              </w:rPr>
              <w:t>) shall come into force in respect of Quebec on a day to be fixed by proclamation issued by the Queen or the Governor General under the Great Seal of Canada.</w:t>
            </w:r>
          </w:p>
          <w:p w14:paraId="34B45F3E" w14:textId="77777777" w:rsidR="000E5D90" w:rsidRDefault="00B02E00" w:rsidP="00B255B8">
            <w:pPr>
              <w:shd w:val="clear" w:color="auto" w:fill="FFFFFF"/>
              <w:spacing w:before="120" w:after="120" w:line="240" w:lineRule="auto"/>
              <w:ind w:left="720" w:right="142"/>
              <w:jc w:val="both"/>
              <w:rPr>
                <w:rFonts w:cs="Arial"/>
                <w:bCs/>
                <w:sz w:val="22"/>
                <w:szCs w:val="22"/>
                <w:lang w:val="en-CA" w:eastAsia="fr-CA"/>
              </w:rPr>
            </w:pPr>
            <w:r w:rsidRPr="000A0EA1">
              <w:rPr>
                <w:rFonts w:cs="Arial"/>
                <w:b/>
                <w:bCs/>
                <w:sz w:val="22"/>
                <w:szCs w:val="22"/>
                <w:lang w:val="en-CA" w:eastAsia="fr-CA"/>
              </w:rPr>
              <w:t>(2)</w:t>
            </w:r>
            <w:r w:rsidRPr="000A0EA1">
              <w:rPr>
                <w:rFonts w:cs="Arial"/>
                <w:bCs/>
                <w:sz w:val="22"/>
                <w:szCs w:val="22"/>
                <w:lang w:val="en-CA" w:eastAsia="fr-CA"/>
              </w:rPr>
              <w:t> A proclamation under subsection (1) shall be issued only where authorized by the legislative assembly or government of Quebec.</w:t>
            </w:r>
          </w:p>
          <w:p w14:paraId="17F5F212" w14:textId="06B68C18" w:rsidR="00F75613" w:rsidRPr="000A0EA1" w:rsidRDefault="00B02E00" w:rsidP="00B255B8">
            <w:pPr>
              <w:shd w:val="clear" w:color="auto" w:fill="FFFFFF"/>
              <w:spacing w:before="120" w:after="120" w:line="240" w:lineRule="auto"/>
              <w:ind w:left="720" w:right="142"/>
              <w:jc w:val="both"/>
              <w:rPr>
                <w:rFonts w:cs="Arial"/>
                <w:b/>
                <w:bCs/>
                <w:color w:val="333333"/>
                <w:sz w:val="22"/>
                <w:szCs w:val="22"/>
                <w:lang w:val="en-CA" w:eastAsia="fr-CA"/>
              </w:rPr>
            </w:pPr>
            <w:r w:rsidRPr="000A0EA1">
              <w:rPr>
                <w:rFonts w:cs="Arial"/>
                <w:b/>
                <w:bCs/>
                <w:sz w:val="22"/>
                <w:szCs w:val="22"/>
                <w:lang w:val="en-CA" w:eastAsia="fr-CA"/>
              </w:rPr>
              <w:br/>
              <w:t>(3)</w:t>
            </w:r>
            <w:r w:rsidRPr="000A0EA1">
              <w:rPr>
                <w:rFonts w:cs="Arial"/>
                <w:bCs/>
                <w:sz w:val="22"/>
                <w:szCs w:val="22"/>
                <w:lang w:val="en-CA" w:eastAsia="fr-CA"/>
              </w:rPr>
              <w:t> This section may be repealed on the day paragraph 23(1)(</w:t>
            </w:r>
            <w:r w:rsidRPr="000811F4">
              <w:rPr>
                <w:rFonts w:cs="Arial"/>
                <w:bCs/>
                <w:sz w:val="22"/>
                <w:szCs w:val="22"/>
                <w:lang w:val="en-CA" w:eastAsia="fr-CA"/>
              </w:rPr>
              <w:t>a</w:t>
            </w:r>
            <w:r w:rsidRPr="000A0EA1">
              <w:rPr>
                <w:rFonts w:cs="Arial"/>
                <w:bCs/>
                <w:sz w:val="22"/>
                <w:szCs w:val="22"/>
                <w:lang w:val="en-CA" w:eastAsia="fr-CA"/>
              </w:rPr>
              <w:t>) comes into force in respect of Quebec and this Act amended and renumbered, consequentially upon the repeal of this section, by proclamation issued by the Queen or the Governor General under the Great Seal of Canada.</w:t>
            </w:r>
          </w:p>
        </w:tc>
        <w:tc>
          <w:tcPr>
            <w:tcW w:w="4676" w:type="dxa"/>
          </w:tcPr>
          <w:p w14:paraId="17F5F213" w14:textId="7804B56A" w:rsidR="00F75613" w:rsidRPr="00CA4864" w:rsidRDefault="00B02E00" w:rsidP="00B255B8">
            <w:pPr>
              <w:shd w:val="clear" w:color="auto" w:fill="FFFFFF"/>
              <w:spacing w:before="120" w:after="120" w:line="240" w:lineRule="auto"/>
              <w:ind w:left="142" w:right="720"/>
              <w:jc w:val="both"/>
              <w:rPr>
                <w:rFonts w:cs="Arial"/>
                <w:sz w:val="22"/>
                <w:szCs w:val="22"/>
                <w:lang w:eastAsia="fr-CA"/>
              </w:rPr>
            </w:pPr>
            <w:r w:rsidRPr="00CA4864">
              <w:rPr>
                <w:rFonts w:cs="Arial"/>
                <w:b/>
                <w:bCs/>
                <w:sz w:val="22"/>
                <w:szCs w:val="22"/>
                <w:lang w:eastAsia="fr-CA"/>
              </w:rPr>
              <w:t>59</w:t>
            </w:r>
            <w:r w:rsidRPr="00CA4864">
              <w:rPr>
                <w:rFonts w:cs="Arial"/>
                <w:sz w:val="22"/>
                <w:szCs w:val="22"/>
                <w:lang w:eastAsia="fr-CA"/>
              </w:rPr>
              <w:t> </w:t>
            </w:r>
            <w:r w:rsidRPr="00CA4864">
              <w:rPr>
                <w:rFonts w:cs="Arial"/>
                <w:b/>
                <w:bCs/>
                <w:sz w:val="22"/>
                <w:szCs w:val="22"/>
                <w:lang w:eastAsia="fr-CA"/>
              </w:rPr>
              <w:t>(1)</w:t>
            </w:r>
            <w:r w:rsidRPr="00CA4864">
              <w:rPr>
                <w:rFonts w:cs="Arial"/>
                <w:sz w:val="22"/>
                <w:szCs w:val="22"/>
                <w:lang w:eastAsia="fr-CA"/>
              </w:rPr>
              <w:t> L</w:t>
            </w:r>
            <w:r w:rsidR="00E46AFD">
              <w:rPr>
                <w:rFonts w:cs="Arial"/>
                <w:sz w:val="22"/>
                <w:szCs w:val="22"/>
                <w:lang w:eastAsia="fr-CA"/>
              </w:rPr>
              <w:t>’</w:t>
            </w:r>
            <w:r w:rsidRPr="00CA4864">
              <w:rPr>
                <w:rFonts w:cs="Arial"/>
                <w:sz w:val="22"/>
                <w:szCs w:val="22"/>
                <w:lang w:eastAsia="fr-CA"/>
              </w:rPr>
              <w:t>alinéa 23(1)</w:t>
            </w:r>
            <w:r w:rsidRPr="000811F4">
              <w:rPr>
                <w:rFonts w:cs="Arial"/>
                <w:sz w:val="22"/>
                <w:szCs w:val="22"/>
                <w:lang w:eastAsia="fr-CA"/>
              </w:rPr>
              <w:t>a</w:t>
            </w:r>
            <w:r w:rsidRPr="00CA4864">
              <w:rPr>
                <w:rFonts w:cs="Arial"/>
                <w:sz w:val="22"/>
                <w:szCs w:val="22"/>
                <w:lang w:eastAsia="fr-CA"/>
              </w:rPr>
              <w:t xml:space="preserve">) entre en vigueur pour le Québec à la date fixée par proclamation de la Reine ou du gouverneur général sous le grand </w:t>
            </w:r>
            <w:proofErr w:type="spellStart"/>
            <w:r w:rsidRPr="00CA4864">
              <w:rPr>
                <w:rFonts w:cs="Arial"/>
                <w:sz w:val="22"/>
                <w:szCs w:val="22"/>
                <w:lang w:eastAsia="fr-CA"/>
              </w:rPr>
              <w:t>sceau</w:t>
            </w:r>
            <w:proofErr w:type="spellEnd"/>
            <w:r w:rsidRPr="00CA4864">
              <w:rPr>
                <w:rFonts w:cs="Arial"/>
                <w:sz w:val="22"/>
                <w:szCs w:val="22"/>
                <w:lang w:eastAsia="fr-CA"/>
              </w:rPr>
              <w:t xml:space="preserve"> du Canada.</w:t>
            </w:r>
          </w:p>
          <w:p w14:paraId="17F5F214" w14:textId="1700E037" w:rsidR="00F75613" w:rsidRPr="00CA4864" w:rsidRDefault="00B02E00" w:rsidP="00B255B8">
            <w:pPr>
              <w:shd w:val="clear" w:color="auto" w:fill="FFFFFF"/>
              <w:spacing w:before="360" w:after="120" w:line="240" w:lineRule="auto"/>
              <w:ind w:left="142" w:right="720"/>
              <w:jc w:val="both"/>
              <w:rPr>
                <w:rFonts w:cs="Arial"/>
                <w:b/>
                <w:bCs/>
                <w:sz w:val="22"/>
                <w:szCs w:val="22"/>
                <w:lang w:eastAsia="fr-CA"/>
              </w:rPr>
            </w:pPr>
            <w:r w:rsidRPr="00CA4864">
              <w:rPr>
                <w:rFonts w:cs="Arial"/>
                <w:b/>
                <w:bCs/>
                <w:sz w:val="22"/>
                <w:szCs w:val="22"/>
                <w:lang w:eastAsia="fr-CA"/>
              </w:rPr>
              <w:t>(2)</w:t>
            </w:r>
            <w:r w:rsidRPr="00CA4864">
              <w:rPr>
                <w:rFonts w:cs="Arial"/>
                <w:bCs/>
                <w:sz w:val="22"/>
                <w:szCs w:val="22"/>
                <w:lang w:eastAsia="fr-CA"/>
              </w:rPr>
              <w:t> La proclamation visée au paragraphe (1) ne peut être prise qu</w:t>
            </w:r>
            <w:r w:rsidR="00E46AFD">
              <w:rPr>
                <w:rFonts w:cs="Arial"/>
                <w:bCs/>
                <w:sz w:val="22"/>
                <w:szCs w:val="22"/>
                <w:lang w:eastAsia="fr-CA"/>
              </w:rPr>
              <w:t>’</w:t>
            </w:r>
            <w:r w:rsidRPr="00CA4864">
              <w:rPr>
                <w:rFonts w:cs="Arial"/>
                <w:bCs/>
                <w:sz w:val="22"/>
                <w:szCs w:val="22"/>
                <w:lang w:eastAsia="fr-CA"/>
              </w:rPr>
              <w:t>après autorisation de l</w:t>
            </w:r>
            <w:r w:rsidR="00E46AFD">
              <w:rPr>
                <w:rFonts w:cs="Arial"/>
                <w:bCs/>
                <w:sz w:val="22"/>
                <w:szCs w:val="22"/>
                <w:lang w:eastAsia="fr-CA"/>
              </w:rPr>
              <w:t>’</w:t>
            </w:r>
            <w:r w:rsidRPr="00CA4864">
              <w:rPr>
                <w:rFonts w:cs="Arial"/>
                <w:bCs/>
                <w:sz w:val="22"/>
                <w:szCs w:val="22"/>
                <w:lang w:eastAsia="fr-CA"/>
              </w:rPr>
              <w:t>assemblée législative ou du gouvernement du Québec.</w:t>
            </w:r>
            <w:r w:rsidRPr="00CA4864">
              <w:rPr>
                <w:rFonts w:cs="Arial"/>
                <w:bCs/>
                <w:sz w:val="22"/>
                <w:szCs w:val="22"/>
                <w:lang w:eastAsia="fr-CA"/>
              </w:rPr>
              <w:br/>
            </w:r>
            <w:r w:rsidRPr="00CA4864">
              <w:rPr>
                <w:rFonts w:cs="Arial"/>
                <w:b/>
                <w:bCs/>
                <w:sz w:val="22"/>
                <w:szCs w:val="22"/>
                <w:lang w:eastAsia="fr-CA"/>
              </w:rPr>
              <w:br/>
              <w:t>(3)</w:t>
            </w:r>
            <w:r w:rsidRPr="00CA4864">
              <w:rPr>
                <w:rFonts w:cs="Arial"/>
                <w:bCs/>
                <w:sz w:val="22"/>
                <w:szCs w:val="22"/>
                <w:lang w:eastAsia="fr-CA"/>
              </w:rPr>
              <w:t> Le présent article peut être abrogé à la date d</w:t>
            </w:r>
            <w:r w:rsidR="00E46AFD">
              <w:rPr>
                <w:rFonts w:cs="Arial"/>
                <w:bCs/>
                <w:sz w:val="22"/>
                <w:szCs w:val="22"/>
                <w:lang w:eastAsia="fr-CA"/>
              </w:rPr>
              <w:t>’</w:t>
            </w:r>
            <w:r w:rsidRPr="00CA4864">
              <w:rPr>
                <w:rFonts w:cs="Arial"/>
                <w:bCs/>
                <w:sz w:val="22"/>
                <w:szCs w:val="22"/>
                <w:lang w:eastAsia="fr-CA"/>
              </w:rPr>
              <w:t>entrée en vigueur de l</w:t>
            </w:r>
            <w:r w:rsidR="00E46AFD">
              <w:rPr>
                <w:rFonts w:cs="Arial"/>
                <w:bCs/>
                <w:sz w:val="22"/>
                <w:szCs w:val="22"/>
                <w:lang w:eastAsia="fr-CA"/>
              </w:rPr>
              <w:t>’</w:t>
            </w:r>
            <w:r w:rsidRPr="00CA4864">
              <w:rPr>
                <w:rFonts w:cs="Arial"/>
                <w:bCs/>
                <w:sz w:val="22"/>
                <w:szCs w:val="22"/>
                <w:lang w:eastAsia="fr-CA"/>
              </w:rPr>
              <w:t>alinéa 23(1)</w:t>
            </w:r>
            <w:r w:rsidRPr="000811F4">
              <w:rPr>
                <w:rFonts w:cs="Arial"/>
                <w:bCs/>
                <w:sz w:val="22"/>
                <w:szCs w:val="22"/>
                <w:lang w:eastAsia="fr-CA"/>
              </w:rPr>
              <w:t>a</w:t>
            </w:r>
            <w:r w:rsidRPr="00CA4864">
              <w:rPr>
                <w:rFonts w:cs="Arial"/>
                <w:bCs/>
                <w:sz w:val="22"/>
                <w:szCs w:val="22"/>
                <w:lang w:eastAsia="fr-CA"/>
              </w:rPr>
              <w:t>) pour le Québec, et la présente loi faire l</w:t>
            </w:r>
            <w:r w:rsidR="00E46AFD">
              <w:rPr>
                <w:rFonts w:cs="Arial"/>
                <w:bCs/>
                <w:sz w:val="22"/>
                <w:szCs w:val="22"/>
                <w:lang w:eastAsia="fr-CA"/>
              </w:rPr>
              <w:t>’</w:t>
            </w:r>
            <w:r w:rsidRPr="00CA4864">
              <w:rPr>
                <w:rFonts w:cs="Arial"/>
                <w:bCs/>
                <w:sz w:val="22"/>
                <w:szCs w:val="22"/>
                <w:lang w:eastAsia="fr-CA"/>
              </w:rPr>
              <w:t xml:space="preserve">objet, dès cette abrogation, des modifications et changements de numérotation qui en découlent, par proclamation de la Reine ou du gouverneur général sous le grand </w:t>
            </w:r>
            <w:proofErr w:type="spellStart"/>
            <w:r w:rsidRPr="00CA4864">
              <w:rPr>
                <w:rFonts w:cs="Arial"/>
                <w:bCs/>
                <w:sz w:val="22"/>
                <w:szCs w:val="22"/>
                <w:lang w:eastAsia="fr-CA"/>
              </w:rPr>
              <w:t>sceau</w:t>
            </w:r>
            <w:proofErr w:type="spellEnd"/>
            <w:r w:rsidRPr="00CA4864">
              <w:rPr>
                <w:rFonts w:cs="Arial"/>
                <w:bCs/>
                <w:sz w:val="22"/>
                <w:szCs w:val="22"/>
                <w:lang w:eastAsia="fr-CA"/>
              </w:rPr>
              <w:t xml:space="preserve"> du Canada.</w:t>
            </w:r>
          </w:p>
        </w:tc>
      </w:tr>
    </w:tbl>
    <w:p w14:paraId="17F5F216" w14:textId="62892221" w:rsidR="00F75613" w:rsidRPr="000A0EA1" w:rsidRDefault="00B02E00" w:rsidP="00B255B8">
      <w:pPr>
        <w:spacing w:before="120" w:after="120" w:line="240" w:lineRule="auto"/>
        <w:jc w:val="both"/>
        <w:rPr>
          <w:kern w:val="28"/>
          <w:szCs w:val="24"/>
          <w:lang w:val="en-CA"/>
        </w:rPr>
      </w:pPr>
      <w:r w:rsidRPr="000A0EA1">
        <w:rPr>
          <w:kern w:val="28"/>
          <w:szCs w:val="24"/>
          <w:lang w:val="en-CA"/>
        </w:rPr>
        <w:t xml:space="preserve">To date, however, neither the Quebec National Assembly nor the government of Quebec has authorized the coming into force in Quebec of </w:t>
      </w:r>
      <w:r w:rsidR="00960AB7">
        <w:rPr>
          <w:kern w:val="28"/>
          <w:szCs w:val="24"/>
          <w:lang w:val="en-CA"/>
        </w:rPr>
        <w:t xml:space="preserve">s. </w:t>
      </w:r>
      <w:r w:rsidRPr="000A0EA1">
        <w:rPr>
          <w:kern w:val="28"/>
          <w:szCs w:val="24"/>
          <w:lang w:val="en-CA"/>
        </w:rPr>
        <w:t>23(1)(</w:t>
      </w:r>
      <w:r w:rsidRPr="000A0EA1">
        <w:rPr>
          <w:i/>
          <w:iCs/>
          <w:kern w:val="28"/>
          <w:szCs w:val="24"/>
          <w:lang w:val="en-CA"/>
        </w:rPr>
        <w:t>a</w:t>
      </w:r>
      <w:r w:rsidRPr="000A0EA1">
        <w:rPr>
          <w:kern w:val="28"/>
          <w:szCs w:val="24"/>
          <w:lang w:val="en-CA"/>
        </w:rPr>
        <w:t xml:space="preserve">) of the </w:t>
      </w:r>
      <w:r w:rsidRPr="000A0EA1">
        <w:rPr>
          <w:i/>
          <w:iCs/>
          <w:kern w:val="28"/>
          <w:szCs w:val="24"/>
          <w:lang w:val="en-CA"/>
        </w:rPr>
        <w:t>Charter</w:t>
      </w:r>
      <w:r w:rsidRPr="000A0EA1">
        <w:rPr>
          <w:kern w:val="28"/>
          <w:szCs w:val="24"/>
          <w:lang w:val="en-CA"/>
        </w:rPr>
        <w:t>.</w:t>
      </w:r>
    </w:p>
    <w:p w14:paraId="17F5F217"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Section 23 of the </w:t>
      </w:r>
      <w:r w:rsidRPr="000A0EA1">
        <w:rPr>
          <w:i/>
          <w:iCs/>
          <w:kern w:val="28"/>
          <w:lang w:val="en-CA"/>
        </w:rPr>
        <w:t>Charter</w:t>
      </w:r>
      <w:r w:rsidRPr="000A0EA1">
        <w:rPr>
          <w:kern w:val="28"/>
          <w:lang w:val="en-CA"/>
        </w:rPr>
        <w:t xml:space="preserve"> introduced minority language education rights into the Canadian Constitution for the first time. Its general purpose is to preserve and promote the two official languages of Canada, and their respective cultures, by ensuring that each language flourishes, as far as possible, in provinces where it is not spoken by the majority of the inhabitants. Section 23 aims to achieve this goal by granting to minority language </w:t>
      </w:r>
      <w:r w:rsidRPr="000A0EA1">
        <w:rPr>
          <w:kern w:val="28"/>
          <w:lang w:val="en-CA"/>
        </w:rPr>
        <w:lastRenderedPageBreak/>
        <w:t>parents who are Canadian citizens minority language educational rights throughout Canada for their children.</w:t>
      </w:r>
      <w:r w:rsidRPr="000A0EA1">
        <w:rPr>
          <w:rStyle w:val="Appelnotedebasdep"/>
          <w:kern w:val="28"/>
          <w:lang w:val="en-CA"/>
        </w:rPr>
        <w:footnoteReference w:id="15"/>
      </w:r>
    </w:p>
    <w:p w14:paraId="17F5F218"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Section 23(3)(</w:t>
      </w:r>
      <w:r w:rsidRPr="000A0EA1">
        <w:rPr>
          <w:i/>
          <w:iCs/>
          <w:kern w:val="28"/>
          <w:lang w:val="en-CA"/>
        </w:rPr>
        <w:t>b)</w:t>
      </w:r>
      <w:r w:rsidRPr="000A0EA1">
        <w:rPr>
          <w:kern w:val="28"/>
          <w:lang w:val="en-CA"/>
        </w:rPr>
        <w:t xml:space="preserve"> establishes that the right of citizens of Canada to have their children receive primary and secondary school instruction in the language of the English or French linguistic minority population of a province also includes, where the number of those children so warrants, the right to have them receive that instruction in minority language educational facilities provided out of public funds.</w:t>
      </w:r>
    </w:p>
    <w:p w14:paraId="17F5F219" w14:textId="5852331A"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In its early decisions interpreting </w:t>
      </w:r>
      <w:r w:rsidR="0062160E">
        <w:rPr>
          <w:kern w:val="28"/>
          <w:lang w:val="en-CA"/>
        </w:rPr>
        <w:t>s. 2</w:t>
      </w:r>
      <w:r w:rsidRPr="000A0EA1">
        <w:rPr>
          <w:kern w:val="28"/>
          <w:lang w:val="en-CA"/>
        </w:rPr>
        <w:t>3(3)(</w:t>
      </w:r>
      <w:r w:rsidRPr="000A0EA1">
        <w:rPr>
          <w:i/>
          <w:iCs/>
          <w:kern w:val="28"/>
          <w:lang w:val="en-CA"/>
        </w:rPr>
        <w:t>b</w:t>
      </w:r>
      <w:r w:rsidRPr="000A0EA1">
        <w:rPr>
          <w:kern w:val="28"/>
          <w:lang w:val="en-CA"/>
        </w:rPr>
        <w:t>), the Supreme Court concluded that, when the number of children warrants it, the provision also allows for the establishment of an independent minority language school board.</w:t>
      </w:r>
      <w:r w:rsidRPr="000A0EA1">
        <w:rPr>
          <w:kern w:val="28"/>
          <w:vertAlign w:val="superscript"/>
          <w:lang w:val="en-CA"/>
        </w:rPr>
        <w:footnoteReference w:id="16"/>
      </w:r>
      <w:r w:rsidRPr="000A0EA1">
        <w:rPr>
          <w:kern w:val="28"/>
          <w:lang w:val="en-CA"/>
        </w:rPr>
        <w:t xml:space="preserve"> </w:t>
      </w:r>
    </w:p>
    <w:p w14:paraId="17F5F21A" w14:textId="025EE8B2"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If the number of children does not permit the establishment of such a school board, </w:t>
      </w:r>
      <w:r w:rsidR="0062160E">
        <w:rPr>
          <w:kern w:val="28"/>
          <w:lang w:val="en-CA"/>
        </w:rPr>
        <w:t>s. 2</w:t>
      </w:r>
      <w:r w:rsidRPr="000A0EA1">
        <w:rPr>
          <w:kern w:val="28"/>
          <w:lang w:val="en-CA"/>
        </w:rPr>
        <w:t>3(3)(</w:t>
      </w:r>
      <w:r w:rsidRPr="000A0EA1">
        <w:rPr>
          <w:i/>
          <w:iCs/>
          <w:kern w:val="28"/>
          <w:lang w:val="en-CA"/>
        </w:rPr>
        <w:t>b</w:t>
      </w:r>
      <w:r w:rsidRPr="000A0EA1">
        <w:rPr>
          <w:kern w:val="28"/>
          <w:lang w:val="en-CA"/>
        </w:rPr>
        <w:t>) nonetheless guarantees linguistic minority representation, in proportion to the number of students involved, on local boards or other public authorities which administer minority language instruction or facilities.</w:t>
      </w:r>
      <w:r w:rsidRPr="000A0EA1">
        <w:rPr>
          <w:rStyle w:val="Appelnotedebasdep"/>
          <w:kern w:val="28"/>
          <w:lang w:val="en-CA"/>
        </w:rPr>
        <w:footnoteReference w:id="17"/>
      </w:r>
      <w:r w:rsidRPr="000A0EA1">
        <w:rPr>
          <w:kern w:val="28"/>
          <w:lang w:val="en-CA"/>
        </w:rPr>
        <w:t xml:space="preserve"> </w:t>
      </w:r>
    </w:p>
    <w:p w14:paraId="17F5F21B" w14:textId="53494F71"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minority language representatives have exclusive authority to make decisions relating to the minority language instruction and facilities, including with respect to: (a)</w:t>
      </w:r>
      <w:r w:rsidR="00E079AE">
        <w:rPr>
          <w:kern w:val="28"/>
          <w:lang w:val="en-CA"/>
        </w:rPr>
        <w:t> </w:t>
      </w:r>
      <w:r w:rsidRPr="000A0EA1">
        <w:rPr>
          <w:kern w:val="28"/>
          <w:lang w:val="en-CA"/>
        </w:rPr>
        <w:t>expenditures of funds provided for such instruction and facilities; (b)</w:t>
      </w:r>
      <w:r w:rsidR="00E079AE">
        <w:rPr>
          <w:kern w:val="28"/>
          <w:lang w:val="en-CA"/>
        </w:rPr>
        <w:t> </w:t>
      </w:r>
      <w:r w:rsidRPr="000A0EA1">
        <w:rPr>
          <w:kern w:val="28"/>
          <w:lang w:val="en-CA"/>
        </w:rPr>
        <w:t>the appointment and direction of those responsible for the administration of such instruction and facilities; (c)</w:t>
      </w:r>
      <w:r w:rsidR="00E079AE">
        <w:rPr>
          <w:kern w:val="28"/>
          <w:lang w:val="en-CA"/>
        </w:rPr>
        <w:t> </w:t>
      </w:r>
      <w:r w:rsidRPr="000A0EA1">
        <w:rPr>
          <w:kern w:val="28"/>
          <w:lang w:val="en-CA"/>
        </w:rPr>
        <w:t>the establishment of programs of instruction; (d)</w:t>
      </w:r>
      <w:r w:rsidR="00E079AE">
        <w:rPr>
          <w:kern w:val="28"/>
          <w:lang w:val="en-CA"/>
        </w:rPr>
        <w:t> </w:t>
      </w:r>
      <w:r w:rsidRPr="000A0EA1">
        <w:rPr>
          <w:kern w:val="28"/>
          <w:lang w:val="en-CA"/>
        </w:rPr>
        <w:t>the recruitment and assignment of personnel (including teachers); and (e)</w:t>
      </w:r>
      <w:r w:rsidR="00E079AE">
        <w:rPr>
          <w:kern w:val="28"/>
          <w:lang w:val="en-CA"/>
        </w:rPr>
        <w:t> </w:t>
      </w:r>
      <w:r w:rsidRPr="000A0EA1">
        <w:rPr>
          <w:kern w:val="28"/>
          <w:lang w:val="en-CA"/>
        </w:rPr>
        <w:t xml:space="preserve">the making of agreements for education and services for </w:t>
      </w:r>
      <w:bookmarkStart w:id="15" w:name="_Hlk189118818"/>
      <w:r w:rsidRPr="000A0EA1">
        <w:rPr>
          <w:kern w:val="28"/>
          <w:lang w:val="en-CA"/>
        </w:rPr>
        <w:t>minority language pupils.</w:t>
      </w:r>
      <w:r w:rsidRPr="000A0EA1">
        <w:rPr>
          <w:kern w:val="28"/>
          <w:vertAlign w:val="superscript"/>
          <w:lang w:val="en-CA"/>
        </w:rPr>
        <w:footnoteReference w:id="18"/>
      </w:r>
      <w:bookmarkEnd w:id="15"/>
    </w:p>
    <w:p w14:paraId="17F5F21C" w14:textId="08F057FB"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These linguistic educational rights, which include powers of management and control over minority facilities, are in addition to and overlap with the rights conferred on Protestant and Catholic minorities by </w:t>
      </w:r>
      <w:r w:rsidR="0062160E">
        <w:rPr>
          <w:kern w:val="28"/>
          <w:lang w:val="en-CA"/>
        </w:rPr>
        <w:t>s. 9</w:t>
      </w:r>
      <w:r w:rsidRPr="000A0EA1">
        <w:rPr>
          <w:kern w:val="28"/>
          <w:lang w:val="en-CA"/>
        </w:rPr>
        <w:t xml:space="preserve">3 of the </w:t>
      </w:r>
      <w:r w:rsidRPr="000A0EA1">
        <w:rPr>
          <w:i/>
          <w:iCs/>
          <w:kern w:val="28"/>
          <w:lang w:val="en-CA"/>
        </w:rPr>
        <w:t>Constitution Act, 1867</w:t>
      </w:r>
      <w:r w:rsidRPr="000A0EA1">
        <w:rPr>
          <w:kern w:val="28"/>
          <w:lang w:val="en-CA"/>
        </w:rPr>
        <w:t xml:space="preserve">. That said, the growing secularization of Quebec society as a whole since the Quiet Revolution, which was greatly accelerated in the decades following the enactment of the </w:t>
      </w:r>
      <w:r w:rsidRPr="000A0EA1">
        <w:rPr>
          <w:i/>
          <w:iCs/>
          <w:kern w:val="28"/>
          <w:lang w:val="en-CA"/>
        </w:rPr>
        <w:t>Charter</w:t>
      </w:r>
      <w:r w:rsidRPr="000A0EA1">
        <w:rPr>
          <w:kern w:val="28"/>
          <w:lang w:val="en-CA"/>
        </w:rPr>
        <w:t>, led to a reconsideration of Quebec</w:t>
      </w:r>
      <w:r w:rsidR="00E46AFD">
        <w:rPr>
          <w:kern w:val="28"/>
          <w:lang w:val="en-CA"/>
        </w:rPr>
        <w:t>’</w:t>
      </w:r>
      <w:r w:rsidRPr="000A0EA1">
        <w:rPr>
          <w:kern w:val="28"/>
          <w:lang w:val="en-CA"/>
        </w:rPr>
        <w:t xml:space="preserve">s educational structures, which until then had been largely built on the basis of denominational school boards. Over time, the idea of replacing this model with a network of linguistic school boards arose in Quebec, leading to a number of bills to this effect. </w:t>
      </w:r>
    </w:p>
    <w:p w14:paraId="17F5F21D" w14:textId="3D496D3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Although such a reform could have been achieved without a constitutional amendment,</w:t>
      </w:r>
      <w:r w:rsidRPr="000A0EA1">
        <w:rPr>
          <w:kern w:val="28"/>
          <w:vertAlign w:val="superscript"/>
          <w:lang w:val="en-CA"/>
        </w:rPr>
        <w:footnoteReference w:id="19"/>
      </w:r>
      <w:r w:rsidRPr="000A0EA1">
        <w:rPr>
          <w:kern w:val="28"/>
          <w:lang w:val="en-CA"/>
        </w:rPr>
        <w:t xml:space="preserve"> the practical and operational challenges of reconciling the new linguistic school boards with the denominational education rights conferred by </w:t>
      </w:r>
      <w:r w:rsidR="0062160E">
        <w:rPr>
          <w:kern w:val="28"/>
          <w:lang w:val="en-CA"/>
        </w:rPr>
        <w:t>s. 9</w:t>
      </w:r>
      <w:r w:rsidRPr="000A0EA1">
        <w:rPr>
          <w:kern w:val="28"/>
          <w:lang w:val="en-CA"/>
        </w:rPr>
        <w:t xml:space="preserve">3 of the </w:t>
      </w:r>
      <w:r w:rsidRPr="000A0EA1">
        <w:rPr>
          <w:i/>
          <w:iCs/>
          <w:kern w:val="28"/>
          <w:lang w:val="en-CA"/>
        </w:rPr>
        <w:lastRenderedPageBreak/>
        <w:t>Constitution Act,</w:t>
      </w:r>
      <w:r w:rsidR="00DB1D68">
        <w:rPr>
          <w:i/>
          <w:iCs/>
          <w:kern w:val="28"/>
          <w:lang w:val="en-CA"/>
        </w:rPr>
        <w:t> </w:t>
      </w:r>
      <w:r w:rsidRPr="000A0EA1">
        <w:rPr>
          <w:i/>
          <w:iCs/>
          <w:kern w:val="28"/>
          <w:lang w:val="en-CA"/>
        </w:rPr>
        <w:t>1867</w:t>
      </w:r>
      <w:r w:rsidRPr="000A0EA1">
        <w:rPr>
          <w:kern w:val="28"/>
          <w:lang w:val="en-CA"/>
        </w:rPr>
        <w:t xml:space="preserve"> proved highly complex to resolve. As a result, the idea of a constitutional amendment to exempt Quebec from the application of paragraphs (1) to (4) of </w:t>
      </w:r>
      <w:r w:rsidR="0062160E">
        <w:rPr>
          <w:kern w:val="28"/>
          <w:lang w:val="en-CA"/>
        </w:rPr>
        <w:t>s. 9</w:t>
      </w:r>
      <w:r w:rsidRPr="000A0EA1">
        <w:rPr>
          <w:kern w:val="28"/>
          <w:lang w:val="en-CA"/>
        </w:rPr>
        <w:t xml:space="preserve">3 took shape. </w:t>
      </w:r>
    </w:p>
    <w:p w14:paraId="17F5F21E" w14:textId="02C4E790"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One of the main political obstacles to such an amendment was the fear, within the </w:t>
      </w:r>
      <w:r w:rsidR="00312FD9">
        <w:rPr>
          <w:kern w:val="28"/>
          <w:lang w:val="en-CA"/>
        </w:rPr>
        <w:t>English</w:t>
      </w:r>
      <w:r w:rsidR="00312FD9">
        <w:rPr>
          <w:kern w:val="28"/>
          <w:lang w:val="en-CA"/>
        </w:rPr>
        <w:noBreakHyphen/>
        <w:t>speaking</w:t>
      </w:r>
      <w:r w:rsidRPr="000A0EA1">
        <w:rPr>
          <w:kern w:val="28"/>
          <w:lang w:val="en-CA"/>
        </w:rPr>
        <w:t xml:space="preserve"> community, that the community</w:t>
      </w:r>
      <w:r w:rsidR="00E46AFD">
        <w:rPr>
          <w:kern w:val="28"/>
          <w:lang w:val="en-CA"/>
        </w:rPr>
        <w:t>’</w:t>
      </w:r>
      <w:r w:rsidRPr="000A0EA1">
        <w:rPr>
          <w:kern w:val="28"/>
          <w:lang w:val="en-CA"/>
        </w:rPr>
        <w:t xml:space="preserve">s powers of management and control over the new linguistic school boards would not be protected, whereas </w:t>
      </w:r>
      <w:r w:rsidR="0062160E">
        <w:rPr>
          <w:kern w:val="28"/>
          <w:lang w:val="en-CA"/>
        </w:rPr>
        <w:t>s. 9</w:t>
      </w:r>
      <w:r w:rsidRPr="000A0EA1">
        <w:rPr>
          <w:kern w:val="28"/>
          <w:lang w:val="en-CA"/>
        </w:rPr>
        <w:t xml:space="preserve">3 at least guaranteed Quebec Protestants the management and control of an educational network that </w:t>
      </w:r>
      <w:r w:rsidRPr="000A0EA1">
        <w:rPr>
          <w:i/>
          <w:iCs/>
          <w:kern w:val="28"/>
          <w:lang w:val="en-CA"/>
        </w:rPr>
        <w:t>de facto</w:t>
      </w:r>
      <w:r w:rsidRPr="000A0EA1">
        <w:rPr>
          <w:kern w:val="28"/>
          <w:lang w:val="en-CA"/>
        </w:rPr>
        <w:t xml:space="preserve"> comprised a large segment of the linguistic minority. However, in light of the scope given to </w:t>
      </w:r>
      <w:r w:rsidR="0062160E">
        <w:rPr>
          <w:kern w:val="28"/>
          <w:lang w:val="en-CA"/>
        </w:rPr>
        <w:t>s. 2</w:t>
      </w:r>
      <w:r w:rsidRPr="000A0EA1">
        <w:rPr>
          <w:kern w:val="28"/>
          <w:lang w:val="en-CA"/>
        </w:rPr>
        <w:t xml:space="preserve">3 of the </w:t>
      </w:r>
      <w:r w:rsidRPr="000A0EA1">
        <w:rPr>
          <w:i/>
          <w:iCs/>
          <w:kern w:val="28"/>
          <w:lang w:val="en-CA"/>
        </w:rPr>
        <w:t xml:space="preserve">Charter </w:t>
      </w:r>
      <w:r w:rsidRPr="000A0EA1">
        <w:rPr>
          <w:kern w:val="28"/>
          <w:lang w:val="en-CA"/>
        </w:rPr>
        <w:t xml:space="preserve">by the Supreme Court of Canada with regard to the management and control of minority language educational facilities by the minority, notably in </w:t>
      </w:r>
      <w:proofErr w:type="spellStart"/>
      <w:r w:rsidRPr="000A0EA1">
        <w:rPr>
          <w:i/>
          <w:iCs/>
          <w:kern w:val="28"/>
          <w:lang w:val="en-CA"/>
        </w:rPr>
        <w:t>Mahe</w:t>
      </w:r>
      <w:proofErr w:type="spellEnd"/>
      <w:r w:rsidRPr="000A0EA1">
        <w:rPr>
          <w:kern w:val="28"/>
          <w:lang w:val="en-CA"/>
        </w:rPr>
        <w:t>, both the Quebec and Canadian governments reassured Quebec</w:t>
      </w:r>
      <w:r w:rsidR="00E46AFD">
        <w:rPr>
          <w:kern w:val="28"/>
          <w:lang w:val="en-CA"/>
        </w:rPr>
        <w:t>’</w:t>
      </w:r>
      <w:r w:rsidRPr="000A0EA1">
        <w:rPr>
          <w:kern w:val="28"/>
          <w:lang w:val="en-CA"/>
        </w:rPr>
        <w:t xml:space="preserve">s English linguistic minority that </w:t>
      </w:r>
      <w:r w:rsidR="00EE4DEB">
        <w:rPr>
          <w:kern w:val="28"/>
          <w:lang w:val="en-CA"/>
        </w:rPr>
        <w:t>these</w:t>
      </w:r>
      <w:r w:rsidRPr="000A0EA1">
        <w:rPr>
          <w:kern w:val="28"/>
          <w:lang w:val="en-CA"/>
        </w:rPr>
        <w:t xml:space="preserve"> fears were ill</w:t>
      </w:r>
      <w:r w:rsidR="00285C5E">
        <w:rPr>
          <w:kern w:val="28"/>
          <w:lang w:val="en-CA"/>
        </w:rPr>
        <w:t xml:space="preserve"> </w:t>
      </w:r>
      <w:r w:rsidRPr="000A0EA1">
        <w:rPr>
          <w:kern w:val="28"/>
          <w:lang w:val="en-CA"/>
        </w:rPr>
        <w:t>founded.</w:t>
      </w:r>
    </w:p>
    <w:p w14:paraId="17F5F21F" w14:textId="5F00E88B"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Thus, during the debates in the National Assembly regarding the constitutional amendment introducing </w:t>
      </w:r>
      <w:r w:rsidR="0062160E">
        <w:rPr>
          <w:kern w:val="28"/>
          <w:lang w:val="en-CA"/>
        </w:rPr>
        <w:t>s. 9</w:t>
      </w:r>
      <w:r w:rsidRPr="000A0EA1">
        <w:rPr>
          <w:kern w:val="28"/>
          <w:lang w:val="en-CA"/>
        </w:rPr>
        <w:t xml:space="preserve">3A into the </w:t>
      </w:r>
      <w:r w:rsidRPr="000A0EA1">
        <w:rPr>
          <w:i/>
          <w:iCs/>
          <w:kern w:val="28"/>
          <w:lang w:val="en-CA"/>
        </w:rPr>
        <w:t>Constitution Act,</w:t>
      </w:r>
      <w:r w:rsidR="004A18C7">
        <w:rPr>
          <w:i/>
          <w:iCs/>
          <w:kern w:val="28"/>
          <w:lang w:val="en-CA"/>
        </w:rPr>
        <w:t> </w:t>
      </w:r>
      <w:r w:rsidRPr="000A0EA1">
        <w:rPr>
          <w:i/>
          <w:iCs/>
          <w:kern w:val="28"/>
          <w:lang w:val="en-CA"/>
        </w:rPr>
        <w:t>1867</w:t>
      </w:r>
      <w:r w:rsidRPr="000A0EA1">
        <w:rPr>
          <w:kern w:val="28"/>
          <w:lang w:val="en-CA"/>
        </w:rPr>
        <w:t xml:space="preserve"> for the purpose of making paragraphs (1) to (4) of </w:t>
      </w:r>
      <w:r w:rsidR="0062160E">
        <w:rPr>
          <w:kern w:val="28"/>
          <w:lang w:val="en-CA"/>
        </w:rPr>
        <w:t>s. 9</w:t>
      </w:r>
      <w:r w:rsidRPr="000A0EA1">
        <w:rPr>
          <w:kern w:val="28"/>
          <w:lang w:val="en-CA"/>
        </w:rPr>
        <w:t>3 inapplicable to Quebec, the then Minister of Education expressed the government of Quebec</w:t>
      </w:r>
      <w:r w:rsidR="00E46AFD">
        <w:rPr>
          <w:kern w:val="28"/>
          <w:lang w:val="en-CA"/>
        </w:rPr>
        <w:t>’</w:t>
      </w:r>
      <w:r w:rsidRPr="000A0EA1">
        <w:rPr>
          <w:kern w:val="28"/>
          <w:lang w:val="en-CA"/>
        </w:rPr>
        <w:t>s policy of allowing Quebec</w:t>
      </w:r>
      <w:r w:rsidR="00E46AFD">
        <w:rPr>
          <w:kern w:val="28"/>
          <w:lang w:val="en-CA"/>
        </w:rPr>
        <w:t>’</w:t>
      </w:r>
      <w:r w:rsidRPr="000A0EA1">
        <w:rPr>
          <w:kern w:val="28"/>
          <w:lang w:val="en-CA"/>
        </w:rPr>
        <w:t xml:space="preserve">s English community to manage its educational institutions, as, in fact, the </w:t>
      </w:r>
      <w:r w:rsidRPr="000A0EA1">
        <w:rPr>
          <w:i/>
          <w:iCs/>
          <w:kern w:val="28"/>
          <w:lang w:val="en-CA"/>
        </w:rPr>
        <w:t>Charter</w:t>
      </w:r>
      <w:r w:rsidRPr="000A0EA1">
        <w:rPr>
          <w:kern w:val="28"/>
          <w:lang w:val="en-CA"/>
        </w:rPr>
        <w:t xml:space="preserve"> recognizes:</w:t>
      </w:r>
      <w:r w:rsidRPr="000A0EA1">
        <w:rPr>
          <w:kern w:val="28"/>
          <w:vertAlign w:val="superscript"/>
          <w:lang w:val="en-CA"/>
        </w:rPr>
        <w:footnoteReference w:id="20"/>
      </w:r>
    </w:p>
    <w:p w14:paraId="441E1DB5" w14:textId="77777777" w:rsidR="000C7779" w:rsidRDefault="00B02E00" w:rsidP="00B255B8">
      <w:pPr>
        <w:spacing w:before="120" w:after="120" w:line="240" w:lineRule="auto"/>
        <w:ind w:left="720" w:right="720" w:firstLine="720"/>
        <w:jc w:val="both"/>
        <w:rPr>
          <w:kern w:val="24"/>
          <w:sz w:val="22"/>
          <w:lang w:val="en-CA"/>
        </w:rPr>
      </w:pPr>
      <w:r w:rsidRPr="000A0EA1">
        <w:rPr>
          <w:kern w:val="24"/>
          <w:sz w:val="22"/>
          <w:lang w:val="en-CA"/>
        </w:rPr>
        <w:t>[</w:t>
      </w:r>
      <w:r w:rsidR="00F16205" w:rsidRPr="00F16205">
        <w:rPr>
          <w:smallCaps/>
          <w:kern w:val="24"/>
          <w:sz w:val="22"/>
          <w:lang w:val="en-CA"/>
        </w:rPr>
        <w:t>translation</w:t>
      </w:r>
      <w:r w:rsidRPr="000A0EA1">
        <w:rPr>
          <w:kern w:val="24"/>
          <w:sz w:val="22"/>
          <w:lang w:val="en-CA"/>
        </w:rPr>
        <w:t>]</w:t>
      </w:r>
    </w:p>
    <w:p w14:paraId="17F5F220" w14:textId="4F69036A" w:rsidR="00F75613" w:rsidRPr="000A0EA1" w:rsidRDefault="00B02E00" w:rsidP="00B255B8">
      <w:pPr>
        <w:spacing w:before="120" w:after="120" w:line="240" w:lineRule="auto"/>
        <w:ind w:left="720" w:right="720" w:firstLine="720"/>
        <w:jc w:val="both"/>
        <w:rPr>
          <w:kern w:val="24"/>
          <w:sz w:val="22"/>
          <w:lang w:val="en-CA"/>
        </w:rPr>
      </w:pPr>
      <w:r w:rsidRPr="000A0EA1">
        <w:rPr>
          <w:kern w:val="24"/>
          <w:sz w:val="22"/>
          <w:lang w:val="en-CA"/>
        </w:rPr>
        <w:t xml:space="preserve">The second basis for this policy, </w:t>
      </w:r>
      <w:r w:rsidRPr="000A0EA1">
        <w:rPr>
          <w:kern w:val="24"/>
          <w:sz w:val="22"/>
          <w:u w:val="single"/>
          <w:lang w:val="en-CA"/>
        </w:rPr>
        <w:t xml:space="preserve">is to allow the </w:t>
      </w:r>
      <w:r w:rsidR="00312FD9">
        <w:rPr>
          <w:kern w:val="24"/>
          <w:sz w:val="22"/>
          <w:u w:val="single"/>
          <w:lang w:val="en-CA"/>
        </w:rPr>
        <w:t>English</w:t>
      </w:r>
      <w:r w:rsidR="00312FD9">
        <w:rPr>
          <w:kern w:val="24"/>
          <w:sz w:val="22"/>
          <w:u w:val="single"/>
          <w:lang w:val="en-CA"/>
        </w:rPr>
        <w:noBreakHyphen/>
        <w:t>speaking</w:t>
      </w:r>
      <w:r w:rsidRPr="000A0EA1">
        <w:rPr>
          <w:kern w:val="24"/>
          <w:sz w:val="22"/>
          <w:u w:val="single"/>
          <w:lang w:val="en-CA"/>
        </w:rPr>
        <w:t xml:space="preserve"> community to manage its institutions, to be responsible for its entire school system, which is recognized by the Charter, which we are willing to grant</w:t>
      </w:r>
      <w:r w:rsidRPr="000A0EA1">
        <w:rPr>
          <w:kern w:val="24"/>
          <w:sz w:val="22"/>
          <w:lang w:val="en-CA"/>
        </w:rPr>
        <w:t xml:space="preserve">, using the quickest method, that is, this [constitutional] amendment, this motion proposed by my colleague, the Minister responsible for Canadian Intergovernmental Affairs. So in that way, that is the basis for our desire to amend </w:t>
      </w:r>
      <w:r w:rsidR="00CF4EBF">
        <w:rPr>
          <w:kern w:val="24"/>
          <w:sz w:val="22"/>
          <w:lang w:val="en-CA"/>
        </w:rPr>
        <w:t>s.</w:t>
      </w:r>
      <w:r w:rsidRPr="000A0EA1">
        <w:rPr>
          <w:kern w:val="24"/>
          <w:sz w:val="22"/>
          <w:lang w:val="en-CA"/>
        </w:rPr>
        <w:t xml:space="preserve"> 93.</w:t>
      </w:r>
    </w:p>
    <w:p w14:paraId="17F5F221" w14:textId="77777777" w:rsidR="00F75613" w:rsidRPr="000A0EA1" w:rsidRDefault="00B02E00" w:rsidP="00B255B8">
      <w:pPr>
        <w:spacing w:before="120" w:after="120" w:line="240" w:lineRule="auto"/>
        <w:ind w:left="720" w:right="720"/>
        <w:jc w:val="right"/>
        <w:rPr>
          <w:kern w:val="24"/>
          <w:sz w:val="22"/>
          <w:lang w:val="en-CA"/>
        </w:rPr>
      </w:pPr>
      <w:r w:rsidRPr="000A0EA1">
        <w:rPr>
          <w:kern w:val="24"/>
          <w:sz w:val="22"/>
          <w:lang w:val="en-CA"/>
        </w:rPr>
        <w:t>[Underlining added]</w:t>
      </w:r>
    </w:p>
    <w:p w14:paraId="17F5F222" w14:textId="5A359FC9"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National Assembly</w:t>
      </w:r>
      <w:r w:rsidR="00E46AFD">
        <w:rPr>
          <w:kern w:val="28"/>
          <w:lang w:val="en-CA"/>
        </w:rPr>
        <w:t>’</w:t>
      </w:r>
      <w:r w:rsidRPr="000A0EA1">
        <w:rPr>
          <w:kern w:val="28"/>
          <w:lang w:val="en-CA"/>
        </w:rPr>
        <w:t xml:space="preserve">s resolution to amend </w:t>
      </w:r>
      <w:r w:rsidR="0062160E">
        <w:rPr>
          <w:kern w:val="28"/>
          <w:lang w:val="en-CA"/>
        </w:rPr>
        <w:t>s. 9</w:t>
      </w:r>
      <w:r w:rsidRPr="000A0EA1">
        <w:rPr>
          <w:kern w:val="28"/>
          <w:lang w:val="en-CA"/>
        </w:rPr>
        <w:t xml:space="preserve">3 recognizes the established rights of the </w:t>
      </w:r>
      <w:r w:rsidR="00312FD9">
        <w:rPr>
          <w:kern w:val="28"/>
          <w:lang w:val="en-CA"/>
        </w:rPr>
        <w:t>English</w:t>
      </w:r>
      <w:r w:rsidR="00312FD9">
        <w:rPr>
          <w:kern w:val="28"/>
          <w:lang w:val="en-CA"/>
        </w:rPr>
        <w:noBreakHyphen/>
        <w:t>speaking</w:t>
      </w:r>
      <w:r w:rsidRPr="000A0EA1">
        <w:rPr>
          <w:kern w:val="28"/>
          <w:lang w:val="en-CA"/>
        </w:rPr>
        <w:t xml:space="preserve"> community of Quebec, including the right to have those of </w:t>
      </w:r>
      <w:r w:rsidR="00EA5056">
        <w:rPr>
          <w:kern w:val="28"/>
          <w:lang w:val="en-CA"/>
        </w:rPr>
        <w:t xml:space="preserve">its </w:t>
      </w:r>
      <w:r w:rsidRPr="000A0EA1">
        <w:rPr>
          <w:kern w:val="28"/>
          <w:lang w:val="en-CA"/>
        </w:rPr>
        <w:t xml:space="preserve">children who are eligible receive their instruction in </w:t>
      </w:r>
      <w:r w:rsidR="00AE3408">
        <w:rPr>
          <w:kern w:val="28"/>
          <w:lang w:val="en-CA"/>
        </w:rPr>
        <w:t>English</w:t>
      </w:r>
      <w:r w:rsidR="00AE3408">
        <w:rPr>
          <w:kern w:val="28"/>
          <w:lang w:val="en-CA"/>
        </w:rPr>
        <w:noBreakHyphen/>
        <w:t>language</w:t>
      </w:r>
      <w:r w:rsidRPr="000A0EA1">
        <w:rPr>
          <w:kern w:val="28"/>
          <w:lang w:val="en-CA"/>
        </w:rPr>
        <w:t xml:space="preserve"> educational facilities that are </w:t>
      </w:r>
      <w:r w:rsidR="00E46AFD">
        <w:rPr>
          <w:kern w:val="28"/>
          <w:lang w:val="en-CA"/>
        </w:rPr>
        <w:t>“</w:t>
      </w:r>
      <w:r w:rsidRPr="000A0EA1">
        <w:rPr>
          <w:kern w:val="28"/>
          <w:lang w:val="en-CA"/>
        </w:rPr>
        <w:t>under the management and control of this community</w:t>
      </w:r>
      <w:r w:rsidR="00E46AFD">
        <w:rPr>
          <w:kern w:val="28"/>
          <w:lang w:val="en-CA"/>
        </w:rPr>
        <w:t>”</w:t>
      </w:r>
      <w:r w:rsidRPr="000A0EA1">
        <w:rPr>
          <w:kern w:val="28"/>
          <w:lang w:val="en-CA"/>
        </w:rPr>
        <w:t>.</w:t>
      </w:r>
      <w:r w:rsidRPr="000A0EA1">
        <w:rPr>
          <w:kern w:val="28"/>
          <w:vertAlign w:val="superscript"/>
          <w:lang w:val="en-CA"/>
        </w:rPr>
        <w:footnoteReference w:id="21"/>
      </w:r>
    </w:p>
    <w:p w14:paraId="17F5F223" w14:textId="1B54E865"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lastRenderedPageBreak/>
        <w:t xml:space="preserve">During the debates on the enactment of this constitutional amendment, the federal government, via its Minister of Intergovernmental Affairs, who was in charge of the file, informed the Canadian Parliament that the amendment would not have a negative impact on the </w:t>
      </w:r>
      <w:r w:rsidR="00312FD9">
        <w:rPr>
          <w:kern w:val="28"/>
          <w:lang w:val="en-CA"/>
        </w:rPr>
        <w:t>English</w:t>
      </w:r>
      <w:r w:rsidR="00312FD9">
        <w:rPr>
          <w:kern w:val="28"/>
          <w:lang w:val="en-CA"/>
        </w:rPr>
        <w:noBreakHyphen/>
        <w:t>speaking</w:t>
      </w:r>
      <w:r w:rsidRPr="000A0EA1">
        <w:rPr>
          <w:kern w:val="28"/>
          <w:lang w:val="en-CA"/>
        </w:rPr>
        <w:t xml:space="preserve"> minority in Quebec, given the constitutional rights guaranteed under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in particular the right of that linguistic minority to have separate school boards managed and controlled by it:</w:t>
      </w:r>
      <w:r w:rsidRPr="000A0EA1">
        <w:rPr>
          <w:kern w:val="28"/>
          <w:vertAlign w:val="superscript"/>
          <w:lang w:val="en-CA"/>
        </w:rPr>
        <w:footnoteReference w:id="22"/>
      </w:r>
    </w:p>
    <w:p w14:paraId="17F5F225"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p>
    <w:p w14:paraId="17F5F226" w14:textId="08153185" w:rsidR="00F75613" w:rsidRPr="000A0EA1" w:rsidRDefault="00B02E00" w:rsidP="00B255B8">
      <w:pPr>
        <w:spacing w:before="120" w:after="120" w:line="240" w:lineRule="auto"/>
        <w:ind w:left="720" w:right="720" w:firstLine="720"/>
        <w:jc w:val="both"/>
        <w:rPr>
          <w:kern w:val="24"/>
          <w:sz w:val="22"/>
          <w:lang w:val="en-CA"/>
        </w:rPr>
      </w:pPr>
      <w:r w:rsidRPr="000A0EA1">
        <w:rPr>
          <w:kern w:val="24"/>
          <w:sz w:val="22"/>
          <w:lang w:val="en-CA"/>
        </w:rPr>
        <w:t xml:space="preserve">In that connection I reiterate that </w:t>
      </w:r>
      <w:r w:rsidRPr="000A0EA1">
        <w:rPr>
          <w:kern w:val="24"/>
          <w:sz w:val="22"/>
          <w:u w:val="single"/>
          <w:lang w:val="en-CA"/>
        </w:rPr>
        <w:t>Quebec</w:t>
      </w:r>
      <w:r w:rsidR="00E46AFD">
        <w:rPr>
          <w:kern w:val="24"/>
          <w:sz w:val="22"/>
          <w:u w:val="single"/>
          <w:lang w:val="en-CA"/>
        </w:rPr>
        <w:t>’</w:t>
      </w:r>
      <w:r w:rsidRPr="000A0EA1">
        <w:rPr>
          <w:kern w:val="24"/>
          <w:sz w:val="22"/>
          <w:u w:val="single"/>
          <w:lang w:val="en-CA"/>
        </w:rPr>
        <w:t>s anglophone minority</w:t>
      </w:r>
      <w:r w:rsidRPr="000A0EA1">
        <w:rPr>
          <w:kern w:val="24"/>
          <w:sz w:val="22"/>
          <w:lang w:val="en-CA"/>
        </w:rPr>
        <w:t xml:space="preserve">, which has traditionally controlled and managed its own school system, thanks to protections granted to Protestants under section 93, </w:t>
      </w:r>
      <w:r w:rsidRPr="000A0EA1">
        <w:rPr>
          <w:kern w:val="24"/>
          <w:sz w:val="22"/>
          <w:u w:val="single"/>
          <w:lang w:val="en-CA"/>
        </w:rPr>
        <w:t>can support amending that provision in all confidence. That is because its rights have been better protected since the coming into force of the Constitution Act, 1982, specifically section 23 of the Canadian charter</w:t>
      </w:r>
      <w:r w:rsidRPr="000A0EA1">
        <w:rPr>
          <w:kern w:val="24"/>
          <w:sz w:val="22"/>
          <w:lang w:val="en-CA"/>
        </w:rPr>
        <w:t>.</w:t>
      </w:r>
    </w:p>
    <w:p w14:paraId="17F5F227" w14:textId="77777777" w:rsidR="00F75613" w:rsidRPr="000A0EA1" w:rsidRDefault="00B02E00" w:rsidP="00B255B8">
      <w:pPr>
        <w:spacing w:before="120" w:after="120" w:line="240" w:lineRule="auto"/>
        <w:ind w:left="720" w:right="720" w:firstLine="720"/>
        <w:jc w:val="both"/>
        <w:rPr>
          <w:kern w:val="24"/>
          <w:sz w:val="22"/>
          <w:lang w:val="en-CA"/>
        </w:rPr>
      </w:pPr>
      <w:r w:rsidRPr="000A0EA1">
        <w:rPr>
          <w:kern w:val="24"/>
          <w:sz w:val="22"/>
          <w:lang w:val="en-CA"/>
        </w:rPr>
        <w:t xml:space="preserve">Unlike section 93, section 23 of the Canadian charter has the specific objective of providing francophone and anglophone minorities with linguistic guarantees with respect to education. It has been interpreted progressively and generously by the courts. In effect, </w:t>
      </w:r>
      <w:r w:rsidRPr="000A0EA1">
        <w:rPr>
          <w:kern w:val="24"/>
          <w:sz w:val="22"/>
          <w:u w:val="single"/>
          <w:lang w:val="en-CA"/>
        </w:rPr>
        <w:t>section 23 guarantees official language minorities the right to manage and control their own schools and even their own school boards.</w:t>
      </w:r>
      <w:r w:rsidRPr="000A0EA1">
        <w:rPr>
          <w:kern w:val="24"/>
          <w:sz w:val="22"/>
          <w:lang w:val="en-CA"/>
        </w:rPr>
        <w:t xml:space="preserve"> A number of groups and experts confirmed that during their testimony to the committee.</w:t>
      </w:r>
    </w:p>
    <w:p w14:paraId="17F5F228" w14:textId="0C98F323" w:rsidR="00F75613" w:rsidRPr="000A0EA1" w:rsidRDefault="00B02E00" w:rsidP="00B255B8">
      <w:pPr>
        <w:spacing w:before="120" w:after="120" w:line="240" w:lineRule="auto"/>
        <w:ind w:left="720" w:right="720" w:firstLine="720"/>
        <w:jc w:val="both"/>
        <w:rPr>
          <w:kern w:val="24"/>
          <w:sz w:val="22"/>
          <w:lang w:val="en-CA"/>
        </w:rPr>
      </w:pPr>
      <w:r w:rsidRPr="000A0EA1">
        <w:rPr>
          <w:kern w:val="24"/>
          <w:sz w:val="22"/>
          <w:u w:val="single"/>
          <w:lang w:val="en-CA"/>
        </w:rPr>
        <w:t>In that respect the establishment of linguistic school board</w:t>
      </w:r>
      <w:r w:rsidR="00826446">
        <w:rPr>
          <w:kern w:val="24"/>
          <w:sz w:val="22"/>
          <w:u w:val="single"/>
          <w:lang w:val="en-CA"/>
        </w:rPr>
        <w:t>[</w:t>
      </w:r>
      <w:r w:rsidRPr="000A0EA1">
        <w:rPr>
          <w:kern w:val="24"/>
          <w:sz w:val="22"/>
          <w:u w:val="single"/>
          <w:lang w:val="en-CA"/>
        </w:rPr>
        <w:t>s</w:t>
      </w:r>
      <w:r w:rsidR="00826446">
        <w:rPr>
          <w:kern w:val="24"/>
          <w:sz w:val="22"/>
          <w:u w:val="single"/>
          <w:lang w:val="en-CA"/>
        </w:rPr>
        <w:t>]</w:t>
      </w:r>
      <w:r w:rsidRPr="000A0EA1">
        <w:rPr>
          <w:kern w:val="24"/>
          <w:sz w:val="22"/>
          <w:u w:val="single"/>
          <w:lang w:val="en-CA"/>
        </w:rPr>
        <w:t xml:space="preserve"> will enable the anglophone community to consolidate its school population of [</w:t>
      </w:r>
      <w:r w:rsidRPr="000A0EA1">
        <w:rPr>
          <w:i/>
          <w:iCs/>
          <w:kern w:val="24"/>
          <w:sz w:val="22"/>
          <w:u w:val="single"/>
          <w:lang w:val="en-CA"/>
        </w:rPr>
        <w:t>sic</w:t>
      </w:r>
      <w:r w:rsidRPr="000A0EA1">
        <w:rPr>
          <w:kern w:val="24"/>
          <w:sz w:val="22"/>
          <w:u w:val="single"/>
          <w:lang w:val="en-CA"/>
        </w:rPr>
        <w:t>]</w:t>
      </w:r>
      <w:r w:rsidRPr="00992F4C">
        <w:rPr>
          <w:kern w:val="24"/>
          <w:sz w:val="22"/>
          <w:u w:val="single"/>
          <w:lang w:val="en-CA"/>
        </w:rPr>
        <w:t xml:space="preserve"> </w:t>
      </w:r>
      <w:r w:rsidRPr="000A0EA1">
        <w:rPr>
          <w:kern w:val="24"/>
          <w:sz w:val="22"/>
          <w:u w:val="single"/>
          <w:lang w:val="en-CA"/>
        </w:rPr>
        <w:t>and gain the maximum benefit from the guarantees under section 23</w:t>
      </w:r>
      <w:r w:rsidRPr="000A0EA1">
        <w:rPr>
          <w:kern w:val="24"/>
          <w:sz w:val="22"/>
          <w:lang w:val="en-CA"/>
        </w:rPr>
        <w:t>.</w:t>
      </w:r>
    </w:p>
    <w:p w14:paraId="17F5F229" w14:textId="77777777" w:rsidR="00F75613" w:rsidRPr="000A0EA1" w:rsidRDefault="00B02E00" w:rsidP="00B255B8">
      <w:pPr>
        <w:spacing w:after="120" w:line="240" w:lineRule="auto"/>
        <w:ind w:left="720" w:right="720"/>
        <w:jc w:val="right"/>
        <w:rPr>
          <w:kern w:val="24"/>
          <w:sz w:val="22"/>
          <w:lang w:val="en-CA"/>
        </w:rPr>
      </w:pPr>
      <w:r w:rsidRPr="000A0EA1">
        <w:rPr>
          <w:kern w:val="24"/>
          <w:sz w:val="22"/>
          <w:lang w:val="en-CA"/>
        </w:rPr>
        <w:t>[Underlining added]</w:t>
      </w:r>
    </w:p>
    <w:p w14:paraId="17F5F22A" w14:textId="106A4DF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constitutional amendment was finally approved and came into force in 1997.</w:t>
      </w:r>
      <w:r w:rsidRPr="000A0EA1">
        <w:rPr>
          <w:kern w:val="28"/>
          <w:vertAlign w:val="superscript"/>
          <w:lang w:val="en-CA"/>
        </w:rPr>
        <w:footnoteReference w:id="23"/>
      </w:r>
      <w:r w:rsidRPr="000A0EA1">
        <w:rPr>
          <w:kern w:val="28"/>
          <w:lang w:val="en-CA"/>
        </w:rPr>
        <w:t xml:space="preserve"> It introduced </w:t>
      </w:r>
      <w:r w:rsidR="0062160E">
        <w:rPr>
          <w:kern w:val="28"/>
          <w:lang w:val="en-CA"/>
        </w:rPr>
        <w:t>s. 9</w:t>
      </w:r>
      <w:r w:rsidRPr="000A0EA1">
        <w:rPr>
          <w:kern w:val="28"/>
          <w:lang w:val="en-CA"/>
        </w:rPr>
        <w:t xml:space="preserve">3A into the </w:t>
      </w:r>
      <w:r w:rsidRPr="000A0EA1">
        <w:rPr>
          <w:i/>
          <w:iCs/>
          <w:kern w:val="28"/>
          <w:lang w:val="en-CA"/>
        </w:rPr>
        <w:t>Constitution Act,</w:t>
      </w:r>
      <w:r w:rsidR="008A40A6">
        <w:rPr>
          <w:i/>
          <w:iCs/>
          <w:kern w:val="28"/>
          <w:lang w:val="en-CA"/>
        </w:rPr>
        <w:t> </w:t>
      </w:r>
      <w:r w:rsidRPr="000A0EA1">
        <w:rPr>
          <w:i/>
          <w:iCs/>
          <w:kern w:val="28"/>
          <w:lang w:val="en-CA"/>
        </w:rPr>
        <w:t>1867</w:t>
      </w:r>
      <w:r w:rsidR="00C37810">
        <w:rPr>
          <w:kern w:val="28"/>
          <w:lang w:val="en-CA"/>
        </w:rPr>
        <w:t>, which provision</w:t>
      </w:r>
      <w:r w:rsidR="008A40A6">
        <w:rPr>
          <w:kern w:val="28"/>
          <w:lang w:val="en-CA"/>
        </w:rPr>
        <w:t xml:space="preserve"> reads as follows</w:t>
      </w:r>
      <w:r w:rsidRPr="000A0EA1">
        <w:rPr>
          <w:kern w:val="28"/>
          <w:lang w:val="en-CA"/>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4936F2" w:rsidRPr="000A0EA1" w14:paraId="17F5F22D" w14:textId="77777777" w:rsidTr="00313499">
        <w:tc>
          <w:tcPr>
            <w:tcW w:w="4676" w:type="dxa"/>
            <w:hideMark/>
          </w:tcPr>
          <w:p w14:paraId="17F5F22B" w14:textId="77777777" w:rsidR="00F75613" w:rsidRPr="000A0EA1" w:rsidRDefault="00B02E00" w:rsidP="00B255B8">
            <w:pPr>
              <w:spacing w:before="120" w:after="120" w:line="240" w:lineRule="auto"/>
              <w:ind w:left="720" w:right="142"/>
              <w:jc w:val="both"/>
              <w:rPr>
                <w:rFonts w:cs="Arial"/>
                <w:kern w:val="28"/>
                <w:sz w:val="22"/>
                <w:szCs w:val="22"/>
                <w:lang w:val="en-CA"/>
              </w:rPr>
            </w:pPr>
            <w:r w:rsidRPr="000A0EA1">
              <w:rPr>
                <w:rFonts w:cs="Arial"/>
                <w:b/>
                <w:bCs/>
                <w:kern w:val="28"/>
                <w:sz w:val="22"/>
                <w:szCs w:val="22"/>
                <w:shd w:val="clear" w:color="auto" w:fill="FFFFFF"/>
                <w:lang w:val="en-CA"/>
              </w:rPr>
              <w:t>93A</w:t>
            </w:r>
            <w:r w:rsidRPr="000A0EA1">
              <w:rPr>
                <w:rFonts w:cs="Arial"/>
                <w:bCs/>
                <w:kern w:val="28"/>
                <w:sz w:val="22"/>
                <w:szCs w:val="22"/>
                <w:shd w:val="clear" w:color="auto" w:fill="FFFFFF"/>
                <w:lang w:val="en-CA"/>
              </w:rPr>
              <w:t> Paragraphs (1) to (4) of section 93 do not apply to Quebec.</w:t>
            </w:r>
          </w:p>
        </w:tc>
        <w:tc>
          <w:tcPr>
            <w:tcW w:w="4676" w:type="dxa"/>
            <w:hideMark/>
          </w:tcPr>
          <w:p w14:paraId="17F5F22C" w14:textId="259748DE" w:rsidR="00F75613" w:rsidRPr="007D51DF" w:rsidRDefault="00B02E00" w:rsidP="00B255B8">
            <w:pPr>
              <w:spacing w:before="120" w:after="120" w:line="240" w:lineRule="auto"/>
              <w:ind w:left="142" w:right="720"/>
              <w:jc w:val="both"/>
              <w:rPr>
                <w:rFonts w:cs="Arial"/>
                <w:kern w:val="28"/>
                <w:sz w:val="22"/>
                <w:szCs w:val="22"/>
              </w:rPr>
            </w:pPr>
            <w:r w:rsidRPr="007D51DF">
              <w:rPr>
                <w:rFonts w:cs="Arial"/>
                <w:b/>
                <w:bCs/>
                <w:kern w:val="28"/>
                <w:sz w:val="22"/>
                <w:szCs w:val="22"/>
                <w:shd w:val="clear" w:color="auto" w:fill="FFFFFF"/>
              </w:rPr>
              <w:t>93A</w:t>
            </w:r>
            <w:r w:rsidRPr="007D51DF">
              <w:rPr>
                <w:rFonts w:cs="Arial"/>
                <w:bCs/>
                <w:kern w:val="28"/>
                <w:sz w:val="22"/>
                <w:szCs w:val="22"/>
                <w:shd w:val="clear" w:color="auto" w:fill="FFFFFF"/>
              </w:rPr>
              <w:t> Les paragraphes (1) à (4) de l</w:t>
            </w:r>
            <w:r w:rsidR="00E46AFD" w:rsidRPr="007D51DF">
              <w:rPr>
                <w:rFonts w:cs="Arial"/>
                <w:bCs/>
                <w:kern w:val="28"/>
                <w:sz w:val="22"/>
                <w:szCs w:val="22"/>
                <w:shd w:val="clear" w:color="auto" w:fill="FFFFFF"/>
              </w:rPr>
              <w:t>’</w:t>
            </w:r>
            <w:r w:rsidRPr="007D51DF">
              <w:rPr>
                <w:rFonts w:cs="Arial"/>
                <w:bCs/>
                <w:kern w:val="28"/>
                <w:sz w:val="22"/>
                <w:szCs w:val="22"/>
                <w:shd w:val="clear" w:color="auto" w:fill="FFFFFF"/>
              </w:rPr>
              <w:t>article 93 ne s</w:t>
            </w:r>
            <w:r w:rsidR="00E46AFD" w:rsidRPr="007D51DF">
              <w:rPr>
                <w:rFonts w:cs="Arial"/>
                <w:bCs/>
                <w:kern w:val="28"/>
                <w:sz w:val="22"/>
                <w:szCs w:val="22"/>
                <w:shd w:val="clear" w:color="auto" w:fill="FFFFFF"/>
              </w:rPr>
              <w:t>’</w:t>
            </w:r>
            <w:r w:rsidRPr="007D51DF">
              <w:rPr>
                <w:rFonts w:cs="Arial"/>
                <w:bCs/>
                <w:kern w:val="28"/>
                <w:sz w:val="22"/>
                <w:szCs w:val="22"/>
                <w:shd w:val="clear" w:color="auto" w:fill="FFFFFF"/>
              </w:rPr>
              <w:t>appliquent pas au Québec.</w:t>
            </w:r>
          </w:p>
        </w:tc>
      </w:tr>
    </w:tbl>
    <w:p w14:paraId="17F5F22E" w14:textId="6FF1C9D7" w:rsidR="00F75613" w:rsidRPr="000A0EA1" w:rsidRDefault="00B02E00" w:rsidP="00B255B8">
      <w:pPr>
        <w:numPr>
          <w:ilvl w:val="0"/>
          <w:numId w:val="1"/>
        </w:numPr>
        <w:spacing w:before="240" w:after="120" w:line="240" w:lineRule="auto"/>
        <w:jc w:val="both"/>
        <w:rPr>
          <w:kern w:val="28"/>
          <w:lang w:val="en-CA"/>
        </w:rPr>
      </w:pPr>
      <w:r w:rsidRPr="000A0EA1">
        <w:rPr>
          <w:kern w:val="28"/>
          <w:lang w:val="en-CA"/>
        </w:rPr>
        <w:t>As a result, Quebec</w:t>
      </w:r>
      <w:r w:rsidR="00E46AFD">
        <w:rPr>
          <w:kern w:val="28"/>
          <w:lang w:val="en-CA"/>
        </w:rPr>
        <w:t>’</w:t>
      </w:r>
      <w:r w:rsidRPr="000A0EA1">
        <w:rPr>
          <w:kern w:val="28"/>
          <w:lang w:val="en-CA"/>
        </w:rPr>
        <w:t xml:space="preserve">s denominational school boards were reorganized into linguistic school boards governed by councils of elected commissioners, including </w:t>
      </w:r>
      <w:r w:rsidR="00AE3408">
        <w:rPr>
          <w:kern w:val="28"/>
          <w:lang w:val="en-CA"/>
        </w:rPr>
        <w:t>English</w:t>
      </w:r>
      <w:r w:rsidR="00AE3408">
        <w:rPr>
          <w:kern w:val="28"/>
          <w:lang w:val="en-CA"/>
        </w:rPr>
        <w:noBreakHyphen/>
        <w:t>language</w:t>
      </w:r>
      <w:r w:rsidRPr="000A0EA1">
        <w:rPr>
          <w:kern w:val="28"/>
          <w:lang w:val="en-CA"/>
        </w:rPr>
        <w:t xml:space="preserve"> school boards controlled and managed by Quebec</w:t>
      </w:r>
      <w:r w:rsidR="00E46AFD">
        <w:rPr>
          <w:kern w:val="28"/>
          <w:lang w:val="en-CA"/>
        </w:rPr>
        <w:t>’</w:t>
      </w:r>
      <w:r w:rsidRPr="000A0EA1">
        <w:rPr>
          <w:kern w:val="28"/>
          <w:lang w:val="en-CA"/>
        </w:rPr>
        <w:t>s English</w:t>
      </w:r>
      <w:r w:rsidR="00312FD9">
        <w:rPr>
          <w:kern w:val="28"/>
          <w:lang w:val="en-CA"/>
        </w:rPr>
        <w:noBreakHyphen/>
      </w:r>
      <w:r w:rsidRPr="000A0EA1">
        <w:rPr>
          <w:kern w:val="28"/>
          <w:lang w:val="en-CA"/>
        </w:rPr>
        <w:t>speaking minority.</w:t>
      </w:r>
      <w:r w:rsidR="00694B10">
        <w:rPr>
          <w:kern w:val="28"/>
          <w:lang w:val="en-CA"/>
        </w:rPr>
        <w:t xml:space="preserve"> Obviously, s. 93 of the </w:t>
      </w:r>
      <w:r w:rsidR="00694B10">
        <w:rPr>
          <w:i/>
          <w:iCs/>
          <w:kern w:val="28"/>
          <w:lang w:val="en-CA"/>
        </w:rPr>
        <w:t>Constitution Act, 1867</w:t>
      </w:r>
      <w:r w:rsidR="00AD16CB">
        <w:rPr>
          <w:kern w:val="28"/>
          <w:lang w:val="en-CA"/>
        </w:rPr>
        <w:t xml:space="preserve">, </w:t>
      </w:r>
      <w:r w:rsidR="00694B10">
        <w:rPr>
          <w:kern w:val="28"/>
          <w:lang w:val="en-CA"/>
        </w:rPr>
        <w:t xml:space="preserve">which confers full jurisdiction over education </w:t>
      </w:r>
      <w:r w:rsidR="00AD16CB">
        <w:rPr>
          <w:kern w:val="28"/>
          <w:lang w:val="en-CA"/>
        </w:rPr>
        <w:t xml:space="preserve">to the provincial legislatures, remains in force, but it must </w:t>
      </w:r>
      <w:r w:rsidR="00C041A2">
        <w:rPr>
          <w:kern w:val="28"/>
          <w:lang w:val="en-CA"/>
        </w:rPr>
        <w:t xml:space="preserve">nonetheless </w:t>
      </w:r>
      <w:r w:rsidR="00AD16CB">
        <w:rPr>
          <w:kern w:val="28"/>
          <w:lang w:val="en-CA"/>
        </w:rPr>
        <w:t xml:space="preserve">be </w:t>
      </w:r>
      <w:r w:rsidR="00AD16CB">
        <w:rPr>
          <w:kern w:val="28"/>
          <w:lang w:val="en-CA"/>
        </w:rPr>
        <w:lastRenderedPageBreak/>
        <w:t xml:space="preserve">interpreted and applied with regard </w:t>
      </w:r>
      <w:r w:rsidR="00C041A2">
        <w:rPr>
          <w:kern w:val="28"/>
          <w:lang w:val="en-CA"/>
        </w:rPr>
        <w:t xml:space="preserve">to </w:t>
      </w:r>
      <w:r w:rsidR="00AD16CB">
        <w:rPr>
          <w:kern w:val="28"/>
          <w:lang w:val="en-CA"/>
        </w:rPr>
        <w:t xml:space="preserve">the rights and guarantees set out in s. 23 of the </w:t>
      </w:r>
      <w:r w:rsidR="00AD16CB">
        <w:rPr>
          <w:i/>
          <w:iCs/>
          <w:kern w:val="28"/>
          <w:lang w:val="en-CA"/>
        </w:rPr>
        <w:t>Charter</w:t>
      </w:r>
      <w:r w:rsidR="00AD16CB">
        <w:rPr>
          <w:kern w:val="28"/>
          <w:lang w:val="en-CA"/>
        </w:rPr>
        <w:t>.</w:t>
      </w:r>
      <w:r w:rsidR="0097557D">
        <w:rPr>
          <w:rStyle w:val="Appelnotedebasdep"/>
          <w:kern w:val="28"/>
        </w:rPr>
        <w:footnoteReference w:id="24"/>
      </w:r>
    </w:p>
    <w:p w14:paraId="17F5F22F" w14:textId="241A4B8F"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Over time, a number of factors, including low voter turnout in school elections, particularly in the </w:t>
      </w:r>
      <w:r w:rsidR="00312FD9">
        <w:rPr>
          <w:kern w:val="28"/>
          <w:lang w:val="en-CA"/>
        </w:rPr>
        <w:t>French</w:t>
      </w:r>
      <w:r w:rsidR="00312FD9">
        <w:rPr>
          <w:kern w:val="28"/>
          <w:lang w:val="en-CA"/>
        </w:rPr>
        <w:noBreakHyphen/>
        <w:t>speaking</w:t>
      </w:r>
      <w:r w:rsidRPr="000A0EA1">
        <w:rPr>
          <w:kern w:val="28"/>
          <w:lang w:val="en-CA"/>
        </w:rPr>
        <w:t xml:space="preserve"> sector,</w:t>
      </w:r>
      <w:r w:rsidRPr="000A0EA1">
        <w:rPr>
          <w:rStyle w:val="Appelnotedebasdep"/>
          <w:kern w:val="28"/>
          <w:lang w:val="en-CA"/>
        </w:rPr>
        <w:footnoteReference w:id="25"/>
      </w:r>
      <w:r w:rsidRPr="000A0EA1">
        <w:rPr>
          <w:kern w:val="28"/>
          <w:lang w:val="en-CA"/>
        </w:rPr>
        <w:t xml:space="preserve"> led some political players to question the legitimacy of the school governance model based on elected representatives. Indeed, the election platform of the provincial political party Coalition Avenir Québec (the </w:t>
      </w:r>
      <w:r w:rsidR="00E46AFD">
        <w:rPr>
          <w:kern w:val="28"/>
          <w:lang w:val="en-CA"/>
        </w:rPr>
        <w:t>“</w:t>
      </w:r>
      <w:r w:rsidRPr="000A0EA1">
        <w:rPr>
          <w:kern w:val="28"/>
          <w:lang w:val="en-CA"/>
        </w:rPr>
        <w:t>CAQ</w:t>
      </w:r>
      <w:r w:rsidR="00E46AFD">
        <w:rPr>
          <w:kern w:val="28"/>
          <w:lang w:val="en-CA"/>
        </w:rPr>
        <w:t>”</w:t>
      </w:r>
      <w:r w:rsidRPr="000A0EA1">
        <w:rPr>
          <w:kern w:val="28"/>
          <w:lang w:val="en-CA"/>
        </w:rPr>
        <w:t>) included the abolition of school boards, with the aim of transforming them into school service centres:</w:t>
      </w:r>
      <w:r w:rsidRPr="000A0EA1">
        <w:rPr>
          <w:kern w:val="28"/>
          <w:vertAlign w:val="superscript"/>
          <w:lang w:val="en-CA"/>
        </w:rPr>
        <w:footnoteReference w:id="26"/>
      </w:r>
      <w:r w:rsidRPr="000A0EA1">
        <w:rPr>
          <w:kern w:val="28"/>
          <w:lang w:val="en-CA"/>
        </w:rPr>
        <w:t xml:space="preserve"> [</w:t>
      </w:r>
      <w:r w:rsidR="00F16205" w:rsidRPr="00F16205">
        <w:rPr>
          <w:smallCaps/>
          <w:kern w:val="28"/>
          <w:lang w:val="en-CA"/>
        </w:rPr>
        <w:t>translation</w:t>
      </w:r>
      <w:r w:rsidRPr="000A0EA1">
        <w:rPr>
          <w:kern w:val="28"/>
          <w:lang w:val="en-CA"/>
        </w:rPr>
        <w:t>]</w:t>
      </w:r>
      <w:r w:rsidR="000F395E">
        <w:rPr>
          <w:kern w:val="28"/>
          <w:lang w:val="en-CA"/>
        </w:rPr>
        <w:t> </w:t>
      </w:r>
      <w:r w:rsidR="00E46AFD">
        <w:rPr>
          <w:kern w:val="28"/>
          <w:lang w:val="en-CA"/>
        </w:rPr>
        <w:t>“</w:t>
      </w:r>
      <w:r w:rsidRPr="000A0EA1">
        <w:rPr>
          <w:kern w:val="28"/>
          <w:lang w:val="en-CA"/>
        </w:rPr>
        <w:t xml:space="preserve">The school service centres, which will be less costly and eventually fewer in number, will be integrated into the Ministère de </w:t>
      </w:r>
      <w:proofErr w:type="spellStart"/>
      <w:r w:rsidRPr="000A0EA1">
        <w:rPr>
          <w:kern w:val="28"/>
          <w:lang w:val="en-CA"/>
        </w:rPr>
        <w:t>l</w:t>
      </w:r>
      <w:r w:rsidR="00E46AFD">
        <w:rPr>
          <w:kern w:val="28"/>
          <w:lang w:val="en-CA"/>
        </w:rPr>
        <w:t>’</w:t>
      </w:r>
      <w:r w:rsidRPr="000A0EA1">
        <w:rPr>
          <w:kern w:val="28"/>
          <w:lang w:val="en-CA"/>
        </w:rPr>
        <w:t>Éducation</w:t>
      </w:r>
      <w:proofErr w:type="spellEnd"/>
      <w:r w:rsidRPr="000A0EA1">
        <w:rPr>
          <w:kern w:val="28"/>
          <w:lang w:val="en-CA"/>
        </w:rPr>
        <w:t xml:space="preserve">. </w:t>
      </w:r>
      <w:bookmarkStart w:id="18" w:name="_Hlk187673747"/>
      <w:r w:rsidRPr="000A0EA1">
        <w:rPr>
          <w:kern w:val="28"/>
          <w:lang w:val="en-CA"/>
        </w:rPr>
        <w:t>Their mission will be to provide administrative services and make school management as easy as possible.</w:t>
      </w:r>
      <w:bookmarkEnd w:id="18"/>
      <w:r w:rsidR="00C65EC0">
        <w:rPr>
          <w:kern w:val="28"/>
          <w:lang w:val="en-CA"/>
        </w:rPr>
        <w:t>”</w:t>
      </w:r>
    </w:p>
    <w:p w14:paraId="17F5F230" w14:textId="6E4C9985"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Following the provincial election on October 1, 2018, the CAQ was called upon to form a majority government in the National Assembly. The reform of primary and secondary education management structures envisaged in its </w:t>
      </w:r>
      <w:r w:rsidR="0078191D">
        <w:rPr>
          <w:kern w:val="28"/>
          <w:lang w:val="en-CA"/>
        </w:rPr>
        <w:t xml:space="preserve">electoral </w:t>
      </w:r>
      <w:r w:rsidRPr="000A0EA1">
        <w:rPr>
          <w:kern w:val="28"/>
          <w:lang w:val="en-CA"/>
        </w:rPr>
        <w:t xml:space="preserve">platform was implemented through </w:t>
      </w:r>
      <w:r w:rsidR="00C33BBC">
        <w:rPr>
          <w:i/>
          <w:iCs/>
          <w:kern w:val="28"/>
          <w:lang w:val="en-CA"/>
        </w:rPr>
        <w:t>Bill 40</w:t>
      </w:r>
      <w:r w:rsidRPr="000A0EA1">
        <w:rPr>
          <w:kern w:val="28"/>
          <w:lang w:val="en-CA"/>
        </w:rPr>
        <w:t xml:space="preserve">. </w:t>
      </w:r>
    </w:p>
    <w:p w14:paraId="17F5F231" w14:textId="43F05014" w:rsidR="00F75613" w:rsidRPr="000A0EA1" w:rsidRDefault="00C33BBC" w:rsidP="00B255B8">
      <w:pPr>
        <w:pStyle w:val="Paragraphedeliste"/>
        <w:numPr>
          <w:ilvl w:val="0"/>
          <w:numId w:val="5"/>
        </w:numPr>
        <w:spacing w:before="120" w:after="120" w:line="240" w:lineRule="auto"/>
        <w:ind w:left="1077" w:hanging="357"/>
        <w:contextualSpacing w:val="0"/>
        <w:jc w:val="both"/>
        <w:rPr>
          <w:rFonts w:ascii="Arial" w:hAnsi="Arial" w:cs="Arial"/>
          <w:b/>
          <w:bCs/>
          <w:kern w:val="28"/>
          <w:sz w:val="24"/>
          <w:szCs w:val="24"/>
          <w:u w:val="single"/>
          <w:lang w:val="en-CA"/>
        </w:rPr>
      </w:pPr>
      <w:r>
        <w:rPr>
          <w:rFonts w:ascii="Arial" w:hAnsi="Arial" w:cs="Arial"/>
          <w:b/>
          <w:bCs/>
          <w:i/>
          <w:iCs/>
          <w:kern w:val="28"/>
          <w:sz w:val="24"/>
          <w:szCs w:val="24"/>
          <w:u w:val="single"/>
          <w:lang w:val="en-CA"/>
        </w:rPr>
        <w:t>Bill 40</w:t>
      </w:r>
    </w:p>
    <w:p w14:paraId="17F5F232" w14:textId="3DF834C6" w:rsidR="00F75613" w:rsidRPr="000A0EA1" w:rsidRDefault="00C33BBC" w:rsidP="00B255B8">
      <w:pPr>
        <w:numPr>
          <w:ilvl w:val="0"/>
          <w:numId w:val="1"/>
        </w:numPr>
        <w:spacing w:before="120" w:after="120" w:line="240" w:lineRule="auto"/>
        <w:jc w:val="both"/>
        <w:rPr>
          <w:kern w:val="28"/>
          <w:lang w:val="en-CA"/>
        </w:rPr>
      </w:pPr>
      <w:r>
        <w:rPr>
          <w:i/>
          <w:iCs/>
          <w:kern w:val="28"/>
          <w:lang w:val="en-CA"/>
        </w:rPr>
        <w:t>Bill 40</w:t>
      </w:r>
      <w:r w:rsidR="00B02E00" w:rsidRPr="000A0EA1">
        <w:rPr>
          <w:kern w:val="28"/>
          <w:lang w:val="en-CA"/>
        </w:rPr>
        <w:t xml:space="preserve"> was introduced in the National Assembly on October 1, 2019, passed in final form on February 8, 2020, and assented to the same day. It contains 335 sections and two schedules that mainly amend the </w:t>
      </w:r>
      <w:r w:rsidR="00B02E00" w:rsidRPr="000A0EA1">
        <w:rPr>
          <w:i/>
          <w:iCs/>
          <w:kern w:val="28"/>
          <w:lang w:val="en-CA"/>
        </w:rPr>
        <w:t>EA</w:t>
      </w:r>
      <w:r w:rsidR="00B02E00" w:rsidRPr="000A0EA1">
        <w:rPr>
          <w:kern w:val="28"/>
          <w:lang w:val="en-CA"/>
        </w:rPr>
        <w:t xml:space="preserve">, but also over 80 other statutes, including the </w:t>
      </w:r>
      <w:r w:rsidR="00B02E00" w:rsidRPr="000A0EA1">
        <w:rPr>
          <w:i/>
          <w:iCs/>
          <w:kern w:val="28"/>
          <w:lang w:val="en-CA"/>
        </w:rPr>
        <w:t>Act respecting school elections</w:t>
      </w:r>
      <w:r w:rsidR="00B02E00" w:rsidRPr="000A0EA1">
        <w:rPr>
          <w:kern w:val="28"/>
          <w:lang w:val="en-CA"/>
        </w:rPr>
        <w:t>,</w:t>
      </w:r>
      <w:r w:rsidR="00B02E00" w:rsidRPr="000A0EA1">
        <w:rPr>
          <w:rStyle w:val="Appelnotedebasdep"/>
          <w:kern w:val="28"/>
          <w:lang w:val="en-CA"/>
        </w:rPr>
        <w:footnoteReference w:id="27"/>
      </w:r>
      <w:r w:rsidR="00B02E00" w:rsidRPr="000A0EA1">
        <w:rPr>
          <w:kern w:val="28"/>
          <w:lang w:val="en-CA"/>
        </w:rPr>
        <w:t xml:space="preserve"> which it renames the </w:t>
      </w:r>
      <w:r w:rsidR="00B02E00" w:rsidRPr="000A0EA1">
        <w:rPr>
          <w:i/>
          <w:iCs/>
          <w:kern w:val="28"/>
          <w:lang w:val="en-CA"/>
        </w:rPr>
        <w:t xml:space="preserve">Act respecting school elections to elect certain members of the boards of directors of </w:t>
      </w:r>
      <w:r w:rsidR="00AE3408">
        <w:rPr>
          <w:i/>
          <w:iCs/>
          <w:kern w:val="28"/>
          <w:lang w:val="en-CA"/>
        </w:rPr>
        <w:t>English</w:t>
      </w:r>
      <w:r w:rsidR="00AE3408">
        <w:rPr>
          <w:i/>
          <w:iCs/>
          <w:kern w:val="28"/>
          <w:lang w:val="en-CA"/>
        </w:rPr>
        <w:noBreakHyphen/>
        <w:t>language</w:t>
      </w:r>
      <w:r w:rsidR="00B02E00" w:rsidRPr="000A0EA1">
        <w:rPr>
          <w:i/>
          <w:iCs/>
          <w:kern w:val="28"/>
          <w:lang w:val="en-CA"/>
        </w:rPr>
        <w:t xml:space="preserve"> school service centres</w:t>
      </w:r>
      <w:r w:rsidR="00B02E00" w:rsidRPr="000A0EA1">
        <w:rPr>
          <w:kern w:val="28"/>
          <w:lang w:val="en-CA"/>
        </w:rPr>
        <w:t xml:space="preserve"> (the </w:t>
      </w:r>
      <w:r w:rsidR="00E46AFD">
        <w:rPr>
          <w:kern w:val="28"/>
          <w:lang w:val="en-CA"/>
        </w:rPr>
        <w:t>“</w:t>
      </w:r>
      <w:r w:rsidR="00B02E00" w:rsidRPr="000A0EA1">
        <w:rPr>
          <w:i/>
          <w:iCs/>
          <w:kern w:val="28"/>
          <w:lang w:val="en-CA"/>
        </w:rPr>
        <w:t>New Act respecting school elections</w:t>
      </w:r>
      <w:r w:rsidR="00E46AFD">
        <w:rPr>
          <w:kern w:val="28"/>
          <w:lang w:val="en-CA"/>
        </w:rPr>
        <w:t>”</w:t>
      </w:r>
      <w:r w:rsidR="00B02E00" w:rsidRPr="000A0EA1">
        <w:rPr>
          <w:kern w:val="28"/>
          <w:lang w:val="en-CA"/>
        </w:rPr>
        <w:t>).</w:t>
      </w:r>
      <w:r w:rsidR="00B02E00" w:rsidRPr="000A0EA1">
        <w:rPr>
          <w:rStyle w:val="Appelnotedebasdep"/>
          <w:kern w:val="28"/>
          <w:lang w:val="en-CA"/>
        </w:rPr>
        <w:footnoteReference w:id="28"/>
      </w:r>
    </w:p>
    <w:p w14:paraId="17F5F233" w14:textId="67A70AE6"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For the French sector, the provisions of </w:t>
      </w:r>
      <w:r w:rsidR="00C33BBC">
        <w:rPr>
          <w:i/>
          <w:iCs/>
          <w:kern w:val="28"/>
          <w:lang w:val="en-CA"/>
        </w:rPr>
        <w:t>Bill 40</w:t>
      </w:r>
      <w:r w:rsidRPr="000A0EA1">
        <w:rPr>
          <w:kern w:val="28"/>
          <w:lang w:val="en-CA"/>
        </w:rPr>
        <w:t xml:space="preserve"> gradually came into force and are now fully in </w:t>
      </w:r>
      <w:r w:rsidR="00BF0CBC">
        <w:rPr>
          <w:kern w:val="28"/>
          <w:lang w:val="en-CA"/>
        </w:rPr>
        <w:t>effect</w:t>
      </w:r>
      <w:r w:rsidRPr="000A0EA1">
        <w:rPr>
          <w:kern w:val="28"/>
          <w:lang w:val="en-CA"/>
        </w:rPr>
        <w:t xml:space="preserve"> in this sector.</w:t>
      </w:r>
      <w:r w:rsidRPr="000A0EA1">
        <w:rPr>
          <w:kern w:val="28"/>
          <w:vertAlign w:val="superscript"/>
          <w:lang w:val="en-CA"/>
        </w:rPr>
        <w:footnoteReference w:id="29"/>
      </w:r>
      <w:r w:rsidRPr="000A0EA1">
        <w:rPr>
          <w:kern w:val="28"/>
          <w:lang w:val="en-CA"/>
        </w:rPr>
        <w:t xml:space="preserve"> Such is not the case, however, for the English sector, as the Superior Court ordered a stay of application of </w:t>
      </w:r>
      <w:r w:rsidR="00C33BBC">
        <w:rPr>
          <w:i/>
          <w:iCs/>
          <w:kern w:val="28"/>
          <w:lang w:val="en-CA"/>
        </w:rPr>
        <w:t>Bill 40</w:t>
      </w:r>
      <w:r w:rsidRPr="000A0EA1">
        <w:rPr>
          <w:kern w:val="28"/>
          <w:lang w:val="en-CA"/>
        </w:rPr>
        <w:t xml:space="preserve"> for this sector,</w:t>
      </w:r>
      <w:r w:rsidRPr="000A0EA1">
        <w:rPr>
          <w:rStyle w:val="Appelnotedebasdep"/>
          <w:kern w:val="28"/>
          <w:lang w:val="en-CA"/>
        </w:rPr>
        <w:footnoteReference w:id="30"/>
      </w:r>
      <w:r w:rsidRPr="000A0EA1">
        <w:rPr>
          <w:kern w:val="28"/>
          <w:lang w:val="en-CA"/>
        </w:rPr>
        <w:t xml:space="preserve"> a stay that was confirmed by the Court.</w:t>
      </w:r>
      <w:r w:rsidRPr="000A0EA1">
        <w:rPr>
          <w:rStyle w:val="Appelnotedebasdep"/>
          <w:kern w:val="28"/>
          <w:lang w:val="en-CA"/>
        </w:rPr>
        <w:footnoteReference w:id="31"/>
      </w:r>
      <w:r w:rsidRPr="000A0EA1">
        <w:rPr>
          <w:kern w:val="28"/>
          <w:lang w:val="en-CA"/>
        </w:rPr>
        <w:t xml:space="preserve"> Following this stay and in light of the pending court </w:t>
      </w:r>
      <w:r w:rsidRPr="000A0EA1">
        <w:rPr>
          <w:kern w:val="28"/>
          <w:lang w:val="en-CA"/>
        </w:rPr>
        <w:lastRenderedPageBreak/>
        <w:t>challenge, the government, by order in council (</w:t>
      </w:r>
      <w:r w:rsidRPr="000A0EA1">
        <w:rPr>
          <w:i/>
          <w:iCs/>
          <w:kern w:val="28"/>
          <w:lang w:val="en-CA"/>
        </w:rPr>
        <w:t>O.C. 1077-2021</w:t>
      </w:r>
      <w:r w:rsidRPr="000A0EA1">
        <w:rPr>
          <w:kern w:val="28"/>
          <w:lang w:val="en-CA"/>
        </w:rPr>
        <w:t>), adopted a regulation delaying its coming into force for this sector.</w:t>
      </w:r>
      <w:r w:rsidRPr="000A0EA1">
        <w:rPr>
          <w:rStyle w:val="Appelnotedebasdep"/>
          <w:kern w:val="28"/>
          <w:lang w:val="en-CA"/>
        </w:rPr>
        <w:footnoteReference w:id="32"/>
      </w:r>
      <w:r w:rsidRPr="000A0EA1">
        <w:rPr>
          <w:kern w:val="28"/>
          <w:lang w:val="en-CA"/>
        </w:rPr>
        <w:t xml:space="preserve"> </w:t>
      </w:r>
    </w:p>
    <w:p w14:paraId="17F5F234" w14:textId="5F894E31" w:rsidR="00F75613" w:rsidRPr="000A0EA1" w:rsidRDefault="00B02E00" w:rsidP="00B255B8">
      <w:pPr>
        <w:pStyle w:val="Paragraphe"/>
        <w:spacing w:line="240" w:lineRule="auto"/>
        <w:rPr>
          <w:lang w:val="en-CA"/>
        </w:rPr>
      </w:pPr>
      <w:r w:rsidRPr="000A0EA1">
        <w:rPr>
          <w:lang w:val="en-CA"/>
        </w:rPr>
        <w:t xml:space="preserve">As the Minister of Education (the </w:t>
      </w:r>
      <w:r w:rsidR="00E46AFD">
        <w:rPr>
          <w:lang w:val="en-CA"/>
        </w:rPr>
        <w:t>“</w:t>
      </w:r>
      <w:r w:rsidRPr="000A0EA1">
        <w:rPr>
          <w:lang w:val="en-CA"/>
        </w:rPr>
        <w:t>Minister</w:t>
      </w:r>
      <w:r w:rsidR="00E46AFD">
        <w:rPr>
          <w:lang w:val="en-CA"/>
        </w:rPr>
        <w:t>”</w:t>
      </w:r>
      <w:r w:rsidRPr="000A0EA1">
        <w:rPr>
          <w:lang w:val="en-CA"/>
        </w:rPr>
        <w:t xml:space="preserve">), who was in charge of shepherding </w:t>
      </w:r>
      <w:r w:rsidRPr="000A0EA1">
        <w:rPr>
          <w:i/>
          <w:iCs/>
          <w:lang w:val="en-CA"/>
        </w:rPr>
        <w:t>Bill</w:t>
      </w:r>
      <w:r w:rsidR="00AD036E">
        <w:rPr>
          <w:i/>
          <w:iCs/>
          <w:lang w:val="en-CA"/>
        </w:rPr>
        <w:t> </w:t>
      </w:r>
      <w:r w:rsidRPr="000A0EA1">
        <w:rPr>
          <w:i/>
          <w:iCs/>
          <w:lang w:val="en-CA"/>
        </w:rPr>
        <w:t>40</w:t>
      </w:r>
      <w:r w:rsidRPr="000A0EA1">
        <w:rPr>
          <w:lang w:val="en-CA"/>
        </w:rPr>
        <w:t xml:space="preserve"> through the adoption process during the parliamentary debates, pointed out, the bill introduced [</w:t>
      </w:r>
      <w:r w:rsidR="00F16205" w:rsidRPr="00F16205">
        <w:rPr>
          <w:smallCaps/>
          <w:lang w:val="en-CA"/>
        </w:rPr>
        <w:t>translation</w:t>
      </w:r>
      <w:r w:rsidRPr="000A0EA1">
        <w:rPr>
          <w:lang w:val="en-CA"/>
        </w:rPr>
        <w:t>]</w:t>
      </w:r>
      <w:r w:rsidR="00A30CF4">
        <w:rPr>
          <w:lang w:val="en-CA"/>
        </w:rPr>
        <w:t> </w:t>
      </w:r>
      <w:r w:rsidR="00E46AFD">
        <w:rPr>
          <w:lang w:val="en-CA"/>
        </w:rPr>
        <w:t>“</w:t>
      </w:r>
      <w:r w:rsidRPr="000A0EA1">
        <w:rPr>
          <w:lang w:val="en-CA"/>
        </w:rPr>
        <w:t>a paradigm shift</w:t>
      </w:r>
      <w:r w:rsidR="00E46AFD">
        <w:rPr>
          <w:lang w:val="en-CA"/>
        </w:rPr>
        <w:t>”</w:t>
      </w:r>
      <w:r w:rsidRPr="000A0EA1">
        <w:rPr>
          <w:lang w:val="en-CA"/>
        </w:rPr>
        <w:t xml:space="preserve"> in the education system by [</w:t>
      </w:r>
      <w:r w:rsidR="00F16205" w:rsidRPr="00F16205">
        <w:rPr>
          <w:smallCaps/>
          <w:lang w:val="en-CA"/>
        </w:rPr>
        <w:t>translation</w:t>
      </w:r>
      <w:r w:rsidRPr="000A0EA1">
        <w:rPr>
          <w:lang w:val="en-CA"/>
        </w:rPr>
        <w:t>]</w:t>
      </w:r>
      <w:r w:rsidR="00A30CF4">
        <w:rPr>
          <w:lang w:val="en-CA"/>
        </w:rPr>
        <w:t> </w:t>
      </w:r>
      <w:r w:rsidR="00E46AFD">
        <w:rPr>
          <w:lang w:val="en-CA"/>
        </w:rPr>
        <w:t>“</w:t>
      </w:r>
      <w:r w:rsidRPr="000A0EA1">
        <w:rPr>
          <w:lang w:val="en-CA"/>
        </w:rPr>
        <w:t>inverting the pyramid of powers</w:t>
      </w:r>
      <w:r w:rsidR="00E46AFD">
        <w:rPr>
          <w:lang w:val="en-CA"/>
        </w:rPr>
        <w:t>”</w:t>
      </w:r>
      <w:r w:rsidRPr="000A0EA1">
        <w:rPr>
          <w:lang w:val="en-CA"/>
        </w:rPr>
        <w:t>:</w:t>
      </w:r>
      <w:r w:rsidRPr="000A0EA1">
        <w:rPr>
          <w:vertAlign w:val="superscript"/>
          <w:lang w:val="en-CA"/>
        </w:rPr>
        <w:footnoteReference w:id="33"/>
      </w:r>
    </w:p>
    <w:p w14:paraId="4FC082A2" w14:textId="77777777" w:rsidR="000C7779" w:rsidRDefault="00B02E00" w:rsidP="00B255B8">
      <w:pPr>
        <w:spacing w:before="120" w:after="120" w:line="240" w:lineRule="auto"/>
        <w:ind w:left="720" w:right="720" w:firstLine="720"/>
        <w:jc w:val="both"/>
        <w:rPr>
          <w:kern w:val="24"/>
          <w:sz w:val="22"/>
          <w:lang w:val="en-CA"/>
        </w:rPr>
      </w:pPr>
      <w:r w:rsidRPr="000A0EA1">
        <w:rPr>
          <w:kern w:val="24"/>
          <w:sz w:val="22"/>
          <w:lang w:val="en-CA"/>
        </w:rPr>
        <w:t>[</w:t>
      </w:r>
      <w:r w:rsidR="00F16205" w:rsidRPr="00F16205">
        <w:rPr>
          <w:smallCaps/>
          <w:kern w:val="24"/>
          <w:sz w:val="22"/>
          <w:lang w:val="en-CA"/>
        </w:rPr>
        <w:t>translation</w:t>
      </w:r>
      <w:r w:rsidRPr="000A0EA1">
        <w:rPr>
          <w:kern w:val="24"/>
          <w:sz w:val="22"/>
          <w:lang w:val="en-CA"/>
        </w:rPr>
        <w:t>]</w:t>
      </w:r>
    </w:p>
    <w:p w14:paraId="17F5F235" w14:textId="125DC775" w:rsidR="00F75613" w:rsidRPr="000A0EA1" w:rsidRDefault="00B02E00" w:rsidP="00B255B8">
      <w:pPr>
        <w:spacing w:before="120" w:after="120" w:line="240" w:lineRule="auto"/>
        <w:ind w:left="720" w:right="720" w:firstLine="720"/>
        <w:jc w:val="both"/>
        <w:rPr>
          <w:kern w:val="24"/>
          <w:sz w:val="22"/>
          <w:lang w:val="en-CA"/>
        </w:rPr>
      </w:pPr>
      <w:r w:rsidRPr="000A0EA1">
        <w:rPr>
          <w:kern w:val="24"/>
          <w:sz w:val="22"/>
          <w:lang w:val="en-CA"/>
        </w:rPr>
        <w:t xml:space="preserve">[…] But this is where one cannot exactly transpose what commissioners do versus what people on a board of directors will do. </w:t>
      </w:r>
      <w:bookmarkStart w:id="20" w:name="_Hlk187393514"/>
      <w:r w:rsidRPr="000A0EA1">
        <w:rPr>
          <w:kern w:val="24"/>
          <w:sz w:val="22"/>
          <w:u w:val="single"/>
          <w:lang w:val="en-CA"/>
        </w:rPr>
        <w:t>It</w:t>
      </w:r>
      <w:r w:rsidR="00E46AFD">
        <w:rPr>
          <w:kern w:val="24"/>
          <w:sz w:val="22"/>
          <w:u w:val="single"/>
          <w:lang w:val="en-CA"/>
        </w:rPr>
        <w:t>’</w:t>
      </w:r>
      <w:r w:rsidRPr="000A0EA1">
        <w:rPr>
          <w:kern w:val="24"/>
          <w:sz w:val="22"/>
          <w:u w:val="single"/>
          <w:lang w:val="en-CA"/>
        </w:rPr>
        <w:t>s a paradigm shift, the pyramid of powers is inverted</w:t>
      </w:r>
      <w:r w:rsidRPr="000A0EA1">
        <w:rPr>
          <w:kern w:val="24"/>
          <w:sz w:val="22"/>
          <w:lang w:val="en-CA"/>
        </w:rPr>
        <w:t>,</w:t>
      </w:r>
      <w:bookmarkEnd w:id="20"/>
      <w:r w:rsidRPr="000A0EA1">
        <w:rPr>
          <w:kern w:val="24"/>
          <w:sz w:val="22"/>
          <w:lang w:val="en-CA"/>
        </w:rPr>
        <w:t xml:space="preserve"> the people who will sit on the boards </w:t>
      </w:r>
      <w:r w:rsidRPr="000A0EA1">
        <w:rPr>
          <w:kern w:val="24"/>
          <w:sz w:val="22"/>
          <w:u w:val="single"/>
          <w:lang w:val="en-CA"/>
        </w:rPr>
        <w:t>will not have the same mission</w:t>
      </w:r>
      <w:r w:rsidRPr="000A0EA1">
        <w:rPr>
          <w:kern w:val="24"/>
          <w:sz w:val="22"/>
          <w:lang w:val="en-CA"/>
        </w:rPr>
        <w:t xml:space="preserve">, </w:t>
      </w:r>
      <w:r w:rsidRPr="000A0EA1">
        <w:rPr>
          <w:kern w:val="24"/>
          <w:sz w:val="22"/>
          <w:u w:val="single"/>
          <w:lang w:val="en-CA"/>
        </w:rPr>
        <w:t>the same workload</w:t>
      </w:r>
      <w:r w:rsidRPr="000A0EA1">
        <w:rPr>
          <w:kern w:val="24"/>
          <w:sz w:val="22"/>
          <w:lang w:val="en-CA"/>
        </w:rPr>
        <w:t>, and, in fact, there will be training so they can understand their roles, duties and responsibilities. But in that respect, I can understand that for someone who is looking at the bill and thinks that we are simply going to ask the board members to do what the commissioners do, but to a lesser degree, that is a problem. That said, that</w:t>
      </w:r>
      <w:r w:rsidR="00E46AFD">
        <w:rPr>
          <w:kern w:val="24"/>
          <w:sz w:val="22"/>
          <w:lang w:val="en-CA"/>
        </w:rPr>
        <w:t>’</w:t>
      </w:r>
      <w:r w:rsidRPr="000A0EA1">
        <w:rPr>
          <w:kern w:val="24"/>
          <w:sz w:val="22"/>
          <w:lang w:val="en-CA"/>
        </w:rPr>
        <w:t xml:space="preserve">s not it. </w:t>
      </w:r>
      <w:r w:rsidRPr="000A0EA1">
        <w:rPr>
          <w:kern w:val="24"/>
          <w:sz w:val="22"/>
          <w:u w:val="single"/>
          <w:lang w:val="en-CA"/>
        </w:rPr>
        <w:t>The mission will be differen</w:t>
      </w:r>
      <w:r w:rsidRPr="00E43E60">
        <w:rPr>
          <w:kern w:val="24"/>
          <w:sz w:val="22"/>
          <w:u w:val="single"/>
          <w:lang w:val="en-CA"/>
        </w:rPr>
        <w:t>t. T</w:t>
      </w:r>
      <w:r w:rsidRPr="000A0EA1">
        <w:rPr>
          <w:kern w:val="24"/>
          <w:sz w:val="22"/>
          <w:u w:val="single"/>
          <w:lang w:val="en-CA"/>
        </w:rPr>
        <w:t xml:space="preserve">hey will be asked to come and sit on a board, </w:t>
      </w:r>
      <w:bookmarkStart w:id="21" w:name="_Hlk187411782"/>
      <w:r w:rsidRPr="000A0EA1">
        <w:rPr>
          <w:kern w:val="24"/>
          <w:sz w:val="22"/>
          <w:u w:val="single"/>
          <w:lang w:val="en-CA"/>
        </w:rPr>
        <w:t>to be a kind of guardian of fairness, a guardian ... that decisions are made according to the rules</w:t>
      </w:r>
      <w:r w:rsidRPr="000A0EA1">
        <w:rPr>
          <w:kern w:val="24"/>
          <w:sz w:val="22"/>
          <w:lang w:val="en-CA"/>
        </w:rPr>
        <w:t xml:space="preserve">, and </w:t>
      </w:r>
      <w:r w:rsidRPr="000A0EA1">
        <w:rPr>
          <w:kern w:val="24"/>
          <w:sz w:val="22"/>
          <w:u w:val="single"/>
          <w:lang w:val="en-CA"/>
        </w:rPr>
        <w:t>they will not be asked to govern a governing body, as school boards are at present</w:t>
      </w:r>
      <w:r w:rsidRPr="000A0EA1">
        <w:rPr>
          <w:kern w:val="24"/>
          <w:sz w:val="22"/>
          <w:lang w:val="en-CA"/>
        </w:rPr>
        <w:t>.</w:t>
      </w:r>
      <w:bookmarkEnd w:id="21"/>
      <w:r w:rsidRPr="000A0EA1">
        <w:rPr>
          <w:kern w:val="24"/>
          <w:sz w:val="22"/>
          <w:lang w:val="en-CA"/>
        </w:rPr>
        <w:t xml:space="preserve"> And </w:t>
      </w:r>
      <w:r w:rsidRPr="000A0EA1">
        <w:rPr>
          <w:kern w:val="24"/>
          <w:sz w:val="22"/>
          <w:u w:val="single"/>
          <w:lang w:val="en-CA"/>
        </w:rPr>
        <w:t>that</w:t>
      </w:r>
      <w:r w:rsidR="00E46AFD">
        <w:rPr>
          <w:kern w:val="24"/>
          <w:sz w:val="22"/>
          <w:u w:val="single"/>
          <w:lang w:val="en-CA"/>
        </w:rPr>
        <w:t>’</w:t>
      </w:r>
      <w:r w:rsidRPr="000A0EA1">
        <w:rPr>
          <w:kern w:val="24"/>
          <w:sz w:val="22"/>
          <w:u w:val="single"/>
          <w:lang w:val="en-CA"/>
        </w:rPr>
        <w:t>s where there</w:t>
      </w:r>
      <w:r w:rsidR="00E46AFD">
        <w:rPr>
          <w:kern w:val="24"/>
          <w:sz w:val="22"/>
          <w:u w:val="single"/>
          <w:lang w:val="en-CA"/>
        </w:rPr>
        <w:t>’</w:t>
      </w:r>
      <w:r w:rsidRPr="000A0EA1">
        <w:rPr>
          <w:kern w:val="24"/>
          <w:sz w:val="22"/>
          <w:u w:val="single"/>
          <w:lang w:val="en-CA"/>
        </w:rPr>
        <w:t>s a paradigm shift</w:t>
      </w:r>
      <w:r w:rsidRPr="000A0EA1">
        <w:rPr>
          <w:kern w:val="24"/>
          <w:sz w:val="22"/>
          <w:lang w:val="en-CA"/>
        </w:rPr>
        <w:t>, and that</w:t>
      </w:r>
      <w:r w:rsidR="00E46AFD">
        <w:rPr>
          <w:kern w:val="24"/>
          <w:sz w:val="22"/>
          <w:lang w:val="en-CA"/>
        </w:rPr>
        <w:t>’</w:t>
      </w:r>
      <w:r w:rsidRPr="000A0EA1">
        <w:rPr>
          <w:kern w:val="24"/>
          <w:sz w:val="22"/>
          <w:lang w:val="en-CA"/>
        </w:rPr>
        <w:t xml:space="preserve">s where it requires a little more effort, but I understand that concern. </w:t>
      </w:r>
    </w:p>
    <w:p w14:paraId="17F5F236" w14:textId="77777777" w:rsidR="00F75613" w:rsidRPr="000A0EA1" w:rsidRDefault="00B02E00" w:rsidP="00B255B8">
      <w:pPr>
        <w:spacing w:after="120" w:line="240" w:lineRule="auto"/>
        <w:ind w:left="720" w:right="720"/>
        <w:jc w:val="right"/>
        <w:rPr>
          <w:kern w:val="24"/>
          <w:sz w:val="22"/>
          <w:lang w:val="en-CA"/>
        </w:rPr>
      </w:pPr>
      <w:r w:rsidRPr="000A0EA1">
        <w:rPr>
          <w:kern w:val="24"/>
          <w:sz w:val="22"/>
          <w:lang w:val="en-CA"/>
        </w:rPr>
        <w:t>[Underlining added]</w:t>
      </w:r>
    </w:p>
    <w:p w14:paraId="17F5F237" w14:textId="21BF8621" w:rsidR="00F75613" w:rsidRPr="000A0EA1" w:rsidRDefault="00C56CA1" w:rsidP="00B255B8">
      <w:pPr>
        <w:pStyle w:val="Paragraphe"/>
        <w:spacing w:line="240" w:lineRule="auto"/>
        <w:rPr>
          <w:lang w:val="en-CA"/>
        </w:rPr>
      </w:pPr>
      <w:r>
        <w:rPr>
          <w:lang w:val="en-CA"/>
        </w:rPr>
        <w:t>A</w:t>
      </w:r>
      <w:r w:rsidR="00B02E00" w:rsidRPr="000A0EA1">
        <w:rPr>
          <w:lang w:val="en-CA"/>
        </w:rPr>
        <w:t xml:space="preserve"> careful reading of </w:t>
      </w:r>
      <w:r w:rsidR="00547DBB" w:rsidRPr="00547DBB">
        <w:rPr>
          <w:i/>
          <w:iCs/>
          <w:lang w:val="en-CA"/>
        </w:rPr>
        <w:t>Bill 40</w:t>
      </w:r>
      <w:r w:rsidR="00B02E00" w:rsidRPr="000A0EA1">
        <w:rPr>
          <w:lang w:val="en-CA"/>
        </w:rPr>
        <w:t xml:space="preserve"> leads one to conclude, as the trial judge did, that it (a)</w:t>
      </w:r>
      <w:r w:rsidR="007D4C82">
        <w:rPr>
          <w:lang w:val="en-CA"/>
        </w:rPr>
        <w:t> </w:t>
      </w:r>
      <w:r w:rsidR="00B02E00" w:rsidRPr="000A0EA1">
        <w:rPr>
          <w:lang w:val="en-CA"/>
        </w:rPr>
        <w:t xml:space="preserve">effects a significant transfer of the power of management and control over the </w:t>
      </w:r>
      <w:r w:rsidR="00AE3408">
        <w:rPr>
          <w:lang w:val="en-CA"/>
        </w:rPr>
        <w:t>English</w:t>
      </w:r>
      <w:r w:rsidR="00AE3408">
        <w:rPr>
          <w:lang w:val="en-CA"/>
        </w:rPr>
        <w:noBreakHyphen/>
        <w:t>language</w:t>
      </w:r>
      <w:r w:rsidR="00B02E00" w:rsidRPr="000A0EA1">
        <w:rPr>
          <w:lang w:val="en-CA"/>
        </w:rPr>
        <w:t xml:space="preserve"> minority</w:t>
      </w:r>
      <w:r w:rsidR="00E46AFD">
        <w:rPr>
          <w:lang w:val="en-CA"/>
        </w:rPr>
        <w:t>’</w:t>
      </w:r>
      <w:r w:rsidR="00B02E00" w:rsidRPr="000A0EA1">
        <w:rPr>
          <w:lang w:val="en-CA"/>
        </w:rPr>
        <w:t>s educational system to the Minister and to staff of the school service centres; and (b)</w:t>
      </w:r>
      <w:r w:rsidR="007D4C82">
        <w:rPr>
          <w:lang w:val="en-CA"/>
        </w:rPr>
        <w:t> </w:t>
      </w:r>
      <w:r w:rsidR="00B02E00" w:rsidRPr="000A0EA1">
        <w:rPr>
          <w:lang w:val="en-CA"/>
        </w:rPr>
        <w:t xml:space="preserve">places major restrictions on the candidacy of a significant segment of the </w:t>
      </w:r>
      <w:r w:rsidR="00312FD9">
        <w:rPr>
          <w:lang w:val="en-CA"/>
        </w:rPr>
        <w:t>English</w:t>
      </w:r>
      <w:r w:rsidR="00312FD9">
        <w:rPr>
          <w:lang w:val="en-CA"/>
        </w:rPr>
        <w:noBreakHyphen/>
        <w:t>speaking</w:t>
      </w:r>
      <w:r w:rsidR="00B02E00" w:rsidRPr="000A0EA1">
        <w:rPr>
          <w:lang w:val="en-CA"/>
        </w:rPr>
        <w:t xml:space="preserve"> community for election as members of the boards of directors of the new school service centres. </w:t>
      </w:r>
    </w:p>
    <w:p w14:paraId="17F5F238" w14:textId="441141F7" w:rsidR="00F75613" w:rsidRPr="000A0EA1" w:rsidRDefault="00C33BBC" w:rsidP="00B255B8">
      <w:pPr>
        <w:pStyle w:val="Paragraphe"/>
        <w:spacing w:line="240" w:lineRule="auto"/>
        <w:rPr>
          <w:lang w:val="en-CA"/>
        </w:rPr>
      </w:pPr>
      <w:r>
        <w:rPr>
          <w:i/>
          <w:iCs/>
          <w:lang w:val="en-CA"/>
        </w:rPr>
        <w:t>Bill 40</w:t>
      </w:r>
      <w:r w:rsidR="00B02E00" w:rsidRPr="000A0EA1">
        <w:rPr>
          <w:lang w:val="en-CA"/>
        </w:rPr>
        <w:t xml:space="preserve"> institutes a profound transformation in the governance of primary and secondary education. There is no need to describe </w:t>
      </w:r>
      <w:r w:rsidR="0062799A">
        <w:rPr>
          <w:lang w:val="en-CA"/>
        </w:rPr>
        <w:t xml:space="preserve">each </w:t>
      </w:r>
      <w:r w:rsidR="00B02E00" w:rsidRPr="000A0EA1">
        <w:rPr>
          <w:lang w:val="en-CA"/>
        </w:rPr>
        <w:t xml:space="preserve">of its many provisions, nor all of the numerous changes it makes. A general overview of the main features that are relevant to this appeal will suffice. </w:t>
      </w:r>
    </w:p>
    <w:p w14:paraId="17F5F239" w14:textId="631D366F" w:rsidR="00F75613" w:rsidRPr="000A0EA1" w:rsidRDefault="00B02E00" w:rsidP="00B255B8">
      <w:pPr>
        <w:pStyle w:val="Paragraphe"/>
        <w:spacing w:line="240" w:lineRule="auto"/>
        <w:rPr>
          <w:lang w:val="en-CA"/>
        </w:rPr>
      </w:pPr>
      <w:r w:rsidRPr="000A0EA1">
        <w:rPr>
          <w:lang w:val="en-CA"/>
        </w:rPr>
        <w:lastRenderedPageBreak/>
        <w:t xml:space="preserve">First and foremost, </w:t>
      </w:r>
      <w:r w:rsidR="00C33BBC">
        <w:rPr>
          <w:i/>
          <w:iCs/>
          <w:lang w:val="en-CA"/>
        </w:rPr>
        <w:t>Bill 40</w:t>
      </w:r>
      <w:r w:rsidRPr="000A0EA1">
        <w:rPr>
          <w:lang w:val="en-CA"/>
        </w:rPr>
        <w:t xml:space="preserve"> transforms school boards governed by elected councils of commissioners into school service centres,</w:t>
      </w:r>
      <w:r w:rsidRPr="000A0EA1">
        <w:rPr>
          <w:rStyle w:val="Appelnotedebasdep"/>
          <w:lang w:val="en-CA"/>
        </w:rPr>
        <w:footnoteReference w:id="34"/>
      </w:r>
      <w:r w:rsidRPr="000A0EA1">
        <w:rPr>
          <w:lang w:val="en-CA"/>
        </w:rPr>
        <w:t xml:space="preserve"> which are now run by a board of directors. It also radically alters the mission of these school service centres in relation to that of school boards.</w:t>
      </w:r>
    </w:p>
    <w:p w14:paraId="17F5F23A" w14:textId="00469A52" w:rsidR="00F75613" w:rsidRPr="000A0EA1" w:rsidRDefault="00B02E00" w:rsidP="00B255B8">
      <w:pPr>
        <w:pStyle w:val="Paragraphe"/>
        <w:spacing w:line="240" w:lineRule="auto"/>
        <w:rPr>
          <w:lang w:val="en-CA"/>
        </w:rPr>
      </w:pPr>
      <w:r w:rsidRPr="000A0EA1">
        <w:rPr>
          <w:lang w:val="en-CA"/>
        </w:rPr>
        <w:t xml:space="preserve">Whereas, prior to the adoption of </w:t>
      </w:r>
      <w:r w:rsidR="00C33BBC">
        <w:rPr>
          <w:i/>
          <w:iCs/>
          <w:lang w:val="en-CA"/>
        </w:rPr>
        <w:t>Bill 40</w:t>
      </w:r>
      <w:r w:rsidRPr="000A0EA1">
        <w:rPr>
          <w:lang w:val="en-CA"/>
        </w:rPr>
        <w:t xml:space="preserve">, </w:t>
      </w:r>
      <w:r w:rsidR="0062160E">
        <w:rPr>
          <w:lang w:val="en-CA"/>
        </w:rPr>
        <w:t>s. 2</w:t>
      </w:r>
      <w:r w:rsidRPr="000A0EA1">
        <w:rPr>
          <w:lang w:val="en-CA"/>
        </w:rPr>
        <w:t xml:space="preserve">07.1 of the </w:t>
      </w:r>
      <w:r w:rsidRPr="000A0EA1">
        <w:rPr>
          <w:i/>
          <w:iCs/>
          <w:lang w:val="en-CA"/>
        </w:rPr>
        <w:t>EA</w:t>
      </w:r>
      <w:r w:rsidRPr="000A0EA1">
        <w:rPr>
          <w:lang w:val="en-CA"/>
        </w:rPr>
        <w:t xml:space="preserve"> provided that the mission of a school board was </w:t>
      </w:r>
      <w:r w:rsidR="00E46AFD">
        <w:rPr>
          <w:lang w:val="en-CA"/>
        </w:rPr>
        <w:t>“</w:t>
      </w:r>
      <w:r w:rsidRPr="000A0EA1">
        <w:rPr>
          <w:lang w:val="en-CA"/>
        </w:rPr>
        <w:t>to organize educational services for the benefit of the persons who come under its jurisdiction and ensure the quality of those services</w:t>
      </w:r>
      <w:r w:rsidR="00FF1271" w:rsidRPr="00FF1271">
        <w:rPr>
          <w:lang w:val="en-CA"/>
        </w:rPr>
        <w:t xml:space="preserve"> </w:t>
      </w:r>
      <w:r w:rsidR="00FF1271">
        <w:rPr>
          <w:lang w:val="en-CA"/>
        </w:rPr>
        <w:t>[and] to</w:t>
      </w:r>
      <w:r w:rsidR="00FF1271" w:rsidRPr="00FF1271">
        <w:rPr>
          <w:lang w:val="en-CA"/>
        </w:rPr>
        <w:t xml:space="preserve"> see to the success of students</w:t>
      </w:r>
      <w:r w:rsidR="00E46AFD">
        <w:rPr>
          <w:lang w:val="en-CA"/>
        </w:rPr>
        <w:t>”</w:t>
      </w:r>
      <w:r w:rsidRPr="000A0EA1">
        <w:rPr>
          <w:lang w:val="en-CA"/>
        </w:rPr>
        <w:t xml:space="preserve">, the new mission of a school service centre, set out in </w:t>
      </w:r>
      <w:r w:rsidR="0062160E">
        <w:rPr>
          <w:lang w:val="en-CA"/>
        </w:rPr>
        <w:t>s. 2</w:t>
      </w:r>
      <w:r w:rsidRPr="000A0EA1">
        <w:rPr>
          <w:lang w:val="en-CA"/>
        </w:rPr>
        <w:t xml:space="preserve">07.1 as amended by </w:t>
      </w:r>
      <w:r w:rsidR="00C33BBC">
        <w:rPr>
          <w:i/>
          <w:iCs/>
          <w:lang w:val="en-CA"/>
        </w:rPr>
        <w:t>Bill 40</w:t>
      </w:r>
      <w:r w:rsidRPr="000A0EA1">
        <w:rPr>
          <w:lang w:val="en-CA"/>
        </w:rPr>
        <w:t xml:space="preserve">, is now </w:t>
      </w:r>
      <w:r w:rsidR="00E46AFD">
        <w:rPr>
          <w:lang w:val="en-CA"/>
        </w:rPr>
        <w:t>“</w:t>
      </w:r>
      <w:r w:rsidRPr="000A0EA1">
        <w:rPr>
          <w:lang w:val="en-CA"/>
        </w:rPr>
        <w:t>to establish educational institutions in its territory, to support those institutions and to accompany them by procuring access to the goods and services and offering the optimal conditions enabling them to provide students with quality educational services and see to their educational success</w:t>
      </w:r>
      <w:r w:rsidR="00E46AFD">
        <w:rPr>
          <w:lang w:val="en-CA"/>
        </w:rPr>
        <w:t>”</w:t>
      </w:r>
      <w:r w:rsidRPr="000A0EA1">
        <w:rPr>
          <w:lang w:val="en-CA"/>
        </w:rPr>
        <w:t xml:space="preserve">. </w:t>
      </w:r>
    </w:p>
    <w:p w14:paraId="23B2C6C4" w14:textId="3B7DC89B" w:rsidR="00B86B60" w:rsidRPr="000A0EA1" w:rsidRDefault="00B02E00" w:rsidP="00B86B60">
      <w:pPr>
        <w:pStyle w:val="Paragraphe"/>
        <w:spacing w:line="240" w:lineRule="auto"/>
        <w:rPr>
          <w:lang w:val="en-CA"/>
        </w:rPr>
      </w:pPr>
      <w:bookmarkStart w:id="22" w:name="_Hlk187660116"/>
      <w:r w:rsidRPr="000A0EA1">
        <w:rPr>
          <w:lang w:val="en-CA"/>
        </w:rPr>
        <w:t xml:space="preserve">Thus, </w:t>
      </w:r>
      <w:r w:rsidR="003D4372">
        <w:rPr>
          <w:lang w:val="en-CA"/>
        </w:rPr>
        <w:t>the role of the school boards has been restricted</w:t>
      </w:r>
      <w:r w:rsidR="00B86B60">
        <w:rPr>
          <w:lang w:val="en-CA"/>
        </w:rPr>
        <w:t>,</w:t>
      </w:r>
      <w:r w:rsidR="003D4372">
        <w:rPr>
          <w:lang w:val="en-CA"/>
        </w:rPr>
        <w:t xml:space="preserve"> </w:t>
      </w:r>
      <w:r w:rsidR="000D1A9F">
        <w:rPr>
          <w:lang w:val="en-CA"/>
        </w:rPr>
        <w:t xml:space="preserve">as </w:t>
      </w:r>
      <w:r w:rsidR="00B86B60">
        <w:rPr>
          <w:lang w:val="en-CA"/>
        </w:rPr>
        <w:t>that role</w:t>
      </w:r>
      <w:r w:rsidR="003D4372">
        <w:rPr>
          <w:lang w:val="en-CA"/>
        </w:rPr>
        <w:t xml:space="preserve"> </w:t>
      </w:r>
      <w:r w:rsidR="000D1A9F">
        <w:rPr>
          <w:lang w:val="en-CA"/>
        </w:rPr>
        <w:t xml:space="preserve">has been </w:t>
      </w:r>
      <w:r w:rsidR="00B86B60">
        <w:rPr>
          <w:lang w:val="en-CA"/>
        </w:rPr>
        <w:t>transform</w:t>
      </w:r>
      <w:r w:rsidR="000D1A9F">
        <w:rPr>
          <w:lang w:val="en-CA"/>
        </w:rPr>
        <w:t>ed</w:t>
      </w:r>
      <w:r w:rsidR="003D4372">
        <w:rPr>
          <w:lang w:val="en-CA"/>
        </w:rPr>
        <w:t xml:space="preserve"> </w:t>
      </w:r>
      <w:r w:rsidR="000D1A9F">
        <w:rPr>
          <w:lang w:val="en-CA"/>
        </w:rPr>
        <w:t xml:space="preserve">– </w:t>
      </w:r>
      <w:r w:rsidR="003D4372">
        <w:rPr>
          <w:lang w:val="en-CA"/>
        </w:rPr>
        <w:t xml:space="preserve">from </w:t>
      </w:r>
      <w:r w:rsidR="000D1A9F">
        <w:rPr>
          <w:lang w:val="en-CA"/>
        </w:rPr>
        <w:t xml:space="preserve">one </w:t>
      </w:r>
      <w:r w:rsidR="003D4372">
        <w:rPr>
          <w:lang w:val="en-CA"/>
        </w:rPr>
        <w:t xml:space="preserve">that </w:t>
      </w:r>
      <w:r w:rsidR="000D1A9F">
        <w:rPr>
          <w:lang w:val="en-CA"/>
        </w:rPr>
        <w:t xml:space="preserve">entails </w:t>
      </w:r>
      <w:r w:rsidR="003D4372">
        <w:rPr>
          <w:lang w:val="en-CA"/>
        </w:rPr>
        <w:t xml:space="preserve">organizing educational services and </w:t>
      </w:r>
      <w:r w:rsidR="00B86B60">
        <w:rPr>
          <w:lang w:val="en-CA"/>
        </w:rPr>
        <w:t>controlling</w:t>
      </w:r>
      <w:r w:rsidR="003D4372">
        <w:rPr>
          <w:lang w:val="en-CA"/>
        </w:rPr>
        <w:t xml:space="preserve"> </w:t>
      </w:r>
      <w:r w:rsidR="000D1A9F">
        <w:rPr>
          <w:lang w:val="en-CA"/>
        </w:rPr>
        <w:t xml:space="preserve">their </w:t>
      </w:r>
      <w:r w:rsidR="003D4372">
        <w:rPr>
          <w:lang w:val="en-CA"/>
        </w:rPr>
        <w:t xml:space="preserve">quality </w:t>
      </w:r>
      <w:r w:rsidR="000D1A9F">
        <w:rPr>
          <w:lang w:val="en-CA"/>
        </w:rPr>
        <w:t xml:space="preserve">– </w:t>
      </w:r>
      <w:r w:rsidR="003D4372">
        <w:rPr>
          <w:lang w:val="en-CA"/>
        </w:rPr>
        <w:t xml:space="preserve">to </w:t>
      </w:r>
      <w:r w:rsidR="00B86B60">
        <w:rPr>
          <w:lang w:val="en-CA"/>
        </w:rPr>
        <w:t xml:space="preserve">the </w:t>
      </w:r>
      <w:r w:rsidR="000D1A9F">
        <w:rPr>
          <w:lang w:val="en-CA"/>
        </w:rPr>
        <w:t xml:space="preserve">more </w:t>
      </w:r>
      <w:r w:rsidR="003D4372">
        <w:rPr>
          <w:lang w:val="en-CA"/>
        </w:rPr>
        <w:t xml:space="preserve">secondary </w:t>
      </w:r>
      <w:r w:rsidR="00B86B60">
        <w:rPr>
          <w:lang w:val="en-CA"/>
        </w:rPr>
        <w:t>role</w:t>
      </w:r>
      <w:r w:rsidR="000D1A9F">
        <w:rPr>
          <w:lang w:val="en-CA"/>
        </w:rPr>
        <w:t xml:space="preserve"> now </w:t>
      </w:r>
      <w:r w:rsidR="00B86B60">
        <w:rPr>
          <w:lang w:val="en-CA"/>
        </w:rPr>
        <w:t xml:space="preserve">conferred on school service centers </w:t>
      </w:r>
      <w:r w:rsidR="000D1A9F">
        <w:rPr>
          <w:lang w:val="en-CA"/>
        </w:rPr>
        <w:t xml:space="preserve">– that </w:t>
      </w:r>
      <w:r w:rsidR="00B86B60">
        <w:rPr>
          <w:lang w:val="en-CA"/>
        </w:rPr>
        <w:t xml:space="preserve">of </w:t>
      </w:r>
      <w:r w:rsidR="002E203F">
        <w:rPr>
          <w:lang w:val="en-CA"/>
        </w:rPr>
        <w:t xml:space="preserve">providing </w:t>
      </w:r>
      <w:r w:rsidR="00B86B60">
        <w:rPr>
          <w:lang w:val="en-CA"/>
        </w:rPr>
        <w:t xml:space="preserve">support </w:t>
      </w:r>
      <w:r w:rsidR="002E203F">
        <w:rPr>
          <w:lang w:val="en-CA"/>
        </w:rPr>
        <w:t xml:space="preserve">as well as </w:t>
      </w:r>
      <w:r w:rsidR="00B86B60">
        <w:rPr>
          <w:lang w:val="en-CA"/>
        </w:rPr>
        <w:t xml:space="preserve">goods and services so that optimal conditions to dispense educational services are offered. </w:t>
      </w:r>
      <w:r w:rsidR="00B86B60" w:rsidRPr="000A0EA1">
        <w:rPr>
          <w:lang w:val="en-CA"/>
        </w:rPr>
        <w:t xml:space="preserve">As its new name suggests, a </w:t>
      </w:r>
      <w:r w:rsidR="00B86B60">
        <w:rPr>
          <w:lang w:val="en-CA"/>
        </w:rPr>
        <w:t>“</w:t>
      </w:r>
      <w:r w:rsidR="00B86B60" w:rsidRPr="000A0EA1">
        <w:rPr>
          <w:lang w:val="en-CA"/>
        </w:rPr>
        <w:t>service centre</w:t>
      </w:r>
      <w:r w:rsidR="00B86B60">
        <w:rPr>
          <w:lang w:val="en-CA"/>
        </w:rPr>
        <w:t>”</w:t>
      </w:r>
      <w:r w:rsidR="00B86B60" w:rsidRPr="000A0EA1">
        <w:rPr>
          <w:lang w:val="en-CA"/>
        </w:rPr>
        <w:t xml:space="preserve"> is now responsible for providing services in accordance with policies set by the government and objectives defined by a committee of employees. It is no longer a body responsible for organizing educational services and ensuring their quality. This represents a major paradigm shift. </w:t>
      </w:r>
    </w:p>
    <w:p w14:paraId="17F5F23B" w14:textId="1C80004F" w:rsidR="00F75613" w:rsidRPr="000A0EA1" w:rsidRDefault="00B02E00" w:rsidP="00B255B8">
      <w:pPr>
        <w:pStyle w:val="Paragraphe"/>
        <w:spacing w:line="240" w:lineRule="auto"/>
        <w:rPr>
          <w:lang w:val="en-CA"/>
        </w:rPr>
      </w:pPr>
      <w:r w:rsidRPr="000A0EA1">
        <w:rPr>
          <w:lang w:val="en-CA"/>
        </w:rPr>
        <w:t>The role of a school service centre</w:t>
      </w:r>
      <w:r w:rsidR="00E46AFD">
        <w:rPr>
          <w:lang w:val="en-CA"/>
        </w:rPr>
        <w:t>’</w:t>
      </w:r>
      <w:r w:rsidRPr="000A0EA1">
        <w:rPr>
          <w:lang w:val="en-CA"/>
        </w:rPr>
        <w:t xml:space="preserve">s board of directors is now one of oversight rather than direction, as decisions are made at other levels and must comply with numerous ministerial directives that address not only pedagogy, but administration and budgets as well. It is worth recalling that during </w:t>
      </w:r>
      <w:r w:rsidR="00C33BBC">
        <w:rPr>
          <w:i/>
          <w:iCs/>
          <w:lang w:val="en-CA"/>
        </w:rPr>
        <w:t>Bill 40</w:t>
      </w:r>
      <w:r w:rsidRPr="000A0EA1">
        <w:rPr>
          <w:lang w:val="en-CA"/>
        </w:rPr>
        <w:t xml:space="preserve"> debates in the National Assembly, the Minister acknowledged that the new board of directors would become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a kind of guardian of fairness, a guardian ... that decisions are made according to the rules</w:t>
      </w:r>
      <w:r w:rsidR="00E46AFD">
        <w:rPr>
          <w:lang w:val="en-CA"/>
        </w:rPr>
        <w:t>”</w:t>
      </w:r>
      <w:r w:rsidRPr="000A0EA1">
        <w:rPr>
          <w:lang w:val="en-CA"/>
        </w:rPr>
        <w:t xml:space="preserve"> because </w:t>
      </w:r>
      <w:r w:rsidR="00E46AFD">
        <w:rPr>
          <w:lang w:val="en-CA"/>
        </w:rPr>
        <w:t>“</w:t>
      </w:r>
      <w:r w:rsidRPr="000A0EA1">
        <w:rPr>
          <w:lang w:val="en-CA"/>
        </w:rPr>
        <w:t>they will not be asked to govern [...]</w:t>
      </w:r>
      <w:r w:rsidR="00E46AFD">
        <w:rPr>
          <w:lang w:val="en-CA"/>
        </w:rPr>
        <w:t>”</w:t>
      </w:r>
      <w:r w:rsidRPr="000A0EA1">
        <w:rPr>
          <w:lang w:val="en-CA"/>
        </w:rPr>
        <w:t>.</w:t>
      </w:r>
      <w:r w:rsidRPr="000A0EA1">
        <w:rPr>
          <w:vertAlign w:val="superscript"/>
          <w:lang w:val="en-CA"/>
        </w:rPr>
        <w:footnoteReference w:id="35"/>
      </w:r>
      <w:r w:rsidRPr="000A0EA1">
        <w:rPr>
          <w:lang w:val="en-CA"/>
        </w:rPr>
        <w:t xml:space="preserve"> </w:t>
      </w:r>
    </w:p>
    <w:bookmarkEnd w:id="22"/>
    <w:p w14:paraId="17F5F23D" w14:textId="77777777" w:rsidR="00F75613" w:rsidRPr="000A0EA1" w:rsidRDefault="00B02E00" w:rsidP="00B255B8">
      <w:pPr>
        <w:pStyle w:val="Paragraphe"/>
        <w:spacing w:line="240" w:lineRule="auto"/>
        <w:rPr>
          <w:lang w:val="en-CA"/>
        </w:rPr>
      </w:pPr>
      <w:r w:rsidRPr="000A0EA1">
        <w:rPr>
          <w:lang w:val="en-CA"/>
        </w:rPr>
        <w:t xml:space="preserve">These role and mission changes are reflected in the composition of the board of directors, the abolition of remuneration for its members, the transfer of responsibilities to the director general (who now acts as spokesperson) and to employee committees (notably the commitment-to-student-success committee), and the increased powers of the Minister. </w:t>
      </w:r>
    </w:p>
    <w:p w14:paraId="17F5F23E" w14:textId="51DA5587" w:rsidR="00F75613" w:rsidRPr="000A0EA1" w:rsidRDefault="00B02E00" w:rsidP="00B255B8">
      <w:pPr>
        <w:pStyle w:val="Paragraphe"/>
        <w:spacing w:line="240" w:lineRule="auto"/>
        <w:rPr>
          <w:lang w:val="en-CA"/>
        </w:rPr>
      </w:pPr>
      <w:r w:rsidRPr="000A0EA1">
        <w:rPr>
          <w:lang w:val="en-CA"/>
        </w:rPr>
        <w:lastRenderedPageBreak/>
        <w:t xml:space="preserve">In the </w:t>
      </w:r>
      <w:r w:rsidR="00312FD9">
        <w:rPr>
          <w:lang w:val="en-CA"/>
        </w:rPr>
        <w:t>French</w:t>
      </w:r>
      <w:r w:rsidR="00312FD9">
        <w:rPr>
          <w:lang w:val="en-CA"/>
        </w:rPr>
        <w:noBreakHyphen/>
        <w:t>speaking</w:t>
      </w:r>
      <w:r w:rsidRPr="000A0EA1">
        <w:rPr>
          <w:lang w:val="en-CA"/>
        </w:rPr>
        <w:t xml:space="preserve"> sector, the elected council of commissioners is replaced by a board of directors made up of fifteen members who are appointed rather than elected, namely:</w:t>
      </w:r>
      <w:r w:rsidRPr="000A0EA1">
        <w:rPr>
          <w:vertAlign w:val="superscript"/>
          <w:lang w:val="en-CA"/>
        </w:rPr>
        <w:footnoteReference w:id="36"/>
      </w:r>
    </w:p>
    <w:p w14:paraId="17F5F23F" w14:textId="163EBD33" w:rsidR="00F75613" w:rsidRPr="000A0EA1" w:rsidRDefault="00B02E00" w:rsidP="00B255B8">
      <w:pPr>
        <w:pStyle w:val="Paragraphe"/>
        <w:numPr>
          <w:ilvl w:val="0"/>
          <w:numId w:val="8"/>
        </w:numPr>
        <w:spacing w:line="240" w:lineRule="auto"/>
        <w:ind w:left="1077" w:hanging="357"/>
        <w:rPr>
          <w:lang w:val="en-CA"/>
        </w:rPr>
      </w:pPr>
      <w:r w:rsidRPr="000A0EA1">
        <w:rPr>
          <w:lang w:val="en-CA"/>
        </w:rPr>
        <w:t>five members who are parents of students attending an institution under the school service centre</w:t>
      </w:r>
      <w:r w:rsidR="00E46AFD">
        <w:rPr>
          <w:lang w:val="en-CA"/>
        </w:rPr>
        <w:t>’</w:t>
      </w:r>
      <w:r w:rsidRPr="000A0EA1">
        <w:rPr>
          <w:lang w:val="en-CA"/>
        </w:rPr>
        <w:t>s jurisdiction, who are members of the parents</w:t>
      </w:r>
      <w:r w:rsidR="00E46AFD">
        <w:rPr>
          <w:lang w:val="en-CA"/>
        </w:rPr>
        <w:t>’</w:t>
      </w:r>
      <w:r w:rsidRPr="000A0EA1">
        <w:rPr>
          <w:lang w:val="en-CA"/>
        </w:rPr>
        <w:t xml:space="preserve"> committee, who are not members of the school service centre</w:t>
      </w:r>
      <w:r w:rsidR="00E46AFD">
        <w:rPr>
          <w:lang w:val="en-CA"/>
        </w:rPr>
        <w:t>’</w:t>
      </w:r>
      <w:r w:rsidRPr="000A0EA1">
        <w:rPr>
          <w:lang w:val="en-CA"/>
        </w:rPr>
        <w:t>s staff</w:t>
      </w:r>
      <w:r w:rsidRPr="000A0EA1">
        <w:rPr>
          <w:rStyle w:val="Appelnotedebasdep"/>
          <w:lang w:val="en-CA"/>
        </w:rPr>
        <w:footnoteReference w:id="37"/>
      </w:r>
      <w:r w:rsidRPr="000A0EA1">
        <w:rPr>
          <w:lang w:val="en-CA"/>
        </w:rPr>
        <w:t xml:space="preserve"> and who sit on the governing board of a school;</w:t>
      </w:r>
      <w:r w:rsidRPr="000A0EA1">
        <w:rPr>
          <w:rStyle w:val="Appelnotedebasdep"/>
          <w:lang w:val="en-CA"/>
        </w:rPr>
        <w:footnoteReference w:id="38"/>
      </w:r>
      <w:r w:rsidRPr="000A0EA1">
        <w:rPr>
          <w:lang w:val="en-CA"/>
        </w:rPr>
        <w:t xml:space="preserve"> each of these parent members represents a district</w:t>
      </w:r>
      <w:r w:rsidRPr="000A0EA1">
        <w:rPr>
          <w:rStyle w:val="Appelnotedebasdep"/>
          <w:lang w:val="en-CA"/>
        </w:rPr>
        <w:footnoteReference w:id="39"/>
      </w:r>
      <w:r w:rsidRPr="000A0EA1">
        <w:rPr>
          <w:lang w:val="en-CA"/>
        </w:rPr>
        <w:t xml:space="preserve"> and is designated by the parents</w:t>
      </w:r>
      <w:r w:rsidR="00E46AFD">
        <w:rPr>
          <w:lang w:val="en-CA"/>
        </w:rPr>
        <w:t>’</w:t>
      </w:r>
      <w:r w:rsidRPr="000A0EA1">
        <w:rPr>
          <w:lang w:val="en-CA"/>
        </w:rPr>
        <w:t xml:space="preserve"> committee in accordance with the terms determined by that committee and in accordance with the territorial division established by the director general of the school service centre;</w:t>
      </w:r>
      <w:r w:rsidRPr="000A0EA1">
        <w:rPr>
          <w:vertAlign w:val="superscript"/>
          <w:lang w:val="en-CA"/>
        </w:rPr>
        <w:footnoteReference w:id="40"/>
      </w:r>
      <w:r w:rsidRPr="000A0EA1">
        <w:rPr>
          <w:lang w:val="en-CA"/>
        </w:rPr>
        <w:t xml:space="preserve"> </w:t>
      </w:r>
    </w:p>
    <w:p w14:paraId="17F5F240" w14:textId="43A82563" w:rsidR="00F75613" w:rsidRPr="000A0EA1" w:rsidRDefault="00B02E00" w:rsidP="00B255B8">
      <w:pPr>
        <w:pStyle w:val="Paragraphe"/>
        <w:numPr>
          <w:ilvl w:val="0"/>
          <w:numId w:val="8"/>
        </w:numPr>
        <w:spacing w:line="240" w:lineRule="auto"/>
        <w:ind w:left="1077" w:hanging="357"/>
        <w:rPr>
          <w:lang w:val="en-CA"/>
        </w:rPr>
      </w:pPr>
      <w:r w:rsidRPr="000A0EA1">
        <w:rPr>
          <w:lang w:val="en-CA"/>
        </w:rPr>
        <w:t>five members designated by and from various categories of employees of the</w:t>
      </w:r>
      <w:r w:rsidRPr="000A0EA1">
        <w:rPr>
          <w:rStyle w:val="Appelnotedebasdep"/>
          <w:lang w:val="en-CA"/>
        </w:rPr>
        <w:footnoteReference w:id="41"/>
      </w:r>
      <w:r w:rsidRPr="000A0EA1">
        <w:rPr>
          <w:lang w:val="en-CA"/>
        </w:rPr>
        <w:t xml:space="preserve"> school service centre, in accordance with the terms determined by the centre</w:t>
      </w:r>
      <w:r w:rsidR="00E46AFD">
        <w:rPr>
          <w:lang w:val="en-CA"/>
        </w:rPr>
        <w:t>’</w:t>
      </w:r>
      <w:r w:rsidRPr="000A0EA1">
        <w:rPr>
          <w:lang w:val="en-CA"/>
        </w:rPr>
        <w:t>s director general;</w:t>
      </w:r>
      <w:r w:rsidRPr="000A0EA1">
        <w:rPr>
          <w:vertAlign w:val="superscript"/>
          <w:lang w:val="en-CA"/>
        </w:rPr>
        <w:footnoteReference w:id="42"/>
      </w:r>
      <w:r w:rsidRPr="000A0EA1">
        <w:rPr>
          <w:lang w:val="en-CA"/>
        </w:rPr>
        <w:t xml:space="preserve"> and </w:t>
      </w:r>
    </w:p>
    <w:p w14:paraId="17F5F241" w14:textId="77777777" w:rsidR="00F75613" w:rsidRPr="000A0EA1" w:rsidRDefault="00B02E00" w:rsidP="00B255B8">
      <w:pPr>
        <w:pStyle w:val="Paragraphe"/>
        <w:numPr>
          <w:ilvl w:val="0"/>
          <w:numId w:val="8"/>
        </w:numPr>
        <w:spacing w:line="240" w:lineRule="auto"/>
        <w:ind w:left="1077" w:hanging="357"/>
        <w:rPr>
          <w:lang w:val="en-CA"/>
        </w:rPr>
      </w:pPr>
      <w:r w:rsidRPr="000A0EA1">
        <w:rPr>
          <w:lang w:val="en-CA"/>
        </w:rPr>
        <w:t>five community representatives</w:t>
      </w:r>
      <w:bookmarkStart w:id="25" w:name="_Hlk188025087"/>
      <w:r w:rsidRPr="000A0EA1">
        <w:rPr>
          <w:lang w:val="en-CA"/>
        </w:rPr>
        <w:t xml:space="preserve"> who must satisfy certain specific expertise profiles</w:t>
      </w:r>
      <w:r w:rsidRPr="000A0EA1">
        <w:rPr>
          <w:vertAlign w:val="superscript"/>
          <w:lang w:val="en-CA"/>
        </w:rPr>
        <w:footnoteReference w:id="43"/>
      </w:r>
      <w:bookmarkEnd w:id="25"/>
      <w:r w:rsidRPr="000A0EA1">
        <w:rPr>
          <w:lang w:val="en-CA"/>
        </w:rPr>
        <w:t xml:space="preserve"> and who are designated by co-optation by the other two categories of board members.</w:t>
      </w:r>
      <w:r w:rsidRPr="000A0EA1">
        <w:rPr>
          <w:vertAlign w:val="superscript"/>
          <w:lang w:val="en-CA"/>
        </w:rPr>
        <w:footnoteReference w:id="44"/>
      </w:r>
    </w:p>
    <w:p w14:paraId="17F5F242" w14:textId="028E629C" w:rsidR="00F75613" w:rsidRPr="000A0EA1" w:rsidRDefault="00B02E00" w:rsidP="00B255B8">
      <w:pPr>
        <w:pStyle w:val="Paragraphe"/>
        <w:spacing w:line="240" w:lineRule="auto"/>
        <w:rPr>
          <w:lang w:val="en-CA"/>
        </w:rPr>
      </w:pPr>
      <w:r w:rsidRPr="000A0EA1">
        <w:rPr>
          <w:lang w:val="en-CA"/>
        </w:rPr>
        <w:t xml:space="preserve">In the </w:t>
      </w:r>
      <w:r w:rsidR="00312FD9">
        <w:rPr>
          <w:lang w:val="en-CA"/>
        </w:rPr>
        <w:t>English</w:t>
      </w:r>
      <w:r w:rsidR="00312FD9">
        <w:rPr>
          <w:lang w:val="en-CA"/>
        </w:rPr>
        <w:noBreakHyphen/>
        <w:t>speaking</w:t>
      </w:r>
      <w:r w:rsidRPr="000A0EA1">
        <w:rPr>
          <w:lang w:val="en-CA"/>
        </w:rPr>
        <w:t xml:space="preserve"> sector, </w:t>
      </w:r>
      <w:r w:rsidR="00C33BBC">
        <w:rPr>
          <w:i/>
          <w:iCs/>
          <w:lang w:val="en-CA"/>
        </w:rPr>
        <w:t>Bill 40</w:t>
      </w:r>
      <w:r w:rsidRPr="000A0EA1">
        <w:rPr>
          <w:i/>
          <w:iCs/>
          <w:lang w:val="en-CA"/>
        </w:rPr>
        <w:t xml:space="preserve"> </w:t>
      </w:r>
      <w:r w:rsidRPr="000A0EA1">
        <w:rPr>
          <w:lang w:val="en-CA"/>
        </w:rPr>
        <w:t xml:space="preserve">preserves school elections for most board of director positions but establishes eligibility criteria for running in these elections that </w:t>
      </w:r>
      <w:r w:rsidRPr="000A0EA1">
        <w:rPr>
          <w:i/>
          <w:iCs/>
          <w:lang w:val="en-CA"/>
        </w:rPr>
        <w:t>de facto</w:t>
      </w:r>
      <w:r w:rsidRPr="000A0EA1">
        <w:rPr>
          <w:lang w:val="en-CA"/>
        </w:rPr>
        <w:t xml:space="preserve"> disqualify a very large segment of the linguistic minority. </w:t>
      </w:r>
    </w:p>
    <w:p w14:paraId="17F5F243" w14:textId="7A6C4185" w:rsidR="00F75613" w:rsidRPr="000A0EA1" w:rsidRDefault="00B02E00" w:rsidP="00B255B8">
      <w:pPr>
        <w:pStyle w:val="Paragraphe"/>
        <w:spacing w:line="240" w:lineRule="auto"/>
        <w:rPr>
          <w:lang w:val="en-CA"/>
        </w:rPr>
      </w:pPr>
      <w:r w:rsidRPr="000A0EA1">
        <w:rPr>
          <w:lang w:val="en-CA"/>
        </w:rPr>
        <w:t xml:space="preserve">The composition of the board of directors in the </w:t>
      </w:r>
      <w:r w:rsidR="00312FD9">
        <w:rPr>
          <w:lang w:val="en-CA"/>
        </w:rPr>
        <w:t>English</w:t>
      </w:r>
      <w:r w:rsidR="00312FD9">
        <w:rPr>
          <w:lang w:val="en-CA"/>
        </w:rPr>
        <w:noBreakHyphen/>
        <w:t>speaking</w:t>
      </w:r>
      <w:r w:rsidRPr="000A0EA1">
        <w:rPr>
          <w:lang w:val="en-CA"/>
        </w:rPr>
        <w:t xml:space="preserve"> sector can fluctuate from 16 to 34 members,</w:t>
      </w:r>
      <w:r w:rsidRPr="000A0EA1">
        <w:rPr>
          <w:vertAlign w:val="superscript"/>
          <w:lang w:val="en-CA"/>
        </w:rPr>
        <w:footnoteReference w:id="45"/>
      </w:r>
      <w:r w:rsidRPr="000A0EA1">
        <w:rPr>
          <w:lang w:val="en-CA"/>
        </w:rPr>
        <w:t xml:space="preserve"> namely:</w:t>
      </w:r>
    </w:p>
    <w:p w14:paraId="17F5F244" w14:textId="03D28EE4" w:rsidR="00F75613" w:rsidRPr="000A0EA1" w:rsidRDefault="00B02E00" w:rsidP="00B255B8">
      <w:pPr>
        <w:spacing w:before="120" w:after="120" w:line="240" w:lineRule="auto"/>
        <w:ind w:left="720"/>
        <w:jc w:val="both"/>
        <w:rPr>
          <w:kern w:val="28"/>
          <w:szCs w:val="24"/>
          <w:lang w:val="en-CA"/>
        </w:rPr>
      </w:pPr>
      <w:r w:rsidRPr="000A0EA1">
        <w:rPr>
          <w:kern w:val="28"/>
          <w:szCs w:val="24"/>
          <w:lang w:val="en-CA"/>
        </w:rPr>
        <w:t>(a)</w:t>
      </w:r>
      <w:r w:rsidRPr="000A0EA1">
        <w:rPr>
          <w:kern w:val="28"/>
          <w:szCs w:val="24"/>
          <w:lang w:val="en-CA"/>
        </w:rPr>
        <w:tab/>
        <w:t>8 to 17 parent representatives who are parents of students attending an institution under the school service centre</w:t>
      </w:r>
      <w:r w:rsidR="00E46AFD">
        <w:rPr>
          <w:kern w:val="28"/>
          <w:szCs w:val="24"/>
          <w:lang w:val="en-CA"/>
        </w:rPr>
        <w:t>’</w:t>
      </w:r>
      <w:r w:rsidRPr="000A0EA1">
        <w:rPr>
          <w:kern w:val="28"/>
          <w:szCs w:val="24"/>
          <w:lang w:val="en-CA"/>
        </w:rPr>
        <w:t>s jurisdiction, who are not members of the centre</w:t>
      </w:r>
      <w:r w:rsidR="00E46AFD">
        <w:rPr>
          <w:kern w:val="28"/>
          <w:szCs w:val="24"/>
          <w:lang w:val="en-CA"/>
        </w:rPr>
        <w:t>’</w:t>
      </w:r>
      <w:r w:rsidRPr="000A0EA1">
        <w:rPr>
          <w:kern w:val="28"/>
          <w:szCs w:val="24"/>
          <w:lang w:val="en-CA"/>
        </w:rPr>
        <w:t>s staff and who sit as parent representatives on the governing board of a school;</w:t>
      </w:r>
      <w:r w:rsidRPr="000A0EA1">
        <w:rPr>
          <w:rStyle w:val="Appelnotedebasdep"/>
          <w:kern w:val="28"/>
          <w:szCs w:val="24"/>
          <w:lang w:val="en-CA"/>
        </w:rPr>
        <w:footnoteReference w:id="46"/>
      </w:r>
      <w:r w:rsidRPr="000A0EA1">
        <w:rPr>
          <w:kern w:val="28"/>
          <w:szCs w:val="24"/>
          <w:lang w:val="en-CA"/>
        </w:rPr>
        <w:t xml:space="preserve"> each parent representative is </w:t>
      </w:r>
      <w:bookmarkStart w:id="27" w:name="_Hlk188025331"/>
      <w:r w:rsidRPr="000A0EA1">
        <w:rPr>
          <w:kern w:val="28"/>
          <w:szCs w:val="24"/>
          <w:lang w:val="en-CA"/>
        </w:rPr>
        <w:t xml:space="preserve">elected by universal suffrage of the </w:t>
      </w:r>
      <w:r w:rsidRPr="000A0EA1">
        <w:rPr>
          <w:kern w:val="28"/>
          <w:szCs w:val="24"/>
          <w:lang w:val="en-CA"/>
        </w:rPr>
        <w:lastRenderedPageBreak/>
        <w:t xml:space="preserve">electors </w:t>
      </w:r>
      <w:bookmarkEnd w:id="27"/>
      <w:r w:rsidRPr="000A0EA1">
        <w:rPr>
          <w:kern w:val="28"/>
          <w:szCs w:val="24"/>
          <w:lang w:val="en-CA"/>
        </w:rPr>
        <w:t>in the territory of the electoral division concerned, which is established for this purpose on the territory of the school service centre;</w:t>
      </w:r>
      <w:r w:rsidRPr="000A0EA1">
        <w:rPr>
          <w:kern w:val="28"/>
          <w:szCs w:val="24"/>
          <w:vertAlign w:val="superscript"/>
          <w:lang w:val="en-CA"/>
        </w:rPr>
        <w:footnoteReference w:id="47"/>
      </w:r>
    </w:p>
    <w:p w14:paraId="17F5F245" w14:textId="4322B87C" w:rsidR="00F75613" w:rsidRPr="000A0EA1" w:rsidRDefault="00B02E00" w:rsidP="00B255B8">
      <w:pPr>
        <w:spacing w:before="120" w:after="120" w:line="240" w:lineRule="auto"/>
        <w:ind w:left="720"/>
        <w:jc w:val="both"/>
        <w:rPr>
          <w:kern w:val="28"/>
          <w:szCs w:val="24"/>
          <w:lang w:val="en-CA"/>
        </w:rPr>
      </w:pPr>
      <w:r w:rsidRPr="000A0EA1">
        <w:rPr>
          <w:kern w:val="28"/>
          <w:szCs w:val="24"/>
          <w:lang w:val="en-CA"/>
        </w:rPr>
        <w:t>(b)</w:t>
      </w:r>
      <w:r w:rsidRPr="000A0EA1">
        <w:rPr>
          <w:kern w:val="28"/>
          <w:szCs w:val="24"/>
          <w:lang w:val="en-CA"/>
        </w:rPr>
        <w:tab/>
      </w:r>
      <w:bookmarkStart w:id="29" w:name="_Hlk188026196"/>
      <w:r w:rsidRPr="000A0EA1">
        <w:rPr>
          <w:kern w:val="28"/>
          <w:szCs w:val="24"/>
          <w:lang w:val="en-CA"/>
        </w:rPr>
        <w:t>4 to 13</w:t>
      </w:r>
      <w:r w:rsidRPr="000A0EA1">
        <w:rPr>
          <w:rStyle w:val="Appelnotedebasdep"/>
          <w:kern w:val="28"/>
          <w:szCs w:val="24"/>
          <w:lang w:val="en-CA"/>
        </w:rPr>
        <w:footnoteReference w:id="48"/>
      </w:r>
      <w:r w:rsidRPr="000A0EA1">
        <w:rPr>
          <w:kern w:val="28"/>
          <w:szCs w:val="24"/>
          <w:lang w:val="en-CA"/>
        </w:rPr>
        <w:t xml:space="preserve"> community representatives </w:t>
      </w:r>
      <w:bookmarkEnd w:id="29"/>
      <w:r w:rsidRPr="000A0EA1">
        <w:rPr>
          <w:kern w:val="28"/>
          <w:szCs w:val="24"/>
          <w:lang w:val="en-CA"/>
        </w:rPr>
        <w:t>who are domiciled in the school service centre</w:t>
      </w:r>
      <w:r w:rsidR="00E46AFD">
        <w:rPr>
          <w:kern w:val="28"/>
          <w:szCs w:val="24"/>
          <w:lang w:val="en-CA"/>
        </w:rPr>
        <w:t>’</w:t>
      </w:r>
      <w:r w:rsidRPr="000A0EA1">
        <w:rPr>
          <w:kern w:val="28"/>
          <w:szCs w:val="24"/>
          <w:lang w:val="en-CA"/>
        </w:rPr>
        <w:t>s territory, who are not members of the school service centre</w:t>
      </w:r>
      <w:r w:rsidR="00E46AFD">
        <w:rPr>
          <w:kern w:val="28"/>
          <w:szCs w:val="24"/>
          <w:lang w:val="en-CA"/>
        </w:rPr>
        <w:t>’</w:t>
      </w:r>
      <w:r w:rsidRPr="000A0EA1">
        <w:rPr>
          <w:kern w:val="28"/>
          <w:szCs w:val="24"/>
          <w:lang w:val="en-CA"/>
        </w:rPr>
        <w:t xml:space="preserve">s staff, and who satisfy certain specific expertise profiles, namely: </w:t>
      </w:r>
      <w:r w:rsidR="00E46AFD">
        <w:rPr>
          <w:kern w:val="28"/>
          <w:szCs w:val="24"/>
          <w:lang w:val="en-CA"/>
        </w:rPr>
        <w:t>“</w:t>
      </w:r>
      <w:r w:rsidRPr="000A0EA1">
        <w:rPr>
          <w:i/>
          <w:iCs/>
          <w:kern w:val="28"/>
          <w:szCs w:val="24"/>
          <w:lang w:val="en-CA"/>
        </w:rPr>
        <w:t>(a)</w:t>
      </w:r>
      <w:r w:rsidRPr="000A0EA1">
        <w:rPr>
          <w:kern w:val="28"/>
          <w:szCs w:val="24"/>
          <w:lang w:val="en-CA"/>
        </w:rPr>
        <w:t xml:space="preserve"> at least one person with expertise in governance, in ethics, in risk management or in human resources management; </w:t>
      </w:r>
      <w:r w:rsidRPr="000A0EA1">
        <w:rPr>
          <w:i/>
          <w:iCs/>
          <w:kern w:val="28"/>
          <w:szCs w:val="24"/>
          <w:lang w:val="en-CA"/>
        </w:rPr>
        <w:t>(b</w:t>
      </w:r>
      <w:r w:rsidRPr="000A0EA1">
        <w:rPr>
          <w:kern w:val="28"/>
          <w:szCs w:val="24"/>
          <w:lang w:val="en-CA"/>
        </w:rPr>
        <w:t xml:space="preserve">) at least one person with expertise in finance or accounting or in financial or physical resources management; </w:t>
      </w:r>
      <w:r w:rsidRPr="000A0EA1">
        <w:rPr>
          <w:i/>
          <w:iCs/>
          <w:kern w:val="28"/>
          <w:szCs w:val="24"/>
          <w:lang w:val="en-CA"/>
        </w:rPr>
        <w:t>(c</w:t>
      </w:r>
      <w:r w:rsidRPr="000A0EA1">
        <w:rPr>
          <w:kern w:val="28"/>
          <w:szCs w:val="24"/>
          <w:lang w:val="en-CA"/>
        </w:rPr>
        <w:t xml:space="preserve">) at least one person from the community, municipal, sport, cultural, health, social services or business sector; and </w:t>
      </w:r>
      <w:r w:rsidRPr="000A0EA1">
        <w:rPr>
          <w:i/>
          <w:iCs/>
          <w:kern w:val="28"/>
          <w:szCs w:val="24"/>
          <w:lang w:val="en-CA"/>
        </w:rPr>
        <w:t>(d</w:t>
      </w:r>
      <w:r w:rsidRPr="000A0EA1">
        <w:rPr>
          <w:kern w:val="28"/>
          <w:szCs w:val="24"/>
          <w:lang w:val="en-CA"/>
        </w:rPr>
        <w:t>) at least one person aged 18 to 35</w:t>
      </w:r>
      <w:r w:rsidR="00E46AFD">
        <w:rPr>
          <w:kern w:val="28"/>
          <w:szCs w:val="24"/>
          <w:lang w:val="en-CA"/>
        </w:rPr>
        <w:t>”</w:t>
      </w:r>
      <w:r w:rsidRPr="000A0EA1">
        <w:rPr>
          <w:kern w:val="28"/>
          <w:szCs w:val="24"/>
          <w:lang w:val="en-CA"/>
        </w:rPr>
        <w:t>;</w:t>
      </w:r>
      <w:r w:rsidRPr="000A0EA1">
        <w:rPr>
          <w:kern w:val="28"/>
          <w:szCs w:val="24"/>
          <w:vertAlign w:val="superscript"/>
          <w:lang w:val="en-CA"/>
        </w:rPr>
        <w:footnoteReference w:id="49"/>
      </w:r>
      <w:r w:rsidRPr="000A0EA1">
        <w:rPr>
          <w:kern w:val="28"/>
          <w:szCs w:val="24"/>
          <w:lang w:val="en-CA"/>
        </w:rPr>
        <w:t xml:space="preserve"> these members are elected by universal suffrage of the electors in the entire territory of the school service centre;</w:t>
      </w:r>
      <w:r w:rsidRPr="000A0EA1">
        <w:rPr>
          <w:kern w:val="28"/>
          <w:szCs w:val="24"/>
          <w:vertAlign w:val="superscript"/>
          <w:lang w:val="en-CA"/>
        </w:rPr>
        <w:footnoteReference w:id="50"/>
      </w:r>
      <w:r w:rsidRPr="000A0EA1">
        <w:rPr>
          <w:kern w:val="28"/>
          <w:szCs w:val="24"/>
          <w:lang w:val="en-CA"/>
        </w:rPr>
        <w:t xml:space="preserve"> and </w:t>
      </w:r>
    </w:p>
    <w:p w14:paraId="17F5F246" w14:textId="624F9BA7" w:rsidR="00F75613" w:rsidRPr="000A0EA1" w:rsidRDefault="00B02E00" w:rsidP="00B255B8">
      <w:pPr>
        <w:spacing w:before="120" w:after="120" w:line="240" w:lineRule="auto"/>
        <w:ind w:left="720"/>
        <w:jc w:val="both"/>
        <w:rPr>
          <w:kern w:val="28"/>
          <w:szCs w:val="24"/>
          <w:lang w:val="en-CA"/>
        </w:rPr>
      </w:pPr>
      <w:r w:rsidRPr="000A0EA1">
        <w:rPr>
          <w:kern w:val="28"/>
          <w:szCs w:val="24"/>
          <w:lang w:val="en-CA"/>
        </w:rPr>
        <w:t>(c)</w:t>
      </w:r>
      <w:r w:rsidRPr="000A0EA1">
        <w:rPr>
          <w:kern w:val="28"/>
          <w:szCs w:val="24"/>
          <w:lang w:val="en-CA"/>
        </w:rPr>
        <w:tab/>
        <w:t>four members of the school service centre</w:t>
      </w:r>
      <w:r w:rsidR="00E46AFD">
        <w:rPr>
          <w:kern w:val="28"/>
          <w:szCs w:val="24"/>
          <w:lang w:val="en-CA"/>
        </w:rPr>
        <w:t>’</w:t>
      </w:r>
      <w:r w:rsidRPr="000A0EA1">
        <w:rPr>
          <w:kern w:val="28"/>
          <w:szCs w:val="24"/>
          <w:lang w:val="en-CA"/>
        </w:rPr>
        <w:t>s staff designated by and from various categories of employees of the centre, in accordance with the terms determined by the centre</w:t>
      </w:r>
      <w:r w:rsidR="00E46AFD">
        <w:rPr>
          <w:kern w:val="28"/>
          <w:szCs w:val="24"/>
          <w:lang w:val="en-CA"/>
        </w:rPr>
        <w:t>’</w:t>
      </w:r>
      <w:r w:rsidRPr="000A0EA1">
        <w:rPr>
          <w:kern w:val="28"/>
          <w:szCs w:val="24"/>
          <w:lang w:val="en-CA"/>
        </w:rPr>
        <w:t>s director general.</w:t>
      </w:r>
      <w:r w:rsidRPr="000A0EA1">
        <w:rPr>
          <w:kern w:val="28"/>
          <w:szCs w:val="24"/>
          <w:vertAlign w:val="superscript"/>
          <w:lang w:val="en-CA"/>
        </w:rPr>
        <w:footnoteReference w:id="51"/>
      </w:r>
    </w:p>
    <w:p w14:paraId="17F5F247" w14:textId="75258130" w:rsidR="00F75613" w:rsidRPr="000A0EA1" w:rsidRDefault="00B02E00" w:rsidP="00B255B8">
      <w:pPr>
        <w:pStyle w:val="Paragraphe"/>
        <w:spacing w:line="240" w:lineRule="auto"/>
        <w:rPr>
          <w:lang w:val="en-CA"/>
        </w:rPr>
      </w:pPr>
      <w:r w:rsidRPr="000A0EA1">
        <w:rPr>
          <w:lang w:val="en-CA"/>
        </w:rPr>
        <w:t>It should be noted that the executive committee of the council of commissioners is abolished, correspondingly reducing the involvement of board of directors members in the management of the school service centre, and also reducing the number of meetings involving members of the board</w:t>
      </w:r>
      <w:r w:rsidR="00DC35EC">
        <w:rPr>
          <w:lang w:val="en-CA"/>
        </w:rPr>
        <w:t xml:space="preserve"> of directors</w:t>
      </w:r>
      <w:r w:rsidR="00BD3602">
        <w:rPr>
          <w:lang w:val="en-CA"/>
        </w:rPr>
        <w:t>.</w:t>
      </w:r>
      <w:r w:rsidRPr="000A0EA1">
        <w:rPr>
          <w:rStyle w:val="Appelnotedebasdep"/>
          <w:lang w:val="en-CA"/>
        </w:rPr>
        <w:footnoteReference w:id="52"/>
      </w:r>
      <w:r w:rsidRPr="000A0EA1">
        <w:rPr>
          <w:lang w:val="en-CA"/>
        </w:rPr>
        <w:t xml:space="preserve"> In addition, the positions of chair and vice-chair of the board of directors are now reserved for members who are parents of students enrolled at an educational institution of the school service centre.</w:t>
      </w:r>
      <w:r w:rsidRPr="000A0EA1">
        <w:rPr>
          <w:rStyle w:val="Appelnotedebasdep"/>
          <w:lang w:val="en-CA"/>
        </w:rPr>
        <w:footnoteReference w:id="53"/>
      </w:r>
    </w:p>
    <w:p w14:paraId="17F5F248" w14:textId="60E07F05" w:rsidR="00F75613" w:rsidRPr="000A0EA1" w:rsidRDefault="00201837" w:rsidP="00B255B8">
      <w:pPr>
        <w:pStyle w:val="Paragraphe"/>
        <w:spacing w:line="240" w:lineRule="auto"/>
        <w:rPr>
          <w:lang w:val="en-CA"/>
        </w:rPr>
      </w:pPr>
      <w:r>
        <w:rPr>
          <w:lang w:val="en-CA"/>
        </w:rPr>
        <w:t>The members of the board of directors</w:t>
      </w:r>
      <w:r w:rsidR="00B02E00" w:rsidRPr="000A0EA1">
        <w:rPr>
          <w:lang w:val="en-CA"/>
        </w:rPr>
        <w:t xml:space="preserve"> are not entitled to remuneration, as was previously the case for elected commissioners. They now receive an attendance allowance for taking part in a board of directors meeting.</w:t>
      </w:r>
      <w:r w:rsidR="00B02E00" w:rsidRPr="000A0EA1">
        <w:rPr>
          <w:rStyle w:val="Appelnotedebasdep"/>
          <w:lang w:val="en-CA"/>
        </w:rPr>
        <w:footnoteReference w:id="54"/>
      </w:r>
      <w:r w:rsidR="00B02E00" w:rsidRPr="000A0EA1">
        <w:rPr>
          <w:lang w:val="en-CA"/>
        </w:rPr>
        <w:t xml:space="preserve"> The value of the latter results in a significant reduction in compensation compared with the previous remuneration.</w:t>
      </w:r>
    </w:p>
    <w:p w14:paraId="17F5F249" w14:textId="32D8B6FA" w:rsidR="00F75613" w:rsidRPr="000A0EA1" w:rsidRDefault="00B02E00" w:rsidP="00B255B8">
      <w:pPr>
        <w:pStyle w:val="Paragraphe"/>
        <w:spacing w:line="240" w:lineRule="auto"/>
        <w:rPr>
          <w:lang w:val="en-CA"/>
        </w:rPr>
      </w:pPr>
      <w:r w:rsidRPr="000A0EA1">
        <w:rPr>
          <w:lang w:val="en-CA"/>
        </w:rPr>
        <w:lastRenderedPageBreak/>
        <w:t>The function of spokesperson, which used to be entrusted to the school board chair, now belongs to the director general of the school service centre.</w:t>
      </w:r>
      <w:r w:rsidRPr="000A0EA1">
        <w:rPr>
          <w:rStyle w:val="Appelnotedebasdep"/>
          <w:lang w:val="en-CA"/>
        </w:rPr>
        <w:footnoteReference w:id="55"/>
      </w:r>
      <w:r w:rsidRPr="000A0EA1">
        <w:rPr>
          <w:lang w:val="en-CA"/>
        </w:rPr>
        <w:t xml:space="preserve"> In addition, a new employee committee, referred to as the commitment-to-student-success committee, has been created, with the primary mission of establishing and proposing the school service centre</w:t>
      </w:r>
      <w:r w:rsidR="00E46AFD">
        <w:rPr>
          <w:lang w:val="en-CA"/>
        </w:rPr>
        <w:t>’</w:t>
      </w:r>
      <w:r w:rsidRPr="000A0EA1">
        <w:rPr>
          <w:lang w:val="en-CA"/>
        </w:rPr>
        <w:t>s policy directions, objectives and targets, which were previously the sole responsibility of the council of commissioners.</w:t>
      </w:r>
      <w:r w:rsidRPr="000A0EA1">
        <w:rPr>
          <w:rStyle w:val="Appelnotedebasdep"/>
          <w:lang w:val="en-CA"/>
        </w:rPr>
        <w:footnoteReference w:id="56"/>
      </w:r>
    </w:p>
    <w:p w14:paraId="17F5F24A" w14:textId="12AD738A"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new role and mission of school service centres contrasts with the Minister</w:t>
      </w:r>
      <w:r w:rsidR="00E46AFD">
        <w:rPr>
          <w:kern w:val="28"/>
          <w:lang w:val="en-CA"/>
        </w:rPr>
        <w:t>’</w:t>
      </w:r>
      <w:r w:rsidRPr="000A0EA1">
        <w:rPr>
          <w:kern w:val="28"/>
          <w:lang w:val="en-CA"/>
        </w:rPr>
        <w:t xml:space="preserve">s increased powers. These powers accumulated over the years that followed the replacement of denominational school boards with linguistic school boards. </w:t>
      </w:r>
      <w:r w:rsidR="00C33BBC">
        <w:rPr>
          <w:i/>
          <w:iCs/>
          <w:kern w:val="28"/>
          <w:lang w:val="en-CA"/>
        </w:rPr>
        <w:t>Bill 40</w:t>
      </w:r>
      <w:r w:rsidRPr="000A0EA1">
        <w:rPr>
          <w:kern w:val="28"/>
          <w:lang w:val="en-CA"/>
        </w:rPr>
        <w:t xml:space="preserve"> continues in this vein by further expanding these ministerial powers with regard to the new school service centres – powers that, in fact, increased considerably once again through legislation passed since </w:t>
      </w:r>
      <w:r w:rsidR="00C33BBC">
        <w:rPr>
          <w:i/>
          <w:iCs/>
          <w:kern w:val="28"/>
          <w:lang w:val="en-CA"/>
        </w:rPr>
        <w:t>Bill 40</w:t>
      </w:r>
      <w:r w:rsidRPr="000A0EA1">
        <w:rPr>
          <w:kern w:val="28"/>
          <w:lang w:val="en-CA"/>
        </w:rPr>
        <w:t>.</w:t>
      </w:r>
      <w:r w:rsidRPr="000A0EA1">
        <w:rPr>
          <w:rStyle w:val="cf01"/>
          <w:lang w:val="en-CA"/>
        </w:rPr>
        <w:t xml:space="preserve"> </w:t>
      </w:r>
      <w:r w:rsidRPr="000A0EA1">
        <w:rPr>
          <w:kern w:val="28"/>
          <w:lang w:val="en-CA"/>
        </w:rPr>
        <w:t>Here are but a few examples, among several:</w:t>
      </w:r>
    </w:p>
    <w:p w14:paraId="17F5F24B" w14:textId="1047842F"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since 2009, the Minister may determine, for all school boards or based on the situation of one or certain school boards, policy directions, objectives or targets they must take into account in preparing their commitment-to-success plans:</w:t>
      </w:r>
      <w:r w:rsidR="00456C06">
        <w:rPr>
          <w:kern w:val="28"/>
          <w:lang w:val="en-CA"/>
        </w:rPr>
        <w:t> </w:t>
      </w:r>
      <w:r w:rsidR="0062160E">
        <w:rPr>
          <w:kern w:val="28"/>
          <w:lang w:val="en-CA"/>
        </w:rPr>
        <w:t>s. 4</w:t>
      </w:r>
      <w:r w:rsidRPr="000A0EA1">
        <w:rPr>
          <w:kern w:val="28"/>
          <w:lang w:val="en-CA"/>
        </w:rPr>
        <w:t xml:space="preserve">59.2 of the </w:t>
      </w:r>
      <w:r w:rsidRPr="000A0EA1">
        <w:rPr>
          <w:i/>
          <w:iCs/>
          <w:kern w:val="28"/>
          <w:lang w:val="en-CA"/>
        </w:rPr>
        <w:t>EA</w:t>
      </w:r>
      <w:r w:rsidRPr="000A0EA1">
        <w:rPr>
          <w:kern w:val="28"/>
          <w:lang w:val="en-CA"/>
        </w:rPr>
        <w:t>;</w:t>
      </w:r>
    </w:p>
    <w:p w14:paraId="17F5F24C" w14:textId="18A974D7"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 xml:space="preserve">since 2016, the Minister may issue directives to a school board concerning its administration, organization, operation and actions: </w:t>
      </w:r>
      <w:r w:rsidR="0062160E">
        <w:rPr>
          <w:kern w:val="28"/>
          <w:lang w:val="en-CA"/>
        </w:rPr>
        <w:t>s. 4</w:t>
      </w:r>
      <w:r w:rsidRPr="000A0EA1">
        <w:rPr>
          <w:kern w:val="28"/>
          <w:lang w:val="en-CA"/>
        </w:rPr>
        <w:t xml:space="preserve">59.6 of the </w:t>
      </w:r>
      <w:r w:rsidRPr="000A0EA1">
        <w:rPr>
          <w:i/>
          <w:iCs/>
          <w:kern w:val="28"/>
          <w:lang w:val="en-CA"/>
        </w:rPr>
        <w:t>EA</w:t>
      </w:r>
      <w:r w:rsidRPr="000A0EA1">
        <w:rPr>
          <w:kern w:val="28"/>
          <w:lang w:val="en-CA"/>
        </w:rPr>
        <w:t xml:space="preserve">; </w:t>
      </w:r>
    </w:p>
    <w:p w14:paraId="17F5F24D" w14:textId="280C840E"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since 2018, the Minister may, for any school board, prescribe terms governing the coordination of the strategic planning process between the educational institutions, the school board and the department; he may also order a school board to defer publication of its commitment-to-success plan or amend it so as, on the one hand, to harmonize the period covered by the plan with that covered by the department</w:t>
      </w:r>
      <w:r w:rsidR="00E46AFD">
        <w:rPr>
          <w:kern w:val="28"/>
          <w:lang w:val="en-CA"/>
        </w:rPr>
        <w:t>’</w:t>
      </w:r>
      <w:r w:rsidRPr="000A0EA1">
        <w:rPr>
          <w:kern w:val="28"/>
          <w:lang w:val="en-CA"/>
        </w:rPr>
        <w:t>s strategic plan in accordance with any terms prescribed and, on the other hand, to ensure that the plan is consistent with the strategic directions and objectives of the department</w:t>
      </w:r>
      <w:r w:rsidR="00E46AFD">
        <w:rPr>
          <w:kern w:val="28"/>
          <w:lang w:val="en-CA"/>
        </w:rPr>
        <w:t>’</w:t>
      </w:r>
      <w:r w:rsidRPr="000A0EA1">
        <w:rPr>
          <w:kern w:val="28"/>
          <w:lang w:val="en-CA"/>
        </w:rPr>
        <w:t xml:space="preserve">s strategic plan: </w:t>
      </w:r>
      <w:r w:rsidR="0062160E">
        <w:rPr>
          <w:kern w:val="28"/>
          <w:lang w:val="en-CA"/>
        </w:rPr>
        <w:t>s. 4</w:t>
      </w:r>
      <w:r w:rsidRPr="000A0EA1">
        <w:rPr>
          <w:kern w:val="28"/>
          <w:lang w:val="en-CA"/>
        </w:rPr>
        <w:t xml:space="preserve">59.3 of the </w:t>
      </w:r>
      <w:r w:rsidRPr="000A0EA1">
        <w:rPr>
          <w:i/>
          <w:iCs/>
          <w:kern w:val="28"/>
          <w:lang w:val="en-CA"/>
        </w:rPr>
        <w:t>EA</w:t>
      </w:r>
      <w:r w:rsidRPr="000A0EA1">
        <w:rPr>
          <w:kern w:val="28"/>
          <w:lang w:val="en-CA"/>
        </w:rPr>
        <w:t>;</w:t>
      </w:r>
    </w:p>
    <w:p w14:paraId="17F5F24E" w14:textId="04E797A8"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since 2020 (</w:t>
      </w:r>
      <w:r w:rsidR="00FE6956">
        <w:rPr>
          <w:kern w:val="28"/>
          <w:lang w:val="en-CA"/>
        </w:rPr>
        <w:t xml:space="preserve">i.e., </w:t>
      </w:r>
      <w:r w:rsidR="00933318">
        <w:rPr>
          <w:kern w:val="28"/>
          <w:lang w:val="en-CA"/>
        </w:rPr>
        <w:t>with the enactment of</w:t>
      </w:r>
      <w:r w:rsidR="00A36E70">
        <w:rPr>
          <w:kern w:val="28"/>
          <w:lang w:val="en-CA"/>
        </w:rPr>
        <w:t xml:space="preserve"> </w:t>
      </w:r>
      <w:r w:rsidR="00C33BBC">
        <w:rPr>
          <w:i/>
          <w:iCs/>
          <w:kern w:val="28"/>
          <w:lang w:val="en-CA"/>
        </w:rPr>
        <w:t>Bill 40</w:t>
      </w:r>
      <w:r w:rsidRPr="000A0EA1">
        <w:rPr>
          <w:kern w:val="28"/>
          <w:lang w:val="en-CA"/>
        </w:rPr>
        <w:t xml:space="preserve">), </w:t>
      </w:r>
      <w:bookmarkStart w:id="30" w:name="_Hlk189232859"/>
      <w:r w:rsidRPr="000A0EA1">
        <w:rPr>
          <w:kern w:val="28"/>
          <w:lang w:val="en-CA"/>
        </w:rPr>
        <w:t xml:space="preserve">the Minister </w:t>
      </w:r>
      <w:r w:rsidR="00B43100">
        <w:rPr>
          <w:kern w:val="28"/>
          <w:lang w:val="en-CA"/>
        </w:rPr>
        <w:t xml:space="preserve">may </w:t>
      </w:r>
      <w:r w:rsidRPr="000A0EA1">
        <w:rPr>
          <w:kern w:val="28"/>
          <w:lang w:val="en-CA"/>
        </w:rPr>
        <w:t>determine, for all the school service centres or even for one of them, objectives or targets relating to their administration, organization or operation:</w:t>
      </w:r>
      <w:bookmarkEnd w:id="30"/>
      <w:r w:rsidRPr="000A0EA1">
        <w:rPr>
          <w:kern w:val="28"/>
          <w:lang w:val="en-CA"/>
        </w:rPr>
        <w:t xml:space="preserve"> </w:t>
      </w:r>
      <w:r w:rsidR="0062160E">
        <w:rPr>
          <w:kern w:val="28"/>
          <w:lang w:val="en-CA"/>
        </w:rPr>
        <w:t>s. 4</w:t>
      </w:r>
      <w:r w:rsidRPr="000A0EA1">
        <w:rPr>
          <w:kern w:val="28"/>
          <w:lang w:val="en-CA"/>
        </w:rPr>
        <w:t xml:space="preserve">59.5.4 of the </w:t>
      </w:r>
      <w:r w:rsidRPr="000A0EA1">
        <w:rPr>
          <w:i/>
          <w:iCs/>
          <w:kern w:val="28"/>
          <w:lang w:val="en-CA"/>
        </w:rPr>
        <w:t>EA</w:t>
      </w:r>
      <w:r w:rsidRPr="000A0EA1">
        <w:rPr>
          <w:kern w:val="28"/>
          <w:lang w:val="en-CA"/>
        </w:rPr>
        <w:t>;</w:t>
      </w:r>
    </w:p>
    <w:p w14:paraId="17F5F24F" w14:textId="53BAAC1F"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since 2020 as well (</w:t>
      </w:r>
      <w:r w:rsidR="00BC2A6E">
        <w:rPr>
          <w:kern w:val="28"/>
          <w:lang w:val="en-CA"/>
        </w:rPr>
        <w:t xml:space="preserve">i.e., </w:t>
      </w:r>
      <w:r w:rsidR="00933318">
        <w:rPr>
          <w:kern w:val="28"/>
          <w:lang w:val="en-CA"/>
        </w:rPr>
        <w:t>with the enactment of</w:t>
      </w:r>
      <w:r w:rsidR="00A36E70">
        <w:rPr>
          <w:kern w:val="28"/>
          <w:lang w:val="en-CA"/>
        </w:rPr>
        <w:t xml:space="preserve"> </w:t>
      </w:r>
      <w:r w:rsidR="00C33BBC">
        <w:rPr>
          <w:i/>
          <w:iCs/>
          <w:kern w:val="28"/>
          <w:lang w:val="en-CA"/>
        </w:rPr>
        <w:t>Bill 40</w:t>
      </w:r>
      <w:r w:rsidRPr="000A0EA1">
        <w:rPr>
          <w:kern w:val="28"/>
          <w:lang w:val="en-CA"/>
        </w:rPr>
        <w:t xml:space="preserve">), the </w:t>
      </w:r>
      <w:bookmarkStart w:id="31" w:name="_Hlk189230551"/>
      <w:r w:rsidRPr="000A0EA1">
        <w:rPr>
          <w:kern w:val="28"/>
          <w:lang w:val="en-CA"/>
        </w:rPr>
        <w:t>Minister may require that a service centre share its resources or services, especially administrative resources and services, with another school service centre, or even with another public body, including a municipality:</w:t>
      </w:r>
      <w:bookmarkEnd w:id="31"/>
      <w:r w:rsidRPr="000A0EA1">
        <w:rPr>
          <w:kern w:val="28"/>
          <w:lang w:val="en-CA"/>
        </w:rPr>
        <w:t xml:space="preserve"> </w:t>
      </w:r>
      <w:r w:rsidR="0062160E">
        <w:rPr>
          <w:kern w:val="28"/>
          <w:lang w:val="en-CA"/>
        </w:rPr>
        <w:t>s. 2</w:t>
      </w:r>
      <w:r w:rsidRPr="000A0EA1">
        <w:rPr>
          <w:kern w:val="28"/>
          <w:lang w:val="en-CA"/>
        </w:rPr>
        <w:t xml:space="preserve">15.2 of the </w:t>
      </w:r>
      <w:r w:rsidRPr="000A0EA1">
        <w:rPr>
          <w:i/>
          <w:iCs/>
          <w:kern w:val="28"/>
          <w:lang w:val="en-CA"/>
        </w:rPr>
        <w:t>EA</w:t>
      </w:r>
      <w:r w:rsidRPr="000A0EA1">
        <w:rPr>
          <w:kern w:val="28"/>
          <w:lang w:val="en-CA"/>
        </w:rPr>
        <w:t>;</w:t>
      </w:r>
    </w:p>
    <w:p w14:paraId="17F5F250" w14:textId="2A038966"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 xml:space="preserve">since 2023 (i.e., </w:t>
      </w:r>
      <w:r w:rsidR="00A36E70">
        <w:rPr>
          <w:kern w:val="28"/>
          <w:lang w:val="en-CA"/>
        </w:rPr>
        <w:t>after</w:t>
      </w:r>
      <w:r w:rsidR="00BD4894">
        <w:rPr>
          <w:kern w:val="28"/>
          <w:lang w:val="en-CA"/>
        </w:rPr>
        <w:t xml:space="preserve"> </w:t>
      </w:r>
      <w:r w:rsidR="00C33BBC">
        <w:rPr>
          <w:i/>
          <w:iCs/>
          <w:kern w:val="28"/>
          <w:lang w:val="en-CA"/>
        </w:rPr>
        <w:t>Bill 40</w:t>
      </w:r>
      <w:r w:rsidRPr="000A0EA1">
        <w:rPr>
          <w:kern w:val="28"/>
          <w:lang w:val="en-CA"/>
        </w:rPr>
        <w:t xml:space="preserve"> was </w:t>
      </w:r>
      <w:r w:rsidR="00933318">
        <w:rPr>
          <w:kern w:val="28"/>
          <w:lang w:val="en-CA"/>
        </w:rPr>
        <w:t>enacted</w:t>
      </w:r>
      <w:r w:rsidRPr="000A0EA1">
        <w:rPr>
          <w:kern w:val="28"/>
          <w:lang w:val="en-CA"/>
        </w:rPr>
        <w:t xml:space="preserve">), the Minister may annul any decision by a school service centre that he considers not to be consistent with the targets, </w:t>
      </w:r>
      <w:r w:rsidRPr="000A0EA1">
        <w:rPr>
          <w:kern w:val="28"/>
          <w:lang w:val="en-CA"/>
        </w:rPr>
        <w:lastRenderedPageBreak/>
        <w:t xml:space="preserve">objectives, policy directions or directives he has established; he may then make the decision that, in his opinion, ought to have been made in the first place. The same principle applies where the Minister is of the opinion that the centre should make a decision to ensure that it complies with the targets, objectives, policy directions and directives he has established: </w:t>
      </w:r>
      <w:r w:rsidR="0062160E">
        <w:rPr>
          <w:kern w:val="28"/>
          <w:lang w:val="en-CA"/>
        </w:rPr>
        <w:t>s. 4</w:t>
      </w:r>
      <w:r w:rsidRPr="000A0EA1">
        <w:rPr>
          <w:kern w:val="28"/>
          <w:lang w:val="en-CA"/>
        </w:rPr>
        <w:t xml:space="preserve">59.7 of the </w:t>
      </w:r>
      <w:r w:rsidRPr="000A0EA1">
        <w:rPr>
          <w:i/>
          <w:iCs/>
          <w:kern w:val="28"/>
          <w:lang w:val="en-CA"/>
        </w:rPr>
        <w:t>EA</w:t>
      </w:r>
      <w:r w:rsidRPr="000A0EA1">
        <w:rPr>
          <w:kern w:val="28"/>
          <w:lang w:val="en-CA"/>
        </w:rPr>
        <w:t>;</w:t>
      </w:r>
      <w:bookmarkStart w:id="32" w:name="_Hlk188080205"/>
      <w:r w:rsidRPr="000A0EA1">
        <w:rPr>
          <w:rStyle w:val="Appelnotedebasdep"/>
          <w:kern w:val="28"/>
          <w:lang w:val="en-CA"/>
        </w:rPr>
        <w:footnoteReference w:id="57"/>
      </w:r>
    </w:p>
    <w:bookmarkEnd w:id="32"/>
    <w:p w14:paraId="17F5F251" w14:textId="45CB84A5" w:rsidR="00F75613" w:rsidRPr="000A0EA1" w:rsidRDefault="00B02E00" w:rsidP="00B255B8">
      <w:pPr>
        <w:numPr>
          <w:ilvl w:val="0"/>
          <w:numId w:val="4"/>
        </w:numPr>
        <w:spacing w:before="120" w:after="120" w:line="240" w:lineRule="auto"/>
        <w:ind w:left="714" w:hanging="357"/>
        <w:jc w:val="both"/>
        <w:rPr>
          <w:kern w:val="28"/>
          <w:lang w:val="en-CA"/>
        </w:rPr>
      </w:pPr>
      <w:r w:rsidRPr="000A0EA1">
        <w:rPr>
          <w:kern w:val="28"/>
          <w:lang w:val="en-CA"/>
        </w:rPr>
        <w:t xml:space="preserve">still since 2023 (i.e., after </w:t>
      </w:r>
      <w:r w:rsidR="00C33BBC">
        <w:rPr>
          <w:i/>
          <w:iCs/>
          <w:kern w:val="28"/>
          <w:lang w:val="en-CA"/>
        </w:rPr>
        <w:t>Bill 40</w:t>
      </w:r>
      <w:r w:rsidRPr="000A0EA1">
        <w:rPr>
          <w:kern w:val="28"/>
          <w:lang w:val="en-CA"/>
        </w:rPr>
        <w:t xml:space="preserve"> was </w:t>
      </w:r>
      <w:r w:rsidR="00933318">
        <w:rPr>
          <w:kern w:val="28"/>
          <w:lang w:val="en-CA"/>
        </w:rPr>
        <w:t>enacted</w:t>
      </w:r>
      <w:r w:rsidRPr="000A0EA1">
        <w:rPr>
          <w:kern w:val="28"/>
          <w:lang w:val="en-CA"/>
        </w:rPr>
        <w:t>), the Minister may, after consulting with the school service centres concerned, determine policy directions that must be taken into account in organizing educational services for all school service centres or based on the situation of one or certain school service centres:</w:t>
      </w:r>
      <w:r w:rsidR="00B92293">
        <w:rPr>
          <w:kern w:val="28"/>
          <w:lang w:val="en-CA"/>
        </w:rPr>
        <w:t> </w:t>
      </w:r>
      <w:r w:rsidR="0062160E">
        <w:rPr>
          <w:kern w:val="28"/>
          <w:lang w:val="en-CA"/>
        </w:rPr>
        <w:t>s. 4</w:t>
      </w:r>
      <w:r w:rsidRPr="000A0EA1">
        <w:rPr>
          <w:kern w:val="28"/>
          <w:lang w:val="en-CA"/>
        </w:rPr>
        <w:t xml:space="preserve">59.0.0.1 of the </w:t>
      </w:r>
      <w:r w:rsidRPr="000A0EA1">
        <w:rPr>
          <w:i/>
          <w:iCs/>
          <w:kern w:val="28"/>
          <w:lang w:val="en-CA"/>
        </w:rPr>
        <w:t>EA</w:t>
      </w:r>
      <w:r w:rsidRPr="000A0EA1">
        <w:rPr>
          <w:kern w:val="28"/>
          <w:lang w:val="en-CA"/>
        </w:rPr>
        <w:t>;</w:t>
      </w:r>
      <w:r w:rsidRPr="000A0EA1">
        <w:rPr>
          <w:rStyle w:val="Appelnotedebasdep"/>
          <w:kern w:val="28"/>
          <w:lang w:val="en-CA"/>
        </w:rPr>
        <w:footnoteReference w:id="58"/>
      </w:r>
      <w:r w:rsidR="00F47D71">
        <w:rPr>
          <w:kern w:val="28"/>
          <w:lang w:val="en-CA"/>
        </w:rPr>
        <w:t xml:space="preserve"> and</w:t>
      </w:r>
    </w:p>
    <w:p w14:paraId="17F5F252" w14:textId="703ED050" w:rsidR="00F75613" w:rsidRPr="000A0EA1" w:rsidRDefault="00E306E6" w:rsidP="00B255B8">
      <w:pPr>
        <w:numPr>
          <w:ilvl w:val="0"/>
          <w:numId w:val="4"/>
        </w:numPr>
        <w:spacing w:before="120" w:after="120" w:line="240" w:lineRule="auto"/>
        <w:ind w:left="714" w:hanging="357"/>
        <w:jc w:val="both"/>
        <w:rPr>
          <w:kern w:val="28"/>
          <w:lang w:val="en-CA"/>
        </w:rPr>
      </w:pPr>
      <w:r>
        <w:rPr>
          <w:kern w:val="28"/>
          <w:lang w:val="en-CA"/>
        </w:rPr>
        <w:t>in addition</w:t>
      </w:r>
      <w:r w:rsidR="00B02E00" w:rsidRPr="000A0EA1">
        <w:rPr>
          <w:kern w:val="28"/>
          <w:lang w:val="en-CA"/>
        </w:rPr>
        <w:t xml:space="preserve">, the Minister establishes budgetary rules for the school boards (now school service centres): </w:t>
      </w:r>
      <w:r w:rsidR="0062160E">
        <w:rPr>
          <w:kern w:val="28"/>
          <w:lang w:val="en-CA"/>
        </w:rPr>
        <w:t>s. 4</w:t>
      </w:r>
      <w:r w:rsidR="00B02E00" w:rsidRPr="000A0EA1">
        <w:rPr>
          <w:kern w:val="28"/>
          <w:lang w:val="en-CA"/>
        </w:rPr>
        <w:t xml:space="preserve">72 of the </w:t>
      </w:r>
      <w:r w:rsidR="00B02E00" w:rsidRPr="000A0EA1">
        <w:rPr>
          <w:i/>
          <w:iCs/>
          <w:kern w:val="28"/>
          <w:lang w:val="en-CA"/>
        </w:rPr>
        <w:t>EA</w:t>
      </w:r>
      <w:r w:rsidR="00B02E00" w:rsidRPr="000A0EA1">
        <w:rPr>
          <w:kern w:val="28"/>
          <w:lang w:val="en-CA"/>
        </w:rPr>
        <w:t>; since 2016,</w:t>
      </w:r>
      <w:bookmarkStart w:id="33" w:name="_Hlk189231251"/>
      <w:r w:rsidR="00B02E00" w:rsidRPr="000A0EA1">
        <w:rPr>
          <w:rStyle w:val="Appelnotedebasdep"/>
          <w:kern w:val="28"/>
          <w:lang w:val="en-CA"/>
        </w:rPr>
        <w:footnoteReference w:id="59"/>
      </w:r>
      <w:r w:rsidR="00B02E00" w:rsidRPr="000A0EA1">
        <w:rPr>
          <w:kern w:val="28"/>
          <w:lang w:val="en-CA"/>
        </w:rPr>
        <w:t xml:space="preserve"> these rules enable the Minister to stipulate that certain budgetary measures are intended for a transfer to educational institutions to be used exclusively for specific purposes </w:t>
      </w:r>
      <w:bookmarkEnd w:id="33"/>
      <w:r w:rsidR="00B02E00" w:rsidRPr="000A0EA1">
        <w:rPr>
          <w:kern w:val="28"/>
          <w:lang w:val="en-CA"/>
        </w:rPr>
        <w:t xml:space="preserve">determined by him: </w:t>
      </w:r>
      <w:r w:rsidR="0062160E">
        <w:rPr>
          <w:kern w:val="28"/>
          <w:lang w:val="en-CA"/>
        </w:rPr>
        <w:t>s. 4</w:t>
      </w:r>
      <w:r w:rsidR="00B02E00" w:rsidRPr="000A0EA1">
        <w:rPr>
          <w:kern w:val="28"/>
          <w:lang w:val="en-CA"/>
        </w:rPr>
        <w:t xml:space="preserve">73.1 of the </w:t>
      </w:r>
      <w:r w:rsidR="00B02E00" w:rsidRPr="000A0EA1">
        <w:rPr>
          <w:i/>
          <w:iCs/>
          <w:kern w:val="28"/>
          <w:lang w:val="en-CA"/>
        </w:rPr>
        <w:t>EA</w:t>
      </w:r>
      <w:r w:rsidR="00B02E00" w:rsidRPr="000A0EA1">
        <w:rPr>
          <w:kern w:val="28"/>
          <w:lang w:val="en-CA"/>
        </w:rPr>
        <w:t>.</w:t>
      </w:r>
    </w:p>
    <w:p w14:paraId="17F5F253" w14:textId="5E6DBD7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There are many more such examples. Suffice it for our purposes, however, to note that the primary and secondary school system is increasingly under the Minister</w:t>
      </w:r>
      <w:r w:rsidR="00E46AFD">
        <w:rPr>
          <w:kern w:val="28"/>
          <w:lang w:val="en-CA"/>
        </w:rPr>
        <w:t>’</w:t>
      </w:r>
      <w:r w:rsidRPr="000A0EA1">
        <w:rPr>
          <w:kern w:val="28"/>
          <w:lang w:val="en-CA"/>
        </w:rPr>
        <w:t>s control, and that the school boards</w:t>
      </w:r>
      <w:r w:rsidR="00E46AFD">
        <w:rPr>
          <w:kern w:val="28"/>
          <w:lang w:val="en-CA"/>
        </w:rPr>
        <w:t>’</w:t>
      </w:r>
      <w:r w:rsidRPr="000A0EA1">
        <w:rPr>
          <w:kern w:val="28"/>
          <w:lang w:val="en-CA"/>
        </w:rPr>
        <w:t xml:space="preserve"> leeway in managing and controlling education has diminished considerably over time, to the benefit of ministerial powers. This leeway has truly been put to the test under the aegis of </w:t>
      </w:r>
      <w:r w:rsidR="00C33BBC">
        <w:rPr>
          <w:i/>
          <w:iCs/>
          <w:kern w:val="28"/>
          <w:lang w:val="en-CA"/>
        </w:rPr>
        <w:t>Bill 40</w:t>
      </w:r>
      <w:r w:rsidRPr="000A0EA1">
        <w:rPr>
          <w:kern w:val="28"/>
          <w:lang w:val="en-CA"/>
        </w:rPr>
        <w:t xml:space="preserve"> as regards the new school service centres. There is a strong trend towards direct ministerial control of the entire school system.</w:t>
      </w:r>
    </w:p>
    <w:p w14:paraId="17F5F254" w14:textId="579F538E" w:rsidR="00F75613" w:rsidRPr="000A0EA1" w:rsidRDefault="00B02E00" w:rsidP="00B255B8">
      <w:pPr>
        <w:pStyle w:val="Paragraphe"/>
        <w:numPr>
          <w:ilvl w:val="0"/>
          <w:numId w:val="5"/>
        </w:numPr>
        <w:spacing w:line="240" w:lineRule="auto"/>
        <w:ind w:left="1077" w:hanging="357"/>
        <w:rPr>
          <w:b/>
          <w:bCs/>
          <w:u w:val="single"/>
          <w:lang w:val="en-CA"/>
        </w:rPr>
      </w:pPr>
      <w:r w:rsidRPr="000A0EA1">
        <w:rPr>
          <w:b/>
          <w:bCs/>
          <w:u w:val="single"/>
          <w:lang w:val="en-CA"/>
        </w:rPr>
        <w:t xml:space="preserve">The proceedings </w:t>
      </w:r>
      <w:r w:rsidR="00A36E70">
        <w:rPr>
          <w:b/>
          <w:bCs/>
          <w:u w:val="single"/>
          <w:lang w:val="en-CA"/>
        </w:rPr>
        <w:t>undertaken</w:t>
      </w:r>
    </w:p>
    <w:p w14:paraId="17F5F255" w14:textId="5144A01D" w:rsidR="00F75613" w:rsidRPr="000A0EA1" w:rsidRDefault="00B02E00" w:rsidP="00B255B8">
      <w:pPr>
        <w:pStyle w:val="Paragraphe"/>
        <w:spacing w:line="240" w:lineRule="auto"/>
        <w:rPr>
          <w:lang w:val="en-CA"/>
        </w:rPr>
      </w:pPr>
      <w:r w:rsidRPr="000A0EA1">
        <w:rPr>
          <w:lang w:val="en-CA"/>
        </w:rPr>
        <w:t xml:space="preserve">As soon as </w:t>
      </w:r>
      <w:r w:rsidR="00C33BBC">
        <w:rPr>
          <w:i/>
          <w:iCs/>
          <w:lang w:val="en-CA"/>
        </w:rPr>
        <w:t>Bill 40</w:t>
      </w:r>
      <w:r w:rsidRPr="000A0EA1">
        <w:rPr>
          <w:lang w:val="en-CA"/>
        </w:rPr>
        <w:t xml:space="preserve"> was introduced in the National Assembly, many members of the </w:t>
      </w:r>
      <w:r w:rsidR="00312FD9">
        <w:rPr>
          <w:lang w:val="en-CA"/>
        </w:rPr>
        <w:t>English</w:t>
      </w:r>
      <w:r w:rsidR="00312FD9">
        <w:rPr>
          <w:lang w:val="en-CA"/>
        </w:rPr>
        <w:noBreakHyphen/>
        <w:t>speaking</w:t>
      </w:r>
      <w:r w:rsidRPr="000A0EA1">
        <w:rPr>
          <w:lang w:val="en-CA"/>
        </w:rPr>
        <w:t xml:space="preserve"> minority voiced strong opposition to it, notably on the ground that it would be incompatible with the rights guaranteed by </w:t>
      </w:r>
      <w:r w:rsidR="0062160E">
        <w:rPr>
          <w:lang w:val="en-CA"/>
        </w:rPr>
        <w:t>s. 2</w:t>
      </w:r>
      <w:r w:rsidRPr="000A0EA1">
        <w:rPr>
          <w:lang w:val="en-CA"/>
        </w:rPr>
        <w:t xml:space="preserve">3 of the </w:t>
      </w:r>
      <w:r w:rsidRPr="000A0EA1">
        <w:rPr>
          <w:i/>
          <w:iCs/>
          <w:lang w:val="en-CA"/>
        </w:rPr>
        <w:t>Charter</w:t>
      </w:r>
      <w:r w:rsidRPr="000A0EA1">
        <w:rPr>
          <w:lang w:val="en-CA"/>
        </w:rPr>
        <w:t xml:space="preserve">. </w:t>
      </w:r>
    </w:p>
    <w:p w14:paraId="17F5F256" w14:textId="5CFAC80B" w:rsidR="00F75613" w:rsidRPr="000A0EA1" w:rsidRDefault="00B02E00" w:rsidP="00B255B8">
      <w:pPr>
        <w:pStyle w:val="Paragraphe"/>
        <w:spacing w:line="240" w:lineRule="auto"/>
        <w:rPr>
          <w:lang w:val="en-CA"/>
        </w:rPr>
      </w:pPr>
      <w:r w:rsidRPr="000A0EA1">
        <w:rPr>
          <w:lang w:val="en-CA"/>
        </w:rPr>
        <w:t>On May 15, 2020, the Quebec English School Boards Association (which encompasses all of the province</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school boards), the Lester B. Pearson School Board and Adam Gordon, a rights holder under </w:t>
      </w:r>
      <w:r w:rsidR="0062160E">
        <w:rPr>
          <w:lang w:val="en-CA"/>
        </w:rPr>
        <w:t>s. 2</w:t>
      </w:r>
      <w:r w:rsidRPr="000A0EA1">
        <w:rPr>
          <w:lang w:val="en-CA"/>
        </w:rPr>
        <w:t xml:space="preserve">3 of the </w:t>
      </w:r>
      <w:r w:rsidRPr="000A0EA1">
        <w:rPr>
          <w:i/>
          <w:iCs/>
          <w:lang w:val="en-CA"/>
        </w:rPr>
        <w:t>Charter</w:t>
      </w:r>
      <w:r w:rsidRPr="000A0EA1">
        <w:rPr>
          <w:lang w:val="en-CA"/>
        </w:rPr>
        <w:t xml:space="preserve">, filed an application with the Superior Court to have certain provisions of </w:t>
      </w:r>
      <w:r w:rsidR="00C33BBC">
        <w:rPr>
          <w:i/>
          <w:iCs/>
          <w:lang w:val="en-CA"/>
        </w:rPr>
        <w:t>Bill 40</w:t>
      </w:r>
      <w:r w:rsidRPr="000A0EA1">
        <w:rPr>
          <w:lang w:val="en-CA"/>
        </w:rPr>
        <w:t xml:space="preserve"> and the </w:t>
      </w:r>
      <w:r w:rsidRPr="000A0EA1">
        <w:rPr>
          <w:i/>
          <w:iCs/>
          <w:lang w:val="en-CA"/>
        </w:rPr>
        <w:t xml:space="preserve">EA </w:t>
      </w:r>
      <w:r w:rsidRPr="000A0EA1">
        <w:rPr>
          <w:lang w:val="en-CA"/>
        </w:rPr>
        <w:t xml:space="preserve">declared inapplicable on the ground that they are inconsistent with </w:t>
      </w:r>
      <w:r w:rsidR="0062160E">
        <w:rPr>
          <w:lang w:val="en-CA"/>
        </w:rPr>
        <w:t>s. 2</w:t>
      </w:r>
      <w:r w:rsidRPr="000A0EA1">
        <w:rPr>
          <w:lang w:val="en-CA"/>
        </w:rPr>
        <w:t xml:space="preserve">3. The proceedings also asked the Superior Court to order a stay of the application of </w:t>
      </w:r>
      <w:r w:rsidR="00C33BBC">
        <w:rPr>
          <w:i/>
          <w:iCs/>
          <w:lang w:val="en-CA"/>
        </w:rPr>
        <w:t>Bill 40</w:t>
      </w:r>
      <w:r w:rsidRPr="000A0EA1">
        <w:rPr>
          <w:i/>
          <w:iCs/>
          <w:lang w:val="en-CA"/>
        </w:rPr>
        <w:t xml:space="preserve"> </w:t>
      </w:r>
      <w:r w:rsidRPr="000A0EA1">
        <w:rPr>
          <w:lang w:val="en-CA"/>
        </w:rPr>
        <w:t>to Quebec</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school boards while the judicial proceedings were pending. Quebec</w:t>
      </w:r>
      <w:r w:rsidR="00E46AFD">
        <w:rPr>
          <w:lang w:val="en-CA"/>
        </w:rPr>
        <w:t>’</w:t>
      </w:r>
      <w:r w:rsidRPr="000A0EA1">
        <w:rPr>
          <w:lang w:val="en-CA"/>
        </w:rPr>
        <w:t xml:space="preserve">s other </w:t>
      </w:r>
      <w:r w:rsidR="00AE3408">
        <w:rPr>
          <w:lang w:val="en-CA"/>
        </w:rPr>
        <w:t>English</w:t>
      </w:r>
      <w:r w:rsidR="00AE3408">
        <w:rPr>
          <w:lang w:val="en-CA"/>
        </w:rPr>
        <w:noBreakHyphen/>
        <w:t>language</w:t>
      </w:r>
      <w:r w:rsidRPr="000A0EA1">
        <w:rPr>
          <w:lang w:val="en-CA"/>
        </w:rPr>
        <w:t xml:space="preserve"> school boards intervened in the proceedings in support of the </w:t>
      </w:r>
      <w:r w:rsidRPr="000A0EA1">
        <w:rPr>
          <w:lang w:val="en-CA"/>
        </w:rPr>
        <w:lastRenderedPageBreak/>
        <w:t>applicant</w:t>
      </w:r>
      <w:r w:rsidR="0096202C">
        <w:rPr>
          <w:lang w:val="en-CA"/>
        </w:rPr>
        <w:t>s</w:t>
      </w:r>
      <w:r w:rsidRPr="000A0EA1">
        <w:rPr>
          <w:lang w:val="en-CA"/>
        </w:rPr>
        <w:t xml:space="preserve"> (now the respondents on appeal): the New Frontiers, English Montreal, Western Québec, Riverside, Eastern Townships, Sir Wilfrid Laurier, Eastern Shores and Central Québec school boards.</w:t>
      </w:r>
    </w:p>
    <w:p w14:paraId="17F5F257" w14:textId="7EEFF2F7" w:rsidR="00F75613" w:rsidRPr="000A0EA1" w:rsidRDefault="00B02E00" w:rsidP="00B255B8">
      <w:pPr>
        <w:pStyle w:val="Paragraphe"/>
        <w:spacing w:line="240" w:lineRule="auto"/>
        <w:rPr>
          <w:lang w:val="en-CA"/>
        </w:rPr>
      </w:pPr>
      <w:r w:rsidRPr="000A0EA1">
        <w:rPr>
          <w:lang w:val="en-CA"/>
        </w:rPr>
        <w:t>The respondents d</w:t>
      </w:r>
      <w:r w:rsidR="007D35A9">
        <w:rPr>
          <w:lang w:val="en-CA"/>
        </w:rPr>
        <w:t>o</w:t>
      </w:r>
      <w:r w:rsidRPr="000A0EA1">
        <w:rPr>
          <w:lang w:val="en-CA"/>
        </w:rPr>
        <w:t xml:space="preserve"> not challenge </w:t>
      </w:r>
      <w:r w:rsidR="00C33BBC">
        <w:rPr>
          <w:i/>
          <w:iCs/>
          <w:lang w:val="en-CA"/>
        </w:rPr>
        <w:t>Bill 40</w:t>
      </w:r>
      <w:r w:rsidRPr="000A0EA1">
        <w:rPr>
          <w:i/>
          <w:iCs/>
          <w:lang w:val="en-CA"/>
        </w:rPr>
        <w:t xml:space="preserve"> </w:t>
      </w:r>
      <w:r w:rsidRPr="000A0EA1">
        <w:rPr>
          <w:lang w:val="en-CA"/>
        </w:rPr>
        <w:t>in its entirety. For example, they d</w:t>
      </w:r>
      <w:r w:rsidR="007D35A9">
        <w:rPr>
          <w:lang w:val="en-CA"/>
        </w:rPr>
        <w:t>o</w:t>
      </w:r>
      <w:r w:rsidRPr="000A0EA1">
        <w:rPr>
          <w:lang w:val="en-CA"/>
        </w:rPr>
        <w:t xml:space="preserve"> not challenge the new mission and role of school service centres, nor d</w:t>
      </w:r>
      <w:r w:rsidR="007D35A9">
        <w:rPr>
          <w:lang w:val="en-CA"/>
        </w:rPr>
        <w:t>o</w:t>
      </w:r>
      <w:r w:rsidRPr="000A0EA1">
        <w:rPr>
          <w:lang w:val="en-CA"/>
        </w:rPr>
        <w:t xml:space="preserve"> they seek a declaration of unconstitutionality of all the many powers devolved to the Minister over time, targeting, instead, only some of them. They limit their challenge to certain specific aspects of </w:t>
      </w:r>
      <w:r w:rsidR="00C33BBC">
        <w:rPr>
          <w:i/>
          <w:iCs/>
          <w:lang w:val="en-CA"/>
        </w:rPr>
        <w:t>Bill 40</w:t>
      </w:r>
      <w:r w:rsidRPr="000A0EA1">
        <w:rPr>
          <w:lang w:val="en-CA"/>
        </w:rPr>
        <w:t xml:space="preserve">, arguing that they are contrary to the management and control rights </w:t>
      </w:r>
      <w:r w:rsidR="007D35A9">
        <w:rPr>
          <w:lang w:val="en-CA"/>
        </w:rPr>
        <w:t>flowing from</w:t>
      </w:r>
      <w:r w:rsidRPr="000A0EA1">
        <w:rPr>
          <w:lang w:val="en-CA"/>
        </w:rPr>
        <w:t xml:space="preserve">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w:t>
      </w:r>
    </w:p>
    <w:p w14:paraId="17F5F258" w14:textId="5A6ACE5C" w:rsidR="00F75613" w:rsidRPr="000A0EA1" w:rsidRDefault="00B02E00" w:rsidP="00B255B8">
      <w:pPr>
        <w:pStyle w:val="Paragraphe"/>
        <w:spacing w:line="240" w:lineRule="auto"/>
        <w:rPr>
          <w:lang w:val="en-CA"/>
        </w:rPr>
      </w:pPr>
      <w:r w:rsidRPr="000A0EA1">
        <w:rPr>
          <w:lang w:val="en-CA"/>
        </w:rPr>
        <w:t xml:space="preserve">Thus, although </w:t>
      </w:r>
      <w:r w:rsidR="00C33BBC">
        <w:rPr>
          <w:i/>
          <w:iCs/>
          <w:lang w:val="en-CA"/>
        </w:rPr>
        <w:t>Bill 40</w:t>
      </w:r>
      <w:r w:rsidRPr="000A0EA1">
        <w:rPr>
          <w:lang w:val="en-CA"/>
        </w:rPr>
        <w:t xml:space="preserve"> establishes a new and complex integrated structure, the </w:t>
      </w:r>
      <w:r w:rsidR="000835B6">
        <w:rPr>
          <w:lang w:val="en-CA"/>
        </w:rPr>
        <w:t xml:space="preserve">respondents’ </w:t>
      </w:r>
      <w:r w:rsidRPr="000A0EA1">
        <w:rPr>
          <w:lang w:val="en-CA"/>
        </w:rPr>
        <w:t>application for a declaration of constitutional invalidity target</w:t>
      </w:r>
      <w:r w:rsidR="007D35A9">
        <w:rPr>
          <w:lang w:val="en-CA"/>
        </w:rPr>
        <w:t>s</w:t>
      </w:r>
      <w:r w:rsidRPr="000A0EA1">
        <w:rPr>
          <w:lang w:val="en-CA"/>
        </w:rPr>
        <w:t xml:space="preserve"> only 13 of the 335 sections of this statute, namely:</w:t>
      </w:r>
    </w:p>
    <w:p w14:paraId="17F5F259"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50, which deals with the composition of the board of directors of a school service centre;</w:t>
      </w:r>
    </w:p>
    <w:p w14:paraId="17F5F25A"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52, which provides that only members of the board of directors sitting as parent representatives are eligible for the positions of chair and vice-chair;</w:t>
      </w:r>
    </w:p>
    <w:p w14:paraId="17F5F25B"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66, which deals with the new compensation scheme for board of director members;</w:t>
      </w:r>
    </w:p>
    <w:p w14:paraId="17F5F25C"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91, which establishes the commitment-to-student-success committee and its mandate;</w:t>
      </w:r>
    </w:p>
    <w:p w14:paraId="17F5F25D"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93, which transfers the role of spokesperson from the chair to the director general;</w:t>
      </w:r>
    </w:p>
    <w:p w14:paraId="17F5F25E"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105, which allows the Minister to require that a service centre share its resources or services, especially administrative resources and services, with any other school service centre, or even with another public body, including a municipality;</w:t>
      </w:r>
    </w:p>
    <w:p w14:paraId="17F5F25F" w14:textId="77777777"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section 142, which allows the Minister to determine, for all the school service centres, or even for one of them, objectives or targets relating to their administration, organization or operation;</w:t>
      </w:r>
    </w:p>
    <w:p w14:paraId="17F5F260" w14:textId="261AD879"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 xml:space="preserve">section 196, which deals with the method of electing members sitting as parent or community representatives on the board of directors of an </w:t>
      </w:r>
      <w:r w:rsidR="00AE3408">
        <w:rPr>
          <w:szCs w:val="24"/>
          <w:lang w:val="en-CA"/>
        </w:rPr>
        <w:t>English</w:t>
      </w:r>
      <w:r w:rsidR="00AE3408">
        <w:rPr>
          <w:szCs w:val="24"/>
          <w:lang w:val="en-CA"/>
        </w:rPr>
        <w:noBreakHyphen/>
        <w:t>language</w:t>
      </w:r>
      <w:r w:rsidRPr="000A0EA1">
        <w:rPr>
          <w:szCs w:val="24"/>
          <w:lang w:val="en-CA"/>
        </w:rPr>
        <w:t xml:space="preserve"> school service centre;</w:t>
      </w:r>
    </w:p>
    <w:p w14:paraId="17F5F261" w14:textId="067AC418"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lastRenderedPageBreak/>
        <w:t xml:space="preserve">section 208, which imposes </w:t>
      </w:r>
      <w:r w:rsidR="00973A63">
        <w:rPr>
          <w:szCs w:val="24"/>
          <w:lang w:val="en-CA"/>
        </w:rPr>
        <w:t>certain professional requirements</w:t>
      </w:r>
      <w:r w:rsidRPr="000A0EA1">
        <w:rPr>
          <w:szCs w:val="24"/>
          <w:lang w:val="en-CA"/>
        </w:rPr>
        <w:t xml:space="preserve"> for purposes of electing community representatives to the board of directors of an </w:t>
      </w:r>
      <w:r w:rsidR="00AE3408">
        <w:rPr>
          <w:szCs w:val="24"/>
          <w:lang w:val="en-CA"/>
        </w:rPr>
        <w:t>English</w:t>
      </w:r>
      <w:r w:rsidR="00AE3408">
        <w:rPr>
          <w:szCs w:val="24"/>
          <w:lang w:val="en-CA"/>
        </w:rPr>
        <w:noBreakHyphen/>
        <w:t>language</w:t>
      </w:r>
      <w:r w:rsidRPr="000A0EA1">
        <w:rPr>
          <w:szCs w:val="24"/>
          <w:lang w:val="en-CA"/>
        </w:rPr>
        <w:t xml:space="preserve"> school service centre;</w:t>
      </w:r>
    </w:p>
    <w:p w14:paraId="17F5F262" w14:textId="0F536EA9"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 xml:space="preserve">section 212, which amends </w:t>
      </w:r>
      <w:r w:rsidR="0062160E">
        <w:rPr>
          <w:szCs w:val="24"/>
          <w:lang w:val="en-CA"/>
        </w:rPr>
        <w:t>s. 1</w:t>
      </w:r>
      <w:r w:rsidRPr="000A0EA1">
        <w:rPr>
          <w:szCs w:val="24"/>
          <w:lang w:val="en-CA"/>
        </w:rPr>
        <w:t xml:space="preserve">5 of the </w:t>
      </w:r>
      <w:r w:rsidRPr="000A0EA1">
        <w:rPr>
          <w:i/>
          <w:iCs/>
          <w:szCs w:val="24"/>
          <w:lang w:val="en-CA"/>
        </w:rPr>
        <w:t>New</w:t>
      </w:r>
      <w:r w:rsidRPr="000A0EA1">
        <w:rPr>
          <w:szCs w:val="24"/>
          <w:lang w:val="en-CA"/>
        </w:rPr>
        <w:t xml:space="preserve"> </w:t>
      </w:r>
      <w:r w:rsidRPr="000A0EA1">
        <w:rPr>
          <w:i/>
          <w:iCs/>
          <w:szCs w:val="24"/>
          <w:lang w:val="en-CA"/>
        </w:rPr>
        <w:t>Act respecting school elections</w:t>
      </w:r>
      <w:r w:rsidRPr="000A0EA1">
        <w:rPr>
          <w:szCs w:val="24"/>
          <w:lang w:val="en-CA"/>
        </w:rPr>
        <w:t xml:space="preserve">, the latter section </w:t>
      </w:r>
      <w:r w:rsidR="00DA1C39">
        <w:rPr>
          <w:szCs w:val="24"/>
          <w:lang w:val="en-CA"/>
        </w:rPr>
        <w:t xml:space="preserve">being one that </w:t>
      </w:r>
      <w:r w:rsidRPr="000A0EA1">
        <w:rPr>
          <w:szCs w:val="24"/>
          <w:lang w:val="en-CA"/>
        </w:rPr>
        <w:t>govern</w:t>
      </w:r>
      <w:r w:rsidR="00DA1C39">
        <w:rPr>
          <w:szCs w:val="24"/>
          <w:lang w:val="en-CA"/>
        </w:rPr>
        <w:t>s</w:t>
      </w:r>
      <w:r w:rsidRPr="000A0EA1">
        <w:rPr>
          <w:szCs w:val="24"/>
          <w:lang w:val="en-CA"/>
        </w:rPr>
        <w:t xml:space="preserve"> the right to vote in elections in the </w:t>
      </w:r>
      <w:r w:rsidR="00AE3408">
        <w:rPr>
          <w:szCs w:val="24"/>
          <w:lang w:val="en-CA"/>
        </w:rPr>
        <w:t>English</w:t>
      </w:r>
      <w:r w:rsidR="00AE3408">
        <w:rPr>
          <w:szCs w:val="24"/>
          <w:lang w:val="en-CA"/>
        </w:rPr>
        <w:noBreakHyphen/>
        <w:t>language</w:t>
      </w:r>
      <w:r w:rsidRPr="000A0EA1">
        <w:rPr>
          <w:szCs w:val="24"/>
          <w:lang w:val="en-CA"/>
        </w:rPr>
        <w:t xml:space="preserve"> school system;</w:t>
      </w:r>
    </w:p>
    <w:p w14:paraId="17F5F263" w14:textId="4519F4A9"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 xml:space="preserve">section 216, which deals with the qualification requirements for members of the board of directors of an </w:t>
      </w:r>
      <w:r w:rsidR="00AE3408">
        <w:rPr>
          <w:szCs w:val="24"/>
          <w:lang w:val="en-CA"/>
        </w:rPr>
        <w:t>English</w:t>
      </w:r>
      <w:r w:rsidR="00AE3408">
        <w:rPr>
          <w:szCs w:val="24"/>
          <w:lang w:val="en-CA"/>
        </w:rPr>
        <w:noBreakHyphen/>
        <w:t>language</w:t>
      </w:r>
      <w:r w:rsidRPr="000A0EA1">
        <w:rPr>
          <w:szCs w:val="24"/>
          <w:lang w:val="en-CA"/>
        </w:rPr>
        <w:t xml:space="preserve"> school service centre, in particular, the requirement that parent representatives must sit on the governing board of a school under the centre</w:t>
      </w:r>
      <w:r w:rsidR="00E46AFD">
        <w:rPr>
          <w:szCs w:val="24"/>
          <w:lang w:val="en-CA"/>
        </w:rPr>
        <w:t>’</w:t>
      </w:r>
      <w:r w:rsidRPr="000A0EA1">
        <w:rPr>
          <w:szCs w:val="24"/>
          <w:lang w:val="en-CA"/>
        </w:rPr>
        <w:t>s jurisdiction; and</w:t>
      </w:r>
    </w:p>
    <w:p w14:paraId="17F5F264" w14:textId="1888A396" w:rsidR="00F75613" w:rsidRPr="000A0EA1" w:rsidRDefault="00B02E00" w:rsidP="00B255B8">
      <w:pPr>
        <w:pStyle w:val="Paragraphe"/>
        <w:numPr>
          <w:ilvl w:val="0"/>
          <w:numId w:val="9"/>
        </w:numPr>
        <w:spacing w:line="240" w:lineRule="auto"/>
        <w:ind w:left="1077" w:hanging="357"/>
        <w:rPr>
          <w:szCs w:val="24"/>
          <w:lang w:val="en-CA"/>
        </w:rPr>
      </w:pPr>
      <w:r w:rsidRPr="000A0EA1">
        <w:rPr>
          <w:szCs w:val="24"/>
          <w:lang w:val="en-CA"/>
        </w:rPr>
        <w:t xml:space="preserve">sections 329 and 330, which allow the Minister to annul any decision made by an </w:t>
      </w:r>
      <w:r w:rsidR="00AE3408">
        <w:rPr>
          <w:szCs w:val="24"/>
          <w:lang w:val="en-CA"/>
        </w:rPr>
        <w:t>English</w:t>
      </w:r>
      <w:r w:rsidR="00AE3408">
        <w:rPr>
          <w:szCs w:val="24"/>
          <w:lang w:val="en-CA"/>
        </w:rPr>
        <w:noBreakHyphen/>
        <w:t>language</w:t>
      </w:r>
      <w:r w:rsidRPr="000A0EA1">
        <w:rPr>
          <w:szCs w:val="24"/>
          <w:lang w:val="en-CA"/>
        </w:rPr>
        <w:t xml:space="preserve"> school board between October 1, 2019 and November 5, 2020.</w:t>
      </w:r>
    </w:p>
    <w:p w14:paraId="17F5F265" w14:textId="7F3CE625" w:rsidR="00F75613" w:rsidRPr="000A0EA1" w:rsidRDefault="00B02E00" w:rsidP="00B255B8">
      <w:pPr>
        <w:pStyle w:val="Paragraphe"/>
        <w:spacing w:line="240" w:lineRule="auto"/>
        <w:rPr>
          <w:lang w:val="en-CA"/>
        </w:rPr>
      </w:pPr>
      <w:r w:rsidRPr="000A0EA1">
        <w:rPr>
          <w:lang w:val="en-CA"/>
        </w:rPr>
        <w:t>The</w:t>
      </w:r>
      <w:r w:rsidR="00973A63">
        <w:rPr>
          <w:lang w:val="en-CA"/>
        </w:rPr>
        <w:t xml:space="preserve"> respondents</w:t>
      </w:r>
      <w:r w:rsidRPr="000A0EA1">
        <w:rPr>
          <w:lang w:val="en-CA"/>
        </w:rPr>
        <w:t xml:space="preserve"> also s</w:t>
      </w:r>
      <w:r w:rsidR="00973A63">
        <w:rPr>
          <w:lang w:val="en-CA"/>
        </w:rPr>
        <w:t>eek</w:t>
      </w:r>
      <w:r w:rsidRPr="000A0EA1">
        <w:rPr>
          <w:lang w:val="en-CA"/>
        </w:rPr>
        <w:t xml:space="preserve"> a declaration of constitutional invalidity of </w:t>
      </w:r>
      <w:r w:rsidR="0062160E">
        <w:rPr>
          <w:lang w:val="en-CA"/>
        </w:rPr>
        <w:t>s. 4</w:t>
      </w:r>
      <w:r w:rsidRPr="000A0EA1">
        <w:rPr>
          <w:lang w:val="en-CA"/>
        </w:rPr>
        <w:t xml:space="preserve">73.1 of the </w:t>
      </w:r>
      <w:r w:rsidRPr="000A0EA1">
        <w:rPr>
          <w:i/>
          <w:iCs/>
          <w:lang w:val="en-CA"/>
        </w:rPr>
        <w:t>EA</w:t>
      </w:r>
      <w:r w:rsidRPr="000A0EA1">
        <w:rPr>
          <w:lang w:val="en-CA"/>
        </w:rPr>
        <w:t xml:space="preserve">, which, since 2016, has allowed the Minister to prescribe the transfer of certain subsidies to local bodies so they can be used for specific purposes determined by the Minister. </w:t>
      </w:r>
    </w:p>
    <w:p w14:paraId="17F5F266" w14:textId="4850A501" w:rsidR="00F75613" w:rsidRPr="000A0EA1" w:rsidRDefault="00B02E00" w:rsidP="00B255B8">
      <w:pPr>
        <w:pStyle w:val="Paragraphe"/>
        <w:spacing w:line="240" w:lineRule="auto"/>
        <w:rPr>
          <w:lang w:val="en-CA"/>
        </w:rPr>
      </w:pPr>
      <w:r w:rsidRPr="000A0EA1">
        <w:rPr>
          <w:lang w:val="en-CA"/>
        </w:rPr>
        <w:t xml:space="preserve">Although the respondents target only a few sections of </w:t>
      </w:r>
      <w:r w:rsidR="00C33BBC">
        <w:rPr>
          <w:i/>
          <w:iCs/>
          <w:lang w:val="en-CA"/>
        </w:rPr>
        <w:t>Bill 40</w:t>
      </w:r>
      <w:r w:rsidRPr="000A0EA1">
        <w:rPr>
          <w:lang w:val="en-CA"/>
        </w:rPr>
        <w:t xml:space="preserve"> in their application for a declaration of constitutional invalidity, they identif</w:t>
      </w:r>
      <w:r w:rsidR="00973A63">
        <w:rPr>
          <w:lang w:val="en-CA"/>
        </w:rPr>
        <w:t>y</w:t>
      </w:r>
      <w:r w:rsidRPr="000A0EA1">
        <w:rPr>
          <w:lang w:val="en-CA"/>
        </w:rPr>
        <w:t xml:space="preserve"> several other provisions of </w:t>
      </w:r>
      <w:r w:rsidR="00C33BBC">
        <w:rPr>
          <w:i/>
          <w:iCs/>
          <w:lang w:val="en-CA"/>
        </w:rPr>
        <w:t>Bill 40</w:t>
      </w:r>
      <w:r w:rsidRPr="000A0EA1">
        <w:rPr>
          <w:lang w:val="en-CA"/>
        </w:rPr>
        <w:t xml:space="preserve"> that they say are inextricably linked to these sections.</w:t>
      </w:r>
      <w:r w:rsidRPr="000A0EA1">
        <w:rPr>
          <w:rStyle w:val="Appelnotedebasdep"/>
          <w:lang w:val="en-CA"/>
        </w:rPr>
        <w:footnoteReference w:id="60"/>
      </w:r>
      <w:r w:rsidRPr="000A0EA1">
        <w:rPr>
          <w:lang w:val="en-CA"/>
        </w:rPr>
        <w:t xml:space="preserve"> They therefore </w:t>
      </w:r>
      <w:r w:rsidR="00973A63">
        <w:rPr>
          <w:lang w:val="en-CA"/>
        </w:rPr>
        <w:t>request</w:t>
      </w:r>
      <w:r w:rsidRPr="000A0EA1">
        <w:rPr>
          <w:lang w:val="en-CA"/>
        </w:rPr>
        <w:t xml:space="preserve"> that the application to the </w:t>
      </w:r>
      <w:r w:rsidR="00AE3408">
        <w:rPr>
          <w:lang w:val="en-CA"/>
        </w:rPr>
        <w:t>English</w:t>
      </w:r>
      <w:r w:rsidR="00AE3408">
        <w:rPr>
          <w:lang w:val="en-CA"/>
        </w:rPr>
        <w:noBreakHyphen/>
        <w:t>language</w:t>
      </w:r>
      <w:r w:rsidRPr="000A0EA1">
        <w:rPr>
          <w:lang w:val="en-CA"/>
        </w:rPr>
        <w:t xml:space="preserve"> school system of </w:t>
      </w:r>
      <w:r w:rsidR="00C33BBC">
        <w:rPr>
          <w:i/>
          <w:iCs/>
          <w:lang w:val="en-CA"/>
        </w:rPr>
        <w:t>Bill 40</w:t>
      </w:r>
      <w:r w:rsidRPr="000A0EA1">
        <w:rPr>
          <w:lang w:val="en-CA"/>
        </w:rPr>
        <w:t xml:space="preserve"> </w:t>
      </w:r>
      <w:r w:rsidR="00991BE5">
        <w:rPr>
          <w:lang w:val="en-CA"/>
        </w:rPr>
        <w:t xml:space="preserve">in </w:t>
      </w:r>
      <w:r w:rsidRPr="000A0EA1">
        <w:rPr>
          <w:lang w:val="en-CA"/>
        </w:rPr>
        <w:t xml:space="preserve">its entirety or, subsidiarily, of </w:t>
      </w:r>
      <w:r w:rsidR="00BC01AB">
        <w:rPr>
          <w:lang w:val="en-CA"/>
        </w:rPr>
        <w:t xml:space="preserve">the provisions </w:t>
      </w:r>
      <w:r w:rsidRPr="000A0EA1">
        <w:rPr>
          <w:lang w:val="en-CA"/>
        </w:rPr>
        <w:t xml:space="preserve">inextricably linked </w:t>
      </w:r>
      <w:r w:rsidR="000835B6">
        <w:rPr>
          <w:lang w:val="en-CA"/>
        </w:rPr>
        <w:t xml:space="preserve">to </w:t>
      </w:r>
      <w:r w:rsidR="00A24619">
        <w:rPr>
          <w:lang w:val="en-CA"/>
        </w:rPr>
        <w:t xml:space="preserve">its </w:t>
      </w:r>
      <w:r w:rsidR="00BC01AB">
        <w:rPr>
          <w:lang w:val="en-CA"/>
        </w:rPr>
        <w:t xml:space="preserve">infringing </w:t>
      </w:r>
      <w:r w:rsidRPr="000A0EA1">
        <w:rPr>
          <w:lang w:val="en-CA"/>
        </w:rPr>
        <w:t>provisions, be suspended until the National Assembly adopt</w:t>
      </w:r>
      <w:r w:rsidR="00973A63">
        <w:rPr>
          <w:lang w:val="en-CA"/>
        </w:rPr>
        <w:t>s</w:t>
      </w:r>
      <w:r w:rsidRPr="000A0EA1">
        <w:rPr>
          <w:lang w:val="en-CA"/>
        </w:rPr>
        <w:t xml:space="preserve"> remedial legislation.</w:t>
      </w:r>
    </w:p>
    <w:p w14:paraId="17F5F267" w14:textId="51203AAC" w:rsidR="00F75613" w:rsidRPr="000A0EA1" w:rsidRDefault="00973A63" w:rsidP="00B255B8">
      <w:pPr>
        <w:pStyle w:val="Paragraphe"/>
        <w:spacing w:line="240" w:lineRule="auto"/>
        <w:rPr>
          <w:lang w:val="en-CA"/>
        </w:rPr>
      </w:pPr>
      <w:r>
        <w:rPr>
          <w:lang w:val="en-CA"/>
        </w:rPr>
        <w:t xml:space="preserve">Moreover, in addition to </w:t>
      </w:r>
      <w:r w:rsidR="00DF5417">
        <w:rPr>
          <w:lang w:val="en-CA"/>
        </w:rPr>
        <w:t>seeking a declaration invalidating s.</w:t>
      </w:r>
      <w:r>
        <w:rPr>
          <w:lang w:val="en-CA"/>
        </w:rPr>
        <w:t xml:space="preserve"> 212 of </w:t>
      </w:r>
      <w:r>
        <w:rPr>
          <w:i/>
          <w:iCs/>
          <w:lang w:val="en-CA"/>
        </w:rPr>
        <w:t>Bill 40</w:t>
      </w:r>
      <w:r>
        <w:rPr>
          <w:lang w:val="en-CA"/>
        </w:rPr>
        <w:t xml:space="preserve"> </w:t>
      </w:r>
      <w:r w:rsidR="00842C48" w:rsidRPr="000A0EA1">
        <w:rPr>
          <w:szCs w:val="24"/>
          <w:lang w:val="en-CA"/>
        </w:rPr>
        <w:t xml:space="preserve">which amends </w:t>
      </w:r>
      <w:r w:rsidR="00842C48">
        <w:rPr>
          <w:szCs w:val="24"/>
          <w:lang w:val="en-CA"/>
        </w:rPr>
        <w:t>s</w:t>
      </w:r>
      <w:r w:rsidR="00DF5417">
        <w:rPr>
          <w:szCs w:val="24"/>
          <w:lang w:val="en-CA"/>
        </w:rPr>
        <w:t>.</w:t>
      </w:r>
      <w:r w:rsidR="00842C48">
        <w:rPr>
          <w:szCs w:val="24"/>
          <w:lang w:val="en-CA"/>
        </w:rPr>
        <w:t> 1</w:t>
      </w:r>
      <w:r w:rsidR="00842C48" w:rsidRPr="000A0EA1">
        <w:rPr>
          <w:szCs w:val="24"/>
          <w:lang w:val="en-CA"/>
        </w:rPr>
        <w:t xml:space="preserve">5 of the </w:t>
      </w:r>
      <w:r w:rsidR="00842C48" w:rsidRPr="000A0EA1">
        <w:rPr>
          <w:i/>
          <w:iCs/>
          <w:szCs w:val="24"/>
          <w:lang w:val="en-CA"/>
        </w:rPr>
        <w:t>New</w:t>
      </w:r>
      <w:r w:rsidR="00842C48" w:rsidRPr="000A0EA1">
        <w:rPr>
          <w:szCs w:val="24"/>
          <w:lang w:val="en-CA"/>
        </w:rPr>
        <w:t xml:space="preserve"> </w:t>
      </w:r>
      <w:r w:rsidR="00842C48" w:rsidRPr="000A0EA1">
        <w:rPr>
          <w:i/>
          <w:iCs/>
          <w:szCs w:val="24"/>
          <w:lang w:val="en-CA"/>
        </w:rPr>
        <w:t>Act respecting school elections</w:t>
      </w:r>
      <w:r w:rsidR="00B02E00" w:rsidRPr="000A0EA1">
        <w:rPr>
          <w:lang w:val="en-CA"/>
        </w:rPr>
        <w:t xml:space="preserve">, the respondents </w:t>
      </w:r>
      <w:r w:rsidR="00842C48">
        <w:rPr>
          <w:lang w:val="en-CA"/>
        </w:rPr>
        <w:t xml:space="preserve">also </w:t>
      </w:r>
      <w:r w:rsidR="00B02E00" w:rsidRPr="000A0EA1">
        <w:rPr>
          <w:lang w:val="en-CA"/>
        </w:rPr>
        <w:t>s</w:t>
      </w:r>
      <w:r>
        <w:rPr>
          <w:lang w:val="en-CA"/>
        </w:rPr>
        <w:t>eek</w:t>
      </w:r>
      <w:r w:rsidR="00B02E00" w:rsidRPr="000A0EA1">
        <w:rPr>
          <w:lang w:val="en-CA"/>
        </w:rPr>
        <w:t xml:space="preserve"> a declaration of constitutional invalidity of </w:t>
      </w:r>
      <w:r w:rsidR="00DF5417">
        <w:rPr>
          <w:lang w:val="en-CA"/>
        </w:rPr>
        <w:t>said s.</w:t>
      </w:r>
      <w:r w:rsidR="0062160E">
        <w:rPr>
          <w:lang w:val="en-CA"/>
        </w:rPr>
        <w:t> 1</w:t>
      </w:r>
      <w:r w:rsidR="00B02E00" w:rsidRPr="000A0EA1">
        <w:rPr>
          <w:lang w:val="en-CA"/>
        </w:rPr>
        <w:t xml:space="preserve">5 which governs the right to vote to elect members of the board of directors of </w:t>
      </w:r>
      <w:r w:rsidR="00AE3408">
        <w:rPr>
          <w:lang w:val="en-CA"/>
        </w:rPr>
        <w:t>English</w:t>
      </w:r>
      <w:r w:rsidR="00AE3408">
        <w:rPr>
          <w:lang w:val="en-CA"/>
        </w:rPr>
        <w:noBreakHyphen/>
        <w:t>language</w:t>
      </w:r>
      <w:r w:rsidR="00B02E00" w:rsidRPr="000A0EA1">
        <w:rPr>
          <w:lang w:val="en-CA"/>
        </w:rPr>
        <w:t xml:space="preserve"> school service centres.</w:t>
      </w:r>
    </w:p>
    <w:p w14:paraId="17F5F268" w14:textId="33C59D66" w:rsidR="00F75613" w:rsidRPr="000A0EA1" w:rsidRDefault="00B02E00" w:rsidP="00B255B8">
      <w:pPr>
        <w:pStyle w:val="Paragraphe"/>
        <w:numPr>
          <w:ilvl w:val="0"/>
          <w:numId w:val="0"/>
        </w:numPr>
        <w:spacing w:before="240" w:line="240" w:lineRule="auto"/>
        <w:rPr>
          <w:b/>
          <w:bCs/>
          <w:u w:val="single"/>
          <w:lang w:val="en-CA"/>
        </w:rPr>
      </w:pPr>
      <w:r w:rsidRPr="000A0EA1">
        <w:rPr>
          <w:b/>
          <w:bCs/>
          <w:u w:val="single"/>
          <w:lang w:val="en-CA"/>
        </w:rPr>
        <w:t>TRIAL JUDGMENT</w:t>
      </w:r>
    </w:p>
    <w:p w14:paraId="17F5F269"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 evidence in first instance largely consisted of affidavits and expert reports. Some affiants also testified during the proof and hearing held on April 14, 15, 16 and 19, 2021. Counsel presented oral arguments on April 21, 22, 23, 26 and 27, 2021. On the last day of the oral arguments, the applicants (now the respondents on appeal) were </w:t>
      </w:r>
      <w:r w:rsidRPr="000A0EA1">
        <w:rPr>
          <w:kern w:val="28"/>
          <w:lang w:val="en-CA"/>
        </w:rPr>
        <w:lastRenderedPageBreak/>
        <w:t xml:space="preserve">authorized to submit an amended originating application, which they did on June 25, 2021. </w:t>
      </w:r>
    </w:p>
    <w:p w14:paraId="17F5F26A" w14:textId="1853B8EF"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 trial judgment comprises 129 pages, consisting of 447 paragraphs and a schedule. The judge divided his analysis into three parts, dealing, respectively, with the infringement of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the justification for the infringement, and the remedies. The following is a summary.</w:t>
      </w:r>
    </w:p>
    <w:p w14:paraId="17F5F26B" w14:textId="61005AD7" w:rsidR="00F75613" w:rsidRPr="000A0EA1" w:rsidRDefault="00B02E00" w:rsidP="00B255B8">
      <w:pPr>
        <w:pStyle w:val="Paragraphedeliste"/>
        <w:numPr>
          <w:ilvl w:val="0"/>
          <w:numId w:val="6"/>
        </w:numPr>
        <w:spacing w:before="120" w:after="120" w:line="240" w:lineRule="auto"/>
        <w:ind w:left="1077" w:hanging="357"/>
        <w:contextualSpacing w:val="0"/>
        <w:jc w:val="both"/>
        <w:rPr>
          <w:rFonts w:ascii="Arial" w:hAnsi="Arial" w:cs="Arial"/>
          <w:b/>
          <w:bCs/>
          <w:kern w:val="28"/>
          <w:sz w:val="24"/>
          <w:szCs w:val="28"/>
          <w:u w:val="single"/>
          <w:lang w:val="en-CA"/>
        </w:rPr>
      </w:pPr>
      <w:r w:rsidRPr="000A0EA1">
        <w:rPr>
          <w:rFonts w:ascii="Arial" w:hAnsi="Arial" w:cs="Arial"/>
          <w:b/>
          <w:bCs/>
          <w:kern w:val="28"/>
          <w:sz w:val="24"/>
          <w:szCs w:val="24"/>
          <w:u w:val="single"/>
          <w:lang w:val="en-CA"/>
        </w:rPr>
        <w:t xml:space="preserve">Infringement of </w:t>
      </w:r>
      <w:r w:rsidR="0062160E">
        <w:rPr>
          <w:rFonts w:ascii="Arial" w:hAnsi="Arial" w:cs="Arial"/>
          <w:b/>
          <w:bCs/>
          <w:kern w:val="28"/>
          <w:sz w:val="24"/>
          <w:szCs w:val="24"/>
          <w:u w:val="single"/>
          <w:lang w:val="en-CA"/>
        </w:rPr>
        <w:t>s. 2</w:t>
      </w:r>
      <w:r w:rsidRPr="000A0EA1">
        <w:rPr>
          <w:rFonts w:ascii="Arial" w:hAnsi="Arial" w:cs="Arial"/>
          <w:b/>
          <w:bCs/>
          <w:kern w:val="28"/>
          <w:sz w:val="24"/>
          <w:szCs w:val="24"/>
          <w:u w:val="single"/>
          <w:lang w:val="en-CA"/>
        </w:rPr>
        <w:t xml:space="preserve">3 of the </w:t>
      </w:r>
      <w:r w:rsidRPr="000A0EA1">
        <w:rPr>
          <w:rFonts w:ascii="Arial" w:hAnsi="Arial" w:cs="Arial"/>
          <w:b/>
          <w:bCs/>
          <w:i/>
          <w:iCs/>
          <w:kern w:val="28"/>
          <w:sz w:val="24"/>
          <w:szCs w:val="24"/>
          <w:u w:val="single"/>
          <w:lang w:val="en-CA"/>
        </w:rPr>
        <w:t>Charter</w:t>
      </w:r>
    </w:p>
    <w:p w14:paraId="17F5F26C" w14:textId="7777777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first part, regarding the issue of infringement, takes up nearly 100 of the 129 pages of the judgment. It is subdivided into 10 sections, each of which is briefly summarized below.</w:t>
      </w:r>
    </w:p>
    <w:p w14:paraId="17F5F26D" w14:textId="28D07295"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 first section deals with the purpose and interpretation of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The judge review</w:t>
      </w:r>
      <w:r w:rsidR="005D1B46">
        <w:rPr>
          <w:kern w:val="28"/>
          <w:lang w:val="en-CA"/>
        </w:rPr>
        <w:t>s</w:t>
      </w:r>
      <w:r w:rsidRPr="000A0EA1">
        <w:rPr>
          <w:kern w:val="28"/>
          <w:lang w:val="en-CA"/>
        </w:rPr>
        <w:t xml:space="preserve"> the case law and conclude</w:t>
      </w:r>
      <w:r w:rsidR="005D1B46">
        <w:rPr>
          <w:kern w:val="28"/>
          <w:lang w:val="en-CA"/>
        </w:rPr>
        <w:t>s</w:t>
      </w:r>
      <w:r w:rsidRPr="000A0EA1">
        <w:rPr>
          <w:kern w:val="28"/>
          <w:lang w:val="en-CA"/>
        </w:rPr>
        <w:t xml:space="preserve"> that one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 xml:space="preserve">of the purposes of adopting </w:t>
      </w:r>
      <w:r w:rsidR="00CF4EBF">
        <w:rPr>
          <w:kern w:val="28"/>
          <w:lang w:val="en-CA"/>
        </w:rPr>
        <w:t xml:space="preserve">s. </w:t>
      </w:r>
      <w:r w:rsidRPr="000A0EA1">
        <w:rPr>
          <w:kern w:val="28"/>
          <w:lang w:val="en-CA"/>
        </w:rPr>
        <w:t>23 was to protect the minority from decisions of the majority made without regard to minority rights</w:t>
      </w:r>
      <w:r w:rsidR="00E46AFD">
        <w:rPr>
          <w:kern w:val="28"/>
          <w:lang w:val="en-CA"/>
        </w:rPr>
        <w:t>”</w:t>
      </w:r>
      <w:r w:rsidRPr="000A0EA1">
        <w:rPr>
          <w:kern w:val="28"/>
          <w:lang w:val="en-CA"/>
        </w:rPr>
        <w:t>.</w:t>
      </w:r>
      <w:r w:rsidRPr="000A0EA1">
        <w:rPr>
          <w:kern w:val="28"/>
          <w:vertAlign w:val="superscript"/>
          <w:lang w:val="en-CA"/>
        </w:rPr>
        <w:footnoteReference w:id="61"/>
      </w:r>
      <w:r w:rsidRPr="000A0EA1">
        <w:rPr>
          <w:kern w:val="28"/>
          <w:lang w:val="en-CA"/>
        </w:rPr>
        <w:t xml:space="preserve"> In this regard, he cite</w:t>
      </w:r>
      <w:r w:rsidR="005D1B46">
        <w:rPr>
          <w:kern w:val="28"/>
          <w:lang w:val="en-CA"/>
        </w:rPr>
        <w:t>s</w:t>
      </w:r>
      <w:r w:rsidRPr="000A0EA1">
        <w:rPr>
          <w:kern w:val="28"/>
          <w:lang w:val="en-CA"/>
        </w:rPr>
        <w:t xml:space="preserve"> Major and </w:t>
      </w:r>
      <w:proofErr w:type="spellStart"/>
      <w:r w:rsidRPr="000A0EA1">
        <w:rPr>
          <w:kern w:val="28"/>
          <w:lang w:val="en-CA"/>
        </w:rPr>
        <w:t>Bastarache</w:t>
      </w:r>
      <w:proofErr w:type="spellEnd"/>
      <w:r w:rsidRPr="000A0EA1">
        <w:rPr>
          <w:kern w:val="28"/>
          <w:lang w:val="en-CA"/>
        </w:rPr>
        <w:t xml:space="preserve">, JJ. in </w:t>
      </w:r>
      <w:r w:rsidRPr="000A0EA1">
        <w:rPr>
          <w:i/>
          <w:iCs/>
          <w:kern w:val="28"/>
          <w:lang w:val="en-CA"/>
        </w:rPr>
        <w:t>Arsenault</w:t>
      </w:r>
      <w:r w:rsidR="00CF4EBF">
        <w:rPr>
          <w:i/>
          <w:iCs/>
          <w:kern w:val="28"/>
          <w:lang w:val="en-CA"/>
        </w:rPr>
        <w:noBreakHyphen/>
      </w:r>
      <w:r w:rsidRPr="000A0EA1">
        <w:rPr>
          <w:i/>
          <w:iCs/>
          <w:kern w:val="28"/>
          <w:lang w:val="en-CA"/>
        </w:rPr>
        <w:t>Cameron</w:t>
      </w:r>
      <w:r w:rsidRPr="000A0EA1">
        <w:rPr>
          <w:kern w:val="28"/>
          <w:lang w:val="en-CA"/>
        </w:rPr>
        <w:t xml:space="preserve">, where they stated that </w:t>
      </w:r>
      <w:r w:rsidR="00E46AFD">
        <w:rPr>
          <w:kern w:val="28"/>
          <w:lang w:val="en-CA"/>
        </w:rPr>
        <w:t>“</w:t>
      </w:r>
      <w:r w:rsidR="0062160E">
        <w:rPr>
          <w:kern w:val="28"/>
          <w:lang w:val="en-CA"/>
        </w:rPr>
        <w:t>s. 2</w:t>
      </w:r>
      <w:r w:rsidRPr="000A0EA1">
        <w:rPr>
          <w:kern w:val="28"/>
          <w:lang w:val="en-CA"/>
        </w:rPr>
        <w:t>3 was intended in part to protect the minority against the effect of measures adopted to suit the needs of the majority</w:t>
      </w:r>
      <w:r w:rsidR="00E46AFD">
        <w:rPr>
          <w:kern w:val="28"/>
          <w:lang w:val="en-CA"/>
        </w:rPr>
        <w:t>”</w:t>
      </w:r>
      <w:r w:rsidRPr="000A0EA1">
        <w:rPr>
          <w:kern w:val="28"/>
          <w:lang w:val="en-CA"/>
        </w:rPr>
        <w:t>.</w:t>
      </w:r>
      <w:r w:rsidRPr="000A0EA1">
        <w:rPr>
          <w:kern w:val="28"/>
          <w:vertAlign w:val="superscript"/>
          <w:lang w:val="en-CA"/>
        </w:rPr>
        <w:footnoteReference w:id="62"/>
      </w:r>
      <w:r w:rsidRPr="000A0EA1">
        <w:rPr>
          <w:kern w:val="28"/>
          <w:lang w:val="en-CA"/>
        </w:rPr>
        <w:t xml:space="preserve"> He refer</w:t>
      </w:r>
      <w:r w:rsidR="005D1B46">
        <w:rPr>
          <w:kern w:val="28"/>
          <w:lang w:val="en-CA"/>
        </w:rPr>
        <w:t>s</w:t>
      </w:r>
      <w:r w:rsidRPr="000A0EA1">
        <w:rPr>
          <w:kern w:val="28"/>
          <w:lang w:val="en-CA"/>
        </w:rPr>
        <w:t xml:space="preserve"> to the remarks of Wagner, C.J. in </w:t>
      </w:r>
      <w:r w:rsidRPr="000A0EA1">
        <w:rPr>
          <w:i/>
          <w:iCs/>
          <w:kern w:val="28"/>
          <w:lang w:val="en-CA"/>
        </w:rPr>
        <w:t xml:space="preserve">Conseil </w:t>
      </w:r>
      <w:proofErr w:type="spellStart"/>
      <w:r w:rsidRPr="000A0EA1">
        <w:rPr>
          <w:i/>
          <w:iCs/>
          <w:kern w:val="28"/>
          <w:lang w:val="en-CA"/>
        </w:rPr>
        <w:t>scolaire</w:t>
      </w:r>
      <w:proofErr w:type="spellEnd"/>
      <w:r w:rsidRPr="000A0EA1">
        <w:rPr>
          <w:i/>
          <w:iCs/>
          <w:kern w:val="28"/>
          <w:lang w:val="en-CA"/>
        </w:rPr>
        <w:t xml:space="preserve"> francophone de la </w:t>
      </w:r>
      <w:proofErr w:type="spellStart"/>
      <w:r w:rsidRPr="000A0EA1">
        <w:rPr>
          <w:i/>
          <w:iCs/>
          <w:kern w:val="28"/>
          <w:lang w:val="en-CA"/>
        </w:rPr>
        <w:t>Colombie</w:t>
      </w:r>
      <w:r w:rsidR="00CF4EBF">
        <w:rPr>
          <w:i/>
          <w:iCs/>
          <w:kern w:val="28"/>
          <w:lang w:val="en-CA"/>
        </w:rPr>
        <w:noBreakHyphen/>
      </w:r>
      <w:r w:rsidRPr="000A0EA1">
        <w:rPr>
          <w:i/>
          <w:iCs/>
          <w:kern w:val="28"/>
          <w:lang w:val="en-CA"/>
        </w:rPr>
        <w:t>Britannique</w:t>
      </w:r>
      <w:proofErr w:type="spellEnd"/>
      <w:r w:rsidRPr="000A0EA1">
        <w:rPr>
          <w:kern w:val="28"/>
          <w:lang w:val="en-CA"/>
        </w:rPr>
        <w:t xml:space="preserve">, in which the Chief Justice mentioned that what this constitutional provision does is to </w:t>
      </w:r>
      <w:r w:rsidR="00E46AFD">
        <w:rPr>
          <w:kern w:val="28"/>
          <w:lang w:val="en-CA"/>
        </w:rPr>
        <w:t>“</w:t>
      </w:r>
      <w:r w:rsidRPr="000A0EA1">
        <w:rPr>
          <w:kern w:val="28"/>
          <w:lang w:val="en-CA"/>
        </w:rPr>
        <w:t>protect an official language minority from the effects of decisions of the majority in the area of education by granting the minority a certain autonomy in relation to its education system</w:t>
      </w:r>
      <w:r w:rsidR="00E46AFD">
        <w:rPr>
          <w:kern w:val="28"/>
          <w:lang w:val="en-CA"/>
        </w:rPr>
        <w:t>”</w:t>
      </w:r>
      <w:r w:rsidRPr="000A0EA1">
        <w:rPr>
          <w:kern w:val="28"/>
          <w:lang w:val="en-CA"/>
        </w:rPr>
        <w:t>.</w:t>
      </w:r>
      <w:r w:rsidRPr="000A0EA1">
        <w:rPr>
          <w:kern w:val="28"/>
          <w:vertAlign w:val="superscript"/>
          <w:lang w:val="en-CA"/>
        </w:rPr>
        <w:footnoteReference w:id="63"/>
      </w:r>
      <w:r w:rsidRPr="000A0EA1">
        <w:rPr>
          <w:kern w:val="28"/>
          <w:lang w:val="en-CA"/>
        </w:rPr>
        <w:t xml:space="preserve"> </w:t>
      </w:r>
    </w:p>
    <w:p w14:paraId="17F5F26E" w14:textId="7599EC41"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Based on his reading of the Supreme Court</w:t>
      </w:r>
      <w:r w:rsidR="00E46AFD">
        <w:rPr>
          <w:kern w:val="28"/>
          <w:lang w:val="en-CA"/>
        </w:rPr>
        <w:t>’</w:t>
      </w:r>
      <w:r w:rsidRPr="000A0EA1">
        <w:rPr>
          <w:kern w:val="28"/>
          <w:lang w:val="en-CA"/>
        </w:rPr>
        <w:t>s rulings, the judge also conclude</w:t>
      </w:r>
      <w:r w:rsidR="005D1B46">
        <w:rPr>
          <w:kern w:val="28"/>
          <w:lang w:val="en-CA"/>
        </w:rPr>
        <w:t>s</w:t>
      </w:r>
      <w:r w:rsidRPr="000A0EA1">
        <w:rPr>
          <w:kern w:val="28"/>
          <w:lang w:val="en-CA"/>
        </w:rPr>
        <w:t xml:space="preserve"> that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xml:space="preserve"> must be given a broad and liberal interpretation to achieve its purpose,</w:t>
      </w:r>
      <w:r w:rsidRPr="000A0EA1">
        <w:rPr>
          <w:kern w:val="28"/>
          <w:vertAlign w:val="superscript"/>
          <w:lang w:val="en-CA"/>
        </w:rPr>
        <w:footnoteReference w:id="64"/>
      </w:r>
      <w:r w:rsidRPr="000A0EA1">
        <w:rPr>
          <w:kern w:val="28"/>
          <w:lang w:val="en-CA"/>
        </w:rPr>
        <w:t xml:space="preserve"> which le</w:t>
      </w:r>
      <w:r w:rsidR="005D1B46">
        <w:rPr>
          <w:kern w:val="28"/>
          <w:lang w:val="en-CA"/>
        </w:rPr>
        <w:t>ads</w:t>
      </w:r>
      <w:r w:rsidRPr="000A0EA1">
        <w:rPr>
          <w:kern w:val="28"/>
          <w:lang w:val="en-CA"/>
        </w:rPr>
        <w:t xml:space="preserve"> him to examine the impugned sections of </w:t>
      </w:r>
      <w:r w:rsidR="00C33BBC">
        <w:rPr>
          <w:i/>
          <w:iCs/>
          <w:kern w:val="28"/>
          <w:lang w:val="en-CA"/>
        </w:rPr>
        <w:t>Bill 40</w:t>
      </w:r>
      <w:r w:rsidRPr="000A0EA1">
        <w:rPr>
          <w:kern w:val="28"/>
          <w:lang w:val="en-CA"/>
        </w:rPr>
        <w:t xml:space="preserv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from a global perspective and in context to determine whether, taken as a whole, they infringe the rights guaranteed</w:t>
      </w:r>
      <w:r w:rsidR="00E46AFD">
        <w:rPr>
          <w:kern w:val="28"/>
          <w:lang w:val="en-CA"/>
        </w:rPr>
        <w:t>”</w:t>
      </w:r>
      <w:r w:rsidRPr="000A0EA1">
        <w:rPr>
          <w:kern w:val="28"/>
          <w:vertAlign w:val="superscript"/>
          <w:lang w:val="en-CA"/>
        </w:rPr>
        <w:footnoteReference w:id="65"/>
      </w:r>
      <w:r w:rsidRPr="000A0EA1">
        <w:rPr>
          <w:kern w:val="28"/>
          <w:lang w:val="en-CA"/>
        </w:rPr>
        <w:t xml:space="preserve"> by this constitutional provision.</w:t>
      </w:r>
    </w:p>
    <w:p w14:paraId="17F5F26F" w14:textId="1D9B097C"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 second section deals with identifying the rights holders under </w:t>
      </w:r>
      <w:r w:rsidR="0062160E">
        <w:rPr>
          <w:kern w:val="28"/>
          <w:lang w:val="en-CA"/>
        </w:rPr>
        <w:t>s. 2</w:t>
      </w:r>
      <w:r w:rsidRPr="000A0EA1">
        <w:rPr>
          <w:kern w:val="28"/>
          <w:lang w:val="en-CA"/>
        </w:rPr>
        <w:t xml:space="preserve">3 and, more specifically, </w:t>
      </w:r>
      <w:r w:rsidR="0062160E">
        <w:rPr>
          <w:kern w:val="28"/>
          <w:lang w:val="en-CA"/>
        </w:rPr>
        <w:t>s. 2</w:t>
      </w:r>
      <w:r w:rsidRPr="000A0EA1">
        <w:rPr>
          <w:kern w:val="28"/>
          <w:lang w:val="en-CA"/>
        </w:rPr>
        <w:t>3(3)(</w:t>
      </w:r>
      <w:r w:rsidRPr="000A0EA1">
        <w:rPr>
          <w:i/>
          <w:iCs/>
          <w:kern w:val="28"/>
          <w:lang w:val="en-CA"/>
        </w:rPr>
        <w:t>b</w:t>
      </w:r>
      <w:r w:rsidRPr="000A0EA1">
        <w:rPr>
          <w:kern w:val="28"/>
          <w:lang w:val="en-CA"/>
        </w:rPr>
        <w:t>). The judge reject</w:t>
      </w:r>
      <w:r w:rsidR="005D1B46">
        <w:rPr>
          <w:kern w:val="28"/>
          <w:lang w:val="en-CA"/>
        </w:rPr>
        <w:t>s</w:t>
      </w:r>
      <w:r w:rsidRPr="000A0EA1">
        <w:rPr>
          <w:kern w:val="28"/>
          <w:lang w:val="en-CA"/>
        </w:rPr>
        <w:t xml:space="preserve"> the AGQ</w:t>
      </w:r>
      <w:r w:rsidR="00E46AFD">
        <w:rPr>
          <w:kern w:val="28"/>
          <w:lang w:val="en-CA"/>
        </w:rPr>
        <w:t>’</w:t>
      </w:r>
      <w:r w:rsidRPr="000A0EA1">
        <w:rPr>
          <w:kern w:val="28"/>
          <w:lang w:val="en-CA"/>
        </w:rPr>
        <w:t>s approach that only parents of students attending a minority language school enjoy the rights of management and control that flow from this constitutional provision. In the judge</w:t>
      </w:r>
      <w:r w:rsidR="00E46AFD">
        <w:rPr>
          <w:kern w:val="28"/>
          <w:lang w:val="en-CA"/>
        </w:rPr>
        <w:t>’</w:t>
      </w:r>
      <w:r w:rsidRPr="000A0EA1">
        <w:rPr>
          <w:kern w:val="28"/>
          <w:lang w:val="en-CA"/>
        </w:rPr>
        <w:t xml:space="preserve">s view, this is a restrictive </w:t>
      </w:r>
      <w:r w:rsidRPr="000A0EA1">
        <w:rPr>
          <w:kern w:val="28"/>
          <w:lang w:val="en-CA"/>
        </w:rPr>
        <w:lastRenderedPageBreak/>
        <w:t xml:space="preserve">interpretation of </w:t>
      </w:r>
      <w:r w:rsidR="0062160E">
        <w:rPr>
          <w:kern w:val="28"/>
          <w:lang w:val="en-CA"/>
        </w:rPr>
        <w:t>s. 2</w:t>
      </w:r>
      <w:r w:rsidRPr="000A0EA1">
        <w:rPr>
          <w:kern w:val="28"/>
          <w:lang w:val="en-CA"/>
        </w:rPr>
        <w:t>3 that fails to achieve its objectives, particularly because it does not consider the collective dimension of the right to minority language education.</w:t>
      </w:r>
      <w:r w:rsidRPr="000A0EA1">
        <w:rPr>
          <w:kern w:val="28"/>
          <w:vertAlign w:val="superscript"/>
          <w:lang w:val="en-CA"/>
        </w:rPr>
        <w:footnoteReference w:id="66"/>
      </w:r>
    </w:p>
    <w:p w14:paraId="17F5F270" w14:textId="1993D983"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It is this collective dimension that the judge addresse</w:t>
      </w:r>
      <w:r w:rsidR="005D1B46">
        <w:rPr>
          <w:kern w:val="28"/>
          <w:lang w:val="en-CA"/>
        </w:rPr>
        <w:t>s</w:t>
      </w:r>
      <w:r w:rsidRPr="000A0EA1">
        <w:rPr>
          <w:kern w:val="28"/>
          <w:lang w:val="en-CA"/>
        </w:rPr>
        <w:t xml:space="preserve"> in greater detail in the third section. After an exhaustive review of the case law and doctrine, he conclude</w:t>
      </w:r>
      <w:r w:rsidR="005D1B46">
        <w:rPr>
          <w:kern w:val="28"/>
          <w:lang w:val="en-CA"/>
        </w:rPr>
        <w:t>s</w:t>
      </w:r>
      <w:r w:rsidRPr="000A0EA1">
        <w:rPr>
          <w:kern w:val="28"/>
          <w:lang w:val="en-CA"/>
        </w:rPr>
        <w:t xml:space="preserve"> that </w:t>
      </w:r>
      <w:r w:rsidR="0062160E">
        <w:rPr>
          <w:kern w:val="28"/>
          <w:lang w:val="en-CA"/>
        </w:rPr>
        <w:t>s. 2</w:t>
      </w:r>
      <w:r w:rsidRPr="000A0EA1">
        <w:rPr>
          <w:kern w:val="28"/>
          <w:lang w:val="en-CA"/>
        </w:rPr>
        <w:t xml:space="preserve">3 of the </w:t>
      </w:r>
      <w:r w:rsidRPr="000A0EA1">
        <w:rPr>
          <w:i/>
          <w:iCs/>
          <w:kern w:val="28"/>
          <w:lang w:val="en-CA"/>
        </w:rPr>
        <w:t xml:space="preserve">Charter </w:t>
      </w:r>
      <w:r w:rsidRPr="000A0EA1">
        <w:rPr>
          <w:kern w:val="28"/>
          <w:lang w:val="en-CA"/>
        </w:rPr>
        <w:t>protects both individual rights – notably the right of the individuals concerned to have their children educated in the language of the linguistic minority (s</w:t>
      </w:r>
      <w:r w:rsidR="0062160E">
        <w:rPr>
          <w:kern w:val="28"/>
          <w:lang w:val="en-CA"/>
        </w:rPr>
        <w:t>s. 2</w:t>
      </w:r>
      <w:r w:rsidRPr="000A0EA1">
        <w:rPr>
          <w:kern w:val="28"/>
          <w:lang w:val="en-CA"/>
        </w:rPr>
        <w:t>3(1) and (2)) – and collective rights – notably the right of the linguistic minority to manage and control educational facilities (</w:t>
      </w:r>
      <w:r w:rsidR="0062160E">
        <w:rPr>
          <w:kern w:val="28"/>
          <w:lang w:val="en-CA"/>
        </w:rPr>
        <w:t>s. 2</w:t>
      </w:r>
      <w:r w:rsidRPr="000A0EA1">
        <w:rPr>
          <w:kern w:val="28"/>
          <w:lang w:val="en-CA"/>
        </w:rPr>
        <w:t>3(3)</w:t>
      </w:r>
      <w:r w:rsidRPr="000A0EA1">
        <w:rPr>
          <w:i/>
          <w:iCs/>
          <w:kern w:val="28"/>
          <w:lang w:val="en-CA"/>
        </w:rPr>
        <w:t>b</w:t>
      </w:r>
      <w:r w:rsidRPr="000A0EA1">
        <w:rPr>
          <w:kern w:val="28"/>
          <w:lang w:val="en-CA"/>
        </w:rPr>
        <w:t>)). He d</w:t>
      </w:r>
      <w:r w:rsidR="005D1B46">
        <w:rPr>
          <w:kern w:val="28"/>
          <w:lang w:val="en-CA"/>
        </w:rPr>
        <w:t>oes</w:t>
      </w:r>
      <w:r w:rsidRPr="000A0EA1">
        <w:rPr>
          <w:kern w:val="28"/>
          <w:lang w:val="en-CA"/>
        </w:rPr>
        <w:t xml:space="preserve"> not specifically define the groups of individuals forming part of the linguistic minority referred to in </w:t>
      </w:r>
      <w:r w:rsidR="0062160E">
        <w:rPr>
          <w:kern w:val="28"/>
          <w:lang w:val="en-CA"/>
        </w:rPr>
        <w:t>s. 2</w:t>
      </w:r>
      <w:r w:rsidRPr="000A0EA1">
        <w:rPr>
          <w:kern w:val="28"/>
          <w:lang w:val="en-CA"/>
        </w:rPr>
        <w:t>3(3)(</w:t>
      </w:r>
      <w:r w:rsidRPr="000A0EA1">
        <w:rPr>
          <w:i/>
          <w:iCs/>
          <w:kern w:val="28"/>
          <w:lang w:val="en-CA"/>
        </w:rPr>
        <w:t>b</w:t>
      </w:r>
      <w:r w:rsidRPr="000A0EA1">
        <w:rPr>
          <w:kern w:val="28"/>
          <w:lang w:val="en-CA"/>
        </w:rPr>
        <w:t>), but intimate</w:t>
      </w:r>
      <w:r w:rsidR="005D1B46">
        <w:rPr>
          <w:kern w:val="28"/>
          <w:lang w:val="en-CA"/>
        </w:rPr>
        <w:t>s</w:t>
      </w:r>
      <w:r w:rsidRPr="000A0EA1">
        <w:rPr>
          <w:kern w:val="28"/>
          <w:lang w:val="en-CA"/>
        </w:rPr>
        <w:t xml:space="preserve"> that this group includes those described in s</w:t>
      </w:r>
      <w:r w:rsidR="0062160E">
        <w:rPr>
          <w:kern w:val="28"/>
          <w:lang w:val="en-CA"/>
        </w:rPr>
        <w:t>s. 2</w:t>
      </w:r>
      <w:r w:rsidRPr="000A0EA1">
        <w:rPr>
          <w:kern w:val="28"/>
          <w:lang w:val="en-CA"/>
        </w:rPr>
        <w:t>3(1)(</w:t>
      </w:r>
      <w:r w:rsidRPr="000A0EA1">
        <w:rPr>
          <w:i/>
          <w:iCs/>
          <w:kern w:val="28"/>
          <w:lang w:val="en-CA"/>
        </w:rPr>
        <w:t>b</w:t>
      </w:r>
      <w:r w:rsidRPr="000A0EA1">
        <w:rPr>
          <w:kern w:val="28"/>
          <w:lang w:val="en-CA"/>
        </w:rPr>
        <w:t xml:space="preserve">) and 23(2) of the </w:t>
      </w:r>
      <w:r w:rsidRPr="000A0EA1">
        <w:rPr>
          <w:i/>
          <w:iCs/>
          <w:kern w:val="28"/>
          <w:lang w:val="en-CA"/>
        </w:rPr>
        <w:t>Charter</w:t>
      </w:r>
      <w:r w:rsidRPr="000A0EA1">
        <w:rPr>
          <w:kern w:val="28"/>
          <w:lang w:val="en-CA"/>
        </w:rPr>
        <w:t xml:space="preserve">: </w:t>
      </w:r>
    </w:p>
    <w:p w14:paraId="4F96E7E7" w14:textId="77777777" w:rsidR="000C7779" w:rsidRDefault="00B02E00" w:rsidP="00B255B8">
      <w:pPr>
        <w:spacing w:before="120" w:after="120" w:line="240" w:lineRule="auto"/>
        <w:ind w:left="720" w:right="720"/>
        <w:jc w:val="both"/>
        <w:rPr>
          <w:kern w:val="24"/>
          <w:sz w:val="22"/>
          <w:lang w:val="en-CA" w:eastAsia="fr-CA"/>
        </w:rPr>
      </w:pPr>
      <w:r w:rsidRPr="000A0EA1">
        <w:rPr>
          <w:kern w:val="24"/>
          <w:sz w:val="22"/>
          <w:lang w:val="en-CA" w:eastAsia="fr-CA"/>
        </w:rPr>
        <w:t>[</w:t>
      </w:r>
      <w:r w:rsidR="00F16205" w:rsidRPr="00F16205">
        <w:rPr>
          <w:smallCaps/>
          <w:kern w:val="24"/>
          <w:sz w:val="22"/>
          <w:lang w:val="en-CA" w:eastAsia="fr-CA"/>
        </w:rPr>
        <w:t>translation</w:t>
      </w:r>
      <w:r w:rsidRPr="000A0EA1">
        <w:rPr>
          <w:kern w:val="24"/>
          <w:sz w:val="22"/>
          <w:lang w:val="en-CA" w:eastAsia="fr-CA"/>
        </w:rPr>
        <w:t>]</w:t>
      </w:r>
    </w:p>
    <w:p w14:paraId="17F5F271" w14:textId="7A40374F" w:rsidR="00F75613" w:rsidRPr="000A0EA1" w:rsidRDefault="00B02E00" w:rsidP="00B255B8">
      <w:pPr>
        <w:spacing w:before="120" w:after="120" w:line="240" w:lineRule="auto"/>
        <w:ind w:left="720" w:right="720"/>
        <w:jc w:val="both"/>
        <w:rPr>
          <w:kern w:val="24"/>
          <w:sz w:val="22"/>
          <w:lang w:val="en-CA" w:eastAsia="fr-CA"/>
        </w:rPr>
      </w:pPr>
      <w:r w:rsidRPr="000A0EA1">
        <w:rPr>
          <w:kern w:val="24"/>
          <w:sz w:val="22"/>
          <w:lang w:val="en-CA" w:eastAsia="fr-CA"/>
        </w:rPr>
        <w:t>[</w:t>
      </w:r>
      <w:bookmarkStart w:id="34" w:name="par72"/>
      <w:r w:rsidRPr="000A0EA1">
        <w:rPr>
          <w:kern w:val="24"/>
          <w:sz w:val="22"/>
          <w:lang w:val="en-CA" w:eastAsia="fr-CA"/>
        </w:rPr>
        <w:t>72</w:t>
      </w:r>
      <w:bookmarkEnd w:id="34"/>
      <w:r w:rsidRPr="000A0EA1">
        <w:rPr>
          <w:kern w:val="24"/>
          <w:sz w:val="22"/>
          <w:lang w:val="en-CA" w:eastAsia="fr-CA"/>
        </w:rPr>
        <w:t>]</w:t>
      </w:r>
      <w:r w:rsidRPr="000A0EA1">
        <w:rPr>
          <w:kern w:val="24"/>
          <w:sz w:val="22"/>
          <w:lang w:val="en-CA" w:eastAsia="fr-CA"/>
        </w:rPr>
        <w:tab/>
        <w:t xml:space="preserve"> The collective aspect of the rights conferred by </w:t>
      </w:r>
      <w:r w:rsidR="00445AE9">
        <w:rPr>
          <w:kern w:val="24"/>
          <w:sz w:val="22"/>
          <w:lang w:val="en-CA" w:eastAsia="fr-CA"/>
        </w:rPr>
        <w:t xml:space="preserve">s. </w:t>
      </w:r>
      <w:r w:rsidRPr="000A0EA1">
        <w:rPr>
          <w:kern w:val="24"/>
          <w:sz w:val="22"/>
          <w:lang w:val="en-CA" w:eastAsia="fr-CA"/>
        </w:rPr>
        <w:t>23 must therefore condition and inform its interpretation.</w:t>
      </w:r>
    </w:p>
    <w:p w14:paraId="17F5F272" w14:textId="51C314D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bookmarkStart w:id="35" w:name="par73"/>
      <w:r w:rsidRPr="000A0EA1">
        <w:rPr>
          <w:kern w:val="24"/>
          <w:sz w:val="22"/>
          <w:lang w:val="en-CA"/>
        </w:rPr>
        <w:t>73</w:t>
      </w:r>
      <w:bookmarkEnd w:id="35"/>
      <w:r w:rsidRPr="000A0EA1">
        <w:rPr>
          <w:kern w:val="24"/>
          <w:sz w:val="22"/>
          <w:lang w:val="en-CA"/>
        </w:rPr>
        <w:t>]</w:t>
      </w:r>
      <w:r w:rsidRPr="000A0EA1">
        <w:rPr>
          <w:kern w:val="24"/>
          <w:sz w:val="22"/>
          <w:lang w:val="en-CA"/>
        </w:rPr>
        <w:tab/>
        <w:t xml:space="preserve">The </w:t>
      </w:r>
      <w:r w:rsidR="00312FD9">
        <w:rPr>
          <w:kern w:val="24"/>
          <w:sz w:val="22"/>
          <w:lang w:val="en-CA"/>
        </w:rPr>
        <w:t>English</w:t>
      </w:r>
      <w:r w:rsidR="00312FD9">
        <w:rPr>
          <w:kern w:val="24"/>
          <w:sz w:val="22"/>
          <w:lang w:val="en-CA"/>
        </w:rPr>
        <w:noBreakHyphen/>
        <w:t>speaking</w:t>
      </w:r>
      <w:r w:rsidRPr="000A0EA1">
        <w:rPr>
          <w:kern w:val="24"/>
          <w:sz w:val="22"/>
          <w:lang w:val="en-CA"/>
        </w:rPr>
        <w:t xml:space="preserve"> community of Quebec is not limited to parents of students enrolled in school. Section 23 extends its protection to all citizens of Canada who received their primary school instruction in Canada in English or whose child received or is receiving primary or secondary instruction in English. Section 23 does not create two categories of rights holders, those who have children at school and those who do not.</w:t>
      </w:r>
    </w:p>
    <w:p w14:paraId="17F5F273" w14:textId="389A676B" w:rsidR="00F75613" w:rsidRPr="000A0EA1" w:rsidRDefault="00B02E00" w:rsidP="00B255B8">
      <w:pPr>
        <w:spacing w:before="120" w:after="120" w:line="240" w:lineRule="auto"/>
        <w:ind w:left="720" w:right="720"/>
        <w:jc w:val="both"/>
        <w:rPr>
          <w:kern w:val="28"/>
          <w:lang w:val="en-CA"/>
        </w:rPr>
      </w:pPr>
      <w:r w:rsidRPr="000A0EA1">
        <w:rPr>
          <w:kern w:val="24"/>
          <w:sz w:val="22"/>
          <w:lang w:val="en-CA"/>
        </w:rPr>
        <w:t>[</w:t>
      </w:r>
      <w:bookmarkStart w:id="36" w:name="par74"/>
      <w:r w:rsidRPr="000A0EA1">
        <w:rPr>
          <w:kern w:val="24"/>
          <w:sz w:val="22"/>
          <w:lang w:val="en-CA"/>
        </w:rPr>
        <w:t>74</w:t>
      </w:r>
      <w:bookmarkEnd w:id="36"/>
      <w:r w:rsidRPr="000A0EA1">
        <w:rPr>
          <w:kern w:val="24"/>
          <w:sz w:val="22"/>
          <w:lang w:val="en-CA"/>
        </w:rPr>
        <w:t>]</w:t>
      </w:r>
      <w:r w:rsidRPr="000A0EA1">
        <w:rPr>
          <w:kern w:val="24"/>
          <w:sz w:val="22"/>
          <w:lang w:val="en-CA"/>
        </w:rPr>
        <w:tab/>
        <w:t>The designation of community representatives goes beyond simply the group of parents of children enrolled in school. The law must aim to promote the participation of community members in school management, with a view to the community</w:t>
      </w:r>
      <w:r w:rsidR="00E46AFD">
        <w:rPr>
          <w:kern w:val="24"/>
          <w:sz w:val="22"/>
          <w:lang w:val="en-CA"/>
        </w:rPr>
        <w:t>’</w:t>
      </w:r>
      <w:r w:rsidRPr="000A0EA1">
        <w:rPr>
          <w:kern w:val="24"/>
          <w:sz w:val="22"/>
          <w:lang w:val="en-CA"/>
        </w:rPr>
        <w:t>s development.</w:t>
      </w:r>
    </w:p>
    <w:p w14:paraId="17F5F274" w14:textId="649BA1A6"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That said, further on in his reasons, the judge state</w:t>
      </w:r>
      <w:r w:rsidR="005D1B46">
        <w:rPr>
          <w:kern w:val="28"/>
          <w:lang w:val="en-CA"/>
        </w:rPr>
        <w:t>s</w:t>
      </w:r>
      <w:r w:rsidRPr="000A0EA1">
        <w:rPr>
          <w:kern w:val="28"/>
          <w:lang w:val="en-CA"/>
        </w:rPr>
        <w:t xml:space="preserve"> that it is the entire linguistic minority that is covered by </w:t>
      </w:r>
      <w:r w:rsidR="0062160E">
        <w:rPr>
          <w:kern w:val="28"/>
          <w:lang w:val="en-CA"/>
        </w:rPr>
        <w:t>s. 2</w:t>
      </w:r>
      <w:r w:rsidRPr="000A0EA1">
        <w:rPr>
          <w:kern w:val="28"/>
          <w:lang w:val="en-CA"/>
        </w:rPr>
        <w:t>3(3)(</w:t>
      </w:r>
      <w:r w:rsidRPr="000A0EA1">
        <w:rPr>
          <w:i/>
          <w:iCs/>
          <w:kern w:val="28"/>
          <w:lang w:val="en-CA"/>
        </w:rPr>
        <w:t>b</w:t>
      </w:r>
      <w:r w:rsidRPr="000A0EA1">
        <w:rPr>
          <w:kern w:val="28"/>
          <w:lang w:val="en-CA"/>
        </w:rPr>
        <w:t>), but he d</w:t>
      </w:r>
      <w:r w:rsidR="005D1B46">
        <w:rPr>
          <w:kern w:val="28"/>
          <w:lang w:val="en-CA"/>
        </w:rPr>
        <w:t xml:space="preserve">oes </w:t>
      </w:r>
      <w:r w:rsidRPr="000A0EA1">
        <w:rPr>
          <w:kern w:val="28"/>
          <w:lang w:val="en-CA"/>
        </w:rPr>
        <w:t>not precisely</w:t>
      </w:r>
      <w:r w:rsidR="005D1B46">
        <w:rPr>
          <w:kern w:val="28"/>
          <w:lang w:val="en-CA"/>
        </w:rPr>
        <w:t xml:space="preserve"> </w:t>
      </w:r>
      <w:r w:rsidR="00DF5417">
        <w:rPr>
          <w:kern w:val="28"/>
          <w:lang w:val="en-CA"/>
        </w:rPr>
        <w:t xml:space="preserve">define </w:t>
      </w:r>
      <w:r w:rsidR="005D1B46">
        <w:rPr>
          <w:kern w:val="28"/>
          <w:lang w:val="en-CA"/>
        </w:rPr>
        <w:t>that minority</w:t>
      </w:r>
      <w:r w:rsidRPr="000A0EA1">
        <w:rPr>
          <w:kern w:val="28"/>
          <w:lang w:val="en-CA"/>
        </w:rPr>
        <w:t>:</w:t>
      </w:r>
    </w:p>
    <w:p w14:paraId="0B27218B" w14:textId="77777777" w:rsidR="000C7779" w:rsidRDefault="00B02E00" w:rsidP="00B255B8">
      <w:pPr>
        <w:pStyle w:val="Citationenretrait"/>
        <w:spacing w:line="240" w:lineRule="auto"/>
        <w:rPr>
          <w:lang w:val="en-CA"/>
        </w:rPr>
      </w:pPr>
      <w:r w:rsidRPr="000A0EA1">
        <w:rPr>
          <w:lang w:val="en-CA"/>
        </w:rPr>
        <w:t>[</w:t>
      </w:r>
      <w:r w:rsidR="00F16205" w:rsidRPr="00F16205">
        <w:rPr>
          <w:smallCaps/>
          <w:lang w:val="en-CA"/>
        </w:rPr>
        <w:t>translation</w:t>
      </w:r>
      <w:r w:rsidRPr="000A0EA1">
        <w:rPr>
          <w:lang w:val="en-CA"/>
        </w:rPr>
        <w:t>]</w:t>
      </w:r>
    </w:p>
    <w:p w14:paraId="17F5F275" w14:textId="773E7B4E" w:rsidR="00F75613" w:rsidRPr="000A0EA1" w:rsidRDefault="00B02E00" w:rsidP="00B255B8">
      <w:pPr>
        <w:pStyle w:val="Citationenretrait"/>
        <w:spacing w:line="240" w:lineRule="auto"/>
        <w:rPr>
          <w:lang w:val="en-CA"/>
        </w:rPr>
      </w:pPr>
      <w:r w:rsidRPr="000A0EA1">
        <w:rPr>
          <w:lang w:val="en-CA"/>
        </w:rPr>
        <w:t>[211]</w:t>
      </w:r>
      <w:r w:rsidRPr="000A0EA1">
        <w:rPr>
          <w:lang w:val="en-CA"/>
        </w:rPr>
        <w:tab/>
        <w:t>The linguistic minority transcends the smaller group of individuals whose children are enrolled in school. It is the transmission of culture that is at stake. The entire community is involved in the school project, which is not limited to the classrooms. The community must recognize itself in its representatives. It has a say in their appointment. These representatives are eminent members of the community, regardless of their status as parents or members of the governing board. The community must be able to participate in defining the programs and identify the issues that are specific to it. It must be able to express itself through the representatives it has chosen.</w:t>
      </w:r>
    </w:p>
    <w:p w14:paraId="17F5F276" w14:textId="146E783F"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lastRenderedPageBreak/>
        <w:t>In the fourth section, the judge examine</w:t>
      </w:r>
      <w:r w:rsidR="00DF5417">
        <w:rPr>
          <w:kern w:val="28"/>
          <w:lang w:val="en-CA"/>
        </w:rPr>
        <w:t>s</w:t>
      </w:r>
      <w:r w:rsidRPr="000A0EA1">
        <w:rPr>
          <w:kern w:val="28"/>
          <w:lang w:val="en-CA"/>
        </w:rPr>
        <w:t xml:space="preserve"> the historical context in which </w:t>
      </w:r>
      <w:r w:rsidR="0062160E">
        <w:rPr>
          <w:kern w:val="28"/>
          <w:lang w:val="en-CA"/>
        </w:rPr>
        <w:t>s. 2</w:t>
      </w:r>
      <w:r w:rsidRPr="000A0EA1">
        <w:rPr>
          <w:kern w:val="28"/>
          <w:lang w:val="en-CA"/>
        </w:rPr>
        <w:t>3 was enacted. He conduct</w:t>
      </w:r>
      <w:r w:rsidR="005D1B46">
        <w:rPr>
          <w:kern w:val="28"/>
          <w:lang w:val="en-CA"/>
        </w:rPr>
        <w:t>s</w:t>
      </w:r>
      <w:r w:rsidRPr="000A0EA1">
        <w:rPr>
          <w:kern w:val="28"/>
          <w:lang w:val="en-CA"/>
        </w:rPr>
        <w:t xml:space="preserve"> a lengthy review of the expert reports on file that dealt with the history of primary and secondary education in Quebec and the role of the </w:t>
      </w:r>
      <w:r w:rsidR="00312FD9">
        <w:rPr>
          <w:kern w:val="28"/>
          <w:lang w:val="en-CA"/>
        </w:rPr>
        <w:t>English</w:t>
      </w:r>
      <w:r w:rsidR="00312FD9">
        <w:rPr>
          <w:kern w:val="28"/>
          <w:lang w:val="en-CA"/>
        </w:rPr>
        <w:noBreakHyphen/>
        <w:t>speaking</w:t>
      </w:r>
      <w:r w:rsidRPr="000A0EA1">
        <w:rPr>
          <w:kern w:val="28"/>
          <w:lang w:val="en-CA"/>
        </w:rPr>
        <w:t xml:space="preserve"> community in the governance of educational structures. He note</w:t>
      </w:r>
      <w:r w:rsidR="005D1B46">
        <w:rPr>
          <w:kern w:val="28"/>
          <w:lang w:val="en-CA"/>
        </w:rPr>
        <w:t>s</w:t>
      </w:r>
      <w:r w:rsidRPr="000A0EA1">
        <w:rPr>
          <w:kern w:val="28"/>
          <w:lang w:val="en-CA"/>
        </w:rPr>
        <w:t xml:space="preserve"> that, at the time of Confederation, the educational rights of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were largely based on the constitutional guarantees conferred on Quebec Protestants under </w:t>
      </w:r>
      <w:r w:rsidR="0062160E">
        <w:rPr>
          <w:kern w:val="28"/>
          <w:lang w:val="en-CA"/>
        </w:rPr>
        <w:t>s. 9</w:t>
      </w:r>
      <w:r w:rsidRPr="000A0EA1">
        <w:rPr>
          <w:kern w:val="28"/>
          <w:lang w:val="en-CA"/>
        </w:rPr>
        <w:t xml:space="preserve">3 of the </w:t>
      </w:r>
      <w:r w:rsidRPr="000A0EA1">
        <w:rPr>
          <w:i/>
          <w:iCs/>
          <w:kern w:val="28"/>
          <w:lang w:val="en-CA"/>
        </w:rPr>
        <w:t>Constitution Act,</w:t>
      </w:r>
      <w:r w:rsidR="002A6F16">
        <w:rPr>
          <w:i/>
          <w:iCs/>
          <w:kern w:val="28"/>
          <w:lang w:val="en-CA"/>
        </w:rPr>
        <w:t> </w:t>
      </w:r>
      <w:r w:rsidRPr="000A0EA1">
        <w:rPr>
          <w:i/>
          <w:iCs/>
          <w:kern w:val="28"/>
          <w:lang w:val="en-CA"/>
        </w:rPr>
        <w:t>1867</w:t>
      </w:r>
      <w:r w:rsidRPr="000A0EA1">
        <w:rPr>
          <w:kern w:val="28"/>
          <w:lang w:val="en-CA"/>
        </w:rPr>
        <w:t>. The judge then examine</w:t>
      </w:r>
      <w:r w:rsidR="005D1B46">
        <w:rPr>
          <w:kern w:val="28"/>
          <w:lang w:val="en-CA"/>
        </w:rPr>
        <w:t>s</w:t>
      </w:r>
      <w:r w:rsidRPr="000A0EA1">
        <w:rPr>
          <w:kern w:val="28"/>
          <w:lang w:val="en-CA"/>
        </w:rPr>
        <w:t xml:space="preserve"> the evolution of Quebec</w:t>
      </w:r>
      <w:r w:rsidR="00E46AFD">
        <w:rPr>
          <w:kern w:val="28"/>
          <w:lang w:val="en-CA"/>
        </w:rPr>
        <w:t>’</w:t>
      </w:r>
      <w:r w:rsidRPr="000A0EA1">
        <w:rPr>
          <w:kern w:val="28"/>
          <w:lang w:val="en-CA"/>
        </w:rPr>
        <w:t xml:space="preserve">s educational structures from Confederation to the enactment of </w:t>
      </w:r>
      <w:r w:rsidR="00C33BBC">
        <w:rPr>
          <w:i/>
          <w:iCs/>
          <w:kern w:val="28"/>
          <w:lang w:val="en-CA"/>
        </w:rPr>
        <w:t>Bill 40</w:t>
      </w:r>
      <w:r w:rsidRPr="000A0EA1">
        <w:rPr>
          <w:kern w:val="28"/>
          <w:lang w:val="en-CA"/>
        </w:rPr>
        <w:t>. He note</w:t>
      </w:r>
      <w:r w:rsidR="00E0477C">
        <w:rPr>
          <w:kern w:val="28"/>
          <w:lang w:val="en-CA"/>
        </w:rPr>
        <w:t>s</w:t>
      </w:r>
      <w:r w:rsidRPr="000A0EA1">
        <w:rPr>
          <w:kern w:val="28"/>
          <w:lang w:val="en-CA"/>
        </w:rPr>
        <w:t xml:space="preserve"> the circumstances that led to the </w:t>
      </w:r>
      <w:r w:rsidRPr="000A0EA1">
        <w:rPr>
          <w:i/>
          <w:iCs/>
          <w:kern w:val="28"/>
          <w:lang w:val="en-CA"/>
        </w:rPr>
        <w:t>Constitution Amendment,</w:t>
      </w:r>
      <w:r w:rsidR="002A6F16">
        <w:rPr>
          <w:i/>
          <w:iCs/>
          <w:kern w:val="28"/>
          <w:lang w:val="en-CA"/>
        </w:rPr>
        <w:t> </w:t>
      </w:r>
      <w:r w:rsidRPr="000A0EA1">
        <w:rPr>
          <w:i/>
          <w:iCs/>
          <w:kern w:val="28"/>
          <w:lang w:val="en-CA"/>
        </w:rPr>
        <w:t>1997</w:t>
      </w:r>
      <w:r w:rsidR="002A6F16">
        <w:rPr>
          <w:i/>
          <w:iCs/>
          <w:kern w:val="28"/>
          <w:lang w:val="en-CA"/>
        </w:rPr>
        <w:t> </w:t>
      </w:r>
      <w:r w:rsidRPr="000A0EA1">
        <w:rPr>
          <w:i/>
          <w:iCs/>
          <w:kern w:val="28"/>
          <w:lang w:val="en-CA"/>
        </w:rPr>
        <w:t>(Quebec)</w:t>
      </w:r>
      <w:r w:rsidRPr="000A0EA1">
        <w:rPr>
          <w:kern w:val="28"/>
          <w:lang w:val="en-CA"/>
        </w:rPr>
        <w:t>, which rendered the denominational education guarantees of s</w:t>
      </w:r>
      <w:r w:rsidR="0062160E">
        <w:rPr>
          <w:kern w:val="28"/>
          <w:lang w:val="en-CA"/>
        </w:rPr>
        <w:t>s. 9</w:t>
      </w:r>
      <w:r w:rsidRPr="000A0EA1">
        <w:rPr>
          <w:kern w:val="28"/>
          <w:lang w:val="en-CA"/>
        </w:rPr>
        <w:t xml:space="preserve">3(1) to (4) of the </w:t>
      </w:r>
      <w:r w:rsidRPr="000A0EA1">
        <w:rPr>
          <w:i/>
          <w:iCs/>
          <w:kern w:val="28"/>
          <w:lang w:val="en-CA"/>
        </w:rPr>
        <w:t>Constitution</w:t>
      </w:r>
      <w:r w:rsidR="002A6F16">
        <w:rPr>
          <w:i/>
          <w:iCs/>
          <w:kern w:val="28"/>
          <w:lang w:val="en-CA"/>
        </w:rPr>
        <w:t> </w:t>
      </w:r>
      <w:r w:rsidRPr="000A0EA1">
        <w:rPr>
          <w:i/>
          <w:iCs/>
          <w:kern w:val="28"/>
          <w:lang w:val="en-CA"/>
        </w:rPr>
        <w:t>Act,</w:t>
      </w:r>
      <w:r w:rsidR="002A6F16">
        <w:rPr>
          <w:i/>
          <w:iCs/>
          <w:kern w:val="28"/>
          <w:lang w:val="en-CA"/>
        </w:rPr>
        <w:t> </w:t>
      </w:r>
      <w:r w:rsidRPr="000A0EA1">
        <w:rPr>
          <w:i/>
          <w:iCs/>
          <w:kern w:val="28"/>
          <w:lang w:val="en-CA"/>
        </w:rPr>
        <w:t xml:space="preserve">1867 </w:t>
      </w:r>
      <w:r w:rsidRPr="000A0EA1">
        <w:rPr>
          <w:kern w:val="28"/>
          <w:lang w:val="en-CA"/>
        </w:rPr>
        <w:t xml:space="preserve">inapplicable to Quebec and facilitated the replacement of denominational school boards with linguistic school boards. </w:t>
      </w:r>
    </w:p>
    <w:p w14:paraId="17F5F277" w14:textId="58D70415" w:rsidR="00F75613" w:rsidRDefault="00B02E00" w:rsidP="00B255B8">
      <w:pPr>
        <w:numPr>
          <w:ilvl w:val="0"/>
          <w:numId w:val="1"/>
        </w:numPr>
        <w:spacing w:before="120" w:after="120" w:line="240" w:lineRule="auto"/>
        <w:jc w:val="both"/>
        <w:rPr>
          <w:kern w:val="28"/>
          <w:lang w:val="en-CA"/>
        </w:rPr>
      </w:pPr>
      <w:r w:rsidRPr="000A0EA1">
        <w:rPr>
          <w:kern w:val="28"/>
          <w:lang w:val="en-CA"/>
        </w:rPr>
        <w:t>He also note</w:t>
      </w:r>
      <w:r w:rsidR="00E0477C">
        <w:rPr>
          <w:kern w:val="28"/>
          <w:lang w:val="en-CA"/>
        </w:rPr>
        <w:t>s</w:t>
      </w:r>
      <w:r w:rsidRPr="000A0EA1">
        <w:rPr>
          <w:kern w:val="28"/>
          <w:lang w:val="en-CA"/>
        </w:rPr>
        <w:t xml:space="preserve"> the commitment made by the representatives of Quebec and Canada to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at the time of this constitutional amendment, with regard to the management and control of their school boards. He state</w:t>
      </w:r>
      <w:r w:rsidR="00E0477C">
        <w:rPr>
          <w:kern w:val="28"/>
          <w:lang w:val="en-CA"/>
        </w:rPr>
        <w:t>s</w:t>
      </w:r>
      <w:r w:rsidRPr="000A0EA1">
        <w:rPr>
          <w:kern w:val="28"/>
          <w:lang w:val="en-CA"/>
        </w:rPr>
        <w:t xml:space="preserve"> that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 xml:space="preserve">[t]his commitment to keeping the management and control of institutions in the hands of the minority must necessarily guide the interpretation of </w:t>
      </w:r>
      <w:r w:rsidR="00717EBB">
        <w:rPr>
          <w:kern w:val="28"/>
          <w:lang w:val="en-CA"/>
        </w:rPr>
        <w:t>s. </w:t>
      </w:r>
      <w:r w:rsidRPr="000A0EA1">
        <w:rPr>
          <w:kern w:val="28"/>
          <w:lang w:val="en-CA"/>
        </w:rPr>
        <w:t>23 in this situation</w:t>
      </w:r>
      <w:r w:rsidR="00E46AFD">
        <w:rPr>
          <w:kern w:val="28"/>
          <w:lang w:val="en-CA"/>
        </w:rPr>
        <w:t>”</w:t>
      </w:r>
      <w:r w:rsidRPr="000A0EA1">
        <w:rPr>
          <w:kern w:val="28"/>
          <w:lang w:val="en-CA"/>
        </w:rPr>
        <w:t>.</w:t>
      </w:r>
      <w:r w:rsidRPr="000A0EA1">
        <w:rPr>
          <w:kern w:val="28"/>
          <w:vertAlign w:val="superscript"/>
          <w:lang w:val="en-CA"/>
        </w:rPr>
        <w:footnoteReference w:id="67"/>
      </w:r>
      <w:r w:rsidRPr="000A0EA1">
        <w:rPr>
          <w:kern w:val="28"/>
          <w:lang w:val="en-CA"/>
        </w:rPr>
        <w:t xml:space="preserve"> Based on his overview of the historical context, he conclude</w:t>
      </w:r>
      <w:r w:rsidR="00E0477C">
        <w:rPr>
          <w:kern w:val="28"/>
          <w:lang w:val="en-CA"/>
        </w:rPr>
        <w:t>s</w:t>
      </w:r>
      <w:r w:rsidRPr="000A0EA1">
        <w:rPr>
          <w:kern w:val="28"/>
          <w:lang w:val="en-CA"/>
        </w:rPr>
        <w:t xml:space="preserve"> that the guarantees under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xml:space="preserve"> must be interpreted in such a way as to protect the management and control rights of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over its primary and secondary educational institutions:</w:t>
      </w:r>
    </w:p>
    <w:p w14:paraId="7BFC2A29" w14:textId="33683C10" w:rsidR="00E0477C" w:rsidRPr="00E0477C" w:rsidRDefault="00E0477C" w:rsidP="00B255B8">
      <w:pPr>
        <w:spacing w:before="120" w:after="120" w:line="240" w:lineRule="auto"/>
        <w:ind w:left="720"/>
        <w:jc w:val="both"/>
        <w:rPr>
          <w:kern w:val="28"/>
          <w:sz w:val="22"/>
          <w:szCs w:val="22"/>
          <w:lang w:val="en-CA"/>
        </w:rPr>
      </w:pPr>
      <w:r w:rsidRPr="00DF5417">
        <w:rPr>
          <w:kern w:val="28"/>
          <w:sz w:val="20"/>
          <w:lang w:val="en-CA"/>
        </w:rPr>
        <w:t>[TRANSLATION</w:t>
      </w:r>
      <w:r w:rsidRPr="00E0477C">
        <w:rPr>
          <w:kern w:val="28"/>
          <w:sz w:val="22"/>
          <w:szCs w:val="22"/>
          <w:lang w:val="en-CA"/>
        </w:rPr>
        <w:t>]</w:t>
      </w:r>
    </w:p>
    <w:p w14:paraId="17F5F278" w14:textId="77777777" w:rsidR="00F75613" w:rsidRPr="000A0EA1" w:rsidRDefault="00B02E00" w:rsidP="00B255B8">
      <w:pPr>
        <w:spacing w:before="120" w:after="120" w:line="240" w:lineRule="auto"/>
        <w:ind w:left="720" w:right="720"/>
        <w:jc w:val="both"/>
        <w:rPr>
          <w:kern w:val="24"/>
          <w:sz w:val="22"/>
          <w:lang w:val="en-CA" w:eastAsia="fr-CA"/>
        </w:rPr>
      </w:pPr>
      <w:r w:rsidRPr="000A0EA1">
        <w:rPr>
          <w:kern w:val="24"/>
          <w:sz w:val="22"/>
          <w:lang w:val="en-CA" w:eastAsia="fr-CA"/>
        </w:rPr>
        <w:t>[</w:t>
      </w:r>
      <w:bookmarkStart w:id="37" w:name="par148"/>
      <w:r w:rsidRPr="000A0EA1">
        <w:rPr>
          <w:kern w:val="24"/>
          <w:sz w:val="22"/>
          <w:lang w:val="en-CA" w:eastAsia="fr-CA"/>
        </w:rPr>
        <w:t>148</w:t>
      </w:r>
      <w:bookmarkEnd w:id="37"/>
      <w:r w:rsidRPr="000A0EA1">
        <w:rPr>
          <w:kern w:val="24"/>
          <w:sz w:val="22"/>
          <w:lang w:val="en-CA" w:eastAsia="fr-CA"/>
        </w:rPr>
        <w:t>]</w:t>
      </w:r>
      <w:r w:rsidRPr="000A0EA1">
        <w:rPr>
          <w:rFonts w:ascii="Times New Roman" w:hAnsi="Times New Roman"/>
          <w:kern w:val="24"/>
          <w:sz w:val="14"/>
          <w:szCs w:val="14"/>
          <w:lang w:val="en-CA" w:eastAsia="fr-CA"/>
        </w:rPr>
        <w:tab/>
      </w:r>
      <w:r w:rsidRPr="000A0EA1">
        <w:rPr>
          <w:kern w:val="24"/>
          <w:sz w:val="22"/>
          <w:lang w:val="en-CA" w:eastAsia="fr-CA"/>
        </w:rPr>
        <w:t xml:space="preserve">In </w:t>
      </w:r>
      <w:r w:rsidRPr="000A0EA1">
        <w:rPr>
          <w:i/>
          <w:iCs/>
          <w:color w:val="212529"/>
          <w:kern w:val="24"/>
          <w:sz w:val="22"/>
          <w:lang w:val="en-CA" w:eastAsia="fr-CA"/>
        </w:rPr>
        <w:t>Reference re Public Schools Act (Man.)</w:t>
      </w:r>
      <w:r w:rsidRPr="000A0EA1">
        <w:rPr>
          <w:iCs/>
          <w:color w:val="212529"/>
          <w:kern w:val="24"/>
          <w:sz w:val="22"/>
          <w:lang w:val="en-CA" w:eastAsia="fr-CA"/>
        </w:rPr>
        <w:t>, the majority wrote</w:t>
      </w:r>
      <w:r w:rsidRPr="000A0EA1">
        <w:rPr>
          <w:color w:val="212529"/>
          <w:kern w:val="24"/>
          <w:sz w:val="20"/>
          <w:lang w:val="en-CA" w:eastAsia="fr-CA"/>
        </w:rPr>
        <w:t>:</w:t>
      </w:r>
      <w:r w:rsidRPr="000A0EA1">
        <w:rPr>
          <w:kern w:val="24"/>
          <w:sz w:val="22"/>
          <w:lang w:val="en-CA" w:eastAsia="fr-CA"/>
        </w:rPr>
        <w:t xml:space="preserve"> </w:t>
      </w:r>
    </w:p>
    <w:p w14:paraId="17F5F279" w14:textId="7D53AA61" w:rsidR="00F75613" w:rsidRPr="000A0EA1" w:rsidRDefault="00B02E00" w:rsidP="00B255B8">
      <w:pPr>
        <w:spacing w:before="120" w:after="120" w:line="240" w:lineRule="auto"/>
        <w:ind w:left="1440" w:right="720"/>
        <w:jc w:val="both"/>
        <w:rPr>
          <w:kern w:val="24"/>
          <w:sz w:val="20"/>
          <w:lang w:val="en-CA" w:eastAsia="fr-CA"/>
        </w:rPr>
      </w:pPr>
      <w:r w:rsidRPr="000A0EA1">
        <w:rPr>
          <w:kern w:val="24"/>
          <w:sz w:val="20"/>
          <w:lang w:val="en-CA" w:eastAsia="fr-CA"/>
        </w:rPr>
        <w:t>In passing, one should note, as this Court held in Ford v. Quebec (Attorney General), 1988 CanLII 19 (SCC), [1988] 2</w:t>
      </w:r>
      <w:r w:rsidR="00956B70">
        <w:rPr>
          <w:kern w:val="24"/>
          <w:sz w:val="20"/>
          <w:lang w:val="en-CA" w:eastAsia="fr-CA"/>
        </w:rPr>
        <w:t> S.C.R. </w:t>
      </w:r>
      <w:r w:rsidRPr="000A0EA1">
        <w:rPr>
          <w:kern w:val="24"/>
          <w:sz w:val="20"/>
          <w:lang w:val="en-CA" w:eastAsia="fr-CA"/>
        </w:rPr>
        <w:t xml:space="preserve">712, at pp. 777-78, that </w:t>
      </w:r>
      <w:r w:rsidRPr="000A0EA1">
        <w:rPr>
          <w:kern w:val="24"/>
          <w:sz w:val="20"/>
          <w:u w:val="single"/>
          <w:lang w:val="en-CA" w:eastAsia="fr-CA"/>
        </w:rPr>
        <w:t>the focus on the historical context of language and culture indicates that different interpretative approaches may well have to be taken in different jurisdictions, sensitive to the unique blend of linguistic dynamics that have developed in each province.</w:t>
      </w:r>
    </w:p>
    <w:p w14:paraId="17F5F27A" w14:textId="771E76E2" w:rsidR="00F75613" w:rsidRPr="000A0EA1" w:rsidRDefault="00403CE7" w:rsidP="00DF5417">
      <w:pPr>
        <w:spacing w:before="120" w:after="120" w:line="240" w:lineRule="auto"/>
        <w:ind w:left="720" w:right="720"/>
        <w:jc w:val="right"/>
        <w:rPr>
          <w:kern w:val="24"/>
          <w:sz w:val="22"/>
          <w:lang w:val="en-CA" w:eastAsia="fr-CA"/>
        </w:rPr>
      </w:pPr>
      <w:r>
        <w:rPr>
          <w:kern w:val="24"/>
          <w:sz w:val="22"/>
          <w:lang w:val="en-CA" w:eastAsia="fr-CA"/>
        </w:rPr>
        <w:t>(</w:t>
      </w:r>
      <w:r w:rsidR="00B02E00" w:rsidRPr="000A0EA1">
        <w:rPr>
          <w:kern w:val="24"/>
          <w:sz w:val="22"/>
          <w:lang w:val="en-CA" w:eastAsia="fr-CA"/>
        </w:rPr>
        <w:t>Emphasis added</w:t>
      </w:r>
      <w:r w:rsidR="00DF5417">
        <w:rPr>
          <w:kern w:val="24"/>
          <w:sz w:val="22"/>
          <w:lang w:val="en-CA" w:eastAsia="fr-CA"/>
        </w:rPr>
        <w:t xml:space="preserve"> by the trial judge</w:t>
      </w:r>
      <w:r>
        <w:rPr>
          <w:kern w:val="24"/>
          <w:sz w:val="22"/>
          <w:lang w:val="en-CA" w:eastAsia="fr-CA"/>
        </w:rPr>
        <w:t>)</w:t>
      </w:r>
    </w:p>
    <w:p w14:paraId="17F5F27B" w14:textId="5A9009DF" w:rsidR="00F75613" w:rsidRPr="000A0EA1" w:rsidRDefault="00B02E00" w:rsidP="00B255B8">
      <w:pPr>
        <w:spacing w:before="120" w:after="120" w:line="240" w:lineRule="auto"/>
        <w:ind w:left="720" w:right="720"/>
        <w:jc w:val="both"/>
        <w:rPr>
          <w:kern w:val="24"/>
          <w:sz w:val="22"/>
          <w:lang w:val="en-CA" w:eastAsia="fr-CA"/>
        </w:rPr>
      </w:pPr>
      <w:r w:rsidRPr="000A0EA1">
        <w:rPr>
          <w:kern w:val="24"/>
          <w:sz w:val="22"/>
          <w:lang w:val="en-CA" w:eastAsia="fr-CA"/>
        </w:rPr>
        <w:t>[</w:t>
      </w:r>
      <w:bookmarkStart w:id="38" w:name="par149"/>
      <w:r w:rsidRPr="000A0EA1">
        <w:rPr>
          <w:kern w:val="24"/>
          <w:sz w:val="22"/>
          <w:lang w:val="en-CA" w:eastAsia="fr-CA"/>
        </w:rPr>
        <w:t>149</w:t>
      </w:r>
      <w:bookmarkEnd w:id="38"/>
      <w:r w:rsidRPr="000A0EA1">
        <w:rPr>
          <w:kern w:val="24"/>
          <w:sz w:val="22"/>
          <w:lang w:val="en-CA" w:eastAsia="fr-CA"/>
        </w:rPr>
        <w:t>]</w:t>
      </w:r>
      <w:r w:rsidRPr="000A0EA1">
        <w:rPr>
          <w:kern w:val="24"/>
          <w:sz w:val="22"/>
          <w:lang w:val="en-CA" w:eastAsia="fr-CA"/>
        </w:rPr>
        <w:tab/>
        <w:t xml:space="preserve">Concurrently with the purpose of </w:t>
      </w:r>
      <w:r w:rsidR="00103915">
        <w:rPr>
          <w:kern w:val="24"/>
          <w:sz w:val="22"/>
          <w:lang w:val="en-CA" w:eastAsia="fr-CA"/>
        </w:rPr>
        <w:t>s. </w:t>
      </w:r>
      <w:r w:rsidRPr="000A0EA1">
        <w:rPr>
          <w:kern w:val="24"/>
          <w:sz w:val="22"/>
          <w:lang w:val="en-CA" w:eastAsia="fr-CA"/>
        </w:rPr>
        <w:t>23 to [</w:t>
      </w:r>
      <w:r w:rsidR="00F16205" w:rsidRPr="00F16205">
        <w:rPr>
          <w:smallCaps/>
          <w:kern w:val="24"/>
          <w:sz w:val="22"/>
          <w:lang w:val="en-CA" w:eastAsia="fr-CA"/>
        </w:rPr>
        <w:t>translation</w:t>
      </w:r>
      <w:r w:rsidRPr="000A0EA1">
        <w:rPr>
          <w:kern w:val="24"/>
          <w:sz w:val="22"/>
          <w:lang w:val="en-CA" w:eastAsia="fr-CA"/>
        </w:rPr>
        <w:t>]</w:t>
      </w:r>
      <w:r w:rsidR="0095135B">
        <w:rPr>
          <w:kern w:val="24"/>
          <w:sz w:val="22"/>
          <w:lang w:val="en-CA" w:eastAsia="fr-CA"/>
        </w:rPr>
        <w:t> </w:t>
      </w:r>
      <w:r w:rsidR="00E46AFD">
        <w:rPr>
          <w:kern w:val="24"/>
          <w:sz w:val="22"/>
          <w:lang w:val="en-CA" w:eastAsia="fr-CA"/>
        </w:rPr>
        <w:t>“</w:t>
      </w:r>
      <w:r w:rsidRPr="000A0EA1">
        <w:rPr>
          <w:kern w:val="24"/>
          <w:sz w:val="22"/>
          <w:lang w:val="en-CA" w:eastAsia="fr-CA"/>
        </w:rPr>
        <w:t>remedy</w:t>
      </w:r>
      <w:r w:rsidR="00E46AFD">
        <w:rPr>
          <w:kern w:val="24"/>
          <w:sz w:val="22"/>
          <w:lang w:val="en-CA" w:eastAsia="fr-CA"/>
        </w:rPr>
        <w:t>”</w:t>
      </w:r>
      <w:r w:rsidRPr="000A0EA1">
        <w:rPr>
          <w:kern w:val="24"/>
          <w:sz w:val="22"/>
          <w:lang w:val="en-CA" w:eastAsia="fr-CA"/>
        </w:rPr>
        <w:t xml:space="preserve"> the injustices done to Francophones living outside Quebec, in Quebec it must also be to prevent the erosion of the rights acquired over the centuries by </w:t>
      </w:r>
      <w:r w:rsidR="00312FD9">
        <w:rPr>
          <w:kern w:val="24"/>
          <w:sz w:val="22"/>
          <w:lang w:val="en-CA" w:eastAsia="fr-CA"/>
        </w:rPr>
        <w:t>English</w:t>
      </w:r>
      <w:r w:rsidR="00312FD9">
        <w:rPr>
          <w:kern w:val="24"/>
          <w:sz w:val="22"/>
          <w:lang w:val="en-CA" w:eastAsia="fr-CA"/>
        </w:rPr>
        <w:noBreakHyphen/>
        <w:t>speaking</w:t>
      </w:r>
      <w:r w:rsidRPr="000A0EA1">
        <w:rPr>
          <w:kern w:val="24"/>
          <w:sz w:val="22"/>
          <w:lang w:val="en-CA" w:eastAsia="fr-CA"/>
        </w:rPr>
        <w:t xml:space="preserve"> Quebeckers to the management and control of their educational institutions.</w:t>
      </w:r>
    </w:p>
    <w:p w14:paraId="17F5F27C" w14:textId="10560507" w:rsidR="00F75613" w:rsidRPr="000A0EA1" w:rsidRDefault="00B02E00" w:rsidP="00B255B8">
      <w:pPr>
        <w:spacing w:before="120" w:after="120" w:line="240" w:lineRule="auto"/>
        <w:ind w:left="720" w:right="720"/>
        <w:jc w:val="both"/>
        <w:rPr>
          <w:kern w:val="24"/>
          <w:sz w:val="22"/>
          <w:lang w:val="en-CA" w:eastAsia="fr-CA"/>
        </w:rPr>
      </w:pPr>
      <w:r w:rsidRPr="000A0EA1">
        <w:rPr>
          <w:kern w:val="24"/>
          <w:sz w:val="22"/>
          <w:lang w:val="en-CA" w:eastAsia="fr-CA"/>
        </w:rPr>
        <w:t>[</w:t>
      </w:r>
      <w:bookmarkStart w:id="39" w:name="par150"/>
      <w:r w:rsidRPr="000A0EA1">
        <w:rPr>
          <w:kern w:val="24"/>
          <w:sz w:val="22"/>
          <w:lang w:val="en-CA" w:eastAsia="fr-CA"/>
        </w:rPr>
        <w:t>150</w:t>
      </w:r>
      <w:bookmarkEnd w:id="39"/>
      <w:r w:rsidRPr="000A0EA1">
        <w:rPr>
          <w:kern w:val="24"/>
          <w:sz w:val="22"/>
          <w:lang w:val="en-CA" w:eastAsia="fr-CA"/>
        </w:rPr>
        <w:t>]</w:t>
      </w:r>
      <w:r w:rsidRPr="000A0EA1">
        <w:rPr>
          <w:kern w:val="24"/>
          <w:sz w:val="22"/>
          <w:lang w:val="en-CA" w:eastAsia="fr-CA"/>
        </w:rPr>
        <w:tab/>
        <w:t xml:space="preserve">As professors Guillaume Rousseau and Éric Poirier wrote on </w:t>
      </w:r>
      <w:r w:rsidR="00103915">
        <w:rPr>
          <w:kern w:val="24"/>
          <w:sz w:val="22"/>
          <w:lang w:val="en-CA" w:eastAsia="fr-CA"/>
        </w:rPr>
        <w:t>s. </w:t>
      </w:r>
      <w:r w:rsidRPr="000A0EA1">
        <w:rPr>
          <w:kern w:val="24"/>
          <w:sz w:val="22"/>
          <w:lang w:val="en-CA" w:eastAsia="fr-CA"/>
        </w:rPr>
        <w:t>23 and its application in Quebec:</w:t>
      </w:r>
    </w:p>
    <w:p w14:paraId="17F5F27D" w14:textId="0B6B2E32" w:rsidR="00F75613" w:rsidRPr="000A0EA1" w:rsidRDefault="00E46AFD" w:rsidP="00B255B8">
      <w:pPr>
        <w:spacing w:before="120" w:after="120" w:line="240" w:lineRule="auto"/>
        <w:ind w:left="1440" w:right="720"/>
        <w:jc w:val="both"/>
        <w:rPr>
          <w:kern w:val="24"/>
          <w:sz w:val="20"/>
          <w:lang w:val="en-CA" w:eastAsia="fr-CA"/>
        </w:rPr>
      </w:pPr>
      <w:r>
        <w:rPr>
          <w:kern w:val="24"/>
          <w:sz w:val="20"/>
          <w:lang w:val="en-CA" w:eastAsia="fr-CA"/>
        </w:rPr>
        <w:lastRenderedPageBreak/>
        <w:t>“</w:t>
      </w:r>
      <w:r w:rsidR="00B02E00" w:rsidRPr="000A0EA1">
        <w:rPr>
          <w:kern w:val="24"/>
          <w:sz w:val="20"/>
          <w:lang w:val="en-CA" w:eastAsia="fr-CA"/>
        </w:rPr>
        <w:t>Rather than causing changes as it did in the other provinces, (</w:t>
      </w:r>
      <w:r w:rsidR="00103915">
        <w:rPr>
          <w:kern w:val="24"/>
          <w:sz w:val="20"/>
          <w:lang w:val="en-CA" w:eastAsia="fr-CA"/>
        </w:rPr>
        <w:t>s. </w:t>
      </w:r>
      <w:r w:rsidR="00B02E00" w:rsidRPr="000A0EA1">
        <w:rPr>
          <w:kern w:val="24"/>
          <w:sz w:val="20"/>
          <w:lang w:val="en-CA" w:eastAsia="fr-CA"/>
        </w:rPr>
        <w:t>23) protected existing institutions in Quebec.</w:t>
      </w:r>
      <w:r w:rsidR="007542A3">
        <w:rPr>
          <w:kern w:val="24"/>
          <w:sz w:val="20"/>
          <w:lang w:val="en-CA" w:eastAsia="fr-CA"/>
        </w:rPr>
        <w:t>”</w:t>
      </w:r>
    </w:p>
    <w:p w14:paraId="17F5F27E" w14:textId="5667604A" w:rsidR="00F75613" w:rsidRPr="000A0EA1" w:rsidRDefault="00403CE7" w:rsidP="00B255B8">
      <w:pPr>
        <w:spacing w:after="120" w:line="240" w:lineRule="auto"/>
        <w:ind w:left="720" w:right="720"/>
        <w:jc w:val="right"/>
        <w:rPr>
          <w:kern w:val="24"/>
          <w:sz w:val="22"/>
          <w:szCs w:val="22"/>
          <w:lang w:val="en-CA" w:eastAsia="fr-CA"/>
        </w:rPr>
      </w:pPr>
      <w:r>
        <w:rPr>
          <w:kern w:val="24"/>
          <w:sz w:val="22"/>
          <w:szCs w:val="22"/>
          <w:lang w:val="en-CA" w:eastAsia="fr-CA"/>
        </w:rPr>
        <w:t>(</w:t>
      </w:r>
      <w:r w:rsidR="00B02E00" w:rsidRPr="000A0EA1">
        <w:rPr>
          <w:kern w:val="24"/>
          <w:sz w:val="22"/>
          <w:szCs w:val="22"/>
          <w:lang w:val="en-CA" w:eastAsia="fr-CA"/>
        </w:rPr>
        <w:t>References omitted</w:t>
      </w:r>
      <w:r>
        <w:rPr>
          <w:kern w:val="24"/>
          <w:sz w:val="22"/>
          <w:szCs w:val="22"/>
          <w:lang w:val="en-CA" w:eastAsia="fr-CA"/>
        </w:rPr>
        <w:t>)</w:t>
      </w:r>
    </w:p>
    <w:p w14:paraId="17F5F27F" w14:textId="0D151EB8"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addresse</w:t>
      </w:r>
      <w:r w:rsidR="00E0477C">
        <w:rPr>
          <w:kern w:val="28"/>
          <w:lang w:val="en-CA"/>
        </w:rPr>
        <w:t>s</w:t>
      </w:r>
      <w:r w:rsidRPr="000A0EA1">
        <w:rPr>
          <w:kern w:val="28"/>
          <w:lang w:val="en-CA"/>
        </w:rPr>
        <w:t xml:space="preserve"> the geographical context in the fifth section of his infringement analysis. Based on the evidence presented, he f</w:t>
      </w:r>
      <w:r w:rsidR="00E0477C">
        <w:rPr>
          <w:kern w:val="28"/>
          <w:lang w:val="en-CA"/>
        </w:rPr>
        <w:t>inds</w:t>
      </w:r>
      <w:r w:rsidRPr="000A0EA1">
        <w:rPr>
          <w:kern w:val="28"/>
          <w:lang w:val="en-CA"/>
        </w:rPr>
        <w:t xml:space="preserve"> that the lived realities of Quebec</w:t>
      </w:r>
      <w:r w:rsidR="00E46AFD">
        <w:rPr>
          <w:kern w:val="28"/>
          <w:lang w:val="en-CA"/>
        </w:rPr>
        <w:t>’</w:t>
      </w:r>
      <w:r w:rsidRPr="000A0EA1">
        <w:rPr>
          <w:kern w:val="28"/>
          <w:lang w:val="en-CA"/>
        </w:rPr>
        <w:t xml:space="preserve">s </w:t>
      </w:r>
      <w:r w:rsidR="00AE3408">
        <w:rPr>
          <w:kern w:val="28"/>
          <w:lang w:val="en-CA"/>
        </w:rPr>
        <w:t>English</w:t>
      </w:r>
      <w:r w:rsidR="00AE3408">
        <w:rPr>
          <w:kern w:val="28"/>
          <w:lang w:val="en-CA"/>
        </w:rPr>
        <w:noBreakHyphen/>
        <w:t>language</w:t>
      </w:r>
      <w:r w:rsidRPr="000A0EA1">
        <w:rPr>
          <w:kern w:val="28"/>
          <w:lang w:val="en-CA"/>
        </w:rPr>
        <w:t xml:space="preserve"> school boards differ greatly from one to the other. Two of the</w:t>
      </w:r>
      <w:r w:rsidR="00E0477C">
        <w:rPr>
          <w:kern w:val="28"/>
          <w:lang w:val="en-CA"/>
        </w:rPr>
        <w:t>se boards</w:t>
      </w:r>
      <w:r w:rsidRPr="000A0EA1">
        <w:rPr>
          <w:kern w:val="28"/>
          <w:lang w:val="en-CA"/>
        </w:rPr>
        <w:t xml:space="preserve"> serve a relatively small territory, in what </w:t>
      </w:r>
      <w:r w:rsidR="00E0477C">
        <w:rPr>
          <w:kern w:val="28"/>
          <w:lang w:val="en-CA"/>
        </w:rPr>
        <w:t>are</w:t>
      </w:r>
      <w:r w:rsidRPr="000A0EA1">
        <w:rPr>
          <w:kern w:val="28"/>
          <w:lang w:val="en-CA"/>
        </w:rPr>
        <w:t xml:space="preserve"> essentially urban area</w:t>
      </w:r>
      <w:r w:rsidR="00E0477C">
        <w:rPr>
          <w:kern w:val="28"/>
          <w:lang w:val="en-CA"/>
        </w:rPr>
        <w:t>s</w:t>
      </w:r>
      <w:r w:rsidRPr="000A0EA1">
        <w:rPr>
          <w:kern w:val="28"/>
          <w:lang w:val="en-CA"/>
        </w:rPr>
        <w:t>, while the others cover vast territories that include densely urbanized areas, suburbs, and rural or geographically isolated zones</w:t>
      </w:r>
      <w:r w:rsidR="00E0477C">
        <w:rPr>
          <w:kern w:val="28"/>
          <w:lang w:val="en-CA"/>
        </w:rPr>
        <w:t>. He cites as an example</w:t>
      </w:r>
      <w:r w:rsidRPr="000A0EA1">
        <w:rPr>
          <w:kern w:val="28"/>
          <w:lang w:val="en-CA"/>
        </w:rPr>
        <w:t xml:space="preserve"> the expert report of Professor</w:t>
      </w:r>
      <w:r w:rsidR="003342E6">
        <w:rPr>
          <w:kern w:val="28"/>
          <w:lang w:val="en-CA"/>
        </w:rPr>
        <w:t> </w:t>
      </w:r>
      <w:r w:rsidRPr="000A0EA1">
        <w:rPr>
          <w:kern w:val="28"/>
          <w:lang w:val="en-CA"/>
        </w:rPr>
        <w:t xml:space="preserve">Diane </w:t>
      </w:r>
      <w:proofErr w:type="spellStart"/>
      <w:r w:rsidRPr="000A0EA1">
        <w:rPr>
          <w:kern w:val="28"/>
          <w:lang w:val="en-CA"/>
        </w:rPr>
        <w:t>Gérin</w:t>
      </w:r>
      <w:proofErr w:type="spellEnd"/>
      <w:r w:rsidRPr="000A0EA1">
        <w:rPr>
          <w:kern w:val="28"/>
          <w:lang w:val="en-CA"/>
        </w:rPr>
        <w:t>-Lajoie, who conclude</w:t>
      </w:r>
      <w:r w:rsidR="00E0477C">
        <w:rPr>
          <w:kern w:val="28"/>
          <w:lang w:val="en-CA"/>
        </w:rPr>
        <w:t>s</w:t>
      </w:r>
      <w:r w:rsidRPr="000A0EA1">
        <w:rPr>
          <w:kern w:val="28"/>
          <w:lang w:val="en-CA"/>
        </w:rPr>
        <w:t xml:space="preserve"> that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communities are diverse, and that those located far from Montreal face particular issues of vitality:</w:t>
      </w:r>
      <w:r w:rsidRPr="000A0EA1">
        <w:rPr>
          <w:kern w:val="28"/>
          <w:vertAlign w:val="superscript"/>
          <w:lang w:val="en-CA"/>
        </w:rPr>
        <w:footnoteReference w:id="68"/>
      </w:r>
      <w:r w:rsidRPr="000A0EA1">
        <w:rPr>
          <w:kern w:val="28"/>
          <w:lang w:val="en-CA"/>
        </w:rPr>
        <w:t xml:space="preserve"> </w:t>
      </w:r>
    </w:p>
    <w:p w14:paraId="17F5F280"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12.</w:t>
      </w:r>
      <w:r w:rsidRPr="000A0EA1">
        <w:rPr>
          <w:kern w:val="24"/>
          <w:sz w:val="22"/>
          <w:lang w:val="en-CA"/>
        </w:rPr>
        <w:tab/>
        <w:t>[…] Anglophones living in regions are isolated. Lamarre (2012) explains that, contrary to the situation in Montreal where Anglophones have better institutional support, Anglophones outside of Montreal who are dispersed on large territories face the same problems as Francophones do outside Quebec: little access to services in English, a lack of resources, such as bookstores, community centres, theater, etc. and the absence of institutional support. […]</w:t>
      </w:r>
    </w:p>
    <w:p w14:paraId="17F5F281" w14:textId="2F11D6BA" w:rsidR="00F75613" w:rsidRPr="000A0EA1" w:rsidRDefault="00B02E00" w:rsidP="00B255B8">
      <w:pPr>
        <w:spacing w:before="120" w:after="120" w:line="240" w:lineRule="auto"/>
        <w:jc w:val="both"/>
        <w:rPr>
          <w:kern w:val="28"/>
          <w:lang w:val="en-CA"/>
        </w:rPr>
      </w:pPr>
      <w:r w:rsidRPr="000A0EA1">
        <w:rPr>
          <w:kern w:val="28"/>
          <w:lang w:val="en-CA"/>
        </w:rPr>
        <w:t>The judge concluded that the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 xml:space="preserve">issues of dispersion and lack of vitality of the </w:t>
      </w:r>
      <w:r w:rsidR="00312FD9">
        <w:rPr>
          <w:kern w:val="28"/>
          <w:lang w:val="en-CA"/>
        </w:rPr>
        <w:t>English</w:t>
      </w:r>
      <w:r w:rsidR="00312FD9">
        <w:rPr>
          <w:kern w:val="28"/>
          <w:lang w:val="en-CA"/>
        </w:rPr>
        <w:noBreakHyphen/>
        <w:t>speaking</w:t>
      </w:r>
      <w:r w:rsidRPr="000A0EA1">
        <w:rPr>
          <w:kern w:val="28"/>
          <w:lang w:val="en-CA"/>
        </w:rPr>
        <w:t xml:space="preserve"> community outside of Montreal are not without consequence on </w:t>
      </w:r>
      <w:r w:rsidRPr="000A0EA1">
        <w:rPr>
          <w:i/>
          <w:iCs/>
          <w:kern w:val="28"/>
          <w:lang w:val="en-CA"/>
        </w:rPr>
        <w:t>Bill</w:t>
      </w:r>
      <w:r w:rsidR="00263661">
        <w:rPr>
          <w:i/>
          <w:iCs/>
          <w:kern w:val="28"/>
          <w:lang w:val="en-CA"/>
        </w:rPr>
        <w:t> </w:t>
      </w:r>
      <w:r w:rsidRPr="000A0EA1">
        <w:rPr>
          <w:kern w:val="28"/>
          <w:lang w:val="en-CA"/>
        </w:rPr>
        <w:t>[</w:t>
      </w:r>
      <w:r w:rsidRPr="000A0EA1">
        <w:rPr>
          <w:i/>
          <w:iCs/>
          <w:kern w:val="28"/>
          <w:lang w:val="en-CA"/>
        </w:rPr>
        <w:t>40</w:t>
      </w:r>
      <w:r w:rsidRPr="000A0EA1">
        <w:rPr>
          <w:kern w:val="28"/>
          <w:lang w:val="en-CA"/>
        </w:rPr>
        <w:t>]</w:t>
      </w:r>
      <w:r w:rsidR="00E46AFD">
        <w:rPr>
          <w:kern w:val="28"/>
          <w:lang w:val="en-CA"/>
        </w:rPr>
        <w:t>’</w:t>
      </w:r>
      <w:r w:rsidRPr="000A0EA1">
        <w:rPr>
          <w:kern w:val="28"/>
          <w:lang w:val="en-CA"/>
        </w:rPr>
        <w:t xml:space="preserve">s infringement of the rights guaranteed by </w:t>
      </w:r>
      <w:r w:rsidR="001E2D76">
        <w:rPr>
          <w:kern w:val="28"/>
          <w:lang w:val="en-CA"/>
        </w:rPr>
        <w:t>s. </w:t>
      </w:r>
      <w:r w:rsidRPr="000A0EA1">
        <w:rPr>
          <w:kern w:val="28"/>
          <w:lang w:val="en-CA"/>
        </w:rPr>
        <w:t>23</w:t>
      </w:r>
      <w:r w:rsidR="00E46AFD">
        <w:rPr>
          <w:kern w:val="28"/>
          <w:lang w:val="en-CA"/>
        </w:rPr>
        <w:t>”</w:t>
      </w:r>
      <w:r w:rsidRPr="000A0EA1">
        <w:rPr>
          <w:kern w:val="28"/>
          <w:lang w:val="en-CA"/>
        </w:rPr>
        <w:t>.</w:t>
      </w:r>
      <w:r w:rsidRPr="000A0EA1">
        <w:rPr>
          <w:kern w:val="28"/>
          <w:vertAlign w:val="superscript"/>
          <w:lang w:val="en-CA"/>
        </w:rPr>
        <w:footnoteReference w:id="69"/>
      </w:r>
    </w:p>
    <w:p w14:paraId="17F5F282" w14:textId="6FECBC06"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In the sixth section, the judge deal</w:t>
      </w:r>
      <w:r w:rsidR="00E0477C">
        <w:rPr>
          <w:kern w:val="28"/>
          <w:lang w:val="en-CA"/>
        </w:rPr>
        <w:t>s</w:t>
      </w:r>
      <w:r w:rsidRPr="000A0EA1">
        <w:rPr>
          <w:kern w:val="28"/>
          <w:lang w:val="en-CA"/>
        </w:rPr>
        <w:t xml:space="preserve"> with the infringement of the </w:t>
      </w:r>
      <w:r w:rsidR="00312FD9">
        <w:rPr>
          <w:kern w:val="28"/>
          <w:lang w:val="en-CA"/>
        </w:rPr>
        <w:t>English</w:t>
      </w:r>
      <w:r w:rsidR="00312FD9">
        <w:rPr>
          <w:kern w:val="28"/>
          <w:lang w:val="en-CA"/>
        </w:rPr>
        <w:noBreakHyphen/>
        <w:t>speaking</w:t>
      </w:r>
      <w:r w:rsidRPr="000A0EA1">
        <w:rPr>
          <w:kern w:val="28"/>
          <w:lang w:val="en-CA"/>
        </w:rPr>
        <w:t xml:space="preserve"> minority</w:t>
      </w:r>
      <w:r w:rsidR="00E46AFD">
        <w:rPr>
          <w:kern w:val="28"/>
          <w:lang w:val="en-CA"/>
        </w:rPr>
        <w:t>’</w:t>
      </w:r>
      <w:r w:rsidRPr="000A0EA1">
        <w:rPr>
          <w:kern w:val="28"/>
          <w:lang w:val="en-CA"/>
        </w:rPr>
        <w:t>s right to manage and control its educational institutions. He f</w:t>
      </w:r>
      <w:r w:rsidR="00E0477C">
        <w:rPr>
          <w:kern w:val="28"/>
          <w:lang w:val="en-CA"/>
        </w:rPr>
        <w:t>inds</w:t>
      </w:r>
      <w:r w:rsidRPr="000A0EA1">
        <w:rPr>
          <w:kern w:val="28"/>
          <w:lang w:val="en-CA"/>
        </w:rPr>
        <w:t xml:space="preserve"> that the replacement of English school boards by </w:t>
      </w:r>
      <w:r w:rsidR="00AE3408">
        <w:rPr>
          <w:kern w:val="28"/>
          <w:lang w:val="en-CA"/>
        </w:rPr>
        <w:t>English</w:t>
      </w:r>
      <w:r w:rsidR="00AE3408">
        <w:rPr>
          <w:kern w:val="28"/>
          <w:lang w:val="en-CA"/>
        </w:rPr>
        <w:noBreakHyphen/>
        <w:t>language</w:t>
      </w:r>
      <w:r w:rsidRPr="000A0EA1">
        <w:rPr>
          <w:kern w:val="28"/>
          <w:lang w:val="en-CA"/>
        </w:rPr>
        <w:t xml:space="preserve"> school service centres forms part of what constitutes (a)</w:t>
      </w:r>
      <w:r w:rsidR="00F90C93">
        <w:rPr>
          <w:kern w:val="28"/>
          <w:lang w:val="en-CA"/>
        </w:rPr>
        <w:t> </w:t>
      </w:r>
      <w:r w:rsidRPr="000A0EA1">
        <w:rPr>
          <w:kern w:val="28"/>
          <w:lang w:val="en-CA"/>
        </w:rPr>
        <w:t xml:space="preserve">significant transfer of the powers of management and control over the </w:t>
      </w:r>
      <w:r w:rsidR="00AE3408">
        <w:rPr>
          <w:kern w:val="28"/>
          <w:lang w:val="en-CA"/>
        </w:rPr>
        <w:t>English</w:t>
      </w:r>
      <w:r w:rsidR="00AE3408">
        <w:rPr>
          <w:kern w:val="28"/>
          <w:lang w:val="en-CA"/>
        </w:rPr>
        <w:noBreakHyphen/>
        <w:t>language</w:t>
      </w:r>
      <w:r w:rsidRPr="000A0EA1">
        <w:rPr>
          <w:kern w:val="28"/>
          <w:lang w:val="en-CA"/>
        </w:rPr>
        <w:t xml:space="preserve"> minority</w:t>
      </w:r>
      <w:r w:rsidR="00E46AFD">
        <w:rPr>
          <w:kern w:val="28"/>
          <w:lang w:val="en-CA"/>
        </w:rPr>
        <w:t>’</w:t>
      </w:r>
      <w:r w:rsidRPr="000A0EA1">
        <w:rPr>
          <w:kern w:val="28"/>
          <w:lang w:val="en-CA"/>
        </w:rPr>
        <w:t>s educational system to the Minister and to the employees of the school service centres, and (b)</w:t>
      </w:r>
      <w:r w:rsidR="00C76E19">
        <w:rPr>
          <w:kern w:val="28"/>
          <w:lang w:val="en-CA"/>
        </w:rPr>
        <w:t> </w:t>
      </w:r>
      <w:r w:rsidRPr="000A0EA1">
        <w:rPr>
          <w:kern w:val="28"/>
          <w:lang w:val="en-CA"/>
        </w:rPr>
        <w:t xml:space="preserve">the imposition of major restrictions on the candidacy of a significant segment of the </w:t>
      </w:r>
      <w:r w:rsidR="00312FD9">
        <w:rPr>
          <w:kern w:val="28"/>
          <w:lang w:val="en-CA"/>
        </w:rPr>
        <w:t>English</w:t>
      </w:r>
      <w:r w:rsidR="00312FD9">
        <w:rPr>
          <w:kern w:val="28"/>
          <w:lang w:val="en-CA"/>
        </w:rPr>
        <w:noBreakHyphen/>
        <w:t>speaking</w:t>
      </w:r>
      <w:r w:rsidRPr="000A0EA1">
        <w:rPr>
          <w:kern w:val="28"/>
          <w:lang w:val="en-CA"/>
        </w:rPr>
        <w:t xml:space="preserve"> community for election as members of the boards of directors of the new school service centres.</w:t>
      </w:r>
      <w:r w:rsidRPr="000A0EA1">
        <w:rPr>
          <w:kern w:val="28"/>
          <w:vertAlign w:val="superscript"/>
          <w:lang w:val="en-CA"/>
        </w:rPr>
        <w:footnoteReference w:id="70"/>
      </w:r>
      <w:r w:rsidRPr="000A0EA1">
        <w:rPr>
          <w:kern w:val="28"/>
          <w:lang w:val="en-CA"/>
        </w:rPr>
        <w:t xml:space="preserve"> This general conclusion </w:t>
      </w:r>
      <w:r w:rsidR="00E0477C">
        <w:rPr>
          <w:kern w:val="28"/>
          <w:lang w:val="en-CA"/>
        </w:rPr>
        <w:t>is</w:t>
      </w:r>
      <w:r w:rsidRPr="000A0EA1">
        <w:rPr>
          <w:kern w:val="28"/>
          <w:lang w:val="en-CA"/>
        </w:rPr>
        <w:t xml:space="preserve"> divided into nine specific points, each of which i</w:t>
      </w:r>
      <w:r w:rsidR="00DF5417">
        <w:rPr>
          <w:kern w:val="28"/>
          <w:lang w:val="en-CA"/>
        </w:rPr>
        <w:t>s</w:t>
      </w:r>
      <w:r w:rsidRPr="000A0EA1">
        <w:rPr>
          <w:kern w:val="28"/>
          <w:lang w:val="en-CA"/>
        </w:rPr>
        <w:t xml:space="preserve"> </w:t>
      </w:r>
      <w:r w:rsidR="007A75C6">
        <w:rPr>
          <w:kern w:val="28"/>
          <w:lang w:val="en-CA"/>
        </w:rPr>
        <w:t>hereinafter discussed</w:t>
      </w:r>
      <w:r w:rsidRPr="000A0EA1">
        <w:rPr>
          <w:kern w:val="28"/>
          <w:lang w:val="en-CA"/>
        </w:rPr>
        <w:t>.</w:t>
      </w:r>
    </w:p>
    <w:p w14:paraId="17F5F283" w14:textId="13FC9B53" w:rsidR="00F75613" w:rsidRPr="000A0EA1" w:rsidRDefault="00B02E00" w:rsidP="00B255B8">
      <w:pPr>
        <w:pStyle w:val="Paragraphedeliste"/>
        <w:numPr>
          <w:ilvl w:val="0"/>
          <w:numId w:val="4"/>
        </w:numPr>
        <w:spacing w:before="120" w:after="120" w:line="240" w:lineRule="auto"/>
        <w:ind w:left="1077" w:hanging="357"/>
        <w:contextualSpacing w:val="0"/>
        <w:jc w:val="both"/>
        <w:rPr>
          <w:rFonts w:ascii="Arial" w:hAnsi="Arial" w:cs="Arial"/>
          <w:kern w:val="28"/>
          <w:sz w:val="24"/>
          <w:szCs w:val="24"/>
          <w:lang w:val="en-CA"/>
        </w:rPr>
      </w:pPr>
      <w:r w:rsidRPr="000A0EA1">
        <w:rPr>
          <w:rFonts w:ascii="Arial" w:hAnsi="Arial" w:cs="Arial"/>
          <w:i/>
          <w:iCs/>
          <w:kern w:val="28"/>
          <w:sz w:val="24"/>
          <w:szCs w:val="24"/>
          <w:lang w:val="en-CA"/>
        </w:rPr>
        <w:t>Requirements for board membership (s</w:t>
      </w:r>
      <w:r w:rsidR="0062160E">
        <w:rPr>
          <w:rFonts w:ascii="Arial" w:hAnsi="Arial" w:cs="Arial"/>
          <w:i/>
          <w:iCs/>
          <w:kern w:val="28"/>
          <w:sz w:val="24"/>
          <w:szCs w:val="24"/>
          <w:lang w:val="en-CA"/>
        </w:rPr>
        <w:t>s. 5</w:t>
      </w:r>
      <w:r w:rsidRPr="000A0EA1">
        <w:rPr>
          <w:rFonts w:ascii="Arial" w:hAnsi="Arial" w:cs="Arial"/>
          <w:i/>
          <w:iCs/>
          <w:kern w:val="28"/>
          <w:sz w:val="24"/>
          <w:szCs w:val="24"/>
          <w:lang w:val="en-CA"/>
        </w:rPr>
        <w:t xml:space="preserve">0, 196, 208 and 216 of </w:t>
      </w:r>
      <w:r w:rsidR="00C33BBC">
        <w:rPr>
          <w:rFonts w:ascii="Arial" w:hAnsi="Arial" w:cs="Arial"/>
          <w:i/>
          <w:iCs/>
          <w:kern w:val="28"/>
          <w:sz w:val="24"/>
          <w:szCs w:val="24"/>
          <w:lang w:val="en-CA"/>
        </w:rPr>
        <w:t>Bill 40</w:t>
      </w:r>
      <w:r w:rsidRPr="000A0EA1">
        <w:rPr>
          <w:rFonts w:ascii="Arial" w:hAnsi="Arial" w:cs="Arial"/>
          <w:i/>
          <w:iCs/>
          <w:kern w:val="28"/>
          <w:sz w:val="24"/>
          <w:szCs w:val="24"/>
          <w:lang w:val="en-CA"/>
        </w:rPr>
        <w:t>)</w:t>
      </w:r>
    </w:p>
    <w:p w14:paraId="17F5F284" w14:textId="1FB6B141"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w:t>
      </w:r>
      <w:r w:rsidR="00E46AFD">
        <w:rPr>
          <w:kern w:val="28"/>
          <w:lang w:val="en-CA"/>
        </w:rPr>
        <w:t>’</w:t>
      </w:r>
      <w:r w:rsidRPr="000A0EA1">
        <w:rPr>
          <w:kern w:val="28"/>
          <w:lang w:val="en-CA"/>
        </w:rPr>
        <w:t xml:space="preserve">s analysis of </w:t>
      </w:r>
      <w:r w:rsidR="00C33BBC">
        <w:rPr>
          <w:i/>
          <w:iCs/>
          <w:kern w:val="28"/>
          <w:lang w:val="en-CA"/>
        </w:rPr>
        <w:t>Bill 40</w:t>
      </w:r>
      <w:r w:rsidRPr="000A0EA1">
        <w:rPr>
          <w:kern w:val="28"/>
          <w:lang w:val="en-CA"/>
        </w:rPr>
        <w:t xml:space="preserve"> and the evidence in the record le</w:t>
      </w:r>
      <w:r w:rsidR="007A75C6">
        <w:rPr>
          <w:kern w:val="28"/>
          <w:lang w:val="en-CA"/>
        </w:rPr>
        <w:t>a</w:t>
      </w:r>
      <w:r w:rsidRPr="000A0EA1">
        <w:rPr>
          <w:kern w:val="28"/>
          <w:lang w:val="en-CA"/>
        </w:rPr>
        <w:t xml:space="preserve">d him to conclude that several provisions restrict the pool of members of the </w:t>
      </w:r>
      <w:r w:rsidR="00312FD9">
        <w:rPr>
          <w:kern w:val="28"/>
          <w:lang w:val="en-CA"/>
        </w:rPr>
        <w:t>English</w:t>
      </w:r>
      <w:r w:rsidR="00312FD9">
        <w:rPr>
          <w:kern w:val="28"/>
          <w:lang w:val="en-CA"/>
        </w:rPr>
        <w:noBreakHyphen/>
        <w:t>speaking</w:t>
      </w:r>
      <w:r w:rsidRPr="000A0EA1">
        <w:rPr>
          <w:kern w:val="28"/>
          <w:lang w:val="en-CA"/>
        </w:rPr>
        <w:t xml:space="preserve"> community eligible to run for election as directors of a school service centre, or impose requirements </w:t>
      </w:r>
      <w:r w:rsidRPr="000A0EA1">
        <w:rPr>
          <w:kern w:val="28"/>
          <w:lang w:val="en-CA"/>
        </w:rPr>
        <w:lastRenderedPageBreak/>
        <w:t xml:space="preserve">or election procedures that are likely to discourage members of the minority language community from running for these positions. </w:t>
      </w:r>
    </w:p>
    <w:p w14:paraId="17F5F285" w14:textId="676B543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For example, </w:t>
      </w:r>
      <w:bookmarkStart w:id="40" w:name="_Hlk187410109"/>
      <w:r w:rsidRPr="000A0EA1">
        <w:rPr>
          <w:kern w:val="28"/>
          <w:lang w:val="en-CA"/>
        </w:rPr>
        <w:t xml:space="preserve">the eligibility requirements for positions reserved for parent representatives – i.e., to be both a parent of a student enrolled in a school of the school service centre and a parent member of the governing board of that school </w:t>
      </w:r>
      <w:bookmarkStart w:id="41" w:name="_Hlk189147555"/>
      <w:r w:rsidRPr="000A0EA1">
        <w:rPr>
          <w:kern w:val="28"/>
          <w:lang w:val="en-CA"/>
        </w:rPr>
        <w:t>–</w:t>
      </w:r>
      <w:bookmarkEnd w:id="41"/>
      <w:r w:rsidRPr="000A0EA1">
        <w:rPr>
          <w:kern w:val="28"/>
          <w:lang w:val="en-CA"/>
        </w:rPr>
        <w:t xml:space="preserve"> mean that 99% of voters registered on the electoral lists in the </w:t>
      </w:r>
      <w:r w:rsidR="00AE3408">
        <w:rPr>
          <w:kern w:val="28"/>
          <w:lang w:val="en-CA"/>
        </w:rPr>
        <w:t>English</w:t>
      </w:r>
      <w:r w:rsidR="00AE3408">
        <w:rPr>
          <w:kern w:val="28"/>
          <w:lang w:val="en-CA"/>
        </w:rPr>
        <w:noBreakHyphen/>
        <w:t>language</w:t>
      </w:r>
      <w:r w:rsidRPr="000A0EA1">
        <w:rPr>
          <w:kern w:val="28"/>
          <w:lang w:val="en-CA"/>
        </w:rPr>
        <w:t xml:space="preserve"> school sector are disqualified from the outset as candidates for these positions.</w:t>
      </w:r>
      <w:r w:rsidRPr="000A0EA1">
        <w:rPr>
          <w:kern w:val="28"/>
          <w:vertAlign w:val="superscript"/>
          <w:lang w:val="en-CA"/>
        </w:rPr>
        <w:footnoteReference w:id="71"/>
      </w:r>
      <w:bookmarkEnd w:id="40"/>
      <w:r w:rsidRPr="000A0EA1">
        <w:rPr>
          <w:kern w:val="28"/>
          <w:lang w:val="en-CA"/>
        </w:rPr>
        <w:t xml:space="preserve"> The new professional qualification requirements (expertise profiles) also effectively prevent half of all voters from running for the positions reserved for community representatives.</w:t>
      </w:r>
      <w:r w:rsidRPr="000A0EA1">
        <w:rPr>
          <w:kern w:val="28"/>
          <w:vertAlign w:val="superscript"/>
          <w:lang w:val="en-CA"/>
        </w:rPr>
        <w:footnoteReference w:id="72"/>
      </w:r>
      <w:r w:rsidRPr="000A0EA1">
        <w:rPr>
          <w:kern w:val="28"/>
          <w:lang w:val="en-CA"/>
        </w:rPr>
        <w:t xml:space="preserve"> The judge refer</w:t>
      </w:r>
      <w:r w:rsidR="007A75C6">
        <w:rPr>
          <w:kern w:val="28"/>
          <w:lang w:val="en-CA"/>
        </w:rPr>
        <w:t>s</w:t>
      </w:r>
      <w:r w:rsidRPr="000A0EA1">
        <w:rPr>
          <w:kern w:val="28"/>
          <w:lang w:val="en-CA"/>
        </w:rPr>
        <w:t xml:space="preserve"> to the expert report of Professor Peter Loewen, in which </w:t>
      </w:r>
      <w:r w:rsidR="009E1D0D">
        <w:rPr>
          <w:kern w:val="28"/>
          <w:lang w:val="en-CA"/>
        </w:rPr>
        <w:t xml:space="preserve">the latter </w:t>
      </w:r>
      <w:r w:rsidRPr="000A0EA1">
        <w:rPr>
          <w:kern w:val="28"/>
          <w:lang w:val="en-CA"/>
        </w:rPr>
        <w:t>establishe</w:t>
      </w:r>
      <w:r w:rsidR="00DF5417">
        <w:rPr>
          <w:kern w:val="28"/>
          <w:lang w:val="en-CA"/>
        </w:rPr>
        <w:t>s</w:t>
      </w:r>
      <w:r w:rsidRPr="000A0EA1">
        <w:rPr>
          <w:kern w:val="28"/>
          <w:lang w:val="en-CA"/>
        </w:rPr>
        <w:t xml:space="preserve"> that the current </w:t>
      </w:r>
      <w:r w:rsidR="00312FD9">
        <w:rPr>
          <w:kern w:val="28"/>
          <w:lang w:val="en-CA"/>
        </w:rPr>
        <w:t>English</w:t>
      </w:r>
      <w:r w:rsidR="00312FD9">
        <w:rPr>
          <w:kern w:val="28"/>
          <w:lang w:val="en-CA"/>
        </w:rPr>
        <w:noBreakHyphen/>
        <w:t>speaking</w:t>
      </w:r>
      <w:r w:rsidRPr="000A0EA1">
        <w:rPr>
          <w:kern w:val="28"/>
          <w:lang w:val="en-CA"/>
        </w:rPr>
        <w:t xml:space="preserve"> commissioners </w:t>
      </w:r>
      <w:r w:rsidR="007A75C6">
        <w:rPr>
          <w:kern w:val="28"/>
          <w:lang w:val="en-CA"/>
        </w:rPr>
        <w:t>are</w:t>
      </w:r>
      <w:r w:rsidRPr="000A0EA1">
        <w:rPr>
          <w:kern w:val="28"/>
          <w:lang w:val="en-CA"/>
        </w:rPr>
        <w:t>, for the most part, less likely to run under the new formula.</w:t>
      </w:r>
      <w:r w:rsidRPr="000A0EA1">
        <w:rPr>
          <w:kern w:val="28"/>
          <w:vertAlign w:val="superscript"/>
          <w:lang w:val="en-CA"/>
        </w:rPr>
        <w:footnoteReference w:id="73"/>
      </w:r>
      <w:r w:rsidRPr="000A0EA1">
        <w:rPr>
          <w:kern w:val="28"/>
          <w:lang w:val="en-CA"/>
        </w:rPr>
        <w:t xml:space="preserve"> </w:t>
      </w:r>
    </w:p>
    <w:p w14:paraId="17F5F286" w14:textId="2808FB02"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conclude</w:t>
      </w:r>
      <w:r w:rsidR="007A75C6">
        <w:rPr>
          <w:kern w:val="28"/>
          <w:lang w:val="en-CA"/>
        </w:rPr>
        <w:t>s</w:t>
      </w:r>
      <w:r w:rsidRPr="000A0EA1">
        <w:rPr>
          <w:i/>
          <w:iCs/>
          <w:kern w:val="28"/>
          <w:lang w:val="en-CA"/>
        </w:rPr>
        <w:t xml:space="preserve"> </w:t>
      </w:r>
      <w:r w:rsidRPr="000A0EA1">
        <w:rPr>
          <w:kern w:val="28"/>
          <w:lang w:val="en-CA"/>
        </w:rPr>
        <w:t xml:space="preserve">therefrom that the impugned provisions of </w:t>
      </w:r>
      <w:r w:rsidR="00C33BBC">
        <w:rPr>
          <w:i/>
          <w:iCs/>
          <w:kern w:val="28"/>
          <w:lang w:val="en-CA"/>
        </w:rPr>
        <w:t>Bill 40</w:t>
      </w:r>
      <w:r w:rsidRPr="000A0EA1">
        <w:rPr>
          <w:kern w:val="28"/>
          <w:lang w:val="en-CA"/>
        </w:rPr>
        <w:t xml:space="preserve"> do not allow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to fully exercise its rights</w:t>
      </w:r>
      <w:r w:rsidR="007A75C6">
        <w:rPr>
          <w:kern w:val="28"/>
          <w:lang w:val="en-CA"/>
        </w:rPr>
        <w:t xml:space="preserve"> guaranteed by s. 23</w:t>
      </w:r>
      <w:r w:rsidRPr="000A0EA1">
        <w:rPr>
          <w:kern w:val="28"/>
          <w:lang w:val="en-CA"/>
        </w:rPr>
        <w:t>.</w:t>
      </w:r>
      <w:r w:rsidRPr="000A0EA1">
        <w:rPr>
          <w:kern w:val="28"/>
          <w:vertAlign w:val="superscript"/>
          <w:lang w:val="en-CA"/>
        </w:rPr>
        <w:footnoteReference w:id="74"/>
      </w:r>
      <w:r w:rsidRPr="000A0EA1">
        <w:rPr>
          <w:kern w:val="28"/>
          <w:lang w:val="en-CA"/>
        </w:rPr>
        <w:t xml:space="preserve"> He add</w:t>
      </w:r>
      <w:r w:rsidR="007A75C6">
        <w:rPr>
          <w:kern w:val="28"/>
          <w:lang w:val="en-CA"/>
        </w:rPr>
        <w:t>s</w:t>
      </w:r>
      <w:r w:rsidRPr="000A0EA1">
        <w:rPr>
          <w:kern w:val="28"/>
          <w:lang w:val="en-CA"/>
        </w:rPr>
        <w:t>:</w:t>
      </w:r>
    </w:p>
    <w:p w14:paraId="4DE684CC" w14:textId="77777777" w:rsidR="000C7779" w:rsidRDefault="00B02E00" w:rsidP="00B255B8">
      <w:pPr>
        <w:spacing w:before="120" w:after="120" w:line="240" w:lineRule="auto"/>
        <w:ind w:left="720" w:right="720"/>
        <w:jc w:val="both"/>
        <w:rPr>
          <w:kern w:val="24"/>
          <w:sz w:val="22"/>
          <w:lang w:val="en-CA"/>
        </w:rPr>
      </w:pPr>
      <w:r w:rsidRPr="000A0EA1">
        <w:rPr>
          <w:kern w:val="24"/>
          <w:sz w:val="22"/>
          <w:lang w:val="en-CA"/>
        </w:rPr>
        <w:t>[</w:t>
      </w:r>
      <w:r w:rsidR="00F16205" w:rsidRPr="00F16205">
        <w:rPr>
          <w:smallCaps/>
          <w:kern w:val="24"/>
          <w:sz w:val="22"/>
          <w:lang w:val="en-CA"/>
        </w:rPr>
        <w:t>translation</w:t>
      </w:r>
      <w:r w:rsidRPr="000A0EA1">
        <w:rPr>
          <w:kern w:val="24"/>
          <w:sz w:val="22"/>
          <w:lang w:val="en-CA"/>
        </w:rPr>
        <w:t>]</w:t>
      </w:r>
    </w:p>
    <w:p w14:paraId="17F5F287" w14:textId="1F815802"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[215]</w:t>
      </w:r>
      <w:r w:rsidRPr="000A0EA1">
        <w:rPr>
          <w:kern w:val="24"/>
          <w:sz w:val="22"/>
          <w:lang w:val="en-CA"/>
        </w:rPr>
        <w:tab/>
        <w:t>Although these provisions appear harmless when examined individually, their cumulative effect is undeniable and leads to an erosion of the control exercised by the minority through its traditional representatives.</w:t>
      </w:r>
    </w:p>
    <w:p w14:paraId="17F5F288"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[216]</w:t>
      </w:r>
      <w:r w:rsidRPr="000A0EA1">
        <w:rPr>
          <w:kern w:val="24"/>
          <w:sz w:val="22"/>
          <w:lang w:val="en-CA"/>
        </w:rPr>
        <w:tab/>
        <w:t>This reading inevitably leads to the conclusion that the effect of the provisions is to deprive the minority of the contribution of most of its members to the democratic life of the minority.</w:t>
      </w:r>
    </w:p>
    <w:p w14:paraId="17F5F289"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p>
    <w:p w14:paraId="17F5F28A" w14:textId="5CEA2BCA"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[230]</w:t>
      </w:r>
      <w:r w:rsidRPr="000A0EA1">
        <w:rPr>
          <w:kern w:val="24"/>
          <w:sz w:val="22"/>
          <w:lang w:val="en-CA"/>
        </w:rPr>
        <w:tab/>
        <w:t xml:space="preserve">Directly or indirectly limiting the right of representatives to run in school elections, as </w:t>
      </w:r>
      <w:r w:rsidRPr="000A0EA1">
        <w:rPr>
          <w:i/>
          <w:iCs/>
          <w:kern w:val="24"/>
          <w:sz w:val="22"/>
          <w:lang w:val="en-CA"/>
        </w:rPr>
        <w:t xml:space="preserve">Bill </w:t>
      </w:r>
      <w:r w:rsidRPr="000A0EA1">
        <w:rPr>
          <w:kern w:val="24"/>
          <w:sz w:val="22"/>
          <w:lang w:val="en-CA"/>
        </w:rPr>
        <w:t>[</w:t>
      </w:r>
      <w:r w:rsidRPr="000A0EA1">
        <w:rPr>
          <w:i/>
          <w:iCs/>
          <w:kern w:val="24"/>
          <w:sz w:val="22"/>
          <w:lang w:val="en-CA"/>
        </w:rPr>
        <w:t>40</w:t>
      </w:r>
      <w:r w:rsidRPr="000A0EA1">
        <w:rPr>
          <w:kern w:val="24"/>
          <w:sz w:val="22"/>
          <w:lang w:val="en-CA"/>
        </w:rPr>
        <w:t>] does, restricts the minority</w:t>
      </w:r>
      <w:r w:rsidR="00E46AFD">
        <w:rPr>
          <w:kern w:val="24"/>
          <w:sz w:val="22"/>
          <w:lang w:val="en-CA"/>
        </w:rPr>
        <w:t>’</w:t>
      </w:r>
      <w:r w:rsidRPr="000A0EA1">
        <w:rPr>
          <w:kern w:val="24"/>
          <w:sz w:val="22"/>
          <w:lang w:val="en-CA"/>
        </w:rPr>
        <w:t>s right to manage and control its educational institutions.</w:t>
      </w:r>
    </w:p>
    <w:p w14:paraId="17F5F28B" w14:textId="0AF398EE" w:rsidR="00F75613" w:rsidRDefault="00B02E00" w:rsidP="00B255B8">
      <w:pPr>
        <w:spacing w:before="120" w:after="120" w:line="240" w:lineRule="auto"/>
        <w:ind w:left="720" w:right="720"/>
        <w:jc w:val="both"/>
        <w:rPr>
          <w:kern w:val="24"/>
          <w:sz w:val="22"/>
          <w:lang w:val="en-CA"/>
        </w:rPr>
      </w:pPr>
      <w:r w:rsidRPr="000A0EA1">
        <w:rPr>
          <w:kern w:val="24"/>
          <w:sz w:val="22"/>
          <w:lang w:val="en-CA"/>
        </w:rPr>
        <w:t>[231]</w:t>
      </w:r>
      <w:r w:rsidRPr="000A0EA1">
        <w:rPr>
          <w:kern w:val="24"/>
          <w:sz w:val="22"/>
          <w:lang w:val="en-CA"/>
        </w:rPr>
        <w:tab/>
        <w:t>The minority has had the majority</w:t>
      </w:r>
      <w:r w:rsidR="00E46AFD">
        <w:rPr>
          <w:kern w:val="24"/>
          <w:sz w:val="22"/>
          <w:lang w:val="en-CA"/>
        </w:rPr>
        <w:t>’</w:t>
      </w:r>
      <w:r w:rsidRPr="000A0EA1">
        <w:rPr>
          <w:kern w:val="24"/>
          <w:sz w:val="22"/>
          <w:lang w:val="en-CA"/>
        </w:rPr>
        <w:t xml:space="preserve">s vision of who can represent it imposed on it, whereas all members of the community have been eligible to take charge of school management for more than 200 years, taking into account, of course, the historical evolution of the eligibility criteria. The imposition of the majority view is one of the evils that the adoption of </w:t>
      </w:r>
      <w:r w:rsidR="003D7F17">
        <w:rPr>
          <w:kern w:val="24"/>
          <w:sz w:val="22"/>
          <w:lang w:val="en-CA"/>
        </w:rPr>
        <w:t xml:space="preserve">s. </w:t>
      </w:r>
      <w:r w:rsidRPr="000A0EA1">
        <w:rPr>
          <w:kern w:val="24"/>
          <w:sz w:val="22"/>
          <w:lang w:val="en-CA"/>
        </w:rPr>
        <w:t>23 was intended to correct.</w:t>
      </w:r>
    </w:p>
    <w:p w14:paraId="282A70F8" w14:textId="77777777" w:rsidR="00941113" w:rsidRPr="000A0EA1" w:rsidRDefault="00941113" w:rsidP="00B255B8">
      <w:pPr>
        <w:spacing w:before="120" w:after="120" w:line="240" w:lineRule="auto"/>
        <w:ind w:left="720" w:right="720"/>
        <w:jc w:val="both"/>
        <w:rPr>
          <w:kern w:val="24"/>
          <w:sz w:val="22"/>
          <w:lang w:val="en-CA"/>
        </w:rPr>
      </w:pPr>
    </w:p>
    <w:p w14:paraId="17F5F28C" w14:textId="34B8E3E0" w:rsidR="00F75613" w:rsidRPr="000A0EA1" w:rsidRDefault="00B02E00" w:rsidP="00B255B8">
      <w:pPr>
        <w:spacing w:before="120" w:after="120" w:line="240" w:lineRule="auto"/>
        <w:ind w:left="1440" w:hanging="720"/>
        <w:jc w:val="both"/>
        <w:rPr>
          <w:kern w:val="28"/>
          <w:lang w:val="en-CA"/>
        </w:rPr>
      </w:pPr>
      <w:r w:rsidRPr="000A0EA1">
        <w:rPr>
          <w:kern w:val="28"/>
          <w:lang w:val="en-CA"/>
        </w:rPr>
        <w:lastRenderedPageBreak/>
        <w:t>(ii)</w:t>
      </w:r>
      <w:r w:rsidRPr="000A0EA1">
        <w:rPr>
          <w:kern w:val="28"/>
          <w:lang w:val="en-CA"/>
        </w:rPr>
        <w:tab/>
      </w:r>
      <w:r w:rsidRPr="000A0EA1">
        <w:rPr>
          <w:i/>
          <w:iCs/>
          <w:kern w:val="28"/>
          <w:lang w:val="en-CA"/>
        </w:rPr>
        <w:t>Lack of remuneration for members of boards of directors</w:t>
      </w:r>
      <w:r w:rsidRPr="000A0EA1">
        <w:rPr>
          <w:kern w:val="28"/>
          <w:lang w:val="en-CA"/>
        </w:rPr>
        <w:t xml:space="preserve"> </w:t>
      </w:r>
      <w:r w:rsidRPr="000A0EA1">
        <w:rPr>
          <w:i/>
          <w:iCs/>
          <w:kern w:val="28"/>
          <w:lang w:val="en-CA"/>
        </w:rPr>
        <w:t>(</w:t>
      </w:r>
      <w:r w:rsidR="0062160E">
        <w:rPr>
          <w:i/>
          <w:iCs/>
          <w:kern w:val="28"/>
          <w:lang w:val="en-CA"/>
        </w:rPr>
        <w:t>s. 6</w:t>
      </w:r>
      <w:r w:rsidRPr="000A0EA1">
        <w:rPr>
          <w:i/>
          <w:iCs/>
          <w:kern w:val="28"/>
          <w:lang w:val="en-CA"/>
        </w:rPr>
        <w:t xml:space="preserve">6 of </w:t>
      </w:r>
      <w:r w:rsidR="00C33BBC">
        <w:rPr>
          <w:i/>
          <w:iCs/>
          <w:kern w:val="28"/>
          <w:lang w:val="en-CA"/>
        </w:rPr>
        <w:t>Bill 40</w:t>
      </w:r>
      <w:r w:rsidRPr="000A0EA1">
        <w:rPr>
          <w:i/>
          <w:iCs/>
          <w:kern w:val="28"/>
          <w:lang w:val="en-CA"/>
        </w:rPr>
        <w:t>)</w:t>
      </w:r>
    </w:p>
    <w:p w14:paraId="17F5F28D" w14:textId="4E756C78"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also note</w:t>
      </w:r>
      <w:r w:rsidR="007A75C6">
        <w:rPr>
          <w:kern w:val="28"/>
          <w:lang w:val="en-CA"/>
        </w:rPr>
        <w:t>s</w:t>
      </w:r>
      <w:r w:rsidRPr="000A0EA1">
        <w:rPr>
          <w:kern w:val="28"/>
          <w:lang w:val="en-CA"/>
        </w:rPr>
        <w:t xml:space="preserve"> that </w:t>
      </w:r>
      <w:r w:rsidR="00C33BBC">
        <w:rPr>
          <w:i/>
          <w:iCs/>
          <w:kern w:val="28"/>
          <w:lang w:val="en-CA"/>
        </w:rPr>
        <w:t>Bill 40</w:t>
      </w:r>
      <w:r w:rsidRPr="000A0EA1">
        <w:rPr>
          <w:kern w:val="28"/>
          <w:lang w:val="en-CA"/>
        </w:rPr>
        <w:t xml:space="preserve"> eliminates the remuneration of members of the new boards of directors of school service centres, a remuneration to which elected commissioners were previously entitled. He conclude</w:t>
      </w:r>
      <w:r w:rsidR="007A75C6">
        <w:rPr>
          <w:kern w:val="28"/>
          <w:lang w:val="en-CA"/>
        </w:rPr>
        <w:t>s</w:t>
      </w:r>
      <w:r w:rsidRPr="000A0EA1">
        <w:rPr>
          <w:kern w:val="28"/>
          <w:lang w:val="en-CA"/>
        </w:rPr>
        <w:t>, based on the evidence, including Professor Loewen</w:t>
      </w:r>
      <w:r w:rsidR="00E46AFD">
        <w:rPr>
          <w:kern w:val="28"/>
          <w:lang w:val="en-CA"/>
        </w:rPr>
        <w:t>’</w:t>
      </w:r>
      <w:r w:rsidRPr="000A0EA1">
        <w:rPr>
          <w:kern w:val="28"/>
          <w:lang w:val="en-CA"/>
        </w:rPr>
        <w:t>s report, that the elimination of this remuneration and its replacement by attendance allowances markedly discourages members of the linguistic minority from participating in school management.</w:t>
      </w:r>
      <w:r w:rsidRPr="000A0EA1">
        <w:rPr>
          <w:kern w:val="28"/>
          <w:vertAlign w:val="superscript"/>
          <w:lang w:val="en-CA"/>
        </w:rPr>
        <w:footnoteReference w:id="75"/>
      </w:r>
      <w:r w:rsidRPr="000A0EA1">
        <w:rPr>
          <w:kern w:val="28"/>
          <w:lang w:val="en-CA"/>
        </w:rPr>
        <w:t xml:space="preserve"> He further </w:t>
      </w:r>
      <w:r w:rsidR="007A75C6">
        <w:rPr>
          <w:kern w:val="28"/>
          <w:lang w:val="en-CA"/>
        </w:rPr>
        <w:t>adds</w:t>
      </w:r>
      <w:r w:rsidRPr="000A0EA1">
        <w:rPr>
          <w:kern w:val="28"/>
          <w:lang w:val="en-CA"/>
        </w:rPr>
        <w:t xml:space="preserve"> that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[t]his measure impairs the minority</w:t>
      </w:r>
      <w:r w:rsidR="00E46AFD">
        <w:rPr>
          <w:kern w:val="28"/>
          <w:lang w:val="en-CA"/>
        </w:rPr>
        <w:t>’</w:t>
      </w:r>
      <w:r w:rsidRPr="000A0EA1">
        <w:rPr>
          <w:kern w:val="28"/>
          <w:lang w:val="en-CA"/>
        </w:rPr>
        <w:t>s right to elect the members it chooses</w:t>
      </w:r>
      <w:r w:rsidR="00E46AFD">
        <w:rPr>
          <w:kern w:val="28"/>
          <w:lang w:val="en-CA"/>
        </w:rPr>
        <w:t>”</w:t>
      </w:r>
      <w:r w:rsidRPr="000A0EA1">
        <w:rPr>
          <w:rStyle w:val="Appelnotedebasdep"/>
          <w:kern w:val="28"/>
          <w:lang w:val="en-CA"/>
        </w:rPr>
        <w:footnoteReference w:id="76"/>
      </w:r>
      <w:r w:rsidRPr="000A0EA1">
        <w:rPr>
          <w:kern w:val="28"/>
          <w:lang w:val="en-CA"/>
        </w:rPr>
        <w:t xml:space="preserve"> and that it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 xml:space="preserve">impairs the right to control the </w:t>
      </w:r>
      <w:r w:rsidR="00E46AFD">
        <w:rPr>
          <w:kern w:val="28"/>
          <w:lang w:val="en-CA"/>
        </w:rPr>
        <w:t>‘</w:t>
      </w:r>
      <w:r w:rsidRPr="000A0EA1">
        <w:rPr>
          <w:kern w:val="28"/>
          <w:lang w:val="en-CA"/>
        </w:rPr>
        <w:t>expenditures of funds provided for such instruction and facilities</w:t>
      </w:r>
      <w:r w:rsidR="00E46AFD">
        <w:rPr>
          <w:kern w:val="28"/>
          <w:lang w:val="en-CA"/>
        </w:rPr>
        <w:t>’</w:t>
      </w:r>
      <w:r w:rsidRPr="000A0EA1">
        <w:rPr>
          <w:kern w:val="28"/>
          <w:lang w:val="en-CA"/>
        </w:rPr>
        <w:t xml:space="preserve">, guaranteed by </w:t>
      </w:r>
      <w:proofErr w:type="spellStart"/>
      <w:r w:rsidRPr="000A0EA1">
        <w:rPr>
          <w:i/>
          <w:iCs/>
          <w:kern w:val="28"/>
          <w:lang w:val="en-CA"/>
        </w:rPr>
        <w:t>Mahe</w:t>
      </w:r>
      <w:proofErr w:type="spellEnd"/>
      <w:r w:rsidR="00E46AFD">
        <w:rPr>
          <w:kern w:val="28"/>
          <w:lang w:val="en-CA"/>
        </w:rPr>
        <w:t>”</w:t>
      </w:r>
      <w:r w:rsidRPr="000A0EA1">
        <w:rPr>
          <w:kern w:val="28"/>
          <w:lang w:val="en-CA"/>
        </w:rPr>
        <w:t>.</w:t>
      </w:r>
      <w:r w:rsidRPr="000A0EA1">
        <w:rPr>
          <w:kern w:val="28"/>
          <w:vertAlign w:val="superscript"/>
          <w:lang w:val="en-CA"/>
        </w:rPr>
        <w:footnoteReference w:id="77"/>
      </w:r>
    </w:p>
    <w:p w14:paraId="17F5F28E" w14:textId="51BED9E0" w:rsidR="00F75613" w:rsidRPr="000A0EA1" w:rsidRDefault="00B02E00" w:rsidP="00B255B8">
      <w:pPr>
        <w:spacing w:before="120" w:after="120" w:line="240" w:lineRule="auto"/>
        <w:ind w:left="1440" w:hanging="720"/>
        <w:jc w:val="both"/>
        <w:rPr>
          <w:kern w:val="28"/>
          <w:lang w:val="en-CA"/>
        </w:rPr>
      </w:pPr>
      <w:r w:rsidRPr="000A0EA1">
        <w:rPr>
          <w:kern w:val="28"/>
          <w:lang w:val="en-CA"/>
        </w:rPr>
        <w:t>(iii)</w:t>
      </w:r>
      <w:r w:rsidRPr="000A0EA1">
        <w:rPr>
          <w:kern w:val="28"/>
          <w:lang w:val="en-CA"/>
        </w:rPr>
        <w:tab/>
      </w:r>
      <w:r w:rsidRPr="000A0EA1">
        <w:rPr>
          <w:i/>
          <w:iCs/>
          <w:kern w:val="28"/>
          <w:lang w:val="en-CA"/>
        </w:rPr>
        <w:t xml:space="preserve">Ineligibility to sit as chair or vice-chair of </w:t>
      </w:r>
      <w:r w:rsidR="007A75C6">
        <w:rPr>
          <w:i/>
          <w:iCs/>
          <w:kern w:val="28"/>
          <w:lang w:val="en-CA"/>
        </w:rPr>
        <w:t>the</w:t>
      </w:r>
      <w:r w:rsidRPr="000A0EA1">
        <w:rPr>
          <w:i/>
          <w:iCs/>
          <w:kern w:val="28"/>
          <w:lang w:val="en-CA"/>
        </w:rPr>
        <w:t xml:space="preserve"> board of directors (</w:t>
      </w:r>
      <w:r w:rsidR="0062160E">
        <w:rPr>
          <w:i/>
          <w:iCs/>
          <w:kern w:val="28"/>
          <w:lang w:val="en-CA"/>
        </w:rPr>
        <w:t>s. 5</w:t>
      </w:r>
      <w:r w:rsidRPr="000A0EA1">
        <w:rPr>
          <w:i/>
          <w:iCs/>
          <w:kern w:val="28"/>
          <w:lang w:val="en-CA"/>
        </w:rPr>
        <w:t xml:space="preserve">2 of </w:t>
      </w:r>
      <w:r w:rsidR="00C33BBC">
        <w:rPr>
          <w:i/>
          <w:iCs/>
          <w:kern w:val="28"/>
          <w:lang w:val="en-CA"/>
        </w:rPr>
        <w:t>Bill 40</w:t>
      </w:r>
      <w:r w:rsidRPr="000A0EA1">
        <w:rPr>
          <w:i/>
          <w:iCs/>
          <w:kern w:val="28"/>
          <w:lang w:val="en-CA"/>
        </w:rPr>
        <w:t>)</w:t>
      </w:r>
    </w:p>
    <w:p w14:paraId="17F5F28F" w14:textId="2272130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Section 52 of </w:t>
      </w:r>
      <w:r w:rsidR="00C33BBC">
        <w:rPr>
          <w:i/>
          <w:iCs/>
          <w:kern w:val="28"/>
          <w:lang w:val="en-CA"/>
        </w:rPr>
        <w:t>Bill 40</w:t>
      </w:r>
      <w:r w:rsidRPr="000A0EA1">
        <w:rPr>
          <w:kern w:val="28"/>
          <w:lang w:val="en-CA"/>
        </w:rPr>
        <w:t xml:space="preserve"> provides that, henceforth, the chair and vice-chair of the board of directors of a school service centre must be selected from among the members sitting as parent representatives. The judge concluded that this restriction contravenes the minority language community</w:t>
      </w:r>
      <w:r w:rsidR="00E46AFD">
        <w:rPr>
          <w:kern w:val="28"/>
          <w:lang w:val="en-CA"/>
        </w:rPr>
        <w:t>’</w:t>
      </w:r>
      <w:r w:rsidRPr="000A0EA1">
        <w:rPr>
          <w:kern w:val="28"/>
          <w:lang w:val="en-CA"/>
        </w:rPr>
        <w:t xml:space="preserve">s exclusive management and control rights </w:t>
      </w:r>
      <w:r w:rsidR="007A75C6">
        <w:rPr>
          <w:kern w:val="28"/>
          <w:lang w:val="en-CA"/>
        </w:rPr>
        <w:t>flowing from</w:t>
      </w:r>
      <w:r w:rsidRPr="000A0EA1">
        <w:rPr>
          <w:kern w:val="28"/>
          <w:lang w:val="en-CA"/>
        </w:rPr>
        <w:t xml:space="preserve">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kern w:val="28"/>
          <w:vertAlign w:val="superscript"/>
          <w:lang w:val="en-CA"/>
        </w:rPr>
        <w:footnoteReference w:id="78"/>
      </w:r>
    </w:p>
    <w:p w14:paraId="17F5F290" w14:textId="6C33944D" w:rsidR="00F75613" w:rsidRPr="000A0EA1" w:rsidRDefault="00B02E00" w:rsidP="00B255B8">
      <w:pPr>
        <w:spacing w:before="120" w:after="120" w:line="240" w:lineRule="auto"/>
        <w:ind w:left="1440" w:hanging="720"/>
        <w:jc w:val="both"/>
        <w:rPr>
          <w:i/>
          <w:iCs/>
          <w:kern w:val="28"/>
          <w:lang w:val="en-CA"/>
        </w:rPr>
      </w:pPr>
      <w:r w:rsidRPr="000A0EA1">
        <w:rPr>
          <w:kern w:val="28"/>
          <w:lang w:val="en-CA"/>
        </w:rPr>
        <w:t>(iv)</w:t>
      </w:r>
      <w:r w:rsidRPr="000A0EA1">
        <w:rPr>
          <w:kern w:val="28"/>
          <w:lang w:val="en-CA"/>
        </w:rPr>
        <w:tab/>
      </w:r>
      <w:r w:rsidRPr="000A0EA1">
        <w:rPr>
          <w:i/>
          <w:iCs/>
          <w:kern w:val="28"/>
          <w:lang w:val="en-CA"/>
        </w:rPr>
        <w:t>Presence of school staff as unelected representatives (</w:t>
      </w:r>
      <w:r w:rsidR="0062160E">
        <w:rPr>
          <w:i/>
          <w:iCs/>
          <w:kern w:val="28"/>
          <w:lang w:val="en-CA"/>
        </w:rPr>
        <w:t>s. 5</w:t>
      </w:r>
      <w:r w:rsidRPr="000A0EA1">
        <w:rPr>
          <w:i/>
          <w:iCs/>
          <w:kern w:val="28"/>
          <w:lang w:val="en-CA"/>
        </w:rPr>
        <w:t xml:space="preserve">0 of </w:t>
      </w:r>
      <w:r w:rsidR="00C33BBC">
        <w:rPr>
          <w:i/>
          <w:iCs/>
          <w:kern w:val="28"/>
          <w:lang w:val="en-CA"/>
        </w:rPr>
        <w:t>Bill 40</w:t>
      </w:r>
      <w:r w:rsidRPr="000A0EA1">
        <w:rPr>
          <w:i/>
          <w:iCs/>
          <w:kern w:val="28"/>
          <w:lang w:val="en-CA"/>
        </w:rPr>
        <w:t>)</w:t>
      </w:r>
    </w:p>
    <w:p w14:paraId="17F5F291" w14:textId="0D1E49A4"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Section 50 of</w:t>
      </w:r>
      <w:r w:rsidRPr="000A0EA1">
        <w:rPr>
          <w:i/>
          <w:iCs/>
          <w:kern w:val="28"/>
          <w:lang w:val="en-CA"/>
        </w:rPr>
        <w:t xml:space="preserve"> </w:t>
      </w:r>
      <w:r w:rsidR="00C33BBC">
        <w:rPr>
          <w:i/>
          <w:iCs/>
          <w:kern w:val="28"/>
          <w:lang w:val="en-CA"/>
        </w:rPr>
        <w:t>Bill 40</w:t>
      </w:r>
      <w:r w:rsidRPr="000A0EA1">
        <w:rPr>
          <w:kern w:val="28"/>
          <w:lang w:val="en-CA"/>
        </w:rPr>
        <w:t xml:space="preserve"> also provides that four members of the school service centre</w:t>
      </w:r>
      <w:r w:rsidR="00E46AFD">
        <w:rPr>
          <w:kern w:val="28"/>
          <w:lang w:val="en-CA"/>
        </w:rPr>
        <w:t>’</w:t>
      </w:r>
      <w:r w:rsidRPr="000A0EA1">
        <w:rPr>
          <w:kern w:val="28"/>
          <w:lang w:val="en-CA"/>
        </w:rPr>
        <w:t>s staff, designated by the centre</w:t>
      </w:r>
      <w:r w:rsidR="00E46AFD">
        <w:rPr>
          <w:kern w:val="28"/>
          <w:lang w:val="en-CA"/>
        </w:rPr>
        <w:t>’</w:t>
      </w:r>
      <w:r w:rsidRPr="000A0EA1">
        <w:rPr>
          <w:kern w:val="28"/>
          <w:lang w:val="en-CA"/>
        </w:rPr>
        <w:t xml:space="preserve">s employees, must sit on the board of directors. Since staff members are not necessarily themselves </w:t>
      </w:r>
      <w:r w:rsidR="0062160E">
        <w:rPr>
          <w:kern w:val="28"/>
          <w:lang w:val="en-CA"/>
        </w:rPr>
        <w:t>s. 2</w:t>
      </w:r>
      <w:r w:rsidRPr="000A0EA1">
        <w:rPr>
          <w:kern w:val="28"/>
          <w:lang w:val="en-CA"/>
        </w:rPr>
        <w:t>3 rights holders and are not designated by the linguistic minority, the judge conclude</w:t>
      </w:r>
      <w:r w:rsidR="007A75C6">
        <w:rPr>
          <w:kern w:val="28"/>
          <w:lang w:val="en-CA"/>
        </w:rPr>
        <w:t>s</w:t>
      </w:r>
      <w:r w:rsidRPr="000A0EA1">
        <w:rPr>
          <w:kern w:val="28"/>
          <w:lang w:val="en-CA"/>
        </w:rPr>
        <w:t xml:space="preserve"> that this, too, is a measure that contravenes the minority</w:t>
      </w:r>
      <w:r w:rsidR="00E46AFD">
        <w:rPr>
          <w:kern w:val="28"/>
          <w:lang w:val="en-CA"/>
        </w:rPr>
        <w:t>’</w:t>
      </w:r>
      <w:r w:rsidRPr="000A0EA1">
        <w:rPr>
          <w:kern w:val="28"/>
          <w:lang w:val="en-CA"/>
        </w:rPr>
        <w:t>s exclusive management and control rights.</w:t>
      </w:r>
      <w:r w:rsidRPr="000A0EA1">
        <w:rPr>
          <w:kern w:val="28"/>
          <w:vertAlign w:val="superscript"/>
          <w:lang w:val="en-CA"/>
        </w:rPr>
        <w:footnoteReference w:id="79"/>
      </w:r>
    </w:p>
    <w:p w14:paraId="17F5F292" w14:textId="202E307E" w:rsidR="00F75613" w:rsidRPr="000A0EA1" w:rsidRDefault="00B02E00" w:rsidP="00B255B8">
      <w:pPr>
        <w:spacing w:before="120" w:after="120" w:line="240" w:lineRule="auto"/>
        <w:ind w:left="1440" w:hanging="720"/>
        <w:jc w:val="both"/>
        <w:rPr>
          <w:kern w:val="28"/>
          <w:lang w:val="en-CA"/>
        </w:rPr>
      </w:pPr>
      <w:r w:rsidRPr="000A0EA1">
        <w:rPr>
          <w:kern w:val="28"/>
          <w:lang w:val="en-CA"/>
        </w:rPr>
        <w:t>(v)</w:t>
      </w:r>
      <w:r w:rsidRPr="000A0EA1">
        <w:rPr>
          <w:kern w:val="28"/>
          <w:lang w:val="en-CA"/>
        </w:rPr>
        <w:tab/>
      </w:r>
      <w:r w:rsidRPr="000A0EA1">
        <w:rPr>
          <w:i/>
          <w:iCs/>
          <w:kern w:val="28"/>
          <w:lang w:val="en-CA"/>
        </w:rPr>
        <w:t>Transfer of the role of spokesperson to the director general of the school service centre (s</w:t>
      </w:r>
      <w:r w:rsidR="0062160E">
        <w:rPr>
          <w:i/>
          <w:iCs/>
          <w:kern w:val="28"/>
          <w:lang w:val="en-CA"/>
        </w:rPr>
        <w:t>s. 5</w:t>
      </w:r>
      <w:r w:rsidRPr="000A0EA1">
        <w:rPr>
          <w:i/>
          <w:iCs/>
          <w:kern w:val="28"/>
          <w:lang w:val="en-CA"/>
        </w:rPr>
        <w:t xml:space="preserve">2 and 93 of </w:t>
      </w:r>
      <w:r w:rsidR="00C33BBC">
        <w:rPr>
          <w:i/>
          <w:iCs/>
          <w:kern w:val="28"/>
          <w:lang w:val="en-CA"/>
        </w:rPr>
        <w:t>Bill 40</w:t>
      </w:r>
      <w:r w:rsidRPr="000A0EA1">
        <w:rPr>
          <w:i/>
          <w:iCs/>
          <w:kern w:val="28"/>
          <w:lang w:val="en-CA"/>
        </w:rPr>
        <w:t xml:space="preserve">, </w:t>
      </w:r>
      <w:r w:rsidR="0062160E">
        <w:rPr>
          <w:i/>
          <w:iCs/>
          <w:kern w:val="28"/>
          <w:lang w:val="en-CA"/>
        </w:rPr>
        <w:t>s. 1</w:t>
      </w:r>
      <w:r w:rsidRPr="000A0EA1">
        <w:rPr>
          <w:i/>
          <w:iCs/>
          <w:kern w:val="28"/>
          <w:lang w:val="en-CA"/>
        </w:rPr>
        <w:t>55 of the EA)</w:t>
      </w:r>
    </w:p>
    <w:p w14:paraId="17F5F293" w14:textId="3AAD5463" w:rsidR="00F75613" w:rsidRPr="000A0EA1" w:rsidRDefault="00C33BBC" w:rsidP="00B255B8">
      <w:pPr>
        <w:numPr>
          <w:ilvl w:val="0"/>
          <w:numId w:val="1"/>
        </w:numPr>
        <w:spacing w:before="120" w:after="120" w:line="240" w:lineRule="auto"/>
        <w:jc w:val="both"/>
        <w:rPr>
          <w:kern w:val="28"/>
          <w:lang w:val="en-CA"/>
        </w:rPr>
      </w:pPr>
      <w:r>
        <w:rPr>
          <w:i/>
          <w:iCs/>
          <w:kern w:val="28"/>
          <w:lang w:val="en-CA"/>
        </w:rPr>
        <w:t>Bill 40</w:t>
      </w:r>
      <w:r w:rsidR="00B02E00" w:rsidRPr="000A0EA1">
        <w:rPr>
          <w:i/>
          <w:iCs/>
          <w:kern w:val="28"/>
          <w:lang w:val="en-CA"/>
        </w:rPr>
        <w:t xml:space="preserve"> </w:t>
      </w:r>
      <w:r w:rsidR="00B02E00" w:rsidRPr="000A0EA1">
        <w:rPr>
          <w:kern w:val="28"/>
          <w:lang w:val="en-CA"/>
        </w:rPr>
        <w:t>(</w:t>
      </w:r>
      <w:r w:rsidR="0062160E">
        <w:rPr>
          <w:kern w:val="28"/>
          <w:lang w:val="en-CA"/>
        </w:rPr>
        <w:t>s. 9</w:t>
      </w:r>
      <w:r w:rsidR="00B02E00" w:rsidRPr="000A0EA1">
        <w:rPr>
          <w:kern w:val="28"/>
          <w:lang w:val="en-CA"/>
        </w:rPr>
        <w:t>3) also provides that the director general of a school service centre becomes its spokesperson, whereas previously this role was vested in the elected chair of the school board (</w:t>
      </w:r>
      <w:r w:rsidR="0062160E">
        <w:rPr>
          <w:kern w:val="28"/>
          <w:lang w:val="en-CA"/>
        </w:rPr>
        <w:t>s. 1</w:t>
      </w:r>
      <w:r w:rsidR="00B02E00" w:rsidRPr="000A0EA1">
        <w:rPr>
          <w:kern w:val="28"/>
          <w:lang w:val="en-CA"/>
        </w:rPr>
        <w:t xml:space="preserve">55 of the </w:t>
      </w:r>
      <w:r w:rsidR="00B02E00" w:rsidRPr="000A0EA1">
        <w:rPr>
          <w:i/>
          <w:iCs/>
          <w:kern w:val="28"/>
          <w:lang w:val="en-CA"/>
        </w:rPr>
        <w:t xml:space="preserve">EA </w:t>
      </w:r>
      <w:r w:rsidR="00B02E00" w:rsidRPr="000A0EA1">
        <w:rPr>
          <w:kern w:val="28"/>
          <w:lang w:val="en-CA"/>
        </w:rPr>
        <w:t xml:space="preserve">before its replacement by </w:t>
      </w:r>
      <w:r w:rsidR="0062160E">
        <w:rPr>
          <w:kern w:val="28"/>
          <w:lang w:val="en-CA"/>
        </w:rPr>
        <w:t>s. 5</w:t>
      </w:r>
      <w:r w:rsidR="00B02E00" w:rsidRPr="000A0EA1">
        <w:rPr>
          <w:kern w:val="28"/>
          <w:lang w:val="en-CA"/>
        </w:rPr>
        <w:t xml:space="preserve">2 of </w:t>
      </w:r>
      <w:r>
        <w:rPr>
          <w:i/>
          <w:iCs/>
          <w:kern w:val="28"/>
          <w:lang w:val="en-CA"/>
        </w:rPr>
        <w:t>Bill 40</w:t>
      </w:r>
      <w:r w:rsidR="00B02E00" w:rsidRPr="000A0EA1">
        <w:rPr>
          <w:kern w:val="28"/>
          <w:lang w:val="en-CA"/>
        </w:rPr>
        <w:t xml:space="preserve">). The judge </w:t>
      </w:r>
      <w:r w:rsidR="00DF5417">
        <w:rPr>
          <w:kern w:val="28"/>
          <w:lang w:val="en-CA"/>
        </w:rPr>
        <w:t>analyses</w:t>
      </w:r>
      <w:r w:rsidR="00B02E00" w:rsidRPr="000A0EA1">
        <w:rPr>
          <w:kern w:val="28"/>
          <w:lang w:val="en-CA"/>
        </w:rPr>
        <w:t xml:space="preserve"> the evidence </w:t>
      </w:r>
      <w:r w:rsidR="00F80A15">
        <w:rPr>
          <w:kern w:val="28"/>
          <w:lang w:val="en-CA"/>
        </w:rPr>
        <w:t xml:space="preserve">and </w:t>
      </w:r>
      <w:r w:rsidR="00B02E00" w:rsidRPr="000A0EA1">
        <w:rPr>
          <w:kern w:val="28"/>
          <w:lang w:val="en-CA"/>
        </w:rPr>
        <w:t>conclude</w:t>
      </w:r>
      <w:r w:rsidR="00F80A15">
        <w:rPr>
          <w:kern w:val="28"/>
          <w:lang w:val="en-CA"/>
        </w:rPr>
        <w:t>s</w:t>
      </w:r>
      <w:r w:rsidR="00B02E00" w:rsidRPr="000A0EA1">
        <w:rPr>
          <w:kern w:val="28"/>
          <w:lang w:val="en-CA"/>
        </w:rPr>
        <w:t xml:space="preserve"> that this measure severely limits the freedom to act of representatives of the </w:t>
      </w:r>
      <w:r w:rsidR="00312FD9">
        <w:rPr>
          <w:kern w:val="28"/>
          <w:lang w:val="en-CA"/>
        </w:rPr>
        <w:t>English</w:t>
      </w:r>
      <w:r w:rsidR="00312FD9">
        <w:rPr>
          <w:kern w:val="28"/>
          <w:lang w:val="en-CA"/>
        </w:rPr>
        <w:noBreakHyphen/>
        <w:t>speaking</w:t>
      </w:r>
      <w:r w:rsidR="00B02E00" w:rsidRPr="000A0EA1">
        <w:rPr>
          <w:kern w:val="28"/>
          <w:lang w:val="en-CA"/>
        </w:rPr>
        <w:t xml:space="preserve"> minority. Therefore</w:t>
      </w:r>
      <w:r w:rsidR="0046115B">
        <w:rPr>
          <w:kern w:val="28"/>
          <w:lang w:val="en-CA"/>
        </w:rPr>
        <w:t>,</w:t>
      </w:r>
      <w:r w:rsidR="00B02E00" w:rsidRPr="000A0EA1">
        <w:rPr>
          <w:kern w:val="28"/>
          <w:lang w:val="en-CA"/>
        </w:rPr>
        <w:t xml:space="preserve"> </w:t>
      </w:r>
      <w:r w:rsidR="00955B26">
        <w:rPr>
          <w:kern w:val="28"/>
          <w:lang w:val="en-CA"/>
        </w:rPr>
        <w:t>t</w:t>
      </w:r>
      <w:r w:rsidR="00B02E00" w:rsidRPr="000A0EA1">
        <w:rPr>
          <w:kern w:val="28"/>
          <w:lang w:val="en-CA"/>
        </w:rPr>
        <w:t xml:space="preserve">his measure is a direct violation of the </w:t>
      </w:r>
      <w:r w:rsidR="00955B26">
        <w:rPr>
          <w:kern w:val="28"/>
          <w:lang w:val="en-CA"/>
        </w:rPr>
        <w:t xml:space="preserve">linguistic </w:t>
      </w:r>
      <w:r w:rsidR="00B02E00" w:rsidRPr="000A0EA1">
        <w:rPr>
          <w:kern w:val="28"/>
          <w:lang w:val="en-CA"/>
        </w:rPr>
        <w:t>minority</w:t>
      </w:r>
      <w:r w:rsidR="00E46AFD">
        <w:rPr>
          <w:kern w:val="28"/>
          <w:lang w:val="en-CA"/>
        </w:rPr>
        <w:t>’</w:t>
      </w:r>
      <w:r w:rsidR="00B02E00" w:rsidRPr="000A0EA1">
        <w:rPr>
          <w:kern w:val="28"/>
          <w:lang w:val="en-CA"/>
        </w:rPr>
        <w:t>s right</w:t>
      </w:r>
      <w:r w:rsidR="00955B26">
        <w:rPr>
          <w:kern w:val="28"/>
          <w:lang w:val="en-CA"/>
        </w:rPr>
        <w:t>s</w:t>
      </w:r>
      <w:r w:rsidR="00B02E00" w:rsidRPr="000A0EA1">
        <w:rPr>
          <w:kern w:val="28"/>
          <w:lang w:val="en-CA"/>
        </w:rPr>
        <w:t xml:space="preserve"> of management and control.</w:t>
      </w:r>
      <w:r w:rsidR="00B02E00" w:rsidRPr="000A0EA1">
        <w:rPr>
          <w:kern w:val="28"/>
          <w:vertAlign w:val="superscript"/>
          <w:lang w:val="en-CA"/>
        </w:rPr>
        <w:footnoteReference w:id="80"/>
      </w:r>
    </w:p>
    <w:p w14:paraId="17F5F294" w14:textId="03A2CD7A" w:rsidR="00F75613" w:rsidRPr="000A0EA1" w:rsidRDefault="00B02E00" w:rsidP="00B255B8">
      <w:pPr>
        <w:spacing w:before="120" w:after="120" w:line="240" w:lineRule="auto"/>
        <w:ind w:left="1440" w:hanging="720"/>
        <w:jc w:val="both"/>
        <w:rPr>
          <w:kern w:val="28"/>
          <w:lang w:val="en-CA"/>
        </w:rPr>
      </w:pPr>
      <w:r w:rsidRPr="000A0EA1">
        <w:rPr>
          <w:kern w:val="28"/>
          <w:lang w:val="en-CA"/>
        </w:rPr>
        <w:lastRenderedPageBreak/>
        <w:t>(vi)</w:t>
      </w:r>
      <w:r w:rsidRPr="000A0EA1">
        <w:rPr>
          <w:kern w:val="28"/>
          <w:lang w:val="en-CA"/>
        </w:rPr>
        <w:tab/>
      </w:r>
      <w:r w:rsidRPr="000A0EA1">
        <w:rPr>
          <w:i/>
          <w:iCs/>
          <w:kern w:val="28"/>
          <w:lang w:val="en-CA"/>
        </w:rPr>
        <w:t>Loss of control over the commitment-to-student-success committee (</w:t>
      </w:r>
      <w:r w:rsidR="0062160E">
        <w:rPr>
          <w:i/>
          <w:iCs/>
          <w:kern w:val="28"/>
          <w:lang w:val="en-CA"/>
        </w:rPr>
        <w:t>s. 9</w:t>
      </w:r>
      <w:r w:rsidRPr="000A0EA1">
        <w:rPr>
          <w:i/>
          <w:iCs/>
          <w:kern w:val="28"/>
          <w:lang w:val="en-CA"/>
        </w:rPr>
        <w:t xml:space="preserve">1 of </w:t>
      </w:r>
      <w:r w:rsidR="00C33BBC">
        <w:rPr>
          <w:i/>
          <w:iCs/>
          <w:kern w:val="28"/>
          <w:lang w:val="en-CA"/>
        </w:rPr>
        <w:t>Bill 40</w:t>
      </w:r>
      <w:r w:rsidRPr="000A0EA1">
        <w:rPr>
          <w:i/>
          <w:iCs/>
          <w:kern w:val="28"/>
          <w:lang w:val="en-CA"/>
        </w:rPr>
        <w:t>)</w:t>
      </w:r>
    </w:p>
    <w:p w14:paraId="17F5F295" w14:textId="5A820EE1"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Section 91 of </w:t>
      </w:r>
      <w:r w:rsidR="00C33BBC">
        <w:rPr>
          <w:i/>
          <w:iCs/>
          <w:kern w:val="28"/>
          <w:lang w:val="en-CA"/>
        </w:rPr>
        <w:t>Bill 40</w:t>
      </w:r>
      <w:r w:rsidRPr="000A0EA1">
        <w:rPr>
          <w:kern w:val="28"/>
          <w:lang w:val="en-CA"/>
        </w:rPr>
        <w:t xml:space="preserve"> provides for the creation, in each school service centre, of a commitment-to-student-success committee composed of members of the centre</w:t>
      </w:r>
      <w:r w:rsidR="00E46AFD">
        <w:rPr>
          <w:kern w:val="28"/>
          <w:lang w:val="en-CA"/>
        </w:rPr>
        <w:t>’</w:t>
      </w:r>
      <w:r w:rsidRPr="000A0EA1">
        <w:rPr>
          <w:kern w:val="28"/>
          <w:lang w:val="en-CA"/>
        </w:rPr>
        <w:t>s staff and one individual from the education research sector. The committee</w:t>
      </w:r>
      <w:r w:rsidR="00E46AFD">
        <w:rPr>
          <w:kern w:val="28"/>
          <w:lang w:val="en-CA"/>
        </w:rPr>
        <w:t>’</w:t>
      </w:r>
      <w:r w:rsidRPr="000A0EA1">
        <w:rPr>
          <w:kern w:val="28"/>
          <w:lang w:val="en-CA"/>
        </w:rPr>
        <w:t>s mission is to develop the commitment-to-student-success plan, which essentially comprises all the school service centre</w:t>
      </w:r>
      <w:r w:rsidR="00E46AFD">
        <w:rPr>
          <w:kern w:val="28"/>
          <w:lang w:val="en-CA"/>
        </w:rPr>
        <w:t>’</w:t>
      </w:r>
      <w:r w:rsidRPr="000A0EA1">
        <w:rPr>
          <w:kern w:val="28"/>
          <w:lang w:val="en-CA"/>
        </w:rPr>
        <w:t>s policy directions, which must also be consistent with the Minister</w:t>
      </w:r>
      <w:r w:rsidR="00E46AFD">
        <w:rPr>
          <w:kern w:val="28"/>
          <w:lang w:val="en-CA"/>
        </w:rPr>
        <w:t>’</w:t>
      </w:r>
      <w:r w:rsidRPr="000A0EA1">
        <w:rPr>
          <w:kern w:val="28"/>
          <w:lang w:val="en-CA"/>
        </w:rPr>
        <w:t>s strategic directions and objectives. Not only are there no elected representatives or parents on this committee, but there is no legal requirement that the members of the committee be from the linguistic minority. In the judge</w:t>
      </w:r>
      <w:r w:rsidR="00E46AFD">
        <w:rPr>
          <w:kern w:val="28"/>
          <w:lang w:val="en-CA"/>
        </w:rPr>
        <w:t>’</w:t>
      </w:r>
      <w:r w:rsidRPr="000A0EA1">
        <w:rPr>
          <w:kern w:val="28"/>
          <w:lang w:val="en-CA"/>
        </w:rPr>
        <w:t>s view, it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is inconceivable for a plan as fundamental as the commitment-to-success plan not to be the responsibility of the minority</w:t>
      </w:r>
      <w:r w:rsidR="00E46AFD">
        <w:rPr>
          <w:kern w:val="28"/>
          <w:lang w:val="en-CA"/>
        </w:rPr>
        <w:t>’</w:t>
      </w:r>
      <w:r w:rsidRPr="000A0EA1">
        <w:rPr>
          <w:kern w:val="28"/>
          <w:lang w:val="en-CA"/>
        </w:rPr>
        <w:t>s elected representatives</w:t>
      </w:r>
      <w:r w:rsidR="00E46AFD">
        <w:rPr>
          <w:kern w:val="28"/>
          <w:lang w:val="en-CA"/>
        </w:rPr>
        <w:t>”</w:t>
      </w:r>
      <w:r w:rsidRPr="000A0EA1">
        <w:rPr>
          <w:kern w:val="28"/>
          <w:lang w:val="en-CA"/>
        </w:rPr>
        <w:t>.</w:t>
      </w:r>
      <w:r w:rsidRPr="000A0EA1">
        <w:rPr>
          <w:kern w:val="28"/>
          <w:vertAlign w:val="superscript"/>
          <w:lang w:val="en-CA"/>
        </w:rPr>
        <w:footnoteReference w:id="81"/>
      </w:r>
      <w:r w:rsidRPr="000A0EA1">
        <w:rPr>
          <w:kern w:val="28"/>
          <w:lang w:val="en-CA"/>
        </w:rPr>
        <w:t xml:space="preserve"> He add</w:t>
      </w:r>
      <w:r w:rsidR="00F80A15">
        <w:rPr>
          <w:kern w:val="28"/>
          <w:lang w:val="en-CA"/>
        </w:rPr>
        <w:t>s</w:t>
      </w:r>
      <w:r w:rsidRPr="000A0EA1">
        <w:rPr>
          <w:kern w:val="28"/>
          <w:lang w:val="en-CA"/>
        </w:rPr>
        <w:t>:</w:t>
      </w:r>
    </w:p>
    <w:p w14:paraId="2C2B6F91" w14:textId="77777777" w:rsidR="00D47A69" w:rsidRDefault="00B02E00" w:rsidP="00B255B8">
      <w:pPr>
        <w:spacing w:before="120" w:after="120" w:line="240" w:lineRule="auto"/>
        <w:ind w:left="720" w:right="720"/>
        <w:jc w:val="both"/>
        <w:rPr>
          <w:kern w:val="24"/>
          <w:sz w:val="22"/>
          <w:lang w:val="en-CA"/>
        </w:rPr>
      </w:pPr>
      <w:r w:rsidRPr="000A0EA1">
        <w:rPr>
          <w:kern w:val="24"/>
          <w:sz w:val="22"/>
          <w:lang w:val="en-CA"/>
        </w:rPr>
        <w:t>[</w:t>
      </w:r>
      <w:r w:rsidR="00F16205" w:rsidRPr="00F16205">
        <w:rPr>
          <w:smallCaps/>
          <w:kern w:val="24"/>
          <w:sz w:val="22"/>
          <w:lang w:val="en-CA"/>
        </w:rPr>
        <w:t>translation</w:t>
      </w:r>
      <w:r w:rsidRPr="000A0EA1">
        <w:rPr>
          <w:kern w:val="24"/>
          <w:sz w:val="22"/>
          <w:lang w:val="en-CA"/>
        </w:rPr>
        <w:t>]</w:t>
      </w:r>
    </w:p>
    <w:p w14:paraId="17F5F296" w14:textId="632AAD7F"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[271]</w:t>
      </w:r>
      <w:r w:rsidRPr="000A0EA1">
        <w:rPr>
          <w:kern w:val="24"/>
          <w:sz w:val="22"/>
          <w:lang w:val="en-CA"/>
        </w:rPr>
        <w:tab/>
        <w:t xml:space="preserve">It is clear that entrusting the commitment-to-student-success plan to a committee on which not a single elected member of the minority sits is a direct violation of </w:t>
      </w:r>
      <w:r w:rsidR="00C013D7">
        <w:rPr>
          <w:kern w:val="24"/>
          <w:sz w:val="22"/>
          <w:lang w:val="en-CA"/>
        </w:rPr>
        <w:t xml:space="preserve">s. </w:t>
      </w:r>
      <w:r w:rsidRPr="000A0EA1">
        <w:rPr>
          <w:kern w:val="24"/>
          <w:sz w:val="22"/>
          <w:lang w:val="en-CA"/>
        </w:rPr>
        <w:t>23. This committee</w:t>
      </w:r>
      <w:r w:rsidR="00E46AFD">
        <w:rPr>
          <w:kern w:val="24"/>
          <w:sz w:val="22"/>
          <w:lang w:val="en-CA"/>
        </w:rPr>
        <w:t>’</w:t>
      </w:r>
      <w:r w:rsidRPr="000A0EA1">
        <w:rPr>
          <w:kern w:val="24"/>
          <w:sz w:val="22"/>
          <w:lang w:val="en-CA"/>
        </w:rPr>
        <w:t xml:space="preserve">s obligation under the </w:t>
      </w:r>
      <w:r w:rsidRPr="000A0EA1">
        <w:rPr>
          <w:i/>
          <w:iCs/>
          <w:kern w:val="24"/>
          <w:sz w:val="22"/>
          <w:lang w:val="en-CA"/>
        </w:rPr>
        <w:t>EA</w:t>
      </w:r>
      <w:r w:rsidRPr="000A0EA1">
        <w:rPr>
          <w:kern w:val="24"/>
          <w:sz w:val="22"/>
          <w:lang w:val="en-CA"/>
        </w:rPr>
        <w:t xml:space="preserve"> to consult parent representatives does not meet the requirement that the management and control of educational success be under the purview of community representatives who alone and exclusively may decide.</w:t>
      </w:r>
    </w:p>
    <w:p w14:paraId="17F5F297" w14:textId="66E3AD55" w:rsidR="00F75613" w:rsidRPr="000A0EA1" w:rsidRDefault="00B02E00" w:rsidP="00B255B8">
      <w:pPr>
        <w:spacing w:before="120" w:after="120" w:line="240" w:lineRule="auto"/>
        <w:jc w:val="both"/>
        <w:rPr>
          <w:kern w:val="28"/>
          <w:lang w:val="en-CA"/>
        </w:rPr>
      </w:pPr>
      <w:r w:rsidRPr="000A0EA1">
        <w:rPr>
          <w:kern w:val="28"/>
          <w:lang w:val="en-CA"/>
        </w:rPr>
        <w:tab/>
        <w:t>(vii)</w:t>
      </w:r>
      <w:r w:rsidRPr="000A0EA1">
        <w:rPr>
          <w:kern w:val="28"/>
          <w:lang w:val="en-CA"/>
        </w:rPr>
        <w:tab/>
      </w:r>
      <w:r w:rsidRPr="000A0EA1">
        <w:rPr>
          <w:i/>
          <w:iCs/>
          <w:kern w:val="28"/>
          <w:lang w:val="en-CA"/>
        </w:rPr>
        <w:t>Loss of control over resources and services (</w:t>
      </w:r>
      <w:r w:rsidR="0062160E">
        <w:rPr>
          <w:i/>
          <w:iCs/>
          <w:kern w:val="28"/>
          <w:lang w:val="en-CA"/>
        </w:rPr>
        <w:t>s. 1</w:t>
      </w:r>
      <w:r w:rsidRPr="000A0EA1">
        <w:rPr>
          <w:i/>
          <w:iCs/>
          <w:kern w:val="28"/>
          <w:lang w:val="en-CA"/>
        </w:rPr>
        <w:t xml:space="preserve">05 of </w:t>
      </w:r>
      <w:r w:rsidR="00C33BBC">
        <w:rPr>
          <w:i/>
          <w:iCs/>
          <w:kern w:val="28"/>
          <w:lang w:val="en-CA"/>
        </w:rPr>
        <w:t>Bill 40</w:t>
      </w:r>
      <w:r w:rsidRPr="000A0EA1">
        <w:rPr>
          <w:i/>
          <w:iCs/>
          <w:kern w:val="28"/>
          <w:lang w:val="en-CA"/>
        </w:rPr>
        <w:t>)</w:t>
      </w:r>
    </w:p>
    <w:p w14:paraId="17F5F298" w14:textId="44EE29F3"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Section 105 of </w:t>
      </w:r>
      <w:r w:rsidR="00C33BBC">
        <w:rPr>
          <w:i/>
          <w:iCs/>
          <w:kern w:val="28"/>
          <w:lang w:val="en-CA"/>
        </w:rPr>
        <w:t>Bill 40</w:t>
      </w:r>
      <w:r w:rsidRPr="000A0EA1">
        <w:rPr>
          <w:kern w:val="28"/>
          <w:lang w:val="en-CA"/>
        </w:rPr>
        <w:t xml:space="preserve"> henceforth allows the Minister to require the sharing of resources and services between school service centres or with other public bodies, including municipalities. Although the judge acknowledge</w:t>
      </w:r>
      <w:r w:rsidR="00F80A15">
        <w:rPr>
          <w:kern w:val="28"/>
          <w:lang w:val="en-CA"/>
        </w:rPr>
        <w:t>s</w:t>
      </w:r>
      <w:r w:rsidRPr="000A0EA1">
        <w:rPr>
          <w:kern w:val="28"/>
          <w:lang w:val="en-CA"/>
        </w:rPr>
        <w:t xml:space="preserve"> that the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sharing of schools</w:t>
      </w:r>
      <w:r w:rsidR="00E46AFD">
        <w:rPr>
          <w:kern w:val="28"/>
          <w:lang w:val="en-CA"/>
        </w:rPr>
        <w:t>”</w:t>
      </w:r>
      <w:r w:rsidRPr="000A0EA1">
        <w:rPr>
          <w:kern w:val="28"/>
          <w:lang w:val="en-CA"/>
        </w:rPr>
        <w:t xml:space="preserve"> between the </w:t>
      </w:r>
      <w:r w:rsidR="00312FD9">
        <w:rPr>
          <w:kern w:val="28"/>
          <w:lang w:val="en-CA"/>
        </w:rPr>
        <w:t>French</w:t>
      </w:r>
      <w:r w:rsidR="00312FD9">
        <w:rPr>
          <w:kern w:val="28"/>
          <w:lang w:val="en-CA"/>
        </w:rPr>
        <w:noBreakHyphen/>
        <w:t>speaking</w:t>
      </w:r>
      <w:r w:rsidRPr="000A0EA1">
        <w:rPr>
          <w:kern w:val="28"/>
          <w:lang w:val="en-CA"/>
        </w:rPr>
        <w:t xml:space="preserve"> majority and the </w:t>
      </w:r>
      <w:r w:rsidR="00312FD9">
        <w:rPr>
          <w:kern w:val="28"/>
          <w:lang w:val="en-CA"/>
        </w:rPr>
        <w:t>English</w:t>
      </w:r>
      <w:r w:rsidR="00312FD9">
        <w:rPr>
          <w:kern w:val="28"/>
          <w:lang w:val="en-CA"/>
        </w:rPr>
        <w:noBreakHyphen/>
        <w:t>speaking</w:t>
      </w:r>
      <w:r w:rsidRPr="000A0EA1">
        <w:rPr>
          <w:kern w:val="28"/>
          <w:lang w:val="en-CA"/>
        </w:rPr>
        <w:t xml:space="preserve"> minority would violate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rStyle w:val="Appelnotedebasdep"/>
          <w:kern w:val="28"/>
          <w:lang w:val="en-CA"/>
        </w:rPr>
        <w:footnoteReference w:id="82"/>
      </w:r>
      <w:r w:rsidRPr="000A0EA1">
        <w:rPr>
          <w:kern w:val="28"/>
          <w:lang w:val="en-CA"/>
        </w:rPr>
        <w:t xml:space="preserve"> he f</w:t>
      </w:r>
      <w:r w:rsidR="00F80A15">
        <w:rPr>
          <w:kern w:val="28"/>
          <w:lang w:val="en-CA"/>
        </w:rPr>
        <w:t>i</w:t>
      </w:r>
      <w:r w:rsidRPr="000A0EA1">
        <w:rPr>
          <w:kern w:val="28"/>
          <w:lang w:val="en-CA"/>
        </w:rPr>
        <w:t>nd</w:t>
      </w:r>
      <w:r w:rsidR="00F80A15">
        <w:rPr>
          <w:kern w:val="28"/>
          <w:lang w:val="en-CA"/>
        </w:rPr>
        <w:t>s</w:t>
      </w:r>
      <w:r w:rsidRPr="000A0EA1">
        <w:rPr>
          <w:kern w:val="28"/>
          <w:lang w:val="en-CA"/>
        </w:rPr>
        <w:t xml:space="preserve"> that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 xml:space="preserve">[t]here was no evidence that the Minister was attempting or that he would attempt to impose this measure on an </w:t>
      </w:r>
      <w:r w:rsidR="00AE3408">
        <w:rPr>
          <w:kern w:val="28"/>
          <w:lang w:val="en-CA"/>
        </w:rPr>
        <w:t>English</w:t>
      </w:r>
      <w:r w:rsidR="00AE3408">
        <w:rPr>
          <w:kern w:val="28"/>
          <w:lang w:val="en-CA"/>
        </w:rPr>
        <w:noBreakHyphen/>
        <w:t>language</w:t>
      </w:r>
      <w:r w:rsidRPr="000A0EA1">
        <w:rPr>
          <w:kern w:val="28"/>
          <w:lang w:val="en-CA"/>
        </w:rPr>
        <w:t xml:space="preserve"> school</w:t>
      </w:r>
      <w:r w:rsidR="00E46AFD">
        <w:rPr>
          <w:kern w:val="28"/>
          <w:lang w:val="en-CA"/>
        </w:rPr>
        <w:t>”</w:t>
      </w:r>
      <w:r w:rsidRPr="000A0EA1">
        <w:rPr>
          <w:kern w:val="28"/>
          <w:lang w:val="en-CA"/>
        </w:rPr>
        <w:t>.</w:t>
      </w:r>
      <w:r w:rsidRPr="000A0EA1">
        <w:rPr>
          <w:kern w:val="28"/>
          <w:vertAlign w:val="superscript"/>
          <w:lang w:val="en-CA"/>
        </w:rPr>
        <w:footnoteReference w:id="83"/>
      </w:r>
      <w:r w:rsidRPr="000A0EA1">
        <w:rPr>
          <w:kern w:val="28"/>
          <w:lang w:val="en-CA"/>
        </w:rPr>
        <w:t xml:space="preserve"> He </w:t>
      </w:r>
      <w:r w:rsidR="00F80A15">
        <w:rPr>
          <w:kern w:val="28"/>
          <w:lang w:val="en-CA"/>
        </w:rPr>
        <w:t xml:space="preserve">thus </w:t>
      </w:r>
      <w:r w:rsidRPr="000A0EA1">
        <w:rPr>
          <w:kern w:val="28"/>
          <w:lang w:val="en-CA"/>
        </w:rPr>
        <w:t>consider</w:t>
      </w:r>
      <w:r w:rsidR="00F80A15">
        <w:rPr>
          <w:kern w:val="28"/>
          <w:lang w:val="en-CA"/>
        </w:rPr>
        <w:t>s</w:t>
      </w:r>
      <w:r w:rsidRPr="000A0EA1">
        <w:rPr>
          <w:kern w:val="28"/>
          <w:lang w:val="en-CA"/>
        </w:rPr>
        <w:t xml:space="preserve"> the issue to be theoretical at present, since no concrete infringement of the </w:t>
      </w:r>
      <w:r w:rsidRPr="000A0EA1">
        <w:rPr>
          <w:i/>
          <w:iCs/>
          <w:kern w:val="28"/>
          <w:lang w:val="en-CA"/>
        </w:rPr>
        <w:t>Charter</w:t>
      </w:r>
      <w:r w:rsidRPr="000A0EA1">
        <w:rPr>
          <w:kern w:val="28"/>
          <w:lang w:val="en-CA"/>
        </w:rPr>
        <w:t xml:space="preserve"> had been established. The judge therefore refuse</w:t>
      </w:r>
      <w:r w:rsidR="00F80A15">
        <w:rPr>
          <w:kern w:val="28"/>
          <w:lang w:val="en-CA"/>
        </w:rPr>
        <w:t>s</w:t>
      </w:r>
      <w:r w:rsidRPr="000A0EA1">
        <w:rPr>
          <w:kern w:val="28"/>
          <w:lang w:val="en-CA"/>
        </w:rPr>
        <w:t xml:space="preserve"> to rule on the constitutional validity or applicability of this new measure.</w:t>
      </w:r>
      <w:r w:rsidRPr="000A0EA1">
        <w:rPr>
          <w:kern w:val="28"/>
          <w:vertAlign w:val="superscript"/>
          <w:lang w:val="en-CA"/>
        </w:rPr>
        <w:footnoteReference w:id="84"/>
      </w:r>
    </w:p>
    <w:p w14:paraId="17F5F299" w14:textId="7BEA92AC" w:rsidR="00F75613" w:rsidRPr="000A0EA1" w:rsidRDefault="00B02E00" w:rsidP="00B255B8">
      <w:pPr>
        <w:spacing w:before="120" w:after="120" w:line="240" w:lineRule="auto"/>
        <w:ind w:left="1440" w:hanging="720"/>
        <w:jc w:val="both"/>
        <w:rPr>
          <w:kern w:val="28"/>
          <w:lang w:val="en-CA"/>
        </w:rPr>
      </w:pPr>
      <w:r w:rsidRPr="000A0EA1">
        <w:rPr>
          <w:kern w:val="28"/>
          <w:lang w:val="en-CA"/>
        </w:rPr>
        <w:t>(viii)</w:t>
      </w:r>
      <w:r w:rsidRPr="000A0EA1">
        <w:rPr>
          <w:kern w:val="28"/>
          <w:lang w:val="en-CA"/>
        </w:rPr>
        <w:tab/>
      </w:r>
      <w:r w:rsidRPr="000A0EA1">
        <w:rPr>
          <w:i/>
          <w:iCs/>
          <w:kern w:val="28"/>
          <w:lang w:val="en-CA"/>
        </w:rPr>
        <w:t>Transfer of powers from the school service centres to educational institutions through budgetary rules (</w:t>
      </w:r>
      <w:r w:rsidR="0062160E">
        <w:rPr>
          <w:i/>
          <w:iCs/>
          <w:kern w:val="28"/>
          <w:lang w:val="en-CA"/>
        </w:rPr>
        <w:t>s. 4</w:t>
      </w:r>
      <w:r w:rsidRPr="000A0EA1">
        <w:rPr>
          <w:i/>
          <w:iCs/>
          <w:kern w:val="28"/>
          <w:lang w:val="en-CA"/>
        </w:rPr>
        <w:t>73.1 of the EA)</w:t>
      </w:r>
    </w:p>
    <w:p w14:paraId="17F5F29A" w14:textId="00BF1294"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conclude</w:t>
      </w:r>
      <w:r w:rsidR="00F80A15">
        <w:rPr>
          <w:kern w:val="28"/>
          <w:lang w:val="en-CA"/>
        </w:rPr>
        <w:t>s</w:t>
      </w:r>
      <w:r w:rsidRPr="000A0EA1">
        <w:rPr>
          <w:kern w:val="28"/>
          <w:lang w:val="en-CA"/>
        </w:rPr>
        <w:t xml:space="preserve"> that </w:t>
      </w:r>
      <w:r w:rsidR="0062160E">
        <w:rPr>
          <w:kern w:val="28"/>
          <w:lang w:val="en-CA"/>
        </w:rPr>
        <w:t>s. 4</w:t>
      </w:r>
      <w:r w:rsidRPr="000A0EA1">
        <w:rPr>
          <w:kern w:val="28"/>
          <w:lang w:val="en-CA"/>
        </w:rPr>
        <w:t xml:space="preserve">73.1 of the </w:t>
      </w:r>
      <w:r w:rsidRPr="000A0EA1">
        <w:rPr>
          <w:i/>
          <w:iCs/>
          <w:kern w:val="28"/>
          <w:lang w:val="en-CA"/>
        </w:rPr>
        <w:t>EA</w:t>
      </w:r>
      <w:r w:rsidRPr="000A0EA1">
        <w:rPr>
          <w:kern w:val="28"/>
          <w:lang w:val="en-CA"/>
        </w:rPr>
        <w:t xml:space="preserve"> violates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xml:space="preserve"> and is therefore inoperative with regard to English school boards. </w:t>
      </w:r>
      <w:r w:rsidR="00BA69C8">
        <w:rPr>
          <w:kern w:val="28"/>
          <w:lang w:val="en-CA"/>
        </w:rPr>
        <w:t xml:space="preserve">Following </w:t>
      </w:r>
      <w:r w:rsidRPr="000A0EA1">
        <w:rPr>
          <w:kern w:val="28"/>
          <w:lang w:val="en-CA"/>
        </w:rPr>
        <w:t xml:space="preserve">an amendment </w:t>
      </w:r>
      <w:r w:rsidRPr="000A0EA1">
        <w:rPr>
          <w:kern w:val="28"/>
          <w:lang w:val="en-CA"/>
        </w:rPr>
        <w:lastRenderedPageBreak/>
        <w:t>introduced in 2016,</w:t>
      </w:r>
      <w:r w:rsidRPr="000A0EA1">
        <w:rPr>
          <w:kern w:val="28"/>
          <w:vertAlign w:val="superscript"/>
          <w:lang w:val="en-CA"/>
        </w:rPr>
        <w:footnoteReference w:id="85"/>
      </w:r>
      <w:r w:rsidRPr="000A0EA1">
        <w:rPr>
          <w:kern w:val="28"/>
          <w:lang w:val="en-CA"/>
        </w:rPr>
        <w:t xml:space="preserve"> this section has allowed the Minister to prescribe that certain funds provided for in the budgetary rules of school boards are intended for </w:t>
      </w:r>
      <w:r w:rsidR="00903F11">
        <w:rPr>
          <w:kern w:val="28"/>
          <w:lang w:val="en-CA"/>
        </w:rPr>
        <w:t>a transfer to the budget</w:t>
      </w:r>
      <w:r w:rsidR="00591F9A">
        <w:rPr>
          <w:kern w:val="28"/>
          <w:lang w:val="en-CA"/>
        </w:rPr>
        <w:t>s</w:t>
      </w:r>
      <w:r w:rsidR="00903F11">
        <w:rPr>
          <w:kern w:val="28"/>
          <w:lang w:val="en-CA"/>
        </w:rPr>
        <w:t xml:space="preserve"> of </w:t>
      </w:r>
      <w:r w:rsidR="00591F9A">
        <w:rPr>
          <w:kern w:val="28"/>
          <w:lang w:val="en-CA"/>
        </w:rPr>
        <w:t>the</w:t>
      </w:r>
      <w:r w:rsidR="00903F11">
        <w:rPr>
          <w:kern w:val="28"/>
          <w:lang w:val="en-CA"/>
        </w:rPr>
        <w:t xml:space="preserve"> </w:t>
      </w:r>
      <w:r w:rsidRPr="000A0EA1">
        <w:rPr>
          <w:kern w:val="28"/>
          <w:lang w:val="en-CA"/>
        </w:rPr>
        <w:t>educational institution</w:t>
      </w:r>
      <w:r w:rsidR="00591F9A">
        <w:rPr>
          <w:kern w:val="28"/>
          <w:lang w:val="en-CA"/>
        </w:rPr>
        <w:t>s</w:t>
      </w:r>
      <w:r w:rsidRPr="000A0EA1">
        <w:rPr>
          <w:kern w:val="28"/>
          <w:lang w:val="en-CA"/>
        </w:rPr>
        <w:t xml:space="preserve"> to be used for the sole purposes determined by him.</w:t>
      </w:r>
    </w:p>
    <w:p w14:paraId="17F5F29B" w14:textId="5DA2726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After reviewing the evidence in the record regarding the school boards</w:t>
      </w:r>
      <w:r w:rsidR="00E46AFD">
        <w:rPr>
          <w:kern w:val="28"/>
          <w:lang w:val="en-CA"/>
        </w:rPr>
        <w:t>’</w:t>
      </w:r>
      <w:r w:rsidRPr="000A0EA1">
        <w:rPr>
          <w:kern w:val="28"/>
          <w:lang w:val="en-CA"/>
        </w:rPr>
        <w:t xml:space="preserve"> funding mechanisms, the judge conclude</w:t>
      </w:r>
      <w:r w:rsidR="00903F11">
        <w:rPr>
          <w:kern w:val="28"/>
          <w:lang w:val="en-CA"/>
        </w:rPr>
        <w:t>s</w:t>
      </w:r>
      <w:r w:rsidRPr="000A0EA1">
        <w:rPr>
          <w:kern w:val="28"/>
          <w:lang w:val="en-CA"/>
        </w:rPr>
        <w:t xml:space="preserve"> that the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result of these imposed budgetary constraints is that substantial amounts remain unspent because they are dedicated and cannot be used for purposes other than those determined by the Minister</w:t>
      </w:r>
      <w:r w:rsidR="00E46AFD">
        <w:rPr>
          <w:kern w:val="28"/>
          <w:lang w:val="en-CA"/>
        </w:rPr>
        <w:t>”</w:t>
      </w:r>
      <w:r w:rsidRPr="000A0EA1">
        <w:rPr>
          <w:kern w:val="28"/>
          <w:lang w:val="en-CA"/>
        </w:rPr>
        <w:t>.</w:t>
      </w:r>
      <w:r w:rsidRPr="000A0EA1">
        <w:rPr>
          <w:kern w:val="28"/>
          <w:vertAlign w:val="superscript"/>
          <w:lang w:val="en-CA"/>
        </w:rPr>
        <w:footnoteReference w:id="86"/>
      </w:r>
      <w:r w:rsidRPr="000A0EA1">
        <w:rPr>
          <w:kern w:val="28"/>
          <w:lang w:val="en-CA"/>
        </w:rPr>
        <w:t xml:space="preserve"> These constraints thus run directly counter to the minority language community</w:t>
      </w:r>
      <w:r w:rsidR="00E46AFD">
        <w:rPr>
          <w:kern w:val="28"/>
          <w:lang w:val="en-CA"/>
        </w:rPr>
        <w:t>’</w:t>
      </w:r>
      <w:r w:rsidRPr="000A0EA1">
        <w:rPr>
          <w:kern w:val="28"/>
          <w:lang w:val="en-CA"/>
        </w:rPr>
        <w:t xml:space="preserve">s exclusive power to make decisions concerning the expenditure of funds earmarked for minority language education and for the facilities where </w:t>
      </w:r>
      <w:r w:rsidR="00903F11">
        <w:rPr>
          <w:kern w:val="28"/>
          <w:lang w:val="en-CA"/>
        </w:rPr>
        <w:t>that education</w:t>
      </w:r>
      <w:r w:rsidRPr="000A0EA1">
        <w:rPr>
          <w:kern w:val="28"/>
          <w:lang w:val="en-CA"/>
        </w:rPr>
        <w:t xml:space="preserve"> is provided.</w:t>
      </w:r>
      <w:r w:rsidRPr="000A0EA1">
        <w:rPr>
          <w:kern w:val="28"/>
          <w:vertAlign w:val="superscript"/>
          <w:lang w:val="en-CA"/>
        </w:rPr>
        <w:footnoteReference w:id="87"/>
      </w:r>
    </w:p>
    <w:p w14:paraId="17F5F29C" w14:textId="5D507F5F" w:rsidR="00F75613" w:rsidRPr="000A0EA1" w:rsidRDefault="00B02E00" w:rsidP="00B255B8">
      <w:pPr>
        <w:spacing w:before="120" w:after="120" w:line="240" w:lineRule="auto"/>
        <w:ind w:left="1440" w:hanging="720"/>
        <w:jc w:val="both"/>
        <w:rPr>
          <w:kern w:val="28"/>
          <w:lang w:val="en-CA"/>
        </w:rPr>
      </w:pPr>
      <w:r w:rsidRPr="000A0EA1">
        <w:rPr>
          <w:kern w:val="28"/>
          <w:lang w:val="en-CA"/>
        </w:rPr>
        <w:t>(ix)</w:t>
      </w:r>
      <w:r w:rsidRPr="000A0EA1">
        <w:rPr>
          <w:kern w:val="28"/>
          <w:lang w:val="en-CA"/>
        </w:rPr>
        <w:tab/>
        <w:t xml:space="preserve"> </w:t>
      </w:r>
      <w:r w:rsidRPr="000A0EA1">
        <w:rPr>
          <w:i/>
          <w:iCs/>
          <w:kern w:val="28"/>
          <w:lang w:val="en-CA"/>
        </w:rPr>
        <w:t>Minister</w:t>
      </w:r>
      <w:r w:rsidR="00E46AFD">
        <w:rPr>
          <w:i/>
          <w:iCs/>
          <w:kern w:val="28"/>
          <w:lang w:val="en-CA"/>
        </w:rPr>
        <w:t>’</w:t>
      </w:r>
      <w:r w:rsidRPr="000A0EA1">
        <w:rPr>
          <w:i/>
          <w:iCs/>
          <w:kern w:val="28"/>
          <w:lang w:val="en-CA"/>
        </w:rPr>
        <w:t>s power to determine objectives and targets (</w:t>
      </w:r>
      <w:r w:rsidR="0062160E">
        <w:rPr>
          <w:i/>
          <w:iCs/>
          <w:kern w:val="28"/>
          <w:lang w:val="en-CA"/>
        </w:rPr>
        <w:t>s. 1</w:t>
      </w:r>
      <w:r w:rsidRPr="000A0EA1">
        <w:rPr>
          <w:i/>
          <w:iCs/>
          <w:kern w:val="28"/>
          <w:lang w:val="en-CA"/>
        </w:rPr>
        <w:t xml:space="preserve">42 of </w:t>
      </w:r>
      <w:r w:rsidR="00C33BBC">
        <w:rPr>
          <w:i/>
          <w:iCs/>
          <w:kern w:val="28"/>
          <w:lang w:val="en-CA"/>
        </w:rPr>
        <w:t>Bill 40</w:t>
      </w:r>
      <w:r w:rsidRPr="000A0EA1">
        <w:rPr>
          <w:i/>
          <w:iCs/>
          <w:kern w:val="28"/>
          <w:lang w:val="en-CA"/>
        </w:rPr>
        <w:t>)</w:t>
      </w:r>
    </w:p>
    <w:p w14:paraId="17F5F29D" w14:textId="4F7CEFDF"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Section 142 of </w:t>
      </w:r>
      <w:r w:rsidR="00C33BBC">
        <w:rPr>
          <w:i/>
          <w:iCs/>
          <w:kern w:val="28"/>
          <w:lang w:val="en-CA"/>
        </w:rPr>
        <w:t>Bill 40</w:t>
      </w:r>
      <w:r w:rsidRPr="000A0EA1">
        <w:rPr>
          <w:kern w:val="28"/>
          <w:lang w:val="en-CA"/>
        </w:rPr>
        <w:t xml:space="preserve"> also allows the Minister to determine objectives or targets relating to the administration, organization or operation of a school service centre. The judge refuse</w:t>
      </w:r>
      <w:r w:rsidR="00903F11">
        <w:rPr>
          <w:kern w:val="28"/>
          <w:lang w:val="en-CA"/>
        </w:rPr>
        <w:t>s</w:t>
      </w:r>
      <w:r w:rsidRPr="000A0EA1">
        <w:rPr>
          <w:kern w:val="28"/>
          <w:lang w:val="en-CA"/>
        </w:rPr>
        <w:t xml:space="preserve"> to invalidate this new provision </w:t>
      </w:r>
      <w:r w:rsidR="00903F11">
        <w:rPr>
          <w:kern w:val="28"/>
          <w:lang w:val="en-CA"/>
        </w:rPr>
        <w:t>in the absence of</w:t>
      </w:r>
      <w:r w:rsidRPr="000A0EA1">
        <w:rPr>
          <w:kern w:val="28"/>
          <w:lang w:val="en-CA"/>
        </w:rPr>
        <w:t xml:space="preserve"> evidence establishing that the Minister was exercising or would exercise </w:t>
      </w:r>
      <w:r w:rsidR="00903F11">
        <w:rPr>
          <w:kern w:val="28"/>
          <w:lang w:val="en-CA"/>
        </w:rPr>
        <w:t>h</w:t>
      </w:r>
      <w:r w:rsidRPr="000A0EA1">
        <w:rPr>
          <w:kern w:val="28"/>
          <w:lang w:val="en-CA"/>
        </w:rPr>
        <w:t xml:space="preserve">is discretion without taking into account the needs of the </w:t>
      </w:r>
      <w:r w:rsidR="00312FD9">
        <w:rPr>
          <w:kern w:val="28"/>
          <w:lang w:val="en-CA"/>
        </w:rPr>
        <w:t>English</w:t>
      </w:r>
      <w:r w:rsidR="00312FD9">
        <w:rPr>
          <w:kern w:val="28"/>
          <w:lang w:val="en-CA"/>
        </w:rPr>
        <w:noBreakHyphen/>
        <w:t>speaking</w:t>
      </w:r>
      <w:r w:rsidRPr="000A0EA1">
        <w:rPr>
          <w:kern w:val="28"/>
          <w:lang w:val="en-CA"/>
        </w:rPr>
        <w:t xml:space="preserve"> community.</w:t>
      </w:r>
      <w:r w:rsidRPr="000A0EA1">
        <w:rPr>
          <w:kern w:val="28"/>
          <w:vertAlign w:val="superscript"/>
          <w:lang w:val="en-CA"/>
        </w:rPr>
        <w:footnoteReference w:id="88"/>
      </w:r>
      <w:r w:rsidRPr="000A0EA1">
        <w:rPr>
          <w:kern w:val="28"/>
          <w:lang w:val="en-CA"/>
        </w:rPr>
        <w:t xml:space="preserve"> Nonetheless, the judge specifie</w:t>
      </w:r>
      <w:r w:rsidR="00903F11">
        <w:rPr>
          <w:kern w:val="28"/>
          <w:lang w:val="en-CA"/>
        </w:rPr>
        <w:t>s</w:t>
      </w:r>
      <w:r w:rsidRPr="000A0EA1">
        <w:rPr>
          <w:kern w:val="28"/>
          <w:lang w:val="en-CA"/>
        </w:rPr>
        <w:t xml:space="preserve"> that, if the Minister were to set objectives or targets that are incompatible with the needs or </w:t>
      </w:r>
      <w:r w:rsidR="00903F11">
        <w:rPr>
          <w:kern w:val="28"/>
          <w:lang w:val="en-CA"/>
        </w:rPr>
        <w:t>requests</w:t>
      </w:r>
      <w:r w:rsidRPr="000A0EA1">
        <w:rPr>
          <w:kern w:val="28"/>
          <w:lang w:val="en-CA"/>
        </w:rPr>
        <w:t xml:space="preserve"> of the </w:t>
      </w:r>
      <w:r w:rsidR="00312FD9">
        <w:rPr>
          <w:kern w:val="28"/>
          <w:lang w:val="en-CA"/>
        </w:rPr>
        <w:t>English</w:t>
      </w:r>
      <w:r w:rsidR="00312FD9">
        <w:rPr>
          <w:kern w:val="28"/>
          <w:lang w:val="en-CA"/>
        </w:rPr>
        <w:noBreakHyphen/>
        <w:t>speaking</w:t>
      </w:r>
      <w:r w:rsidRPr="000A0EA1">
        <w:rPr>
          <w:kern w:val="28"/>
          <w:lang w:val="en-CA"/>
        </w:rPr>
        <w:t xml:space="preserve"> community, </w:t>
      </w:r>
      <w:r w:rsidR="00903F11">
        <w:rPr>
          <w:kern w:val="28"/>
          <w:lang w:val="en-CA"/>
        </w:rPr>
        <w:t>this measure</w:t>
      </w:r>
      <w:r w:rsidRPr="000A0EA1">
        <w:rPr>
          <w:kern w:val="28"/>
          <w:lang w:val="en-CA"/>
        </w:rPr>
        <w:t xml:space="preserve"> could be challenged in court based on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kern w:val="28"/>
          <w:vertAlign w:val="superscript"/>
          <w:lang w:val="en-CA"/>
        </w:rPr>
        <w:footnoteReference w:id="89"/>
      </w:r>
    </w:p>
    <w:p w14:paraId="17F5F29E" w14:textId="7E867DD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In the seventh section of his reasons on infringement, the judge deal</w:t>
      </w:r>
      <w:r w:rsidR="00BF4B99">
        <w:rPr>
          <w:kern w:val="28"/>
          <w:lang w:val="en-CA"/>
        </w:rPr>
        <w:t>s</w:t>
      </w:r>
      <w:r w:rsidRPr="000A0EA1">
        <w:rPr>
          <w:kern w:val="28"/>
          <w:lang w:val="en-CA"/>
        </w:rPr>
        <w:t xml:space="preserve"> with the Minister</w:t>
      </w:r>
      <w:r w:rsidR="00E46AFD">
        <w:rPr>
          <w:kern w:val="28"/>
          <w:lang w:val="en-CA"/>
        </w:rPr>
        <w:t>’</w:t>
      </w:r>
      <w:r w:rsidRPr="000A0EA1">
        <w:rPr>
          <w:kern w:val="28"/>
          <w:lang w:val="en-CA"/>
        </w:rPr>
        <w:t xml:space="preserve">s power to annul any decision of an </w:t>
      </w:r>
      <w:r w:rsidR="00AE3408">
        <w:rPr>
          <w:kern w:val="28"/>
          <w:lang w:val="en-CA"/>
        </w:rPr>
        <w:t>English</w:t>
      </w:r>
      <w:r w:rsidR="00AE3408">
        <w:rPr>
          <w:kern w:val="28"/>
          <w:lang w:val="en-CA"/>
        </w:rPr>
        <w:noBreakHyphen/>
        <w:t>language</w:t>
      </w:r>
      <w:r w:rsidRPr="000A0EA1">
        <w:rPr>
          <w:kern w:val="28"/>
          <w:lang w:val="en-CA"/>
        </w:rPr>
        <w:t xml:space="preserve"> school board made between October 1, 2019 and November 5, 2020 (</w:t>
      </w:r>
      <w:r w:rsidR="0062160E">
        <w:rPr>
          <w:kern w:val="28"/>
          <w:lang w:val="en-CA"/>
        </w:rPr>
        <w:t>s. 3</w:t>
      </w:r>
      <w:r w:rsidRPr="000A0EA1">
        <w:rPr>
          <w:kern w:val="28"/>
          <w:lang w:val="en-CA"/>
        </w:rPr>
        <w:t xml:space="preserve">29 of </w:t>
      </w:r>
      <w:r w:rsidR="00C33BBC">
        <w:rPr>
          <w:i/>
          <w:iCs/>
          <w:kern w:val="28"/>
          <w:lang w:val="en-CA"/>
        </w:rPr>
        <w:t>Bill 40</w:t>
      </w:r>
      <w:r w:rsidRPr="000A0EA1">
        <w:rPr>
          <w:kern w:val="28"/>
          <w:lang w:val="en-CA"/>
        </w:rPr>
        <w:t>). As the evidence d</w:t>
      </w:r>
      <w:r w:rsidR="00BF4B99">
        <w:rPr>
          <w:kern w:val="28"/>
          <w:lang w:val="en-CA"/>
        </w:rPr>
        <w:t>oes</w:t>
      </w:r>
      <w:r w:rsidRPr="000A0EA1">
        <w:rPr>
          <w:kern w:val="28"/>
          <w:lang w:val="en-CA"/>
        </w:rPr>
        <w:t xml:space="preserve"> not indicate that this power ha</w:t>
      </w:r>
      <w:r w:rsidR="0000320F">
        <w:rPr>
          <w:kern w:val="28"/>
          <w:lang w:val="en-CA"/>
        </w:rPr>
        <w:t>s</w:t>
      </w:r>
      <w:r w:rsidRPr="000A0EA1">
        <w:rPr>
          <w:kern w:val="28"/>
          <w:lang w:val="en-CA"/>
        </w:rPr>
        <w:t xml:space="preserve"> been used, the judge </w:t>
      </w:r>
      <w:r w:rsidR="00BF4B99">
        <w:rPr>
          <w:kern w:val="28"/>
          <w:lang w:val="en-CA"/>
        </w:rPr>
        <w:t>is</w:t>
      </w:r>
      <w:r w:rsidRPr="000A0EA1">
        <w:rPr>
          <w:kern w:val="28"/>
          <w:lang w:val="en-CA"/>
        </w:rPr>
        <w:t xml:space="preserve"> of the opinion that the question of the constitutional validity of the legislative provision in question </w:t>
      </w:r>
      <w:r w:rsidR="00BF4B99">
        <w:rPr>
          <w:kern w:val="28"/>
          <w:lang w:val="en-CA"/>
        </w:rPr>
        <w:t>is</w:t>
      </w:r>
      <w:r w:rsidRPr="000A0EA1">
        <w:rPr>
          <w:kern w:val="28"/>
          <w:lang w:val="en-CA"/>
        </w:rPr>
        <w:t xml:space="preserve"> moot. He therefore refuse</w:t>
      </w:r>
      <w:r w:rsidR="00BF4B99">
        <w:rPr>
          <w:kern w:val="28"/>
          <w:lang w:val="en-CA"/>
        </w:rPr>
        <w:t>s</w:t>
      </w:r>
      <w:r w:rsidRPr="000A0EA1">
        <w:rPr>
          <w:kern w:val="28"/>
          <w:lang w:val="en-CA"/>
        </w:rPr>
        <w:t xml:space="preserve"> to rule on this subject.</w:t>
      </w:r>
      <w:r w:rsidRPr="000A0EA1">
        <w:rPr>
          <w:kern w:val="28"/>
          <w:vertAlign w:val="superscript"/>
          <w:lang w:val="en-CA"/>
        </w:rPr>
        <w:footnoteReference w:id="90"/>
      </w:r>
    </w:p>
    <w:p w14:paraId="17F5F29F" w14:textId="4BC488F9"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In the eighth section of his reasons on infringement, the judge deal</w:t>
      </w:r>
      <w:r w:rsidR="00BF4B99">
        <w:rPr>
          <w:kern w:val="28"/>
          <w:lang w:val="en-CA"/>
        </w:rPr>
        <w:t>s</w:t>
      </w:r>
      <w:r w:rsidRPr="000A0EA1">
        <w:rPr>
          <w:kern w:val="28"/>
          <w:lang w:val="en-CA"/>
        </w:rPr>
        <w:t xml:space="preserve"> with </w:t>
      </w:r>
      <w:r w:rsidR="0062160E">
        <w:rPr>
          <w:kern w:val="28"/>
          <w:lang w:val="en-CA"/>
        </w:rPr>
        <w:t>s. 1</w:t>
      </w:r>
      <w:r w:rsidRPr="000A0EA1">
        <w:rPr>
          <w:kern w:val="28"/>
          <w:lang w:val="en-CA"/>
        </w:rPr>
        <w:t xml:space="preserve">5 of the </w:t>
      </w:r>
      <w:r w:rsidRPr="000A0EA1">
        <w:rPr>
          <w:i/>
          <w:iCs/>
          <w:kern w:val="28"/>
          <w:lang w:val="en-CA"/>
        </w:rPr>
        <w:t>New</w:t>
      </w:r>
      <w:r w:rsidRPr="000A0EA1">
        <w:rPr>
          <w:kern w:val="28"/>
          <w:lang w:val="en-CA"/>
        </w:rPr>
        <w:t xml:space="preserve"> </w:t>
      </w:r>
      <w:r w:rsidRPr="000A0EA1">
        <w:rPr>
          <w:i/>
          <w:iCs/>
          <w:kern w:val="28"/>
          <w:lang w:val="en-CA"/>
        </w:rPr>
        <w:t>Act respecting school elections</w:t>
      </w:r>
      <w:r w:rsidRPr="000A0EA1">
        <w:rPr>
          <w:kern w:val="28"/>
          <w:lang w:val="en-CA"/>
        </w:rPr>
        <w:t>.</w:t>
      </w:r>
      <w:r w:rsidRPr="000A0EA1">
        <w:rPr>
          <w:i/>
          <w:iCs/>
          <w:kern w:val="28"/>
          <w:lang w:val="en-CA"/>
        </w:rPr>
        <w:t xml:space="preserve"> </w:t>
      </w:r>
      <w:r w:rsidRPr="000A0EA1">
        <w:rPr>
          <w:kern w:val="28"/>
          <w:lang w:val="en-CA"/>
        </w:rPr>
        <w:t>This section allows a Canadian citizen age</w:t>
      </w:r>
      <w:r w:rsidR="00BF4B99">
        <w:rPr>
          <w:kern w:val="28"/>
          <w:lang w:val="en-CA"/>
        </w:rPr>
        <w:t>d</w:t>
      </w:r>
      <w:r w:rsidRPr="000A0EA1">
        <w:rPr>
          <w:kern w:val="28"/>
          <w:lang w:val="en-CA"/>
        </w:rPr>
        <w:t xml:space="preserve"> 18</w:t>
      </w:r>
      <w:r w:rsidR="00BF4B99">
        <w:rPr>
          <w:kern w:val="28"/>
          <w:lang w:val="en-CA"/>
        </w:rPr>
        <w:t xml:space="preserve"> or more</w:t>
      </w:r>
      <w:r w:rsidRPr="000A0EA1">
        <w:rPr>
          <w:kern w:val="28"/>
          <w:lang w:val="en-CA"/>
        </w:rPr>
        <w:t xml:space="preserve">, who does not have a child who is admitted to the educational services of an English or </w:t>
      </w:r>
      <w:r w:rsidR="00AE3408">
        <w:rPr>
          <w:kern w:val="28"/>
          <w:lang w:val="en-CA"/>
        </w:rPr>
        <w:t>French</w:t>
      </w:r>
      <w:r w:rsidR="00BF4B99">
        <w:rPr>
          <w:kern w:val="28"/>
          <w:lang w:val="en-CA"/>
        </w:rPr>
        <w:t xml:space="preserve"> </w:t>
      </w:r>
      <w:r w:rsidR="00AE3408">
        <w:rPr>
          <w:kern w:val="28"/>
          <w:lang w:val="en-CA"/>
        </w:rPr>
        <w:t>language</w:t>
      </w:r>
      <w:r w:rsidRPr="000A0EA1">
        <w:rPr>
          <w:kern w:val="28"/>
          <w:lang w:val="en-CA"/>
        </w:rPr>
        <w:t xml:space="preserve"> school board or school service centre having jurisdiction over the territory in which the elector is domiciled, to choose to vote </w:t>
      </w:r>
      <w:r w:rsidR="00BF4B99">
        <w:rPr>
          <w:kern w:val="28"/>
          <w:lang w:val="en-CA"/>
        </w:rPr>
        <w:t>in</w:t>
      </w:r>
      <w:r w:rsidRPr="000A0EA1">
        <w:rPr>
          <w:kern w:val="28"/>
          <w:lang w:val="en-CA"/>
        </w:rPr>
        <w:t xml:space="preserve"> the election of the members of the </w:t>
      </w:r>
      <w:r w:rsidR="00AE3408">
        <w:rPr>
          <w:kern w:val="28"/>
          <w:lang w:val="en-CA"/>
        </w:rPr>
        <w:t>English</w:t>
      </w:r>
      <w:r w:rsidR="00AE3408">
        <w:rPr>
          <w:kern w:val="28"/>
          <w:lang w:val="en-CA"/>
        </w:rPr>
        <w:noBreakHyphen/>
        <w:t>language</w:t>
      </w:r>
      <w:r w:rsidRPr="000A0EA1">
        <w:rPr>
          <w:kern w:val="28"/>
          <w:lang w:val="en-CA"/>
        </w:rPr>
        <w:t xml:space="preserve"> school service centre</w:t>
      </w:r>
      <w:r w:rsidR="00E46AFD">
        <w:rPr>
          <w:kern w:val="28"/>
          <w:lang w:val="en-CA"/>
        </w:rPr>
        <w:t>’</w:t>
      </w:r>
      <w:r w:rsidRPr="000A0EA1">
        <w:rPr>
          <w:kern w:val="28"/>
          <w:lang w:val="en-CA"/>
        </w:rPr>
        <w:t xml:space="preserve">s board of directors. </w:t>
      </w:r>
      <w:r w:rsidRPr="000A0EA1">
        <w:rPr>
          <w:kern w:val="28"/>
          <w:lang w:val="en-CA"/>
        </w:rPr>
        <w:lastRenderedPageBreak/>
        <w:t xml:space="preserve">Consequently, </w:t>
      </w:r>
      <w:r w:rsidR="00E76810">
        <w:rPr>
          <w:kern w:val="28"/>
          <w:lang w:val="en-CA"/>
        </w:rPr>
        <w:t xml:space="preserve">under </w:t>
      </w:r>
      <w:r w:rsidR="00ED358E">
        <w:rPr>
          <w:kern w:val="28"/>
          <w:lang w:val="en-CA"/>
        </w:rPr>
        <w:t xml:space="preserve">said </w:t>
      </w:r>
      <w:r w:rsidR="00E76810">
        <w:rPr>
          <w:kern w:val="28"/>
          <w:lang w:val="en-CA"/>
        </w:rPr>
        <w:t>s</w:t>
      </w:r>
      <w:r w:rsidR="007E049E">
        <w:rPr>
          <w:kern w:val="28"/>
          <w:lang w:val="en-CA"/>
        </w:rPr>
        <w:t xml:space="preserve">. 15, </w:t>
      </w:r>
      <w:r w:rsidRPr="000A0EA1">
        <w:rPr>
          <w:kern w:val="28"/>
          <w:lang w:val="en-CA"/>
        </w:rPr>
        <w:t xml:space="preserve">an individual who is not part of the </w:t>
      </w:r>
      <w:r w:rsidR="00312FD9">
        <w:rPr>
          <w:kern w:val="28"/>
          <w:lang w:val="en-CA"/>
        </w:rPr>
        <w:t>English</w:t>
      </w:r>
      <w:r w:rsidR="00312FD9">
        <w:rPr>
          <w:kern w:val="28"/>
          <w:lang w:val="en-CA"/>
        </w:rPr>
        <w:noBreakHyphen/>
        <w:t>speaking</w:t>
      </w:r>
      <w:r w:rsidRPr="000A0EA1">
        <w:rPr>
          <w:kern w:val="28"/>
          <w:lang w:val="en-CA"/>
        </w:rPr>
        <w:t xml:space="preserve"> minority – a Francophone, for example – can vote in a school election to elect the board of directors of an </w:t>
      </w:r>
      <w:r w:rsidR="00AE3408">
        <w:rPr>
          <w:kern w:val="28"/>
          <w:lang w:val="en-CA"/>
        </w:rPr>
        <w:t>English</w:t>
      </w:r>
      <w:r w:rsidR="00AE3408">
        <w:rPr>
          <w:kern w:val="28"/>
          <w:lang w:val="en-CA"/>
        </w:rPr>
        <w:noBreakHyphen/>
        <w:t>language</w:t>
      </w:r>
      <w:r w:rsidRPr="000A0EA1">
        <w:rPr>
          <w:kern w:val="28"/>
          <w:lang w:val="en-CA"/>
        </w:rPr>
        <w:t xml:space="preserve"> school service centre. </w:t>
      </w:r>
    </w:p>
    <w:p w14:paraId="17F5F2A0" w14:textId="50A051F1"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conclude</w:t>
      </w:r>
      <w:r w:rsidR="00BF4B99">
        <w:rPr>
          <w:kern w:val="28"/>
          <w:lang w:val="en-CA"/>
        </w:rPr>
        <w:t>s</w:t>
      </w:r>
      <w:r w:rsidRPr="000A0EA1">
        <w:rPr>
          <w:kern w:val="28"/>
          <w:lang w:val="en-CA"/>
        </w:rPr>
        <w:t xml:space="preserve"> that this possibility is inconsistent with </w:t>
      </w:r>
      <w:r w:rsidR="0062160E">
        <w:rPr>
          <w:kern w:val="28"/>
          <w:lang w:val="en-CA"/>
        </w:rPr>
        <w:t>s. 2</w:t>
      </w:r>
      <w:r w:rsidRPr="000A0EA1">
        <w:rPr>
          <w:kern w:val="28"/>
          <w:lang w:val="en-CA"/>
        </w:rPr>
        <w:t xml:space="preserve">3 of the </w:t>
      </w:r>
      <w:r w:rsidRPr="000A0EA1">
        <w:rPr>
          <w:i/>
          <w:iCs/>
          <w:kern w:val="28"/>
          <w:lang w:val="en-CA"/>
        </w:rPr>
        <w:t xml:space="preserve">Charter. </w:t>
      </w:r>
      <w:r w:rsidRPr="000A0EA1">
        <w:rPr>
          <w:kern w:val="28"/>
          <w:lang w:val="en-CA"/>
        </w:rPr>
        <w:t>In his view, it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seems logical that protection of the minority and its right to control its educational facilities requires that only those who are part of this minority may have a voice in the matter</w:t>
      </w:r>
      <w:r w:rsidR="00E46AFD">
        <w:rPr>
          <w:kern w:val="28"/>
          <w:lang w:val="en-CA"/>
        </w:rPr>
        <w:t>”</w:t>
      </w:r>
      <w:r w:rsidRPr="000A0EA1">
        <w:rPr>
          <w:kern w:val="28"/>
          <w:lang w:val="en-CA"/>
        </w:rPr>
        <w:t>.</w:t>
      </w:r>
      <w:r w:rsidRPr="000A0EA1">
        <w:rPr>
          <w:kern w:val="28"/>
          <w:vertAlign w:val="superscript"/>
          <w:lang w:val="en-CA"/>
        </w:rPr>
        <w:footnoteReference w:id="91"/>
      </w:r>
      <w:r w:rsidRPr="000A0EA1">
        <w:rPr>
          <w:kern w:val="28"/>
          <w:lang w:val="en-CA"/>
        </w:rPr>
        <w:t xml:space="preserve"> Despite this conclusion, the judge </w:t>
      </w:r>
      <w:r w:rsidR="00BF4B99">
        <w:rPr>
          <w:kern w:val="28"/>
          <w:lang w:val="en-CA"/>
        </w:rPr>
        <w:t>omits to</w:t>
      </w:r>
      <w:r w:rsidRPr="000A0EA1">
        <w:rPr>
          <w:kern w:val="28"/>
          <w:lang w:val="en-CA"/>
        </w:rPr>
        <w:t xml:space="preserve"> declare that </w:t>
      </w:r>
      <w:r w:rsidR="0062160E">
        <w:rPr>
          <w:kern w:val="28"/>
          <w:lang w:val="en-CA"/>
        </w:rPr>
        <w:t>s. 1</w:t>
      </w:r>
      <w:r w:rsidRPr="000A0EA1">
        <w:rPr>
          <w:kern w:val="28"/>
          <w:lang w:val="en-CA"/>
        </w:rPr>
        <w:t xml:space="preserve">5 of the </w:t>
      </w:r>
      <w:r w:rsidRPr="000A0EA1">
        <w:rPr>
          <w:i/>
          <w:iCs/>
          <w:kern w:val="28"/>
          <w:lang w:val="en-CA"/>
        </w:rPr>
        <w:t>New Act respecting school elections</w:t>
      </w:r>
      <w:r w:rsidRPr="000A0EA1">
        <w:rPr>
          <w:kern w:val="28"/>
          <w:lang w:val="en-CA"/>
        </w:rPr>
        <w:t xml:space="preserve"> infringes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but he d</w:t>
      </w:r>
      <w:r w:rsidR="00BF4B99">
        <w:rPr>
          <w:kern w:val="28"/>
          <w:lang w:val="en-CA"/>
        </w:rPr>
        <w:t>oes</w:t>
      </w:r>
      <w:r w:rsidRPr="000A0EA1">
        <w:rPr>
          <w:kern w:val="28"/>
          <w:lang w:val="en-CA"/>
        </w:rPr>
        <w:t xml:space="preserve"> come to this conclusion as regards </w:t>
      </w:r>
      <w:r w:rsidR="0062160E">
        <w:rPr>
          <w:kern w:val="28"/>
          <w:lang w:val="en-CA"/>
        </w:rPr>
        <w:t>s. 2</w:t>
      </w:r>
      <w:r w:rsidRPr="000A0EA1">
        <w:rPr>
          <w:kern w:val="28"/>
          <w:lang w:val="en-CA"/>
        </w:rPr>
        <w:t xml:space="preserve">12 of </w:t>
      </w:r>
      <w:r w:rsidR="00C33BBC">
        <w:rPr>
          <w:i/>
          <w:iCs/>
          <w:kern w:val="28"/>
          <w:lang w:val="en-CA"/>
        </w:rPr>
        <w:t>Bill 40</w:t>
      </w:r>
      <w:r w:rsidRPr="000A0EA1">
        <w:rPr>
          <w:kern w:val="28"/>
          <w:lang w:val="en-CA"/>
        </w:rPr>
        <w:t xml:space="preserve"> (which amends </w:t>
      </w:r>
      <w:r w:rsidR="0062160E">
        <w:rPr>
          <w:kern w:val="28"/>
          <w:lang w:val="en-CA"/>
        </w:rPr>
        <w:t>s. 1</w:t>
      </w:r>
      <w:r w:rsidRPr="000A0EA1">
        <w:rPr>
          <w:kern w:val="28"/>
          <w:lang w:val="en-CA"/>
        </w:rPr>
        <w:t>5). In any event, as the parties</w:t>
      </w:r>
      <w:r w:rsidR="00E46AFD">
        <w:rPr>
          <w:kern w:val="28"/>
          <w:lang w:val="en-CA"/>
        </w:rPr>
        <w:t>’</w:t>
      </w:r>
      <w:r w:rsidRPr="000A0EA1">
        <w:rPr>
          <w:kern w:val="28"/>
          <w:lang w:val="en-CA"/>
        </w:rPr>
        <w:t xml:space="preserve"> counsel agreed at the appeal hearing, this is clearly an omission, since </w:t>
      </w:r>
      <w:r w:rsidR="00BF4B99">
        <w:rPr>
          <w:kern w:val="28"/>
          <w:lang w:val="en-CA"/>
        </w:rPr>
        <w:t>the judge</w:t>
      </w:r>
      <w:r w:rsidRPr="000A0EA1">
        <w:rPr>
          <w:kern w:val="28"/>
          <w:lang w:val="en-CA"/>
        </w:rPr>
        <w:t xml:space="preserve"> suspend</w:t>
      </w:r>
      <w:r w:rsidR="00BF4B99">
        <w:rPr>
          <w:kern w:val="28"/>
          <w:lang w:val="en-CA"/>
        </w:rPr>
        <w:t>s</w:t>
      </w:r>
      <w:r w:rsidRPr="000A0EA1">
        <w:rPr>
          <w:kern w:val="28"/>
          <w:lang w:val="en-CA"/>
        </w:rPr>
        <w:t xml:space="preserve"> the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declaration of inoperability</w:t>
      </w:r>
      <w:r w:rsidR="00E46AFD">
        <w:rPr>
          <w:kern w:val="28"/>
          <w:lang w:val="en-CA"/>
        </w:rPr>
        <w:t>”</w:t>
      </w:r>
      <w:r w:rsidRPr="000A0EA1">
        <w:rPr>
          <w:rStyle w:val="Appelnotedebasdep"/>
          <w:kern w:val="28"/>
          <w:lang w:val="en-CA"/>
        </w:rPr>
        <w:footnoteReference w:id="92"/>
      </w:r>
      <w:r w:rsidRPr="000A0EA1">
        <w:rPr>
          <w:kern w:val="28"/>
          <w:lang w:val="en-CA"/>
        </w:rPr>
        <w:t xml:space="preserve"> of said </w:t>
      </w:r>
      <w:r w:rsidR="0062160E">
        <w:rPr>
          <w:kern w:val="28"/>
          <w:lang w:val="en-CA"/>
        </w:rPr>
        <w:t>s. 1</w:t>
      </w:r>
      <w:r w:rsidRPr="000A0EA1">
        <w:rPr>
          <w:kern w:val="28"/>
          <w:lang w:val="en-CA"/>
        </w:rPr>
        <w:t>5 in his conclusions.</w:t>
      </w:r>
      <w:r w:rsidR="00AC60FF">
        <w:rPr>
          <w:kern w:val="28"/>
          <w:lang w:val="en-CA"/>
        </w:rPr>
        <w:t xml:space="preserve"> </w:t>
      </w:r>
    </w:p>
    <w:p w14:paraId="17F5F2A1" w14:textId="77EB0525"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In the ninth section of his reasons on infringement, the judge conclude</w:t>
      </w:r>
      <w:r w:rsidR="00BF4B99">
        <w:rPr>
          <w:kern w:val="28"/>
          <w:lang w:val="en-CA"/>
        </w:rPr>
        <w:t>s</w:t>
      </w:r>
      <w:r w:rsidRPr="000A0EA1">
        <w:rPr>
          <w:kern w:val="28"/>
          <w:lang w:val="en-CA"/>
        </w:rPr>
        <w:t xml:space="preserve"> that provincial governments, </w:t>
      </w:r>
      <w:r w:rsidR="00BF4B99">
        <w:rPr>
          <w:kern w:val="28"/>
          <w:lang w:val="en-CA"/>
        </w:rPr>
        <w:t>including the</w:t>
      </w:r>
      <w:r w:rsidRPr="000A0EA1">
        <w:rPr>
          <w:kern w:val="28"/>
          <w:lang w:val="en-CA"/>
        </w:rPr>
        <w:t xml:space="preserve"> legislatures </w:t>
      </w:r>
      <w:bookmarkStart w:id="42" w:name="_Hlk187242526"/>
      <w:r w:rsidRPr="000A0EA1">
        <w:rPr>
          <w:kern w:val="28"/>
          <w:lang w:val="en-CA"/>
        </w:rPr>
        <w:t>–</w:t>
      </w:r>
      <w:bookmarkEnd w:id="42"/>
      <w:r w:rsidRPr="000A0EA1">
        <w:rPr>
          <w:kern w:val="28"/>
          <w:lang w:val="en-CA"/>
        </w:rPr>
        <w:t xml:space="preserve"> in this case the National Assembly – must take into account the concerns of the linguistic minority when enacting legislation and imposing decisions in matters of education.</w:t>
      </w:r>
      <w:r w:rsidRPr="000A0EA1">
        <w:rPr>
          <w:kern w:val="28"/>
          <w:vertAlign w:val="superscript"/>
          <w:lang w:val="en-CA"/>
        </w:rPr>
        <w:footnoteReference w:id="93"/>
      </w:r>
      <w:r w:rsidRPr="000A0EA1">
        <w:rPr>
          <w:kern w:val="28"/>
          <w:lang w:val="en-CA"/>
        </w:rPr>
        <w:t xml:space="preserve"> He dr</w:t>
      </w:r>
      <w:r w:rsidR="00BF4B99">
        <w:rPr>
          <w:kern w:val="28"/>
          <w:lang w:val="en-CA"/>
        </w:rPr>
        <w:t>aws</w:t>
      </w:r>
      <w:r w:rsidRPr="000A0EA1">
        <w:rPr>
          <w:kern w:val="28"/>
          <w:lang w:val="en-CA"/>
        </w:rPr>
        <w:t xml:space="preserve"> this conclusion from his reading of certain Supreme Court decisions</w:t>
      </w:r>
      <w:r w:rsidRPr="000A0EA1">
        <w:rPr>
          <w:kern w:val="28"/>
          <w:vertAlign w:val="superscript"/>
          <w:lang w:val="en-CA"/>
        </w:rPr>
        <w:footnoteReference w:id="94"/>
      </w:r>
      <w:r w:rsidRPr="000A0EA1">
        <w:rPr>
          <w:kern w:val="28"/>
          <w:lang w:val="en-CA"/>
        </w:rPr>
        <w:t xml:space="preserve"> and determine</w:t>
      </w:r>
      <w:r w:rsidR="00BF4B99">
        <w:rPr>
          <w:kern w:val="28"/>
          <w:lang w:val="en-CA"/>
        </w:rPr>
        <w:t>s</w:t>
      </w:r>
      <w:r w:rsidRPr="000A0EA1">
        <w:rPr>
          <w:kern w:val="28"/>
          <w:lang w:val="en-CA"/>
        </w:rPr>
        <w:t xml:space="preserve"> that the obligation is not merely one to consult, but an obligation of result:</w:t>
      </w:r>
    </w:p>
    <w:p w14:paraId="0C18C40F" w14:textId="77777777" w:rsidR="00D47A69" w:rsidRDefault="00B02E00" w:rsidP="00B255B8">
      <w:pPr>
        <w:spacing w:before="120" w:after="120" w:line="240" w:lineRule="auto"/>
        <w:ind w:left="720" w:right="720"/>
        <w:jc w:val="both"/>
        <w:rPr>
          <w:kern w:val="24"/>
          <w:sz w:val="22"/>
          <w:lang w:val="en-CA"/>
        </w:rPr>
      </w:pPr>
      <w:r w:rsidRPr="000A0EA1">
        <w:rPr>
          <w:kern w:val="24"/>
          <w:sz w:val="22"/>
          <w:lang w:val="en-CA"/>
        </w:rPr>
        <w:t>[</w:t>
      </w:r>
      <w:r w:rsidR="00F16205" w:rsidRPr="00F16205">
        <w:rPr>
          <w:smallCaps/>
          <w:kern w:val="24"/>
          <w:sz w:val="22"/>
          <w:lang w:val="en-CA"/>
        </w:rPr>
        <w:t>translation</w:t>
      </w:r>
      <w:r w:rsidRPr="000A0EA1">
        <w:rPr>
          <w:kern w:val="24"/>
          <w:sz w:val="22"/>
          <w:lang w:val="en-CA"/>
        </w:rPr>
        <w:t>]</w:t>
      </w:r>
    </w:p>
    <w:p w14:paraId="17F5F2A2" w14:textId="7294F210"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[326]</w:t>
      </w:r>
      <w:r w:rsidRPr="000A0EA1">
        <w:rPr>
          <w:kern w:val="24"/>
          <w:sz w:val="22"/>
          <w:lang w:val="en-CA"/>
        </w:rPr>
        <w:tab/>
        <w:t>The government</w:t>
      </w:r>
      <w:r w:rsidR="00E46AFD">
        <w:rPr>
          <w:kern w:val="24"/>
          <w:sz w:val="22"/>
          <w:lang w:val="en-CA"/>
        </w:rPr>
        <w:t>’</w:t>
      </w:r>
      <w:r w:rsidRPr="000A0EA1">
        <w:rPr>
          <w:kern w:val="24"/>
          <w:sz w:val="22"/>
          <w:lang w:val="en-CA"/>
        </w:rPr>
        <w:t xml:space="preserve">s obligation goes beyond the duty to consult, which we will examine. The obligation to consult does not produce a veto right for the consulted party. In the case of </w:t>
      </w:r>
      <w:r w:rsidR="008721B2">
        <w:rPr>
          <w:kern w:val="24"/>
          <w:sz w:val="22"/>
          <w:lang w:val="en-CA"/>
        </w:rPr>
        <w:t>s. </w:t>
      </w:r>
      <w:r w:rsidRPr="000A0EA1">
        <w:rPr>
          <w:kern w:val="24"/>
          <w:sz w:val="22"/>
          <w:lang w:val="en-CA"/>
        </w:rPr>
        <w:t xml:space="preserve">23 rights, the measures </w:t>
      </w:r>
      <w:r w:rsidRPr="000A0EA1">
        <w:rPr>
          <w:kern w:val="24"/>
          <w:sz w:val="22"/>
          <w:u w:val="single"/>
          <w:lang w:val="en-CA"/>
        </w:rPr>
        <w:t>must</w:t>
      </w:r>
      <w:r w:rsidRPr="000A0EA1">
        <w:rPr>
          <w:kern w:val="24"/>
          <w:sz w:val="22"/>
          <w:lang w:val="en-CA"/>
        </w:rPr>
        <w:t xml:space="preserve"> respond to the needs of the minority. Consultation is not necessarily how those needs must be identified, but it is undoubtedly an effective way of doing so.</w:t>
      </w:r>
    </w:p>
    <w:p w14:paraId="17F5F2A3" w14:textId="77777777" w:rsidR="00F75613" w:rsidRPr="000A0EA1" w:rsidRDefault="00B02E00" w:rsidP="00B255B8">
      <w:pPr>
        <w:spacing w:before="120" w:after="120" w:line="240" w:lineRule="auto"/>
        <w:ind w:left="720" w:right="720"/>
        <w:jc w:val="right"/>
        <w:rPr>
          <w:kern w:val="24"/>
          <w:sz w:val="22"/>
          <w:lang w:val="en-CA"/>
        </w:rPr>
      </w:pPr>
      <w:r w:rsidRPr="000A0EA1">
        <w:rPr>
          <w:kern w:val="24"/>
          <w:sz w:val="22"/>
          <w:lang w:val="en-CA"/>
        </w:rPr>
        <w:t>[Reference omitted; underlining in the original]</w:t>
      </w:r>
    </w:p>
    <w:p w14:paraId="17F5F2A4" w14:textId="4D23BEF0" w:rsidR="00F75613" w:rsidRDefault="00B02E00" w:rsidP="00B255B8">
      <w:pPr>
        <w:numPr>
          <w:ilvl w:val="0"/>
          <w:numId w:val="1"/>
        </w:numPr>
        <w:spacing w:before="120" w:after="120" w:line="240" w:lineRule="auto"/>
        <w:jc w:val="both"/>
        <w:rPr>
          <w:kern w:val="28"/>
          <w:lang w:val="en-CA"/>
        </w:rPr>
      </w:pPr>
      <w:r w:rsidRPr="000A0EA1">
        <w:rPr>
          <w:kern w:val="28"/>
          <w:lang w:val="en-CA"/>
        </w:rPr>
        <w:t>In th</w:t>
      </w:r>
      <w:r w:rsidR="0069702B">
        <w:rPr>
          <w:kern w:val="28"/>
          <w:lang w:val="en-CA"/>
        </w:rPr>
        <w:t>is case</w:t>
      </w:r>
      <w:r w:rsidRPr="000A0EA1">
        <w:rPr>
          <w:kern w:val="28"/>
          <w:lang w:val="en-CA"/>
        </w:rPr>
        <w:t>, the judge criticize</w:t>
      </w:r>
      <w:r w:rsidR="0069702B">
        <w:rPr>
          <w:kern w:val="28"/>
          <w:lang w:val="en-CA"/>
        </w:rPr>
        <w:t>s</w:t>
      </w:r>
      <w:r w:rsidRPr="000A0EA1">
        <w:rPr>
          <w:kern w:val="28"/>
          <w:lang w:val="en-CA"/>
        </w:rPr>
        <w:t xml:space="preserve"> the legislature for not taking sufficient account of the concerns and needs of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when enacting </w:t>
      </w:r>
      <w:r w:rsidR="00C33BBC">
        <w:rPr>
          <w:i/>
          <w:iCs/>
          <w:kern w:val="28"/>
          <w:lang w:val="en-CA"/>
        </w:rPr>
        <w:t>Bill 40</w:t>
      </w:r>
      <w:r w:rsidRPr="000A0EA1">
        <w:rPr>
          <w:kern w:val="28"/>
          <w:lang w:val="en-CA"/>
        </w:rPr>
        <w:t xml:space="preserve">. Indeed, </w:t>
      </w:r>
      <w:r w:rsidR="0069702B">
        <w:rPr>
          <w:kern w:val="28"/>
          <w:lang w:val="en-CA"/>
        </w:rPr>
        <w:t xml:space="preserve">he </w:t>
      </w:r>
      <w:r w:rsidR="0000320F">
        <w:rPr>
          <w:kern w:val="28"/>
          <w:lang w:val="en-CA"/>
        </w:rPr>
        <w:t>conducts</w:t>
      </w:r>
      <w:r w:rsidR="0069702B">
        <w:rPr>
          <w:kern w:val="28"/>
          <w:lang w:val="en-CA"/>
        </w:rPr>
        <w:t xml:space="preserve"> a</w:t>
      </w:r>
      <w:r w:rsidRPr="000A0EA1">
        <w:rPr>
          <w:kern w:val="28"/>
          <w:lang w:val="en-CA"/>
        </w:rPr>
        <w:t xml:space="preserve"> lengthy review of the </w:t>
      </w:r>
      <w:r w:rsidR="0069702B">
        <w:rPr>
          <w:kern w:val="28"/>
          <w:lang w:val="en-CA"/>
        </w:rPr>
        <w:t>interventions</w:t>
      </w:r>
      <w:r w:rsidRPr="000A0EA1">
        <w:rPr>
          <w:kern w:val="28"/>
          <w:lang w:val="en-CA"/>
        </w:rPr>
        <w:t xml:space="preserve"> made by representatives of the </w:t>
      </w:r>
      <w:r w:rsidR="00312FD9">
        <w:rPr>
          <w:kern w:val="28"/>
          <w:lang w:val="en-CA"/>
        </w:rPr>
        <w:t>English</w:t>
      </w:r>
      <w:r w:rsidR="00312FD9">
        <w:rPr>
          <w:kern w:val="28"/>
          <w:lang w:val="en-CA"/>
        </w:rPr>
        <w:noBreakHyphen/>
        <w:t>speaking</w:t>
      </w:r>
      <w:r w:rsidRPr="000A0EA1">
        <w:rPr>
          <w:kern w:val="28"/>
          <w:lang w:val="en-CA"/>
        </w:rPr>
        <w:t xml:space="preserve"> minority to members of the government and the National Assembly, </w:t>
      </w:r>
      <w:r w:rsidR="0069702B">
        <w:rPr>
          <w:kern w:val="28"/>
          <w:lang w:val="en-CA"/>
        </w:rPr>
        <w:t xml:space="preserve">and </w:t>
      </w:r>
      <w:r w:rsidRPr="000A0EA1">
        <w:rPr>
          <w:kern w:val="28"/>
          <w:lang w:val="en-CA"/>
        </w:rPr>
        <w:t>conclude</w:t>
      </w:r>
      <w:r w:rsidR="0069702B">
        <w:rPr>
          <w:kern w:val="28"/>
          <w:lang w:val="en-CA"/>
        </w:rPr>
        <w:t>s from this</w:t>
      </w:r>
      <w:r w:rsidRPr="000A0EA1">
        <w:rPr>
          <w:kern w:val="28"/>
          <w:lang w:val="en-CA"/>
        </w:rPr>
        <w:t xml:space="preserve"> that the legislature </w:t>
      </w:r>
      <w:r w:rsidR="0069702B">
        <w:rPr>
          <w:kern w:val="28"/>
          <w:lang w:val="en-CA"/>
        </w:rPr>
        <w:t>did</w:t>
      </w:r>
      <w:r w:rsidRPr="000A0EA1">
        <w:rPr>
          <w:kern w:val="28"/>
          <w:lang w:val="en-CA"/>
        </w:rPr>
        <w:t xml:space="preserve"> not respect the rules of a </w:t>
      </w:r>
      <w:r w:rsidR="00E46AFD">
        <w:rPr>
          <w:kern w:val="28"/>
          <w:lang w:val="en-CA"/>
        </w:rPr>
        <w:t>“</w:t>
      </w:r>
      <w:r w:rsidRPr="000A0EA1">
        <w:rPr>
          <w:kern w:val="28"/>
          <w:lang w:val="en-CA"/>
        </w:rPr>
        <w:t>meaningful</w:t>
      </w:r>
      <w:r w:rsidR="00E46AFD">
        <w:rPr>
          <w:kern w:val="28"/>
          <w:lang w:val="en-CA"/>
        </w:rPr>
        <w:t>”</w:t>
      </w:r>
      <w:r w:rsidRPr="000A0EA1">
        <w:rPr>
          <w:kern w:val="28"/>
          <w:lang w:val="en-CA"/>
        </w:rPr>
        <w:t xml:space="preserve"> consultation during the process leading to the enactment of </w:t>
      </w:r>
      <w:r w:rsidR="00C33BBC">
        <w:rPr>
          <w:i/>
          <w:iCs/>
          <w:kern w:val="28"/>
          <w:lang w:val="en-CA"/>
        </w:rPr>
        <w:t>Bill 40</w:t>
      </w:r>
      <w:r w:rsidRPr="000A0EA1">
        <w:rPr>
          <w:kern w:val="28"/>
          <w:lang w:val="en-CA"/>
        </w:rPr>
        <w:t>.</w:t>
      </w:r>
      <w:r w:rsidRPr="000A0EA1">
        <w:rPr>
          <w:kern w:val="28"/>
          <w:vertAlign w:val="superscript"/>
          <w:lang w:val="en-CA"/>
        </w:rPr>
        <w:footnoteReference w:id="95"/>
      </w:r>
    </w:p>
    <w:p w14:paraId="5293FA40" w14:textId="77777777" w:rsidR="00941113" w:rsidRPr="000A0EA1" w:rsidRDefault="00941113" w:rsidP="00941113">
      <w:pPr>
        <w:spacing w:before="120" w:after="120" w:line="240" w:lineRule="auto"/>
        <w:jc w:val="both"/>
        <w:rPr>
          <w:kern w:val="28"/>
          <w:lang w:val="en-CA"/>
        </w:rPr>
      </w:pPr>
    </w:p>
    <w:p w14:paraId="17F5F2A5" w14:textId="77777777" w:rsidR="00F75613" w:rsidRPr="000A0EA1" w:rsidRDefault="00B02E00" w:rsidP="00B255B8">
      <w:pPr>
        <w:pStyle w:val="Paragraphedeliste"/>
        <w:numPr>
          <w:ilvl w:val="0"/>
          <w:numId w:val="6"/>
        </w:numPr>
        <w:spacing w:before="120" w:after="120" w:line="240" w:lineRule="auto"/>
        <w:ind w:left="1077" w:hanging="357"/>
        <w:contextualSpacing w:val="0"/>
        <w:jc w:val="both"/>
        <w:rPr>
          <w:rFonts w:ascii="Arial" w:hAnsi="Arial" w:cs="Arial"/>
          <w:b/>
          <w:bCs/>
          <w:kern w:val="28"/>
          <w:sz w:val="24"/>
          <w:szCs w:val="28"/>
          <w:u w:val="single"/>
          <w:lang w:val="en-CA"/>
        </w:rPr>
      </w:pPr>
      <w:r w:rsidRPr="000A0EA1">
        <w:rPr>
          <w:rFonts w:ascii="Arial" w:hAnsi="Arial" w:cs="Arial"/>
          <w:b/>
          <w:bCs/>
          <w:kern w:val="28"/>
          <w:sz w:val="24"/>
          <w:szCs w:val="24"/>
          <w:u w:val="single"/>
          <w:lang w:val="en-CA"/>
        </w:rPr>
        <w:lastRenderedPageBreak/>
        <w:t>Justification for the infringement</w:t>
      </w:r>
    </w:p>
    <w:p w14:paraId="17F5F2A6" w14:textId="391D0D0A"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The second part of the trial judgment concerns the justification for the infringement of </w:t>
      </w:r>
      <w:r w:rsidR="0062160E">
        <w:rPr>
          <w:kern w:val="28"/>
          <w:lang w:val="en-CA"/>
        </w:rPr>
        <w:t>s. 2</w:t>
      </w:r>
      <w:r w:rsidRPr="000A0EA1">
        <w:rPr>
          <w:kern w:val="28"/>
          <w:lang w:val="en-CA"/>
        </w:rPr>
        <w:t xml:space="preserve">3 under </w:t>
      </w:r>
      <w:r w:rsidR="0062160E">
        <w:rPr>
          <w:kern w:val="28"/>
          <w:lang w:val="en-CA"/>
        </w:rPr>
        <w:t>s. 1</w:t>
      </w:r>
      <w:r w:rsidRPr="000A0EA1">
        <w:rPr>
          <w:kern w:val="28"/>
          <w:lang w:val="en-CA"/>
        </w:rPr>
        <w:t xml:space="preserve"> of the </w:t>
      </w:r>
      <w:r w:rsidRPr="000A0EA1">
        <w:rPr>
          <w:i/>
          <w:iCs/>
          <w:kern w:val="28"/>
          <w:lang w:val="en-CA"/>
        </w:rPr>
        <w:t>Charter</w:t>
      </w:r>
      <w:r w:rsidRPr="000A0EA1">
        <w:rPr>
          <w:kern w:val="28"/>
          <w:lang w:val="en-CA"/>
        </w:rPr>
        <w:t>. The judge refer</w:t>
      </w:r>
      <w:r w:rsidR="0069702B">
        <w:rPr>
          <w:kern w:val="28"/>
          <w:lang w:val="en-CA"/>
        </w:rPr>
        <w:t>s</w:t>
      </w:r>
      <w:r w:rsidRPr="000A0EA1">
        <w:rPr>
          <w:kern w:val="28"/>
          <w:lang w:val="en-CA"/>
        </w:rPr>
        <w:t xml:space="preserve"> to the principles set out in </w:t>
      </w:r>
      <w:r w:rsidRPr="000A0EA1">
        <w:rPr>
          <w:i/>
          <w:iCs/>
          <w:kern w:val="28"/>
          <w:lang w:val="en-CA"/>
        </w:rPr>
        <w:t>Oakes</w:t>
      </w:r>
      <w:r w:rsidRPr="000A0EA1">
        <w:rPr>
          <w:kern w:val="28"/>
          <w:lang w:val="en-CA"/>
        </w:rPr>
        <w:t>,</w:t>
      </w:r>
      <w:r w:rsidRPr="000A0EA1">
        <w:rPr>
          <w:kern w:val="28"/>
          <w:vertAlign w:val="superscript"/>
          <w:lang w:val="en-CA"/>
        </w:rPr>
        <w:footnoteReference w:id="96"/>
      </w:r>
      <w:r w:rsidRPr="000A0EA1">
        <w:rPr>
          <w:kern w:val="28"/>
          <w:lang w:val="en-CA"/>
        </w:rPr>
        <w:t xml:space="preserve"> but note</w:t>
      </w:r>
      <w:r w:rsidR="0069702B">
        <w:rPr>
          <w:kern w:val="28"/>
          <w:lang w:val="en-CA"/>
        </w:rPr>
        <w:t>s</w:t>
      </w:r>
      <w:r w:rsidRPr="000A0EA1">
        <w:rPr>
          <w:kern w:val="28"/>
          <w:lang w:val="en-CA"/>
        </w:rPr>
        <w:t xml:space="preserve"> that in </w:t>
      </w:r>
      <w:r w:rsidRPr="000A0EA1">
        <w:rPr>
          <w:i/>
          <w:iCs/>
          <w:kern w:val="28"/>
          <w:lang w:val="en-CA"/>
        </w:rPr>
        <w:t xml:space="preserve">Conseil </w:t>
      </w:r>
      <w:proofErr w:type="spellStart"/>
      <w:r w:rsidRPr="000A0EA1">
        <w:rPr>
          <w:i/>
          <w:iCs/>
          <w:kern w:val="28"/>
          <w:lang w:val="en-CA"/>
        </w:rPr>
        <w:t>scolaire</w:t>
      </w:r>
      <w:proofErr w:type="spellEnd"/>
      <w:r w:rsidRPr="000A0EA1">
        <w:rPr>
          <w:i/>
          <w:iCs/>
          <w:kern w:val="28"/>
          <w:lang w:val="en-CA"/>
        </w:rPr>
        <w:t xml:space="preserve"> francophone de la </w:t>
      </w:r>
      <w:proofErr w:type="spellStart"/>
      <w:r w:rsidRPr="000A0EA1">
        <w:rPr>
          <w:i/>
          <w:iCs/>
          <w:kern w:val="28"/>
          <w:lang w:val="en-CA"/>
        </w:rPr>
        <w:t>Colombie-Britannique</w:t>
      </w:r>
      <w:proofErr w:type="spellEnd"/>
      <w:r w:rsidRPr="000A0EA1">
        <w:rPr>
          <w:kern w:val="28"/>
          <w:lang w:val="en-CA"/>
        </w:rPr>
        <w:t>, Wagner,</w:t>
      </w:r>
      <w:r w:rsidR="00B53299">
        <w:rPr>
          <w:kern w:val="28"/>
          <w:lang w:val="en-CA"/>
        </w:rPr>
        <w:t> </w:t>
      </w:r>
      <w:r w:rsidRPr="000A0EA1">
        <w:rPr>
          <w:kern w:val="28"/>
          <w:lang w:val="en-CA"/>
        </w:rPr>
        <w:t>C.J. state</w:t>
      </w:r>
      <w:r w:rsidR="0069702B">
        <w:rPr>
          <w:kern w:val="28"/>
          <w:lang w:val="en-CA"/>
        </w:rPr>
        <w:t>s</w:t>
      </w:r>
      <w:r w:rsidRPr="000A0EA1">
        <w:rPr>
          <w:kern w:val="28"/>
          <w:lang w:val="en-CA"/>
        </w:rPr>
        <w:t xml:space="preserve"> that a</w:t>
      </w:r>
      <w:r w:rsidR="00ED6A6B">
        <w:rPr>
          <w:kern w:val="28"/>
          <w:lang w:val="en-CA"/>
        </w:rPr>
        <w:t>ny intrusions on</w:t>
      </w:r>
      <w:r w:rsidRPr="000A0EA1">
        <w:rPr>
          <w:kern w:val="28"/>
          <w:lang w:val="en-CA"/>
        </w:rPr>
        <w:t xml:space="preserve"> </w:t>
      </w:r>
      <w:r w:rsidR="0062160E">
        <w:rPr>
          <w:kern w:val="28"/>
          <w:lang w:val="en-CA"/>
        </w:rPr>
        <w:t>s. 2</w:t>
      </w:r>
      <w:r w:rsidRPr="000A0EA1">
        <w:rPr>
          <w:kern w:val="28"/>
          <w:lang w:val="en-CA"/>
        </w:rPr>
        <w:t xml:space="preserve">3 of the </w:t>
      </w:r>
      <w:r w:rsidRPr="000A0EA1">
        <w:rPr>
          <w:i/>
          <w:iCs/>
          <w:kern w:val="28"/>
          <w:lang w:val="en-CA"/>
        </w:rPr>
        <w:t xml:space="preserve">Charter </w:t>
      </w:r>
      <w:r w:rsidR="00ED6A6B">
        <w:rPr>
          <w:kern w:val="28"/>
          <w:lang w:val="en-CA"/>
        </w:rPr>
        <w:t>are</w:t>
      </w:r>
      <w:r w:rsidRPr="000A0EA1">
        <w:rPr>
          <w:kern w:val="28"/>
          <w:lang w:val="en-CA"/>
        </w:rPr>
        <w:t xml:space="preserve"> especially difficult to justify and must </w:t>
      </w:r>
      <w:r w:rsidR="00ED6A6B">
        <w:rPr>
          <w:kern w:val="28"/>
          <w:lang w:val="en-CA"/>
        </w:rPr>
        <w:t xml:space="preserve">therefore be analysed on the basis of </w:t>
      </w:r>
      <w:r w:rsidRPr="000A0EA1">
        <w:rPr>
          <w:kern w:val="28"/>
          <w:lang w:val="en-CA"/>
        </w:rPr>
        <w:t>a stringent standard.</w:t>
      </w:r>
      <w:r w:rsidRPr="000A0EA1">
        <w:rPr>
          <w:kern w:val="28"/>
          <w:vertAlign w:val="superscript"/>
          <w:lang w:val="en-CA"/>
        </w:rPr>
        <w:footnoteReference w:id="97"/>
      </w:r>
    </w:p>
    <w:p w14:paraId="17F5F2A7" w14:textId="00DC9EC4"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reject</w:t>
      </w:r>
      <w:r w:rsidR="0069702B">
        <w:rPr>
          <w:kern w:val="28"/>
          <w:lang w:val="en-CA"/>
        </w:rPr>
        <w:t>s</w:t>
      </w:r>
      <w:r w:rsidRPr="000A0EA1">
        <w:rPr>
          <w:kern w:val="28"/>
          <w:lang w:val="en-CA"/>
        </w:rPr>
        <w:t xml:space="preserve"> the justification </w:t>
      </w:r>
      <w:r w:rsidR="0069702B">
        <w:rPr>
          <w:kern w:val="28"/>
          <w:lang w:val="en-CA"/>
        </w:rPr>
        <w:t>submitted</w:t>
      </w:r>
      <w:r w:rsidRPr="000A0EA1">
        <w:rPr>
          <w:kern w:val="28"/>
          <w:lang w:val="en-CA"/>
        </w:rPr>
        <w:t xml:space="preserve"> by the AGQ at the first stage of the analysis – that of a pressing and substantial objective. </w:t>
      </w:r>
    </w:p>
    <w:p w14:paraId="17F5F2A8" w14:textId="51A0BB76"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At trial, the AGQ argued that the main purpose of </w:t>
      </w:r>
      <w:r w:rsidR="00C33BBC">
        <w:rPr>
          <w:i/>
          <w:iCs/>
          <w:kern w:val="28"/>
          <w:lang w:val="en-CA"/>
        </w:rPr>
        <w:t>Bill 40</w:t>
      </w:r>
      <w:r w:rsidRPr="000A0EA1">
        <w:rPr>
          <w:i/>
          <w:iCs/>
          <w:kern w:val="28"/>
          <w:lang w:val="en-CA"/>
        </w:rPr>
        <w:t xml:space="preserve"> </w:t>
      </w:r>
      <w:r w:rsidRPr="000A0EA1">
        <w:rPr>
          <w:kern w:val="28"/>
          <w:lang w:val="en-CA"/>
        </w:rPr>
        <w:t>was to bring decision</w:t>
      </w:r>
      <w:r w:rsidR="00563C73">
        <w:rPr>
          <w:kern w:val="28"/>
          <w:lang w:val="en-CA"/>
        </w:rPr>
        <w:noBreakHyphen/>
      </w:r>
      <w:r w:rsidRPr="000A0EA1">
        <w:rPr>
          <w:kern w:val="28"/>
          <w:lang w:val="en-CA"/>
        </w:rPr>
        <w:t>making closer to students and that the ancillary purpose was to give parents a greater role in decision</w:t>
      </w:r>
      <w:r w:rsidR="00563C73">
        <w:rPr>
          <w:kern w:val="28"/>
          <w:lang w:val="en-CA"/>
        </w:rPr>
        <w:noBreakHyphen/>
      </w:r>
      <w:r w:rsidRPr="000A0EA1">
        <w:rPr>
          <w:kern w:val="28"/>
          <w:lang w:val="en-CA"/>
        </w:rPr>
        <w:t>making.</w:t>
      </w:r>
      <w:r w:rsidRPr="000A0EA1">
        <w:rPr>
          <w:kern w:val="28"/>
          <w:vertAlign w:val="superscript"/>
          <w:lang w:val="en-CA"/>
        </w:rPr>
        <w:footnoteReference w:id="98"/>
      </w:r>
      <w:r w:rsidRPr="000A0EA1">
        <w:rPr>
          <w:kern w:val="28"/>
          <w:lang w:val="en-CA"/>
        </w:rPr>
        <w:t xml:space="preserve"> While the judge acknowledge</w:t>
      </w:r>
      <w:r w:rsidR="0069702B">
        <w:rPr>
          <w:kern w:val="28"/>
          <w:lang w:val="en-CA"/>
        </w:rPr>
        <w:t>s</w:t>
      </w:r>
      <w:r w:rsidRPr="000A0EA1">
        <w:rPr>
          <w:kern w:val="28"/>
          <w:lang w:val="en-CA"/>
        </w:rPr>
        <w:t xml:space="preserve"> that these are legitimate objectives, he also note</w:t>
      </w:r>
      <w:r w:rsidR="0069702B">
        <w:rPr>
          <w:kern w:val="28"/>
          <w:lang w:val="en-CA"/>
        </w:rPr>
        <w:t>s</w:t>
      </w:r>
      <w:r w:rsidRPr="000A0EA1">
        <w:rPr>
          <w:kern w:val="28"/>
          <w:lang w:val="en-CA"/>
        </w:rPr>
        <w:t xml:space="preserve"> that they are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very general and could apply to any objective in educational matters</w:t>
      </w:r>
      <w:r w:rsidR="00E46AFD">
        <w:rPr>
          <w:kern w:val="28"/>
          <w:lang w:val="en-CA"/>
        </w:rPr>
        <w:t>”</w:t>
      </w:r>
      <w:r w:rsidRPr="000A0EA1">
        <w:rPr>
          <w:kern w:val="28"/>
          <w:lang w:val="en-CA"/>
        </w:rPr>
        <w:t>.</w:t>
      </w:r>
      <w:r w:rsidRPr="000A0EA1">
        <w:rPr>
          <w:kern w:val="28"/>
          <w:vertAlign w:val="superscript"/>
          <w:lang w:val="en-CA"/>
        </w:rPr>
        <w:footnoteReference w:id="99"/>
      </w:r>
      <w:r w:rsidRPr="000A0EA1">
        <w:rPr>
          <w:kern w:val="28"/>
          <w:lang w:val="en-CA"/>
        </w:rPr>
        <w:t xml:space="preserve"> As such, they cannot justify the significant infringements of the management and control rights guaranteed to Quebec</w:t>
      </w:r>
      <w:r w:rsidR="00E46AFD">
        <w:rPr>
          <w:kern w:val="28"/>
          <w:lang w:val="en-CA"/>
        </w:rPr>
        <w:t>’</w:t>
      </w:r>
      <w:r w:rsidRPr="000A0EA1">
        <w:rPr>
          <w:kern w:val="28"/>
          <w:lang w:val="en-CA"/>
        </w:rPr>
        <w:t xml:space="preserve">s </w:t>
      </w:r>
      <w:r w:rsidR="00312FD9">
        <w:rPr>
          <w:kern w:val="28"/>
          <w:lang w:val="en-CA"/>
        </w:rPr>
        <w:t>English</w:t>
      </w:r>
      <w:r w:rsidR="00312FD9">
        <w:rPr>
          <w:kern w:val="28"/>
          <w:lang w:val="en-CA"/>
        </w:rPr>
        <w:noBreakHyphen/>
        <w:t>speaking</w:t>
      </w:r>
      <w:r w:rsidRPr="000A0EA1">
        <w:rPr>
          <w:kern w:val="28"/>
          <w:lang w:val="en-CA"/>
        </w:rPr>
        <w:t xml:space="preserve"> minority by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kern w:val="28"/>
          <w:vertAlign w:val="superscript"/>
          <w:lang w:val="en-CA"/>
        </w:rPr>
        <w:footnoteReference w:id="100"/>
      </w:r>
      <w:r w:rsidRPr="000A0EA1">
        <w:rPr>
          <w:kern w:val="28"/>
          <w:lang w:val="en-CA"/>
        </w:rPr>
        <w:t xml:space="preserve"> He also point</w:t>
      </w:r>
      <w:r w:rsidR="0069702B">
        <w:rPr>
          <w:kern w:val="28"/>
          <w:lang w:val="en-CA"/>
        </w:rPr>
        <w:t>s</w:t>
      </w:r>
      <w:r w:rsidRPr="000A0EA1">
        <w:rPr>
          <w:kern w:val="28"/>
          <w:lang w:val="en-CA"/>
        </w:rPr>
        <w:t xml:space="preserve"> out that these objectives do not relate to the specific needs and concerns of the linguistic minority and add</w:t>
      </w:r>
      <w:r w:rsidR="0069702B">
        <w:rPr>
          <w:kern w:val="28"/>
          <w:lang w:val="en-CA"/>
        </w:rPr>
        <w:t>s</w:t>
      </w:r>
      <w:r w:rsidRPr="000A0EA1">
        <w:rPr>
          <w:kern w:val="28"/>
          <w:lang w:val="en-CA"/>
        </w:rPr>
        <w:t xml:space="preserve"> that it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is not sufficient to rely on a legislative objective that is legitimate in relation to the majority to justify the measure[;] [</w:t>
      </w:r>
      <w:proofErr w:type="spellStart"/>
      <w:r w:rsidRPr="000A0EA1">
        <w:rPr>
          <w:kern w:val="28"/>
          <w:lang w:val="en-CA"/>
        </w:rPr>
        <w:t>i</w:t>
      </w:r>
      <w:proofErr w:type="spellEnd"/>
      <w:r w:rsidRPr="000A0EA1">
        <w:rPr>
          <w:kern w:val="28"/>
          <w:lang w:val="en-CA"/>
        </w:rPr>
        <w:t>]t must be justified in relation to the minority</w:t>
      </w:r>
      <w:r w:rsidR="00E46AFD">
        <w:rPr>
          <w:kern w:val="28"/>
          <w:lang w:val="en-CA"/>
        </w:rPr>
        <w:t>”</w:t>
      </w:r>
      <w:r w:rsidRPr="000A0EA1">
        <w:rPr>
          <w:kern w:val="28"/>
          <w:lang w:val="en-CA"/>
        </w:rPr>
        <w:t>.</w:t>
      </w:r>
      <w:r w:rsidRPr="000A0EA1">
        <w:rPr>
          <w:rStyle w:val="Appelnotedebasdep"/>
          <w:kern w:val="28"/>
          <w:lang w:val="en-CA"/>
        </w:rPr>
        <w:footnoteReference w:id="101"/>
      </w:r>
      <w:r w:rsidRPr="000A0EA1">
        <w:rPr>
          <w:kern w:val="28"/>
          <w:lang w:val="en-CA"/>
        </w:rPr>
        <w:t xml:space="preserve"> </w:t>
      </w:r>
    </w:p>
    <w:p w14:paraId="17F5F2A9" w14:textId="462B2EF7"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Although it was not necessary to address the other requirements of the </w:t>
      </w:r>
      <w:r w:rsidRPr="000A0EA1">
        <w:rPr>
          <w:i/>
          <w:iCs/>
          <w:kern w:val="28"/>
          <w:lang w:val="en-CA"/>
        </w:rPr>
        <w:t>Oakes</w:t>
      </w:r>
      <w:r w:rsidRPr="000A0EA1">
        <w:rPr>
          <w:kern w:val="28"/>
          <w:lang w:val="en-CA"/>
        </w:rPr>
        <w:t xml:space="preserve"> test in order to rule on the matter, the judge determine</w:t>
      </w:r>
      <w:r w:rsidR="0069702B">
        <w:rPr>
          <w:kern w:val="28"/>
          <w:lang w:val="en-CA"/>
        </w:rPr>
        <w:t>s</w:t>
      </w:r>
      <w:r w:rsidRPr="000A0EA1">
        <w:rPr>
          <w:kern w:val="28"/>
          <w:lang w:val="en-CA"/>
        </w:rPr>
        <w:t xml:space="preserve"> that these, too, ha</w:t>
      </w:r>
      <w:r w:rsidR="0069702B">
        <w:rPr>
          <w:kern w:val="28"/>
          <w:lang w:val="en-CA"/>
        </w:rPr>
        <w:t>ve</w:t>
      </w:r>
      <w:r w:rsidRPr="000A0EA1">
        <w:rPr>
          <w:kern w:val="28"/>
          <w:lang w:val="en-CA"/>
        </w:rPr>
        <w:t xml:space="preserve"> not been satisfied.</w:t>
      </w:r>
      <w:r w:rsidRPr="000A0EA1">
        <w:rPr>
          <w:kern w:val="28"/>
          <w:vertAlign w:val="superscript"/>
          <w:lang w:val="en-CA"/>
        </w:rPr>
        <w:footnoteReference w:id="102"/>
      </w:r>
    </w:p>
    <w:p w14:paraId="17F5F2AA" w14:textId="77777777" w:rsidR="00F75613" w:rsidRPr="000A0EA1" w:rsidRDefault="00B02E00" w:rsidP="00B255B8">
      <w:pPr>
        <w:pStyle w:val="Paragraphedeliste"/>
        <w:numPr>
          <w:ilvl w:val="0"/>
          <w:numId w:val="6"/>
        </w:numPr>
        <w:spacing w:before="120" w:after="120" w:line="240" w:lineRule="auto"/>
        <w:ind w:left="1077" w:hanging="357"/>
        <w:contextualSpacing w:val="0"/>
        <w:jc w:val="both"/>
        <w:rPr>
          <w:rFonts w:ascii="Arial" w:hAnsi="Arial" w:cs="Arial"/>
          <w:b/>
          <w:bCs/>
          <w:kern w:val="28"/>
          <w:sz w:val="24"/>
          <w:szCs w:val="24"/>
          <w:u w:val="single"/>
          <w:lang w:val="en-CA"/>
        </w:rPr>
      </w:pPr>
      <w:r w:rsidRPr="000A0EA1">
        <w:rPr>
          <w:rFonts w:ascii="Arial" w:hAnsi="Arial" w:cs="Arial"/>
          <w:b/>
          <w:bCs/>
          <w:kern w:val="28"/>
          <w:sz w:val="24"/>
          <w:szCs w:val="24"/>
          <w:u w:val="single"/>
          <w:lang w:val="en-CA"/>
        </w:rPr>
        <w:t>Remedies</w:t>
      </w:r>
    </w:p>
    <w:p w14:paraId="17F5F2AB" w14:textId="1B033713"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As regards the impugned sections of </w:t>
      </w:r>
      <w:r w:rsidR="00C33BBC">
        <w:rPr>
          <w:i/>
          <w:iCs/>
          <w:kern w:val="28"/>
          <w:lang w:val="en-CA"/>
        </w:rPr>
        <w:t>Bill 40</w:t>
      </w:r>
      <w:r w:rsidRPr="000A0EA1">
        <w:rPr>
          <w:kern w:val="28"/>
          <w:lang w:val="en-CA"/>
        </w:rPr>
        <w:t xml:space="preserve"> and the </w:t>
      </w:r>
      <w:r w:rsidRPr="000A0EA1">
        <w:rPr>
          <w:i/>
          <w:iCs/>
          <w:kern w:val="28"/>
          <w:lang w:val="en-CA"/>
        </w:rPr>
        <w:t>EA</w:t>
      </w:r>
      <w:r w:rsidRPr="000A0EA1">
        <w:rPr>
          <w:kern w:val="28"/>
          <w:lang w:val="en-CA"/>
        </w:rPr>
        <w:t xml:space="preserve"> that the judge f</w:t>
      </w:r>
      <w:r w:rsidR="00445998">
        <w:rPr>
          <w:kern w:val="28"/>
          <w:lang w:val="en-CA"/>
        </w:rPr>
        <w:t>inds</w:t>
      </w:r>
      <w:r w:rsidRPr="000A0EA1">
        <w:rPr>
          <w:kern w:val="28"/>
          <w:lang w:val="en-CA"/>
        </w:rPr>
        <w:t xml:space="preserve"> to infringe the rights protected by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 he declare</w:t>
      </w:r>
      <w:r w:rsidR="00761A25">
        <w:rPr>
          <w:kern w:val="28"/>
          <w:lang w:val="en-CA"/>
        </w:rPr>
        <w:t>s</w:t>
      </w:r>
      <w:r w:rsidRPr="000A0EA1">
        <w:rPr>
          <w:kern w:val="28"/>
          <w:lang w:val="en-CA"/>
        </w:rPr>
        <w:t xml:space="preserve"> them inoperative with respect to Quebec</w:t>
      </w:r>
      <w:r w:rsidR="00E46AFD">
        <w:rPr>
          <w:kern w:val="28"/>
          <w:lang w:val="en-CA"/>
        </w:rPr>
        <w:t>’</w:t>
      </w:r>
      <w:r w:rsidRPr="000A0EA1">
        <w:rPr>
          <w:kern w:val="28"/>
          <w:lang w:val="en-CA"/>
        </w:rPr>
        <w:t xml:space="preserve">s </w:t>
      </w:r>
      <w:r w:rsidR="00AE3408">
        <w:rPr>
          <w:kern w:val="28"/>
          <w:lang w:val="en-CA"/>
        </w:rPr>
        <w:t>English</w:t>
      </w:r>
      <w:r w:rsidR="00AE3408">
        <w:rPr>
          <w:kern w:val="28"/>
          <w:lang w:val="en-CA"/>
        </w:rPr>
        <w:noBreakHyphen/>
        <w:t>language</w:t>
      </w:r>
      <w:r w:rsidRPr="000A0EA1">
        <w:rPr>
          <w:kern w:val="28"/>
          <w:lang w:val="en-CA"/>
        </w:rPr>
        <w:t xml:space="preserve"> school boards.</w:t>
      </w:r>
      <w:r w:rsidRPr="000A0EA1">
        <w:rPr>
          <w:kern w:val="28"/>
          <w:vertAlign w:val="superscript"/>
          <w:lang w:val="en-CA"/>
        </w:rPr>
        <w:footnoteReference w:id="103"/>
      </w:r>
      <w:r w:rsidRPr="000A0EA1">
        <w:rPr>
          <w:kern w:val="28"/>
          <w:lang w:val="en-CA"/>
        </w:rPr>
        <w:t xml:space="preserve"> The provisions in question are s</w:t>
      </w:r>
      <w:r w:rsidR="0062160E">
        <w:rPr>
          <w:kern w:val="28"/>
          <w:lang w:val="en-CA"/>
        </w:rPr>
        <w:t>s. 5</w:t>
      </w:r>
      <w:r w:rsidRPr="000A0EA1">
        <w:rPr>
          <w:kern w:val="28"/>
          <w:lang w:val="en-CA"/>
        </w:rPr>
        <w:t xml:space="preserve">0, 52 (in respect of the addition of </w:t>
      </w:r>
      <w:r w:rsidR="0062160E">
        <w:rPr>
          <w:kern w:val="28"/>
          <w:lang w:val="en-CA"/>
        </w:rPr>
        <w:t>s. 1</w:t>
      </w:r>
      <w:r w:rsidRPr="000A0EA1">
        <w:rPr>
          <w:kern w:val="28"/>
          <w:lang w:val="en-CA"/>
        </w:rPr>
        <w:t xml:space="preserve">55 to the </w:t>
      </w:r>
      <w:r w:rsidRPr="000A0EA1">
        <w:rPr>
          <w:i/>
          <w:iCs/>
          <w:kern w:val="28"/>
          <w:lang w:val="en-CA"/>
        </w:rPr>
        <w:t>EA</w:t>
      </w:r>
      <w:r w:rsidRPr="000A0EA1">
        <w:rPr>
          <w:kern w:val="28"/>
          <w:lang w:val="en-CA"/>
        </w:rPr>
        <w:t xml:space="preserve">), 66, 91, 93, 196, 208, 212, and </w:t>
      </w:r>
      <w:r w:rsidRPr="000A0EA1">
        <w:rPr>
          <w:kern w:val="28"/>
          <w:lang w:val="en-CA"/>
        </w:rPr>
        <w:lastRenderedPageBreak/>
        <w:t xml:space="preserve">216 of </w:t>
      </w:r>
      <w:r w:rsidR="00C33BBC">
        <w:rPr>
          <w:i/>
          <w:iCs/>
          <w:kern w:val="28"/>
          <w:lang w:val="en-CA"/>
        </w:rPr>
        <w:t>Bill 40</w:t>
      </w:r>
      <w:r w:rsidRPr="000A0EA1">
        <w:rPr>
          <w:kern w:val="28"/>
          <w:lang w:val="en-CA"/>
        </w:rPr>
        <w:t>, as well as s</w:t>
      </w:r>
      <w:r w:rsidR="0062160E">
        <w:rPr>
          <w:kern w:val="28"/>
          <w:lang w:val="en-CA"/>
        </w:rPr>
        <w:t>s. 1</w:t>
      </w:r>
      <w:r w:rsidRPr="000A0EA1">
        <w:rPr>
          <w:kern w:val="28"/>
          <w:lang w:val="en-CA"/>
        </w:rPr>
        <w:t>55</w:t>
      </w:r>
      <w:r w:rsidRPr="000A0EA1">
        <w:rPr>
          <w:rFonts w:cs="Arial"/>
          <w:color w:val="000000"/>
          <w:vertAlign w:val="superscript"/>
          <w:lang w:val="en-CA"/>
        </w:rPr>
        <w:footnoteReference w:id="104"/>
      </w:r>
      <w:r w:rsidRPr="000A0EA1">
        <w:rPr>
          <w:kern w:val="28"/>
          <w:lang w:val="en-CA"/>
        </w:rPr>
        <w:t xml:space="preserve"> and 473.1 of the </w:t>
      </w:r>
      <w:r w:rsidRPr="000A0EA1">
        <w:rPr>
          <w:i/>
          <w:iCs/>
          <w:kern w:val="28"/>
          <w:lang w:val="en-CA"/>
        </w:rPr>
        <w:t>EA</w:t>
      </w:r>
      <w:r w:rsidRPr="000A0EA1">
        <w:rPr>
          <w:kern w:val="28"/>
          <w:lang w:val="en-CA"/>
        </w:rPr>
        <w:t>. The judge</w:t>
      </w:r>
      <w:r w:rsidR="00E46AFD">
        <w:rPr>
          <w:kern w:val="28"/>
          <w:lang w:val="en-CA"/>
        </w:rPr>
        <w:t>’</w:t>
      </w:r>
      <w:r w:rsidRPr="000A0EA1">
        <w:rPr>
          <w:kern w:val="28"/>
          <w:lang w:val="en-CA"/>
        </w:rPr>
        <w:t xml:space="preserve">s declaration </w:t>
      </w:r>
      <w:r w:rsidR="00761A25">
        <w:rPr>
          <w:kern w:val="28"/>
          <w:lang w:val="en-CA"/>
        </w:rPr>
        <w:t xml:space="preserve">takes immediate </w:t>
      </w:r>
      <w:r w:rsidRPr="000A0EA1">
        <w:rPr>
          <w:kern w:val="28"/>
          <w:lang w:val="en-CA"/>
        </w:rPr>
        <w:t xml:space="preserve">effect. </w:t>
      </w:r>
    </w:p>
    <w:p w14:paraId="17F5F2AC" w14:textId="31297BFE"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Although the respondents had asked the judge to maintain the stay of application of </w:t>
      </w:r>
      <w:r w:rsidR="00C33BBC">
        <w:rPr>
          <w:i/>
          <w:iCs/>
          <w:kern w:val="28"/>
          <w:lang w:val="en-CA"/>
        </w:rPr>
        <w:t>Bill 40</w:t>
      </w:r>
      <w:r w:rsidRPr="000A0EA1">
        <w:rPr>
          <w:kern w:val="28"/>
          <w:lang w:val="en-CA"/>
        </w:rPr>
        <w:t xml:space="preserve"> with regard to </w:t>
      </w:r>
      <w:r w:rsidR="00AE3408">
        <w:rPr>
          <w:kern w:val="28"/>
          <w:lang w:val="en-CA"/>
        </w:rPr>
        <w:t>English</w:t>
      </w:r>
      <w:r w:rsidR="00AE3408">
        <w:rPr>
          <w:kern w:val="28"/>
          <w:lang w:val="en-CA"/>
        </w:rPr>
        <w:noBreakHyphen/>
        <w:t>language</w:t>
      </w:r>
      <w:r w:rsidRPr="000A0EA1">
        <w:rPr>
          <w:kern w:val="28"/>
          <w:lang w:val="en-CA"/>
        </w:rPr>
        <w:t xml:space="preserve"> school boards until </w:t>
      </w:r>
      <w:bookmarkStart w:id="43" w:name="_Hlk187825109"/>
      <w:r w:rsidRPr="000A0EA1">
        <w:rPr>
          <w:kern w:val="28"/>
          <w:lang w:val="en-CA"/>
        </w:rPr>
        <w:t>the National Assembly adopt</w:t>
      </w:r>
      <w:r w:rsidR="00761A25">
        <w:rPr>
          <w:kern w:val="28"/>
          <w:lang w:val="en-CA"/>
        </w:rPr>
        <w:t>s</w:t>
      </w:r>
      <w:r w:rsidRPr="000A0EA1">
        <w:rPr>
          <w:kern w:val="28"/>
          <w:lang w:val="en-CA"/>
        </w:rPr>
        <w:t xml:space="preserve"> legislation correcting the infringements of the rights guaranteed by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bookmarkEnd w:id="43"/>
      <w:r w:rsidRPr="000A0EA1">
        <w:rPr>
          <w:kern w:val="28"/>
          <w:lang w:val="en-CA"/>
        </w:rPr>
        <w:t xml:space="preserve"> the judge instead grant</w:t>
      </w:r>
      <w:r w:rsidR="00761A25">
        <w:rPr>
          <w:kern w:val="28"/>
          <w:lang w:val="en-CA"/>
        </w:rPr>
        <w:t>s</w:t>
      </w:r>
      <w:r w:rsidRPr="000A0EA1">
        <w:rPr>
          <w:kern w:val="28"/>
          <w:lang w:val="en-CA"/>
        </w:rPr>
        <w:t xml:space="preserve"> the </w:t>
      </w:r>
      <w:r w:rsidR="00162A01">
        <w:rPr>
          <w:kern w:val="28"/>
          <w:lang w:val="en-CA"/>
        </w:rPr>
        <w:t xml:space="preserve">respondent’s </w:t>
      </w:r>
      <w:r w:rsidRPr="000A0EA1">
        <w:rPr>
          <w:kern w:val="28"/>
          <w:lang w:val="en-CA"/>
        </w:rPr>
        <w:t xml:space="preserve">subsidiary request to suspend the application to the </w:t>
      </w:r>
      <w:r w:rsidR="00AE3408">
        <w:rPr>
          <w:kern w:val="28"/>
          <w:lang w:val="en-CA"/>
        </w:rPr>
        <w:t>English</w:t>
      </w:r>
      <w:r w:rsidR="00AE3408">
        <w:rPr>
          <w:kern w:val="28"/>
          <w:lang w:val="en-CA"/>
        </w:rPr>
        <w:noBreakHyphen/>
        <w:t>language</w:t>
      </w:r>
      <w:r w:rsidRPr="000A0EA1">
        <w:rPr>
          <w:kern w:val="28"/>
          <w:lang w:val="en-CA"/>
        </w:rPr>
        <w:t xml:space="preserve"> school network of the numerous provisions of </w:t>
      </w:r>
      <w:r w:rsidR="00C33BBC">
        <w:rPr>
          <w:i/>
          <w:iCs/>
          <w:kern w:val="28"/>
          <w:lang w:val="en-CA"/>
        </w:rPr>
        <w:t>Bill 40</w:t>
      </w:r>
      <w:r w:rsidRPr="000A0EA1">
        <w:rPr>
          <w:kern w:val="28"/>
          <w:lang w:val="en-CA"/>
        </w:rPr>
        <w:t xml:space="preserve"> </w:t>
      </w:r>
      <w:bookmarkStart w:id="44" w:name="_Hlk187999214"/>
      <w:r w:rsidRPr="000A0EA1">
        <w:rPr>
          <w:kern w:val="28"/>
          <w:lang w:val="en-CA"/>
        </w:rPr>
        <w:t xml:space="preserve">that are inextricably linked to the provisions declared </w:t>
      </w:r>
      <w:bookmarkEnd w:id="44"/>
      <w:r w:rsidRPr="000A0EA1">
        <w:rPr>
          <w:kern w:val="28"/>
          <w:lang w:val="en-CA"/>
        </w:rPr>
        <w:t xml:space="preserve">contrary to </w:t>
      </w:r>
      <w:r w:rsidR="0062160E">
        <w:rPr>
          <w:kern w:val="28"/>
          <w:lang w:val="en-CA"/>
        </w:rPr>
        <w:t>s. 2</w:t>
      </w:r>
      <w:r w:rsidRPr="000A0EA1">
        <w:rPr>
          <w:kern w:val="28"/>
          <w:lang w:val="en-CA"/>
        </w:rPr>
        <w:t xml:space="preserve">3 of the </w:t>
      </w:r>
      <w:r w:rsidRPr="000A0EA1">
        <w:rPr>
          <w:i/>
          <w:iCs/>
          <w:kern w:val="28"/>
          <w:lang w:val="en-CA"/>
        </w:rPr>
        <w:t>Charter</w:t>
      </w:r>
      <w:r w:rsidRPr="000A0EA1">
        <w:rPr>
          <w:kern w:val="28"/>
          <w:lang w:val="en-CA"/>
        </w:rPr>
        <w:t>.</w:t>
      </w:r>
      <w:r w:rsidRPr="000A0EA1">
        <w:rPr>
          <w:kern w:val="28"/>
          <w:vertAlign w:val="superscript"/>
          <w:lang w:val="en-CA"/>
        </w:rPr>
        <w:footnoteReference w:id="105"/>
      </w:r>
      <w:r w:rsidRPr="000A0EA1">
        <w:rPr>
          <w:kern w:val="28"/>
          <w:lang w:val="en-CA"/>
        </w:rPr>
        <w:t xml:space="preserve"> </w:t>
      </w:r>
    </w:p>
    <w:p w14:paraId="17F5F2AD" w14:textId="009CE51D"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The judge identified these provisions in a schedule to his judgment.</w:t>
      </w:r>
      <w:r w:rsidRPr="000A0EA1">
        <w:rPr>
          <w:kern w:val="28"/>
          <w:vertAlign w:val="superscript"/>
          <w:lang w:val="en-CA"/>
        </w:rPr>
        <w:footnoteReference w:id="106"/>
      </w:r>
      <w:r w:rsidRPr="000A0EA1">
        <w:rPr>
          <w:i/>
          <w:iCs/>
          <w:kern w:val="28"/>
          <w:lang w:val="en-CA"/>
        </w:rPr>
        <w:t xml:space="preserve"> </w:t>
      </w:r>
      <w:r w:rsidRPr="000A0EA1">
        <w:rPr>
          <w:kern w:val="28"/>
          <w:lang w:val="en-CA"/>
        </w:rPr>
        <w:t xml:space="preserve">This stay of application </w:t>
      </w:r>
      <w:r w:rsidR="00761A25">
        <w:rPr>
          <w:kern w:val="28"/>
          <w:lang w:val="en-CA"/>
        </w:rPr>
        <w:t>is</w:t>
      </w:r>
      <w:r w:rsidRPr="000A0EA1">
        <w:rPr>
          <w:kern w:val="28"/>
          <w:lang w:val="en-CA"/>
        </w:rPr>
        <w:t xml:space="preserve"> granted for an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initial</w:t>
      </w:r>
      <w:r w:rsidR="00E46AFD">
        <w:rPr>
          <w:kern w:val="28"/>
          <w:lang w:val="en-CA"/>
        </w:rPr>
        <w:t>”</w:t>
      </w:r>
      <w:r w:rsidRPr="000A0EA1">
        <w:rPr>
          <w:kern w:val="28"/>
          <w:lang w:val="en-CA"/>
        </w:rPr>
        <w:t xml:space="preserve"> period of six months, to allow for a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dialogue</w:t>
      </w:r>
      <w:r w:rsidR="00E46AFD">
        <w:rPr>
          <w:kern w:val="28"/>
          <w:lang w:val="en-CA"/>
        </w:rPr>
        <w:t>”</w:t>
      </w:r>
      <w:r w:rsidRPr="000A0EA1">
        <w:rPr>
          <w:kern w:val="28"/>
          <w:lang w:val="en-CA"/>
        </w:rPr>
        <w:t xml:space="preserve"> aimed at correcting the infringements.</w:t>
      </w:r>
      <w:r w:rsidRPr="000A0EA1">
        <w:rPr>
          <w:rStyle w:val="Appelnotedebasdep"/>
          <w:kern w:val="28"/>
          <w:lang w:val="en-CA"/>
        </w:rPr>
        <w:footnoteReference w:id="107"/>
      </w:r>
      <w:r w:rsidRPr="000A0EA1">
        <w:rPr>
          <w:kern w:val="28"/>
          <w:lang w:val="en-CA"/>
        </w:rPr>
        <w:t xml:space="preserve"> The judge decide</w:t>
      </w:r>
      <w:r w:rsidR="00761A25">
        <w:rPr>
          <w:kern w:val="28"/>
          <w:lang w:val="en-CA"/>
        </w:rPr>
        <w:t>s</w:t>
      </w:r>
      <w:r w:rsidRPr="000A0EA1">
        <w:rPr>
          <w:kern w:val="28"/>
          <w:lang w:val="en-CA"/>
        </w:rPr>
        <w:t xml:space="preserve"> to retain jurisdiction over the case during this period in order to resolve any issues that </w:t>
      </w:r>
      <w:r w:rsidR="002B048F">
        <w:rPr>
          <w:kern w:val="28"/>
          <w:lang w:val="en-CA"/>
        </w:rPr>
        <w:t xml:space="preserve">might </w:t>
      </w:r>
      <w:r w:rsidRPr="000A0EA1">
        <w:rPr>
          <w:kern w:val="28"/>
          <w:lang w:val="en-CA"/>
        </w:rPr>
        <w:t>arise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in this respect</w:t>
      </w:r>
      <w:r w:rsidR="00E46AFD">
        <w:rPr>
          <w:kern w:val="28"/>
          <w:lang w:val="en-CA"/>
        </w:rPr>
        <w:t>”</w:t>
      </w:r>
      <w:r w:rsidRPr="000A0EA1">
        <w:rPr>
          <w:kern w:val="28"/>
          <w:lang w:val="en-CA"/>
        </w:rPr>
        <w:t xml:space="preserve">, including, presumably, the extension, if necessary, of the stay of application or the possible resolution of any difficulties that </w:t>
      </w:r>
      <w:r w:rsidR="00413453">
        <w:rPr>
          <w:kern w:val="28"/>
          <w:lang w:val="en-CA"/>
        </w:rPr>
        <w:t xml:space="preserve">might </w:t>
      </w:r>
      <w:r w:rsidRPr="000A0EA1">
        <w:rPr>
          <w:kern w:val="28"/>
          <w:lang w:val="en-CA"/>
        </w:rPr>
        <w:t>arise during the [</w:t>
      </w:r>
      <w:r w:rsidR="00F16205" w:rsidRPr="00F16205">
        <w:rPr>
          <w:smallCaps/>
          <w:kern w:val="28"/>
          <w:lang w:val="en-CA"/>
        </w:rPr>
        <w:t>translation</w:t>
      </w:r>
      <w:r w:rsidRPr="000A0EA1">
        <w:rPr>
          <w:kern w:val="28"/>
          <w:lang w:val="en-CA"/>
        </w:rPr>
        <w:t>]</w:t>
      </w:r>
      <w:r w:rsidR="0095135B">
        <w:rPr>
          <w:kern w:val="28"/>
          <w:lang w:val="en-CA"/>
        </w:rPr>
        <w:t> </w:t>
      </w:r>
      <w:r w:rsidR="00E46AFD">
        <w:rPr>
          <w:kern w:val="28"/>
          <w:lang w:val="en-CA"/>
        </w:rPr>
        <w:t>“</w:t>
      </w:r>
      <w:r w:rsidRPr="000A0EA1">
        <w:rPr>
          <w:kern w:val="28"/>
          <w:lang w:val="en-CA"/>
        </w:rPr>
        <w:t>dialogue</w:t>
      </w:r>
      <w:r w:rsidR="00E46AFD">
        <w:rPr>
          <w:kern w:val="28"/>
          <w:lang w:val="en-CA"/>
        </w:rPr>
        <w:t>”</w:t>
      </w:r>
      <w:r w:rsidRPr="000A0EA1">
        <w:rPr>
          <w:kern w:val="28"/>
          <w:lang w:val="en-CA"/>
        </w:rPr>
        <w:t xml:space="preserve">, or even in order to be in a position to respond to any difficulties that </w:t>
      </w:r>
      <w:r w:rsidR="00125A6D">
        <w:rPr>
          <w:kern w:val="28"/>
          <w:lang w:val="en-CA"/>
        </w:rPr>
        <w:t xml:space="preserve">might </w:t>
      </w:r>
      <w:r w:rsidRPr="000A0EA1">
        <w:rPr>
          <w:kern w:val="28"/>
          <w:lang w:val="en-CA"/>
        </w:rPr>
        <w:t xml:space="preserve">arise following the stay of application of certain provisions of </w:t>
      </w:r>
      <w:r w:rsidR="00C33BBC">
        <w:rPr>
          <w:i/>
          <w:iCs/>
          <w:kern w:val="28"/>
          <w:lang w:val="en-CA"/>
        </w:rPr>
        <w:t>Bill 40</w:t>
      </w:r>
      <w:r w:rsidRPr="000A0EA1">
        <w:rPr>
          <w:kern w:val="28"/>
          <w:lang w:val="en-CA"/>
        </w:rPr>
        <w:t>.</w:t>
      </w:r>
      <w:r w:rsidRPr="000A0EA1">
        <w:rPr>
          <w:kern w:val="28"/>
          <w:vertAlign w:val="superscript"/>
          <w:lang w:val="en-CA"/>
        </w:rPr>
        <w:footnoteReference w:id="108"/>
      </w:r>
    </w:p>
    <w:p w14:paraId="17F5F2AE" w14:textId="09048C74" w:rsidR="00F75613" w:rsidRPr="000A0EA1" w:rsidRDefault="00B02E00" w:rsidP="00B255B8">
      <w:pPr>
        <w:numPr>
          <w:ilvl w:val="0"/>
          <w:numId w:val="1"/>
        </w:numPr>
        <w:spacing w:before="120" w:after="120" w:line="240" w:lineRule="auto"/>
        <w:jc w:val="both"/>
        <w:rPr>
          <w:kern w:val="28"/>
          <w:lang w:val="en-CA"/>
        </w:rPr>
      </w:pPr>
      <w:r w:rsidRPr="000A0EA1">
        <w:rPr>
          <w:kern w:val="28"/>
          <w:lang w:val="en-CA"/>
        </w:rPr>
        <w:t xml:space="preserve">As the AGQ had asked the judge for an 18-month suspension of any declaration that would render inoperative the legislative provision granting certain individuals who are not part of the </w:t>
      </w:r>
      <w:r w:rsidR="00312FD9">
        <w:rPr>
          <w:kern w:val="28"/>
          <w:lang w:val="en-CA"/>
        </w:rPr>
        <w:t>English</w:t>
      </w:r>
      <w:r w:rsidR="00312FD9">
        <w:rPr>
          <w:kern w:val="28"/>
          <w:lang w:val="en-CA"/>
        </w:rPr>
        <w:noBreakHyphen/>
        <w:t>speaking</w:t>
      </w:r>
      <w:r w:rsidRPr="000A0EA1">
        <w:rPr>
          <w:kern w:val="28"/>
          <w:lang w:val="en-CA"/>
        </w:rPr>
        <w:t xml:space="preserve"> minority the choice of voting in school elections in the </w:t>
      </w:r>
      <w:r w:rsidR="00AE3408">
        <w:rPr>
          <w:kern w:val="28"/>
          <w:lang w:val="en-CA"/>
        </w:rPr>
        <w:t>English</w:t>
      </w:r>
      <w:r w:rsidR="00AE3408">
        <w:rPr>
          <w:kern w:val="28"/>
          <w:lang w:val="en-CA"/>
        </w:rPr>
        <w:noBreakHyphen/>
        <w:t>language</w:t>
      </w:r>
      <w:r w:rsidRPr="000A0EA1">
        <w:rPr>
          <w:kern w:val="28"/>
          <w:lang w:val="en-CA"/>
        </w:rPr>
        <w:t xml:space="preserve"> sector, the judge suspend</w:t>
      </w:r>
      <w:r w:rsidR="00761A25">
        <w:rPr>
          <w:kern w:val="28"/>
          <w:lang w:val="en-CA"/>
        </w:rPr>
        <w:t xml:space="preserve">s </w:t>
      </w:r>
      <w:r w:rsidRPr="000A0EA1">
        <w:rPr>
          <w:kern w:val="28"/>
          <w:lang w:val="en-CA"/>
        </w:rPr>
        <w:t xml:space="preserve">the declaration of inoperability of </w:t>
      </w:r>
      <w:r w:rsidR="0062160E">
        <w:rPr>
          <w:kern w:val="28"/>
          <w:lang w:val="en-CA"/>
        </w:rPr>
        <w:t>s</w:t>
      </w:r>
      <w:r w:rsidR="00E470A5">
        <w:rPr>
          <w:kern w:val="28"/>
          <w:lang w:val="en-CA"/>
        </w:rPr>
        <w:t>ection</w:t>
      </w:r>
      <w:r w:rsidR="0062160E">
        <w:rPr>
          <w:kern w:val="28"/>
          <w:lang w:val="en-CA"/>
        </w:rPr>
        <w:t> 1</w:t>
      </w:r>
      <w:r w:rsidRPr="000A0EA1">
        <w:rPr>
          <w:kern w:val="28"/>
          <w:lang w:val="en-CA"/>
        </w:rPr>
        <w:t xml:space="preserve">5 of the </w:t>
      </w:r>
      <w:r w:rsidRPr="000A0EA1">
        <w:rPr>
          <w:i/>
          <w:iCs/>
          <w:kern w:val="28"/>
          <w:lang w:val="en-CA"/>
        </w:rPr>
        <w:t>New Act respecting school elections</w:t>
      </w:r>
      <w:r w:rsidRPr="000A0EA1">
        <w:rPr>
          <w:kern w:val="28"/>
          <w:lang w:val="en-CA"/>
        </w:rPr>
        <w:t xml:space="preserve"> for a period of 18 months from the date of his judgment.</w:t>
      </w:r>
      <w:r w:rsidRPr="000A0EA1">
        <w:rPr>
          <w:kern w:val="28"/>
          <w:vertAlign w:val="superscript"/>
          <w:lang w:val="en-CA"/>
        </w:rPr>
        <w:footnoteReference w:id="109"/>
      </w:r>
      <w:r w:rsidRPr="000A0EA1">
        <w:rPr>
          <w:kern w:val="28"/>
          <w:lang w:val="en-CA"/>
        </w:rPr>
        <w:t xml:space="preserve"> As mentioned above, the judge d</w:t>
      </w:r>
      <w:r w:rsidR="00162A01">
        <w:rPr>
          <w:kern w:val="28"/>
          <w:lang w:val="en-CA"/>
        </w:rPr>
        <w:t>oes</w:t>
      </w:r>
      <w:r w:rsidRPr="000A0EA1">
        <w:rPr>
          <w:kern w:val="28"/>
          <w:lang w:val="en-CA"/>
        </w:rPr>
        <w:t xml:space="preserve"> not formally declare this section inoperative, but only the amendments thereto introduced by </w:t>
      </w:r>
      <w:r w:rsidR="0062160E">
        <w:rPr>
          <w:kern w:val="28"/>
          <w:lang w:val="en-CA"/>
        </w:rPr>
        <w:t>s. 2</w:t>
      </w:r>
      <w:r w:rsidRPr="000A0EA1">
        <w:rPr>
          <w:kern w:val="28"/>
          <w:lang w:val="en-CA"/>
        </w:rPr>
        <w:t xml:space="preserve">12 of </w:t>
      </w:r>
      <w:r w:rsidR="00C33BBC">
        <w:rPr>
          <w:i/>
          <w:iCs/>
          <w:kern w:val="28"/>
          <w:lang w:val="en-CA"/>
        </w:rPr>
        <w:t>Bill 40</w:t>
      </w:r>
      <w:r w:rsidRPr="000A0EA1">
        <w:rPr>
          <w:i/>
          <w:iCs/>
          <w:kern w:val="28"/>
          <w:lang w:val="en-CA"/>
        </w:rPr>
        <w:t>.</w:t>
      </w:r>
    </w:p>
    <w:p w14:paraId="17F5F2AF" w14:textId="2EF33716" w:rsidR="00F75613" w:rsidRPr="000A0EA1" w:rsidRDefault="00B02E00" w:rsidP="00B255B8">
      <w:pPr>
        <w:pStyle w:val="Paragraphe"/>
        <w:spacing w:line="240" w:lineRule="auto"/>
        <w:rPr>
          <w:lang w:val="en-CA"/>
        </w:rPr>
      </w:pPr>
      <w:r w:rsidRPr="000A0EA1">
        <w:rPr>
          <w:lang w:val="en-CA"/>
        </w:rPr>
        <w:lastRenderedPageBreak/>
        <w:t>Lastly, the judge extend</w:t>
      </w:r>
      <w:r w:rsidR="00761A25">
        <w:rPr>
          <w:lang w:val="en-CA"/>
        </w:rPr>
        <w:t>s</w:t>
      </w:r>
      <w:r w:rsidRPr="000A0EA1">
        <w:rPr>
          <w:lang w:val="en-CA"/>
        </w:rPr>
        <w:t xml:space="preserve"> the stay of application of </w:t>
      </w:r>
      <w:r w:rsidR="00C33BBC">
        <w:rPr>
          <w:i/>
          <w:iCs/>
          <w:lang w:val="en-CA"/>
        </w:rPr>
        <w:t>Bill 40</w:t>
      </w:r>
      <w:r w:rsidRPr="000A0EA1">
        <w:rPr>
          <w:lang w:val="en-CA"/>
        </w:rPr>
        <w:t xml:space="preserve"> until the expiry of the time limit for appealing his judgment.</w:t>
      </w:r>
      <w:r w:rsidRPr="000A0EA1">
        <w:rPr>
          <w:kern w:val="0"/>
          <w:vertAlign w:val="superscript"/>
          <w:lang w:val="en-CA"/>
        </w:rPr>
        <w:footnoteReference w:id="110"/>
      </w:r>
      <w:r w:rsidRPr="000A0EA1">
        <w:rPr>
          <w:lang w:val="en-CA"/>
        </w:rPr>
        <w:t xml:space="preserve"> He award</w:t>
      </w:r>
      <w:r w:rsidR="00761A25">
        <w:rPr>
          <w:lang w:val="en-CA"/>
        </w:rPr>
        <w:t>s</w:t>
      </w:r>
      <w:r w:rsidRPr="000A0EA1">
        <w:rPr>
          <w:lang w:val="en-CA"/>
        </w:rPr>
        <w:t xml:space="preserve"> legal costs to the applicants.</w:t>
      </w:r>
      <w:r w:rsidRPr="000A0EA1">
        <w:rPr>
          <w:vertAlign w:val="superscript"/>
          <w:lang w:val="en-CA"/>
        </w:rPr>
        <w:footnoteReference w:id="111"/>
      </w:r>
    </w:p>
    <w:p w14:paraId="17F5F2B0" w14:textId="77777777" w:rsidR="00F75613" w:rsidRPr="000A0EA1" w:rsidRDefault="00B02E00" w:rsidP="00B255B8">
      <w:pPr>
        <w:pStyle w:val="Paragraphe"/>
        <w:numPr>
          <w:ilvl w:val="0"/>
          <w:numId w:val="0"/>
        </w:numPr>
        <w:spacing w:before="240" w:line="240" w:lineRule="auto"/>
        <w:rPr>
          <w:b/>
          <w:bCs/>
          <w:u w:val="single"/>
          <w:lang w:val="en-CA"/>
        </w:rPr>
      </w:pPr>
      <w:r w:rsidRPr="000A0EA1">
        <w:rPr>
          <w:b/>
          <w:bCs/>
          <w:u w:val="single"/>
          <w:lang w:val="en-CA"/>
        </w:rPr>
        <w:t>GROUNDS OF APPEAL</w:t>
      </w:r>
    </w:p>
    <w:p w14:paraId="17F5F2B1" w14:textId="77777777" w:rsidR="00F75613" w:rsidRPr="000A0EA1" w:rsidRDefault="00B02E00" w:rsidP="00B255B8">
      <w:pPr>
        <w:pStyle w:val="Paragraphe"/>
        <w:spacing w:line="240" w:lineRule="auto"/>
        <w:rPr>
          <w:lang w:val="en-CA"/>
        </w:rPr>
      </w:pPr>
      <w:r w:rsidRPr="000A0EA1">
        <w:rPr>
          <w:lang w:val="en-CA"/>
        </w:rPr>
        <w:t>The AGQ raises the following three grounds of appeal:</w:t>
      </w:r>
      <w:r w:rsidRPr="000A0EA1">
        <w:rPr>
          <w:vertAlign w:val="superscript"/>
          <w:lang w:val="en-CA"/>
        </w:rPr>
        <w:footnoteReference w:id="112"/>
      </w:r>
    </w:p>
    <w:p w14:paraId="17F5F2B2" w14:textId="0E8CF25E" w:rsidR="00F75613" w:rsidRPr="000A0EA1" w:rsidRDefault="00B02E00" w:rsidP="00B255B8">
      <w:pPr>
        <w:pStyle w:val="Paragraphe"/>
        <w:numPr>
          <w:ilvl w:val="0"/>
          <w:numId w:val="7"/>
        </w:numPr>
        <w:spacing w:line="240" w:lineRule="auto"/>
        <w:ind w:left="1077" w:hanging="357"/>
        <w:rPr>
          <w:lang w:val="en-CA"/>
        </w:rPr>
      </w:pPr>
      <w:bookmarkStart w:id="46" w:name="_Hlk187307012"/>
      <w:r w:rsidRPr="000A0EA1">
        <w:rPr>
          <w:lang w:val="en-CA"/>
        </w:rPr>
        <w:t>Did the trial judge err in concluding that s</w:t>
      </w:r>
      <w:r w:rsidR="0062160E">
        <w:rPr>
          <w:lang w:val="en-CA"/>
        </w:rPr>
        <w:t>s. 5</w:t>
      </w:r>
      <w:r w:rsidRPr="000A0EA1">
        <w:rPr>
          <w:lang w:val="en-CA"/>
        </w:rPr>
        <w:t xml:space="preserve">0, 52 in respect of the addition of </w:t>
      </w:r>
      <w:r w:rsidR="0062160E">
        <w:rPr>
          <w:lang w:val="en-CA"/>
        </w:rPr>
        <w:t>s. 1</w:t>
      </w:r>
      <w:r w:rsidRPr="000A0EA1">
        <w:rPr>
          <w:lang w:val="en-CA"/>
        </w:rPr>
        <w:t xml:space="preserve">55 to the </w:t>
      </w:r>
      <w:r w:rsidRPr="000A0EA1">
        <w:rPr>
          <w:i/>
          <w:iCs/>
          <w:lang w:val="en-CA"/>
        </w:rPr>
        <w:t>EA</w:t>
      </w:r>
      <w:r w:rsidRPr="000A0EA1">
        <w:rPr>
          <w:lang w:val="en-CA"/>
        </w:rPr>
        <w:t xml:space="preserve">, 66, 91, 93, 196, 208, 212 and 216 of </w:t>
      </w:r>
      <w:r w:rsidR="00C33BBC">
        <w:rPr>
          <w:i/>
          <w:iCs/>
          <w:lang w:val="en-CA"/>
        </w:rPr>
        <w:t>Bill 40</w:t>
      </w:r>
      <w:r w:rsidRPr="000A0EA1">
        <w:rPr>
          <w:lang w:val="en-CA"/>
        </w:rPr>
        <w:t>, as well as s</w:t>
      </w:r>
      <w:r w:rsidR="0062160E">
        <w:rPr>
          <w:lang w:val="en-CA"/>
        </w:rPr>
        <w:t>s. 1</w:t>
      </w:r>
      <w:r w:rsidRPr="000A0EA1">
        <w:rPr>
          <w:lang w:val="en-CA"/>
        </w:rPr>
        <w:t>55</w:t>
      </w:r>
      <w:r w:rsidRPr="000A0EA1">
        <w:rPr>
          <w:i/>
          <w:iCs/>
          <w:lang w:val="en-CA"/>
        </w:rPr>
        <w:t xml:space="preserve"> </w:t>
      </w:r>
      <w:r w:rsidRPr="000A0EA1">
        <w:rPr>
          <w:lang w:val="en-CA"/>
        </w:rPr>
        <w:t xml:space="preserve">and 473.1 of the </w:t>
      </w:r>
      <w:r w:rsidRPr="000A0EA1">
        <w:rPr>
          <w:i/>
          <w:iCs/>
          <w:lang w:val="en-CA"/>
        </w:rPr>
        <w:t>EA</w:t>
      </w:r>
      <w:r w:rsidRPr="000A0EA1">
        <w:rPr>
          <w:lang w:val="en-CA"/>
        </w:rPr>
        <w:t xml:space="preserve">, unjustifiably infringe </w:t>
      </w:r>
      <w:r w:rsidR="0062160E">
        <w:rPr>
          <w:lang w:val="en-CA"/>
        </w:rPr>
        <w:t>s. 2</w:t>
      </w:r>
      <w:r w:rsidRPr="000A0EA1">
        <w:rPr>
          <w:lang w:val="en-CA"/>
        </w:rPr>
        <w:t xml:space="preserve">3 of the </w:t>
      </w:r>
      <w:r w:rsidRPr="000A0EA1">
        <w:rPr>
          <w:i/>
          <w:iCs/>
          <w:lang w:val="en-CA"/>
        </w:rPr>
        <w:t>Charter</w:t>
      </w:r>
      <w:r w:rsidRPr="000A0EA1">
        <w:rPr>
          <w:lang w:val="en-CA"/>
        </w:rPr>
        <w:t>?</w:t>
      </w:r>
      <w:r w:rsidR="00CE405E">
        <w:rPr>
          <w:rStyle w:val="Appelnotedebasdep"/>
        </w:rPr>
        <w:footnoteReference w:id="113"/>
      </w:r>
    </w:p>
    <w:bookmarkEnd w:id="46"/>
    <w:p w14:paraId="17F5F2B3" w14:textId="7CB8EB41" w:rsidR="00F75613" w:rsidRPr="000A0EA1" w:rsidRDefault="00B02E00" w:rsidP="00B255B8">
      <w:pPr>
        <w:pStyle w:val="Paragraphe"/>
        <w:numPr>
          <w:ilvl w:val="0"/>
          <w:numId w:val="7"/>
        </w:numPr>
        <w:spacing w:line="240" w:lineRule="auto"/>
        <w:ind w:left="1077" w:hanging="357"/>
        <w:rPr>
          <w:lang w:val="en-CA"/>
        </w:rPr>
      </w:pPr>
      <w:r w:rsidRPr="000A0EA1">
        <w:rPr>
          <w:lang w:val="en-CA"/>
        </w:rPr>
        <w:t xml:space="preserve">Did he err in concluding that </w:t>
      </w:r>
      <w:r w:rsidR="0062160E">
        <w:rPr>
          <w:lang w:val="en-CA"/>
        </w:rPr>
        <w:t>s. 2</w:t>
      </w:r>
      <w:r w:rsidRPr="000A0EA1">
        <w:rPr>
          <w:lang w:val="en-CA"/>
        </w:rPr>
        <w:t xml:space="preserve">3 of the </w:t>
      </w:r>
      <w:r w:rsidRPr="000A0EA1">
        <w:rPr>
          <w:i/>
          <w:iCs/>
          <w:lang w:val="en-CA"/>
        </w:rPr>
        <w:t>Charter</w:t>
      </w:r>
      <w:r w:rsidRPr="000A0EA1">
        <w:rPr>
          <w:lang w:val="en-CA"/>
        </w:rPr>
        <w:t xml:space="preserve"> imposes a duty </w:t>
      </w:r>
      <w:r w:rsidR="00CE405E">
        <w:rPr>
          <w:lang w:val="en-CA"/>
        </w:rPr>
        <w:t xml:space="preserve">to consult </w:t>
      </w:r>
      <w:r w:rsidRPr="000A0EA1">
        <w:rPr>
          <w:lang w:val="en-CA"/>
        </w:rPr>
        <w:t>on the state that applies as part of the law-making process and requires the National Assembly to respond to the concerns of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community?</w:t>
      </w:r>
    </w:p>
    <w:p w14:paraId="17F5F2B4" w14:textId="77777777" w:rsidR="00F75613" w:rsidRPr="000A0EA1" w:rsidRDefault="00B02E00" w:rsidP="00B255B8">
      <w:pPr>
        <w:pStyle w:val="Paragraphe"/>
        <w:numPr>
          <w:ilvl w:val="0"/>
          <w:numId w:val="7"/>
        </w:numPr>
        <w:spacing w:line="240" w:lineRule="auto"/>
        <w:ind w:left="1077" w:hanging="357"/>
        <w:rPr>
          <w:lang w:val="en-CA"/>
        </w:rPr>
      </w:pPr>
      <w:bookmarkStart w:id="47" w:name="_Hlk187763855"/>
      <w:r w:rsidRPr="000A0EA1">
        <w:rPr>
          <w:lang w:val="en-CA"/>
        </w:rPr>
        <w:t>Did he err in his choice of remedies?</w:t>
      </w:r>
      <w:bookmarkEnd w:id="47"/>
    </w:p>
    <w:p w14:paraId="17F5F2B5" w14:textId="6EE77CF0" w:rsidR="00F75613" w:rsidRPr="000A0EA1" w:rsidRDefault="00B02E00" w:rsidP="00B255B8">
      <w:pPr>
        <w:pStyle w:val="Paragraphe"/>
        <w:spacing w:line="240" w:lineRule="auto"/>
        <w:rPr>
          <w:lang w:val="en-CA"/>
        </w:rPr>
      </w:pPr>
      <w:r w:rsidRPr="000A0EA1">
        <w:rPr>
          <w:lang w:val="en-CA"/>
        </w:rPr>
        <w:t xml:space="preserve">In short, the AGQ argues that the trial judge gave </w:t>
      </w:r>
      <w:r w:rsidR="0062160E">
        <w:rPr>
          <w:lang w:val="en-CA"/>
        </w:rPr>
        <w:t>s. 2</w:t>
      </w:r>
      <w:r w:rsidRPr="000A0EA1">
        <w:rPr>
          <w:lang w:val="en-CA"/>
        </w:rPr>
        <w:t xml:space="preserve">3 of the </w:t>
      </w:r>
      <w:r w:rsidRPr="000A0EA1">
        <w:rPr>
          <w:i/>
          <w:iCs/>
          <w:lang w:val="en-CA"/>
        </w:rPr>
        <w:t xml:space="preserve">Charter </w:t>
      </w:r>
      <w:r w:rsidRPr="000A0EA1">
        <w:rPr>
          <w:lang w:val="en-CA"/>
        </w:rPr>
        <w:t xml:space="preserve">a scope that is not supported by the text of the provision, by the historical context in which it was enacted, or by the case law. He argues that the judge also erred in concluding that </w:t>
      </w:r>
      <w:r w:rsidR="0062160E">
        <w:rPr>
          <w:lang w:val="en-CA"/>
        </w:rPr>
        <w:t>s. 2</w:t>
      </w:r>
      <w:r w:rsidRPr="000A0EA1">
        <w:rPr>
          <w:lang w:val="en-CA"/>
        </w:rPr>
        <w:t>3 requires the state to consult members of the linguistic minority as part of the law-making process. Finally, in the AGQ</w:t>
      </w:r>
      <w:r w:rsidR="00E46AFD">
        <w:rPr>
          <w:lang w:val="en-CA"/>
        </w:rPr>
        <w:t>’</w:t>
      </w:r>
      <w:r w:rsidRPr="000A0EA1">
        <w:rPr>
          <w:lang w:val="en-CA"/>
        </w:rPr>
        <w:t>s view, the judge erred in ordering a suspension of constitutionally valid legislative provisions and in deciding to retain jurisdiction over the case.</w:t>
      </w:r>
    </w:p>
    <w:p w14:paraId="17F5F2B6" w14:textId="7350D69E" w:rsidR="00F75613" w:rsidRPr="000A0EA1" w:rsidRDefault="00B02E00" w:rsidP="00B255B8">
      <w:pPr>
        <w:pStyle w:val="Paragraphe"/>
        <w:spacing w:line="240" w:lineRule="auto"/>
        <w:rPr>
          <w:lang w:val="en-CA"/>
        </w:rPr>
      </w:pPr>
      <w:r w:rsidRPr="000A0EA1">
        <w:rPr>
          <w:lang w:val="en-CA"/>
        </w:rPr>
        <w:t xml:space="preserve">Two preliminary issues underlying the entire dispute must also be addressed. The parties dealt with them extensively in their briefs and at the hearing before the Court, but never identified them </w:t>
      </w:r>
      <w:r w:rsidR="00CE405E">
        <w:rPr>
          <w:lang w:val="en-CA"/>
        </w:rPr>
        <w:t>as independent issues</w:t>
      </w:r>
      <w:r w:rsidRPr="000A0EA1">
        <w:rPr>
          <w:lang w:val="en-CA"/>
        </w:rPr>
        <w:t xml:space="preserve">. They are as follows: (1) what is the scope of the management and control rights </w:t>
      </w:r>
      <w:r w:rsidR="00873265">
        <w:rPr>
          <w:lang w:val="en-CA"/>
        </w:rPr>
        <w:t xml:space="preserve">of the linguistic minority </w:t>
      </w:r>
      <w:r w:rsidRPr="000A0EA1">
        <w:rPr>
          <w:lang w:val="en-CA"/>
        </w:rPr>
        <w:t>over</w:t>
      </w:r>
      <w:r w:rsidR="00873265">
        <w:rPr>
          <w:lang w:val="en-CA"/>
        </w:rPr>
        <w:t xml:space="preserve"> their</w:t>
      </w:r>
      <w:r w:rsidRPr="000A0EA1">
        <w:rPr>
          <w:lang w:val="en-CA"/>
        </w:rPr>
        <w:t xml:space="preserve"> educational facilities; and (2) who exercise</w:t>
      </w:r>
      <w:r w:rsidR="007C7832">
        <w:rPr>
          <w:lang w:val="en-CA"/>
        </w:rPr>
        <w:t>s</w:t>
      </w:r>
      <w:r w:rsidRPr="000A0EA1">
        <w:rPr>
          <w:lang w:val="en-CA"/>
        </w:rPr>
        <w:t xml:space="preserve"> th</w:t>
      </w:r>
      <w:r w:rsidR="007C7832">
        <w:rPr>
          <w:lang w:val="en-CA"/>
        </w:rPr>
        <w:t>e</w:t>
      </w:r>
      <w:r w:rsidRPr="000A0EA1">
        <w:rPr>
          <w:lang w:val="en-CA"/>
        </w:rPr>
        <w:t>se rights?</w:t>
      </w:r>
    </w:p>
    <w:p w14:paraId="17F5F2B7" w14:textId="221A0D5B" w:rsidR="00F75613" w:rsidRPr="000A0EA1" w:rsidRDefault="00B02E00" w:rsidP="00B255B8">
      <w:pPr>
        <w:pStyle w:val="Paragraphe"/>
        <w:spacing w:line="240" w:lineRule="auto"/>
        <w:rPr>
          <w:lang w:val="en-CA"/>
        </w:rPr>
      </w:pPr>
      <w:r w:rsidRPr="000A0EA1">
        <w:rPr>
          <w:lang w:val="en-CA"/>
        </w:rPr>
        <w:t>In our view, these are fundamental issues raised by the present appeal. Indeed, they have an impact on most of the parties</w:t>
      </w:r>
      <w:r w:rsidR="00E46AFD">
        <w:rPr>
          <w:lang w:val="en-CA"/>
        </w:rPr>
        <w:t>’</w:t>
      </w:r>
      <w:r w:rsidRPr="000A0EA1">
        <w:rPr>
          <w:lang w:val="en-CA"/>
        </w:rPr>
        <w:t xml:space="preserve"> other grounds. As the AGQ notes in </w:t>
      </w:r>
      <w:r w:rsidR="00252333">
        <w:rPr>
          <w:lang w:val="en-CA"/>
        </w:rPr>
        <w:t xml:space="preserve">his </w:t>
      </w:r>
      <w:r w:rsidRPr="000A0EA1">
        <w:rPr>
          <w:lang w:val="en-CA"/>
        </w:rPr>
        <w:t>brief,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 xml:space="preserve">[t]he resolution of this case rests largely on determining the nature and scope of the rights conferred by </w:t>
      </w:r>
      <w:r w:rsidR="0062160E">
        <w:rPr>
          <w:lang w:val="en-CA"/>
        </w:rPr>
        <w:t>s. 2</w:t>
      </w:r>
      <w:r w:rsidRPr="000A0EA1">
        <w:rPr>
          <w:lang w:val="en-CA"/>
        </w:rPr>
        <w:t>3</w:t>
      </w:r>
      <w:r w:rsidR="00E46AFD">
        <w:rPr>
          <w:lang w:val="en-CA"/>
        </w:rPr>
        <w:t>”</w:t>
      </w:r>
      <w:r w:rsidRPr="000A0EA1">
        <w:rPr>
          <w:lang w:val="en-CA"/>
        </w:rPr>
        <w:t>.</w:t>
      </w:r>
      <w:r w:rsidRPr="000A0EA1">
        <w:rPr>
          <w:rStyle w:val="Appelnotedebasdep"/>
          <w:lang w:val="en-CA"/>
        </w:rPr>
        <w:footnoteReference w:id="114"/>
      </w:r>
      <w:r w:rsidRPr="000A0EA1">
        <w:rPr>
          <w:lang w:val="en-CA"/>
        </w:rPr>
        <w:t xml:space="preserve"> In the present matter, this is mainly a matter of defining the rights conferred by or arising under </w:t>
      </w:r>
      <w:r w:rsidR="0062160E">
        <w:rPr>
          <w:lang w:val="en-CA"/>
        </w:rPr>
        <w:t>s. 2</w:t>
      </w:r>
      <w:r w:rsidRPr="000A0EA1">
        <w:rPr>
          <w:lang w:val="en-CA"/>
        </w:rPr>
        <w:t>3(3)(</w:t>
      </w:r>
      <w:r w:rsidRPr="000A0EA1">
        <w:rPr>
          <w:i/>
          <w:iCs/>
          <w:lang w:val="en-CA"/>
        </w:rPr>
        <w:t>b</w:t>
      </w:r>
      <w:r w:rsidRPr="000A0EA1">
        <w:rPr>
          <w:lang w:val="en-CA"/>
        </w:rPr>
        <w:t>).</w:t>
      </w:r>
    </w:p>
    <w:p w14:paraId="17F5F2B8" w14:textId="77777777" w:rsidR="00F75613" w:rsidRPr="000A0EA1" w:rsidRDefault="00B02E00" w:rsidP="00B255B8">
      <w:pPr>
        <w:pStyle w:val="Paragraphe"/>
        <w:numPr>
          <w:ilvl w:val="0"/>
          <w:numId w:val="0"/>
        </w:numPr>
        <w:spacing w:line="240" w:lineRule="auto"/>
        <w:rPr>
          <w:b/>
          <w:bCs/>
          <w:u w:val="single"/>
          <w:lang w:val="en-CA"/>
        </w:rPr>
      </w:pPr>
      <w:r w:rsidRPr="000A0EA1">
        <w:rPr>
          <w:b/>
          <w:bCs/>
          <w:u w:val="single"/>
          <w:lang w:val="en-CA"/>
        </w:rPr>
        <w:lastRenderedPageBreak/>
        <w:t>ANALYSIS</w:t>
      </w:r>
    </w:p>
    <w:p w14:paraId="17F5F2B9" w14:textId="76C2198D" w:rsidR="00F75613" w:rsidRPr="000A0EA1" w:rsidRDefault="00B02E00" w:rsidP="00B255B8">
      <w:pPr>
        <w:pStyle w:val="Paragraphe"/>
        <w:numPr>
          <w:ilvl w:val="0"/>
          <w:numId w:val="0"/>
        </w:numPr>
        <w:spacing w:line="240" w:lineRule="auto"/>
        <w:rPr>
          <w:b/>
          <w:bCs/>
          <w:u w:val="single"/>
          <w:lang w:val="en-CA"/>
        </w:rPr>
      </w:pPr>
      <w:r w:rsidRPr="000A0EA1">
        <w:rPr>
          <w:b/>
          <w:bCs/>
          <w:u w:val="single"/>
          <w:lang w:val="en-CA"/>
        </w:rPr>
        <w:t>The preliminary underlying issues: What is the scope of the management and control rights over minority</w:t>
      </w:r>
      <w:r w:rsidR="006932D8">
        <w:rPr>
          <w:b/>
          <w:bCs/>
          <w:u w:val="single"/>
          <w:lang w:val="en-CA"/>
        </w:rPr>
        <w:t xml:space="preserve"> </w:t>
      </w:r>
      <w:r w:rsidRPr="000A0EA1">
        <w:rPr>
          <w:b/>
          <w:bCs/>
          <w:u w:val="single"/>
          <w:lang w:val="en-CA"/>
        </w:rPr>
        <w:t>language educational facilities and who exercises these management and control rights?</w:t>
      </w:r>
    </w:p>
    <w:p w14:paraId="17F5F2BA" w14:textId="5C11CAF2" w:rsidR="00F75613" w:rsidRPr="000A0EA1" w:rsidRDefault="00B02E00" w:rsidP="00B255B8">
      <w:pPr>
        <w:pStyle w:val="Paragraphe"/>
        <w:numPr>
          <w:ilvl w:val="0"/>
          <w:numId w:val="11"/>
        </w:numPr>
        <w:spacing w:line="240" w:lineRule="auto"/>
        <w:rPr>
          <w:i/>
          <w:iCs/>
          <w:u w:val="single"/>
          <w:lang w:val="en-CA"/>
        </w:rPr>
      </w:pPr>
      <w:r w:rsidRPr="000A0EA1">
        <w:rPr>
          <w:i/>
          <w:iCs/>
          <w:u w:val="single"/>
          <w:lang w:val="en-CA"/>
        </w:rPr>
        <w:t>The parties</w:t>
      </w:r>
      <w:r w:rsidR="00E46AFD">
        <w:rPr>
          <w:i/>
          <w:iCs/>
          <w:u w:val="single"/>
          <w:lang w:val="en-CA"/>
        </w:rPr>
        <w:t>’</w:t>
      </w:r>
      <w:r w:rsidRPr="000A0EA1">
        <w:rPr>
          <w:i/>
          <w:iCs/>
          <w:u w:val="single"/>
          <w:lang w:val="en-CA"/>
        </w:rPr>
        <w:t xml:space="preserve"> positions</w:t>
      </w:r>
    </w:p>
    <w:p w14:paraId="17F5F2BB" w14:textId="77777777" w:rsidR="00F75613" w:rsidRPr="000A0EA1" w:rsidRDefault="00B02E00" w:rsidP="00B255B8">
      <w:pPr>
        <w:pStyle w:val="Paragraphe"/>
        <w:numPr>
          <w:ilvl w:val="0"/>
          <w:numId w:val="0"/>
        </w:numPr>
        <w:spacing w:line="240" w:lineRule="auto"/>
        <w:ind w:left="2160"/>
        <w:rPr>
          <w:u w:val="single"/>
          <w:lang w:val="en-CA"/>
        </w:rPr>
      </w:pPr>
      <w:r w:rsidRPr="000A0EA1">
        <w:rPr>
          <w:u w:val="single"/>
          <w:lang w:val="en-CA"/>
        </w:rPr>
        <w:t>The AGQ</w:t>
      </w:r>
    </w:p>
    <w:p w14:paraId="17F5F2BC" w14:textId="56822758" w:rsidR="00F75613" w:rsidRPr="000A0EA1" w:rsidRDefault="00B02E00" w:rsidP="00B255B8">
      <w:pPr>
        <w:pStyle w:val="Paragraphe"/>
        <w:spacing w:line="240" w:lineRule="auto"/>
        <w:rPr>
          <w:lang w:val="en-CA"/>
        </w:rPr>
      </w:pPr>
      <w:r w:rsidRPr="000A0EA1">
        <w:rPr>
          <w:lang w:val="en-CA"/>
        </w:rPr>
        <w:t xml:space="preserve">Generally speaking, the AGQ argues that the judge erred in focusing his analysis on school democracy and its structures, a consideration that is foreign to </w:t>
      </w:r>
      <w:r w:rsidR="0062160E">
        <w:rPr>
          <w:lang w:val="en-CA"/>
        </w:rPr>
        <w:t>s. 2</w:t>
      </w:r>
      <w:r w:rsidRPr="000A0EA1">
        <w:rPr>
          <w:lang w:val="en-CA"/>
        </w:rPr>
        <w:t xml:space="preserve">3 of the </w:t>
      </w:r>
      <w:r w:rsidRPr="000A0EA1">
        <w:rPr>
          <w:i/>
          <w:iCs/>
          <w:lang w:val="en-CA"/>
        </w:rPr>
        <w:t>Charter</w:t>
      </w:r>
      <w:r w:rsidRPr="000A0EA1">
        <w:rPr>
          <w:lang w:val="en-CA"/>
        </w:rPr>
        <w:t>, and in failing to consider the overall characteristics of the system put in place, which favours not only the direct participation of parents in the management and control of minority educational facilities, but also the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 xml:space="preserve">ability for the </w:t>
      </w:r>
      <w:r w:rsidR="00312FD9">
        <w:rPr>
          <w:lang w:val="en-CA"/>
        </w:rPr>
        <w:t>English</w:t>
      </w:r>
      <w:r w:rsidR="00312FD9">
        <w:rPr>
          <w:lang w:val="en-CA"/>
        </w:rPr>
        <w:noBreakHyphen/>
        <w:t>speaking</w:t>
      </w:r>
      <w:r w:rsidRPr="000A0EA1">
        <w:rPr>
          <w:lang w:val="en-CA"/>
        </w:rPr>
        <w:t xml:space="preserve"> minority to make decisions concerning school administration, and to do so without the influence of actors likely not to be attentive to [its] linguistic and cultural concerns</w:t>
      </w:r>
      <w:r w:rsidR="00E46AFD">
        <w:rPr>
          <w:lang w:val="en-CA"/>
        </w:rPr>
        <w:t>”</w:t>
      </w:r>
      <w:r w:rsidRPr="000A0EA1">
        <w:rPr>
          <w:lang w:val="en-CA"/>
        </w:rPr>
        <w:t>.</w:t>
      </w:r>
      <w:r w:rsidRPr="000A0EA1">
        <w:rPr>
          <w:rStyle w:val="Appelnotedebasdep"/>
          <w:lang w:val="en-CA"/>
        </w:rPr>
        <w:footnoteReference w:id="115"/>
      </w:r>
    </w:p>
    <w:p w14:paraId="17F5F2BD" w14:textId="47229401" w:rsidR="00F75613" w:rsidRPr="000A0EA1" w:rsidRDefault="00B02E00" w:rsidP="00B255B8">
      <w:pPr>
        <w:pStyle w:val="Paragraphe"/>
        <w:spacing w:line="240" w:lineRule="auto"/>
        <w:rPr>
          <w:lang w:val="en-CA"/>
        </w:rPr>
      </w:pPr>
      <w:r w:rsidRPr="000A0EA1">
        <w:rPr>
          <w:lang w:val="en-CA"/>
        </w:rPr>
        <w:t xml:space="preserve">In presenting his argument, the AGQ maintains that </w:t>
      </w:r>
      <w:r w:rsidR="0062160E">
        <w:rPr>
          <w:lang w:val="en-CA"/>
        </w:rPr>
        <w:t>s. 2</w:t>
      </w:r>
      <w:r w:rsidRPr="000A0EA1">
        <w:rPr>
          <w:lang w:val="en-CA"/>
        </w:rPr>
        <w:t xml:space="preserve">3 of the </w:t>
      </w:r>
      <w:r w:rsidRPr="000A0EA1">
        <w:rPr>
          <w:i/>
          <w:iCs/>
          <w:lang w:val="en-CA"/>
        </w:rPr>
        <w:t>Charter</w:t>
      </w:r>
      <w:r w:rsidRPr="000A0EA1">
        <w:rPr>
          <w:lang w:val="en-CA"/>
        </w:rPr>
        <w:t xml:space="preserve"> does not grant a linguistic community rights of a political nature, including the right to elections.</w:t>
      </w:r>
      <w:r w:rsidRPr="000A0EA1">
        <w:rPr>
          <w:vertAlign w:val="superscript"/>
          <w:lang w:val="en-CA"/>
        </w:rPr>
        <w:footnoteReference w:id="116"/>
      </w:r>
      <w:r w:rsidRPr="000A0EA1">
        <w:rPr>
          <w:lang w:val="en-CA"/>
        </w:rPr>
        <w:t xml:space="preserve"> Rather, </w:t>
      </w:r>
      <w:r w:rsidR="0062160E">
        <w:rPr>
          <w:lang w:val="en-CA"/>
        </w:rPr>
        <w:t>s. 2</w:t>
      </w:r>
      <w:r w:rsidRPr="000A0EA1">
        <w:rPr>
          <w:lang w:val="en-CA"/>
        </w:rPr>
        <w:t>3 enshrines an individual right for Canadian citizens identified in s</w:t>
      </w:r>
      <w:r w:rsidR="0062160E">
        <w:rPr>
          <w:lang w:val="en-CA"/>
        </w:rPr>
        <w:t>s. 2</w:t>
      </w:r>
      <w:r w:rsidRPr="000A0EA1">
        <w:rPr>
          <w:lang w:val="en-CA"/>
        </w:rPr>
        <w:t>3(1) and (2)</w:t>
      </w:r>
      <w:r w:rsidRPr="000A0EA1">
        <w:rPr>
          <w:i/>
          <w:iCs/>
          <w:lang w:val="en-CA"/>
        </w:rPr>
        <w:t xml:space="preserve"> </w:t>
      </w:r>
      <w:r w:rsidRPr="000A0EA1">
        <w:rPr>
          <w:lang w:val="en-CA"/>
        </w:rPr>
        <w:t>to have their children receive school instruction in the language of the linguistic minority population of a province.</w:t>
      </w:r>
      <w:r w:rsidRPr="000A0EA1">
        <w:rPr>
          <w:rStyle w:val="Appelnotedebasdep"/>
          <w:lang w:val="en-CA"/>
        </w:rPr>
        <w:footnoteReference w:id="117"/>
      </w:r>
      <w:r w:rsidRPr="000A0EA1">
        <w:rPr>
          <w:lang w:val="en-CA"/>
        </w:rPr>
        <w:t xml:space="preserve"> As for </w:t>
      </w:r>
      <w:r w:rsidR="0062160E">
        <w:rPr>
          <w:lang w:val="en-CA"/>
        </w:rPr>
        <w:t>s. 2</w:t>
      </w:r>
      <w:r w:rsidRPr="000A0EA1">
        <w:rPr>
          <w:lang w:val="en-CA"/>
        </w:rPr>
        <w:t>3(3), it merely clarifies the rights conferred by s</w:t>
      </w:r>
      <w:r w:rsidR="0062160E">
        <w:rPr>
          <w:lang w:val="en-CA"/>
        </w:rPr>
        <w:t>s. 2</w:t>
      </w:r>
      <w:r w:rsidRPr="000A0EA1">
        <w:rPr>
          <w:lang w:val="en-CA"/>
        </w:rPr>
        <w:t>3(1) and (2) by stipulating that the individual right of parents to benefit from the guarantees set out therein is conditioned by a collective factor – namely, that the number of children concerned warrants it.</w:t>
      </w:r>
      <w:r w:rsidRPr="000A0EA1">
        <w:rPr>
          <w:rStyle w:val="Appelnotedebasdep"/>
          <w:lang w:val="en-CA"/>
        </w:rPr>
        <w:footnoteReference w:id="118"/>
      </w:r>
      <w:r w:rsidRPr="000A0EA1">
        <w:rPr>
          <w:lang w:val="en-CA"/>
        </w:rPr>
        <w:t xml:space="preserve"> Thus, </w:t>
      </w:r>
      <w:r w:rsidR="0062160E">
        <w:rPr>
          <w:lang w:val="en-CA"/>
        </w:rPr>
        <w:t>s. 2</w:t>
      </w:r>
      <w:r w:rsidRPr="000A0EA1">
        <w:rPr>
          <w:lang w:val="en-CA"/>
        </w:rPr>
        <w:t>3 does not require the creation of representative political systems for each minority language community in Canada.</w:t>
      </w:r>
      <w:r w:rsidRPr="000A0EA1">
        <w:rPr>
          <w:rStyle w:val="Appelnotedebasdep"/>
          <w:lang w:val="en-CA"/>
        </w:rPr>
        <w:footnoteReference w:id="119"/>
      </w:r>
    </w:p>
    <w:p w14:paraId="17F5F2BE" w14:textId="735DBE49" w:rsidR="00F75613" w:rsidRPr="000A0EA1" w:rsidRDefault="00B02E00" w:rsidP="00B255B8">
      <w:pPr>
        <w:pStyle w:val="Paragraphe"/>
        <w:spacing w:line="240" w:lineRule="auto"/>
        <w:rPr>
          <w:lang w:val="en-CA"/>
        </w:rPr>
      </w:pPr>
      <w:r w:rsidRPr="000A0EA1">
        <w:rPr>
          <w:lang w:val="en-CA"/>
        </w:rPr>
        <w:t xml:space="preserve">The AGQ submits that the rights conferred by </w:t>
      </w:r>
      <w:r w:rsidR="0062160E">
        <w:rPr>
          <w:lang w:val="en-CA"/>
        </w:rPr>
        <w:t>s. 2</w:t>
      </w:r>
      <w:r w:rsidRPr="000A0EA1">
        <w:rPr>
          <w:lang w:val="en-CA"/>
        </w:rPr>
        <w:t>3(3)(</w:t>
      </w:r>
      <w:r w:rsidRPr="000A0EA1">
        <w:rPr>
          <w:i/>
          <w:iCs/>
          <w:lang w:val="en-CA"/>
        </w:rPr>
        <w:t>b</w:t>
      </w:r>
      <w:r w:rsidRPr="000A0EA1">
        <w:rPr>
          <w:lang w:val="en-CA"/>
        </w:rPr>
        <w:t>) are therefore essentially individual rights granted to parents and not collective rights granted to the linguistic minority as a whole.</w:t>
      </w:r>
      <w:r w:rsidRPr="000A0EA1">
        <w:rPr>
          <w:vertAlign w:val="superscript"/>
          <w:lang w:val="en-CA"/>
        </w:rPr>
        <w:footnoteReference w:id="120"/>
      </w:r>
      <w:r w:rsidRPr="000A0EA1">
        <w:rPr>
          <w:lang w:val="en-CA"/>
        </w:rPr>
        <w:t xml:space="preserve"> After providing a historical analysis of the </w:t>
      </w:r>
      <w:r w:rsidR="008B5F97">
        <w:rPr>
          <w:lang w:val="en-CA"/>
        </w:rPr>
        <w:t>inclusion</w:t>
      </w:r>
      <w:r w:rsidRPr="000A0EA1">
        <w:rPr>
          <w:lang w:val="en-CA"/>
        </w:rPr>
        <w:t xml:space="preserve"> of </w:t>
      </w:r>
      <w:r w:rsidR="0062160E">
        <w:rPr>
          <w:lang w:val="en-CA"/>
        </w:rPr>
        <w:t>s. 2</w:t>
      </w:r>
      <w:r w:rsidRPr="000A0EA1">
        <w:rPr>
          <w:lang w:val="en-CA"/>
        </w:rPr>
        <w:t xml:space="preserve">3 </w:t>
      </w:r>
      <w:r w:rsidR="00B534EC">
        <w:rPr>
          <w:lang w:val="en-CA"/>
        </w:rPr>
        <w:t>in</w:t>
      </w:r>
      <w:r w:rsidRPr="000A0EA1">
        <w:rPr>
          <w:lang w:val="en-CA"/>
        </w:rPr>
        <w:t xml:space="preserve"> the </w:t>
      </w:r>
      <w:r w:rsidRPr="000A0EA1">
        <w:rPr>
          <w:i/>
          <w:iCs/>
          <w:lang w:val="en-CA"/>
        </w:rPr>
        <w:t>Charter</w:t>
      </w:r>
      <w:r w:rsidRPr="000A0EA1">
        <w:rPr>
          <w:lang w:val="en-CA"/>
        </w:rPr>
        <w:t>, the AGQ argues that the purpose was to protect Canada</w:t>
      </w:r>
      <w:r w:rsidR="00E46AFD">
        <w:rPr>
          <w:lang w:val="en-CA"/>
        </w:rPr>
        <w:t>’</w:t>
      </w:r>
      <w:r w:rsidRPr="000A0EA1">
        <w:rPr>
          <w:lang w:val="en-CA"/>
        </w:rPr>
        <w:t>s official linguistic minorities, particularly Francophones outside Quebec, while preserving the provinces</w:t>
      </w:r>
      <w:r w:rsidR="00E46AFD">
        <w:rPr>
          <w:lang w:val="en-CA"/>
        </w:rPr>
        <w:t>’</w:t>
      </w:r>
      <w:r w:rsidRPr="000A0EA1">
        <w:rPr>
          <w:lang w:val="en-CA"/>
        </w:rPr>
        <w:t xml:space="preserve"> exclusive powers over education by leaving them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free to determine the means for satisfying their constitutional obligations</w:t>
      </w:r>
      <w:r w:rsidR="00E46AFD">
        <w:rPr>
          <w:lang w:val="en-CA"/>
        </w:rPr>
        <w:t>”</w:t>
      </w:r>
      <w:r w:rsidRPr="000A0EA1">
        <w:rPr>
          <w:lang w:val="en-CA"/>
        </w:rPr>
        <w:t>.</w:t>
      </w:r>
      <w:r w:rsidRPr="000A0EA1">
        <w:rPr>
          <w:vertAlign w:val="superscript"/>
          <w:lang w:val="en-CA"/>
        </w:rPr>
        <w:footnoteReference w:id="121"/>
      </w:r>
    </w:p>
    <w:p w14:paraId="17F5F2BF" w14:textId="7BCB84B6" w:rsidR="00F75613" w:rsidRPr="000A0EA1" w:rsidRDefault="007B19F5" w:rsidP="00B255B8">
      <w:pPr>
        <w:pStyle w:val="Paragraphe"/>
        <w:spacing w:line="240" w:lineRule="auto"/>
        <w:rPr>
          <w:lang w:val="en-CA"/>
        </w:rPr>
      </w:pPr>
      <w:r>
        <w:rPr>
          <w:lang w:val="en-CA"/>
        </w:rPr>
        <w:lastRenderedPageBreak/>
        <w:t>The AGQ argues that w</w:t>
      </w:r>
      <w:r w:rsidR="00B02E00" w:rsidRPr="000A0EA1">
        <w:rPr>
          <w:lang w:val="en-CA"/>
        </w:rPr>
        <w:t xml:space="preserve">hile it is true that the Supreme Court of Canada has recognized the existence of a certain measure of management and control in favour of the linguistic minority through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of the </w:t>
      </w:r>
      <w:r w:rsidR="00B02E00" w:rsidRPr="000A0EA1">
        <w:rPr>
          <w:i/>
          <w:iCs/>
          <w:lang w:val="en-CA"/>
        </w:rPr>
        <w:t>Charter</w:t>
      </w:r>
      <w:r w:rsidR="00B02E00" w:rsidRPr="000A0EA1">
        <w:rPr>
          <w:lang w:val="en-CA"/>
        </w:rPr>
        <w:t xml:space="preserve">, </w:t>
      </w:r>
      <w:r w:rsidR="00DC78E4">
        <w:rPr>
          <w:lang w:val="en-CA"/>
        </w:rPr>
        <w:t xml:space="preserve">such </w:t>
      </w:r>
      <w:r w:rsidR="00A02009">
        <w:rPr>
          <w:lang w:val="en-CA"/>
        </w:rPr>
        <w:t>management and control</w:t>
      </w:r>
      <w:r w:rsidR="00B02E00" w:rsidRPr="000A0EA1">
        <w:rPr>
          <w:lang w:val="en-CA"/>
        </w:rPr>
        <w:t xml:space="preserve"> are connected and limited to aspects of education affecting language and culture.</w:t>
      </w:r>
      <w:r w:rsidR="00B02E00" w:rsidRPr="000A0EA1">
        <w:rPr>
          <w:rStyle w:val="Appelnotedebasdep"/>
          <w:lang w:val="en-CA"/>
        </w:rPr>
        <w:footnoteReference w:id="122"/>
      </w:r>
      <w:r w:rsidR="00B02E00" w:rsidRPr="000A0EA1">
        <w:rPr>
          <w:lang w:val="en-CA"/>
        </w:rPr>
        <w:t xml:space="preserve"> Moreover, such management and control fall within the purview of the parents of pupils receiving minority language education, and are not exercised according to established and guaranteed procedures.</w:t>
      </w:r>
      <w:r w:rsidR="00B02E00" w:rsidRPr="000A0EA1">
        <w:rPr>
          <w:rStyle w:val="Appelnotedebasdep"/>
          <w:lang w:val="en-CA"/>
        </w:rPr>
        <w:footnoteReference w:id="123"/>
      </w:r>
      <w:r w:rsidR="00B02E00" w:rsidRPr="000A0EA1">
        <w:rPr>
          <w:lang w:val="en-CA"/>
        </w:rPr>
        <w:t xml:space="preserve"> The judge was therefore mistaken in concluding that the purpose of </w:t>
      </w:r>
      <w:r w:rsidR="0062160E">
        <w:rPr>
          <w:lang w:val="en-CA"/>
        </w:rPr>
        <w:t>s. 2</w:t>
      </w:r>
      <w:r w:rsidR="00B02E00" w:rsidRPr="000A0EA1">
        <w:rPr>
          <w:lang w:val="en-CA"/>
        </w:rPr>
        <w:t xml:space="preserve">3 is to protect linguistic minorities from the decisions of the majority and prevent the erosion of the rights acquired over the centuries by </w:t>
      </w:r>
      <w:r w:rsidR="00312FD9">
        <w:rPr>
          <w:lang w:val="en-CA"/>
        </w:rPr>
        <w:t>English</w:t>
      </w:r>
      <w:r w:rsidR="00312FD9">
        <w:rPr>
          <w:lang w:val="en-CA"/>
        </w:rPr>
        <w:noBreakHyphen/>
        <w:t>speaking</w:t>
      </w:r>
      <w:r w:rsidR="00B02E00" w:rsidRPr="000A0EA1">
        <w:rPr>
          <w:lang w:val="en-CA"/>
        </w:rPr>
        <w:t xml:space="preserve"> Quebeckers to the management and control of their educational institutions on the basis of a specific model.</w:t>
      </w:r>
      <w:r w:rsidR="00B02E00" w:rsidRPr="000A0EA1">
        <w:rPr>
          <w:vertAlign w:val="superscript"/>
          <w:lang w:val="en-CA"/>
        </w:rPr>
        <w:footnoteReference w:id="124"/>
      </w:r>
    </w:p>
    <w:p w14:paraId="17F5F2C0" w14:textId="0A8F40E6" w:rsidR="00F75613" w:rsidRPr="000A0EA1" w:rsidRDefault="00B02E00" w:rsidP="00B255B8">
      <w:pPr>
        <w:pStyle w:val="Paragraphe"/>
        <w:spacing w:line="240" w:lineRule="auto"/>
        <w:rPr>
          <w:lang w:val="en-CA"/>
        </w:rPr>
      </w:pPr>
      <w:r w:rsidRPr="000A0EA1">
        <w:rPr>
          <w:lang w:val="en-CA"/>
        </w:rPr>
        <w:t xml:space="preserve">As for </w:t>
      </w:r>
      <w:r w:rsidR="0062160E">
        <w:rPr>
          <w:lang w:val="en-CA"/>
        </w:rPr>
        <w:t>s. 9</w:t>
      </w:r>
      <w:r w:rsidRPr="000A0EA1">
        <w:rPr>
          <w:lang w:val="en-CA"/>
        </w:rPr>
        <w:t xml:space="preserve">3 of the </w:t>
      </w:r>
      <w:r w:rsidRPr="000A0EA1">
        <w:rPr>
          <w:i/>
          <w:iCs/>
          <w:lang w:val="en-CA"/>
        </w:rPr>
        <w:t>Constitution Act, 1867</w:t>
      </w:r>
      <w:r w:rsidRPr="000A0EA1">
        <w:rPr>
          <w:lang w:val="en-CA"/>
        </w:rPr>
        <w:t xml:space="preserve">, the AGQ is of the view that it is not relevant to the debate because the rights conferred therein are aimed at religious minorities, not linguistic minorities, and in any event, these rights do not protect a particular structure of school governance, including school elections. Moreover, according to the AGQ, </w:t>
      </w:r>
      <w:r w:rsidR="00AE16C1">
        <w:rPr>
          <w:lang w:val="en-CA"/>
        </w:rPr>
        <w:t xml:space="preserve">the government of </w:t>
      </w:r>
      <w:r w:rsidRPr="000A0EA1">
        <w:rPr>
          <w:lang w:val="en-CA"/>
        </w:rPr>
        <w:t>Quebec made no commitment to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community at the time of the </w:t>
      </w:r>
      <w:bookmarkStart w:id="48" w:name="_Hlk187323444"/>
      <w:r w:rsidRPr="000A0EA1">
        <w:rPr>
          <w:i/>
          <w:iCs/>
          <w:lang w:val="en-CA"/>
        </w:rPr>
        <w:t>Constitution Amendment,</w:t>
      </w:r>
      <w:r w:rsidR="00F94843">
        <w:rPr>
          <w:i/>
          <w:iCs/>
          <w:lang w:val="en-CA"/>
        </w:rPr>
        <w:t> </w:t>
      </w:r>
      <w:r w:rsidRPr="000A0EA1">
        <w:rPr>
          <w:i/>
          <w:iCs/>
          <w:lang w:val="en-CA"/>
        </w:rPr>
        <w:t>1997</w:t>
      </w:r>
      <w:r w:rsidR="00F94843">
        <w:rPr>
          <w:i/>
          <w:iCs/>
          <w:lang w:val="en-CA"/>
        </w:rPr>
        <w:t> </w:t>
      </w:r>
      <w:r w:rsidRPr="000A0EA1">
        <w:rPr>
          <w:i/>
          <w:iCs/>
          <w:lang w:val="en-CA"/>
        </w:rPr>
        <w:t>(Quebec)</w:t>
      </w:r>
      <w:r w:rsidRPr="000A0EA1">
        <w:rPr>
          <w:lang w:val="en-CA"/>
        </w:rPr>
        <w:t>,</w:t>
      </w:r>
      <w:bookmarkEnd w:id="48"/>
      <w:r w:rsidRPr="000A0EA1">
        <w:rPr>
          <w:lang w:val="en-CA"/>
        </w:rPr>
        <w:t xml:space="preserve"> which renders paragraphs (1) to (4) of </w:t>
      </w:r>
      <w:r w:rsidR="0062160E">
        <w:rPr>
          <w:lang w:val="en-CA"/>
        </w:rPr>
        <w:t>s. 9</w:t>
      </w:r>
      <w:r w:rsidRPr="000A0EA1">
        <w:rPr>
          <w:lang w:val="en-CA"/>
        </w:rPr>
        <w:t xml:space="preserve">3 of the </w:t>
      </w:r>
      <w:r w:rsidRPr="000A0EA1">
        <w:rPr>
          <w:i/>
          <w:iCs/>
          <w:lang w:val="en-CA"/>
        </w:rPr>
        <w:t>Constitution Act, 1867</w:t>
      </w:r>
      <w:r w:rsidRPr="000A0EA1">
        <w:rPr>
          <w:lang w:val="en-CA"/>
        </w:rPr>
        <w:t xml:space="preserve"> inapplicable to Quebec.</w:t>
      </w:r>
      <w:r w:rsidRPr="000A0EA1">
        <w:rPr>
          <w:rStyle w:val="Appelnotedebasdep"/>
          <w:lang w:val="en-CA"/>
        </w:rPr>
        <w:footnoteReference w:id="125"/>
      </w:r>
      <w:r w:rsidRPr="000A0EA1">
        <w:rPr>
          <w:lang w:val="en-CA"/>
        </w:rPr>
        <w:t xml:space="preserve"> In any case, the events of 1997 cannot have an impact on the interpretation to be given to </w:t>
      </w:r>
      <w:r w:rsidR="0062160E">
        <w:rPr>
          <w:lang w:val="en-CA"/>
        </w:rPr>
        <w:t>s. 2</w:t>
      </w:r>
      <w:r w:rsidRPr="000A0EA1">
        <w:rPr>
          <w:lang w:val="en-CA"/>
        </w:rPr>
        <w:t xml:space="preserve">3 of the </w:t>
      </w:r>
      <w:r w:rsidRPr="000A0EA1">
        <w:rPr>
          <w:i/>
          <w:iCs/>
          <w:lang w:val="en-CA"/>
        </w:rPr>
        <w:t>Charter</w:t>
      </w:r>
      <w:r w:rsidRPr="000A0EA1">
        <w:rPr>
          <w:lang w:val="en-CA"/>
        </w:rPr>
        <w:t>, which was enacted in 1982.</w:t>
      </w:r>
    </w:p>
    <w:p w14:paraId="17F5F2C1" w14:textId="77777777" w:rsidR="00F75613" w:rsidRPr="000A0EA1" w:rsidRDefault="00B02E00" w:rsidP="00B255B8">
      <w:pPr>
        <w:pStyle w:val="Paragraphe"/>
        <w:numPr>
          <w:ilvl w:val="0"/>
          <w:numId w:val="0"/>
        </w:numPr>
        <w:spacing w:line="240" w:lineRule="auto"/>
        <w:ind w:left="2160"/>
        <w:rPr>
          <w:u w:val="single"/>
          <w:lang w:val="en-CA"/>
        </w:rPr>
      </w:pPr>
      <w:r w:rsidRPr="000A0EA1">
        <w:rPr>
          <w:u w:val="single"/>
          <w:lang w:val="en-CA"/>
        </w:rPr>
        <w:t>The respondents</w:t>
      </w:r>
    </w:p>
    <w:p w14:paraId="17F5F2C2" w14:textId="43F5D4A9" w:rsidR="00F75613" w:rsidRPr="000A0EA1" w:rsidRDefault="00B02E00" w:rsidP="00B255B8">
      <w:pPr>
        <w:pStyle w:val="Paragraphe"/>
        <w:spacing w:line="240" w:lineRule="auto"/>
        <w:rPr>
          <w:lang w:val="en-CA"/>
        </w:rPr>
      </w:pPr>
      <w:r w:rsidRPr="000A0EA1">
        <w:rPr>
          <w:lang w:val="en-CA"/>
        </w:rPr>
        <w:t xml:space="preserve">According to the respondents, the rights of management and control that flow from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are those defined by the Supreme Court in </w:t>
      </w:r>
      <w:proofErr w:type="spellStart"/>
      <w:r w:rsidRPr="000A0EA1">
        <w:rPr>
          <w:i/>
          <w:iCs/>
          <w:lang w:val="en-CA"/>
        </w:rPr>
        <w:t>Mahe</w:t>
      </w:r>
      <w:proofErr w:type="spellEnd"/>
      <w:r w:rsidRPr="000A0EA1">
        <w:rPr>
          <w:lang w:val="en-CA"/>
        </w:rPr>
        <w:t xml:space="preserve"> and therefore include, if the number of children concerned warrants it, the establishment of an independent minority language school board.</w:t>
      </w:r>
      <w:r w:rsidRPr="000A0EA1">
        <w:rPr>
          <w:rStyle w:val="Appelnotedebasdep"/>
          <w:lang w:val="en-CA"/>
        </w:rPr>
        <w:footnoteReference w:id="126"/>
      </w:r>
      <w:r w:rsidRPr="000A0EA1">
        <w:rPr>
          <w:lang w:val="en-CA"/>
        </w:rPr>
        <w:t xml:space="preserve"> </w:t>
      </w:r>
      <w:bookmarkStart w:id="49" w:name="_Hlk189209703"/>
      <w:r w:rsidRPr="000A0EA1">
        <w:rPr>
          <w:lang w:val="en-CA"/>
        </w:rPr>
        <w:t xml:space="preserve">Regardless of the number of students involved, minority language representatives must, at a minimum, have exclusive authority to make decisions relating to minority language instruction and the facilities </w:t>
      </w:r>
      <w:r w:rsidR="008B5F97">
        <w:rPr>
          <w:lang w:val="en-CA"/>
        </w:rPr>
        <w:t>in which such instruction is provided</w:t>
      </w:r>
      <w:r w:rsidRPr="000A0EA1">
        <w:rPr>
          <w:lang w:val="en-CA"/>
        </w:rPr>
        <w:t>, including the expenditures of funds, the appointment and direction of administrative staff, the establishment of programs of instruction, the recruitment and assignment of staff, and the making of agreements for education and services for students.</w:t>
      </w:r>
      <w:r w:rsidRPr="000A0EA1">
        <w:rPr>
          <w:rStyle w:val="Appelnotedebasdep"/>
          <w:lang w:val="en-CA"/>
        </w:rPr>
        <w:footnoteReference w:id="127"/>
      </w:r>
    </w:p>
    <w:bookmarkEnd w:id="49"/>
    <w:p w14:paraId="17F5F2C3" w14:textId="40F8D871" w:rsidR="00F75613" w:rsidRPr="000A0EA1" w:rsidRDefault="00B02E00" w:rsidP="00B255B8">
      <w:pPr>
        <w:pStyle w:val="Paragraphe"/>
        <w:spacing w:line="240" w:lineRule="auto"/>
        <w:rPr>
          <w:lang w:val="en-CA"/>
        </w:rPr>
      </w:pPr>
      <w:r w:rsidRPr="000A0EA1">
        <w:rPr>
          <w:lang w:val="en-CA"/>
        </w:rPr>
        <w:t xml:space="preserve">These powers of management and control are exercised through representatives chosen by the linguistic minority as a whole, whether or not the members of that minority </w:t>
      </w:r>
      <w:r w:rsidRPr="000A0EA1">
        <w:rPr>
          <w:lang w:val="en-CA"/>
        </w:rPr>
        <w:lastRenderedPageBreak/>
        <w:t>have children enrolled in a minority language educational facility.</w:t>
      </w:r>
      <w:r w:rsidRPr="000A0EA1">
        <w:rPr>
          <w:rStyle w:val="Appelnotedebasdep"/>
          <w:lang w:val="en-CA"/>
        </w:rPr>
        <w:footnoteReference w:id="128"/>
      </w:r>
      <w:r w:rsidRPr="000A0EA1">
        <w:rPr>
          <w:lang w:val="en-CA"/>
        </w:rPr>
        <w:t xml:space="preserve"> The respondents therefore object to the AGQ</w:t>
      </w:r>
      <w:r w:rsidR="00E46AFD">
        <w:rPr>
          <w:lang w:val="en-CA"/>
        </w:rPr>
        <w:t>’</w:t>
      </w:r>
      <w:r w:rsidRPr="000A0EA1">
        <w:rPr>
          <w:lang w:val="en-CA"/>
        </w:rPr>
        <w:t xml:space="preserve">s position that only the parents of children enrolled in a minority language educational facility enjoy the rights of management and control stemming from </w:t>
      </w:r>
      <w:r w:rsidR="0062160E">
        <w:rPr>
          <w:lang w:val="en-CA"/>
        </w:rPr>
        <w:t>s. 2</w:t>
      </w:r>
      <w:r w:rsidRPr="000A0EA1">
        <w:rPr>
          <w:lang w:val="en-CA"/>
        </w:rPr>
        <w:t>3(3)(</w:t>
      </w:r>
      <w:r w:rsidRPr="000A0EA1">
        <w:rPr>
          <w:i/>
          <w:iCs/>
          <w:lang w:val="en-CA"/>
        </w:rPr>
        <w:t>b</w:t>
      </w:r>
      <w:r w:rsidRPr="000A0EA1">
        <w:rPr>
          <w:lang w:val="en-CA"/>
        </w:rPr>
        <w:t xml:space="preserve">), whether directly or through representatives. In their opinion, both a textual and contextual reading of </w:t>
      </w:r>
      <w:r w:rsidR="0062160E">
        <w:rPr>
          <w:lang w:val="en-CA"/>
        </w:rPr>
        <w:t>s. 2</w:t>
      </w:r>
      <w:r w:rsidRPr="000A0EA1">
        <w:rPr>
          <w:lang w:val="en-CA"/>
        </w:rPr>
        <w:t>3 leads to the conclusion that all individuals identified in s</w:t>
      </w:r>
      <w:r w:rsidR="0062160E">
        <w:rPr>
          <w:lang w:val="en-CA"/>
        </w:rPr>
        <w:t>s. 2</w:t>
      </w:r>
      <w:r w:rsidRPr="000A0EA1">
        <w:rPr>
          <w:lang w:val="en-CA"/>
        </w:rPr>
        <w:t xml:space="preserve">3(1) or (2), whether or not they have children enrolled in school, are covered by </w:t>
      </w:r>
      <w:r w:rsidR="0062160E">
        <w:rPr>
          <w:lang w:val="en-CA"/>
        </w:rPr>
        <w:t>s. 2</w:t>
      </w:r>
      <w:r w:rsidRPr="000A0EA1">
        <w:rPr>
          <w:lang w:val="en-CA"/>
        </w:rPr>
        <w:t>3(3)(</w:t>
      </w:r>
      <w:r w:rsidRPr="000A0EA1">
        <w:rPr>
          <w:i/>
          <w:iCs/>
          <w:lang w:val="en-CA"/>
        </w:rPr>
        <w:t>b</w:t>
      </w:r>
      <w:r w:rsidRPr="000A0EA1">
        <w:rPr>
          <w:lang w:val="en-CA"/>
        </w:rPr>
        <w:t>)</w:t>
      </w:r>
      <w:r w:rsidR="00BD3602">
        <w:rPr>
          <w:lang w:val="en-CA"/>
        </w:rPr>
        <w:t>.</w:t>
      </w:r>
      <w:r w:rsidRPr="000A0EA1">
        <w:rPr>
          <w:rStyle w:val="Appelnotedebasdep"/>
          <w:lang w:val="en-CA"/>
        </w:rPr>
        <w:footnoteReference w:id="129"/>
      </w:r>
      <w:r w:rsidRPr="000A0EA1">
        <w:rPr>
          <w:lang w:val="en-CA"/>
        </w:rPr>
        <w:t xml:space="preserve"> </w:t>
      </w:r>
    </w:p>
    <w:p w14:paraId="17F5F2C4" w14:textId="6C20831D" w:rsidR="00F75613" w:rsidRPr="000A0EA1" w:rsidRDefault="00B02E00" w:rsidP="00B255B8">
      <w:pPr>
        <w:pStyle w:val="Paragraphe"/>
        <w:spacing w:line="240" w:lineRule="auto"/>
        <w:rPr>
          <w:lang w:val="en-CA"/>
        </w:rPr>
      </w:pPr>
      <w:r w:rsidRPr="000A0EA1">
        <w:rPr>
          <w:lang w:val="en-CA"/>
        </w:rPr>
        <w:t xml:space="preserve">That being so, given that </w:t>
      </w:r>
      <w:r w:rsidR="0062160E">
        <w:rPr>
          <w:lang w:val="en-CA"/>
        </w:rPr>
        <w:t>s. 2</w:t>
      </w:r>
      <w:r w:rsidRPr="000A0EA1">
        <w:rPr>
          <w:lang w:val="en-CA"/>
        </w:rPr>
        <w:t>3(1)(</w:t>
      </w:r>
      <w:r w:rsidRPr="000A0EA1">
        <w:rPr>
          <w:i/>
          <w:iCs/>
          <w:lang w:val="en-CA"/>
        </w:rPr>
        <w:t>a</w:t>
      </w:r>
      <w:r w:rsidRPr="000A0EA1">
        <w:rPr>
          <w:lang w:val="en-CA"/>
        </w:rPr>
        <w:t xml:space="preserve">) of the </w:t>
      </w:r>
      <w:r w:rsidRPr="000A0EA1">
        <w:rPr>
          <w:i/>
          <w:iCs/>
          <w:lang w:val="en-CA"/>
        </w:rPr>
        <w:t xml:space="preserve">Charter </w:t>
      </w:r>
      <w:r w:rsidRPr="000A0EA1">
        <w:rPr>
          <w:lang w:val="en-CA"/>
        </w:rPr>
        <w:t xml:space="preserve">does not apply to Quebec, the respondents first stated in their brief that the individuals who have the rights of management and control that flow from </w:t>
      </w:r>
      <w:r w:rsidR="0062160E">
        <w:rPr>
          <w:lang w:val="en-CA"/>
        </w:rPr>
        <w:t>s. 2</w:t>
      </w:r>
      <w:r w:rsidRPr="000A0EA1">
        <w:rPr>
          <w:lang w:val="en-CA"/>
        </w:rPr>
        <w:t>3(3)(</w:t>
      </w:r>
      <w:r w:rsidRPr="000A0EA1">
        <w:rPr>
          <w:i/>
          <w:iCs/>
          <w:lang w:val="en-CA"/>
        </w:rPr>
        <w:t>b</w:t>
      </w:r>
      <w:r w:rsidRPr="000A0EA1">
        <w:rPr>
          <w:lang w:val="en-CA"/>
        </w:rPr>
        <w:t>) are restricted, in Quebec, to those covered by s</w:t>
      </w:r>
      <w:r w:rsidR="0062160E">
        <w:rPr>
          <w:lang w:val="en-CA"/>
        </w:rPr>
        <w:t>s. 2</w:t>
      </w:r>
      <w:r w:rsidRPr="000A0EA1">
        <w:rPr>
          <w:lang w:val="en-CA"/>
        </w:rPr>
        <w:t>3(1)(</w:t>
      </w:r>
      <w:r w:rsidRPr="000A0EA1">
        <w:rPr>
          <w:i/>
          <w:iCs/>
          <w:lang w:val="en-CA"/>
        </w:rPr>
        <w:t>b</w:t>
      </w:r>
      <w:r w:rsidRPr="000A0EA1">
        <w:rPr>
          <w:lang w:val="en-CA"/>
        </w:rPr>
        <w:t>) and 23(2) – namely, Canadian citizens who have received their primary school instruction in Canada in English or whose child has received or is receiving primary or secondary school instruction in English in Canada.</w:t>
      </w:r>
      <w:r w:rsidRPr="000A0EA1">
        <w:rPr>
          <w:rStyle w:val="Appelnotedebasdep"/>
          <w:lang w:val="en-CA"/>
        </w:rPr>
        <w:footnoteReference w:id="130"/>
      </w:r>
      <w:r w:rsidRPr="000A0EA1">
        <w:rPr>
          <w:lang w:val="en-CA"/>
        </w:rPr>
        <w:t xml:space="preserve"> It should be noted, however, that at the appeal hearing, in response to questions from the Court, counsel for the respondents qualified their position on this issue and instead now support the interpretation put forward by the intervener, Quebec Community Groups Network, to the effect that </w:t>
      </w:r>
      <w:r w:rsidRPr="000A0EA1">
        <w:rPr>
          <w:u w:val="single"/>
          <w:lang w:val="en-CA"/>
        </w:rPr>
        <w:t>all</w:t>
      </w:r>
      <w:r w:rsidRPr="000A0EA1">
        <w:rPr>
          <w:lang w:val="en-CA"/>
        </w:rPr>
        <w:t xml:space="preserve"> members of Quebec</w:t>
      </w:r>
      <w:r w:rsidR="00E46AFD">
        <w:rPr>
          <w:lang w:val="en-CA"/>
        </w:rPr>
        <w:t>’</w:t>
      </w:r>
      <w:r w:rsidRPr="000A0EA1">
        <w:rPr>
          <w:lang w:val="en-CA"/>
        </w:rPr>
        <w:t>s linguistic minority, including Canadian citizens whose first language learned and understood is English and who are co</w:t>
      </w:r>
      <w:r w:rsidR="008B5F97">
        <w:rPr>
          <w:lang w:val="en-CA"/>
        </w:rPr>
        <w:t>ntemplated</w:t>
      </w:r>
      <w:r w:rsidRPr="000A0EA1">
        <w:rPr>
          <w:lang w:val="en-CA"/>
        </w:rPr>
        <w:t xml:space="preserve"> by </w:t>
      </w:r>
      <w:r w:rsidR="0062160E">
        <w:rPr>
          <w:lang w:val="en-CA"/>
        </w:rPr>
        <w:t>s. 2</w:t>
      </w:r>
      <w:r w:rsidRPr="000A0EA1">
        <w:rPr>
          <w:lang w:val="en-CA"/>
        </w:rPr>
        <w:t>3(1)(</w:t>
      </w:r>
      <w:r w:rsidRPr="000A0EA1">
        <w:rPr>
          <w:i/>
          <w:iCs/>
          <w:lang w:val="en-CA"/>
        </w:rPr>
        <w:t>a</w:t>
      </w:r>
      <w:r w:rsidRPr="000A0EA1">
        <w:rPr>
          <w:lang w:val="en-CA"/>
        </w:rPr>
        <w:t>), participate in the control and management of minority language educational institutions through the representatives they choose.</w:t>
      </w:r>
    </w:p>
    <w:p w14:paraId="17F5F2C5" w14:textId="328FA0D8" w:rsidR="00F75613" w:rsidRPr="000A0EA1" w:rsidRDefault="00B02E00" w:rsidP="00B255B8">
      <w:pPr>
        <w:pStyle w:val="Paragraphe"/>
        <w:spacing w:line="240" w:lineRule="auto"/>
        <w:rPr>
          <w:lang w:val="en-CA"/>
        </w:rPr>
      </w:pPr>
      <w:r w:rsidRPr="000A0EA1">
        <w:rPr>
          <w:lang w:val="en-CA"/>
        </w:rPr>
        <w:t>The respondents further submit that, given Quebec</w:t>
      </w:r>
      <w:r w:rsidR="00E46AFD">
        <w:rPr>
          <w:lang w:val="en-CA"/>
        </w:rPr>
        <w:t>’</w:t>
      </w:r>
      <w:r w:rsidRPr="000A0EA1">
        <w:rPr>
          <w:lang w:val="en-CA"/>
        </w:rPr>
        <w:t xml:space="preserve">s specific historical context, which includes the rights conferred on the Protestant minority by </w:t>
      </w:r>
      <w:r w:rsidR="0062160E">
        <w:rPr>
          <w:lang w:val="en-CA"/>
        </w:rPr>
        <w:t>s. 9</w:t>
      </w:r>
      <w:r w:rsidRPr="000A0EA1">
        <w:rPr>
          <w:lang w:val="en-CA"/>
        </w:rPr>
        <w:t xml:space="preserve">3 of the </w:t>
      </w:r>
      <w:r w:rsidRPr="000A0EA1">
        <w:rPr>
          <w:i/>
          <w:iCs/>
          <w:lang w:val="en-CA"/>
        </w:rPr>
        <w:t>Constitution</w:t>
      </w:r>
      <w:r w:rsidR="00F94843">
        <w:rPr>
          <w:i/>
          <w:iCs/>
          <w:lang w:val="en-CA"/>
        </w:rPr>
        <w:t> </w:t>
      </w:r>
      <w:r w:rsidRPr="000A0EA1">
        <w:rPr>
          <w:i/>
          <w:iCs/>
          <w:lang w:val="en-CA"/>
        </w:rPr>
        <w:t>Act,</w:t>
      </w:r>
      <w:r w:rsidR="00F94843">
        <w:rPr>
          <w:i/>
          <w:iCs/>
          <w:lang w:val="en-CA"/>
        </w:rPr>
        <w:t> </w:t>
      </w:r>
      <w:r w:rsidRPr="000A0EA1">
        <w:rPr>
          <w:i/>
          <w:iCs/>
          <w:lang w:val="en-CA"/>
        </w:rPr>
        <w:t>1867</w:t>
      </w:r>
      <w:r w:rsidRPr="000A0EA1">
        <w:rPr>
          <w:lang w:val="en-CA"/>
        </w:rPr>
        <w:t xml:space="preserve">, the right of the </w:t>
      </w:r>
      <w:r w:rsidR="00312FD9">
        <w:rPr>
          <w:lang w:val="en-CA"/>
        </w:rPr>
        <w:t>English</w:t>
      </w:r>
      <w:r w:rsidR="00312FD9">
        <w:rPr>
          <w:lang w:val="en-CA"/>
        </w:rPr>
        <w:noBreakHyphen/>
        <w:t>speaking</w:t>
      </w:r>
      <w:r w:rsidRPr="000A0EA1">
        <w:rPr>
          <w:lang w:val="en-CA"/>
        </w:rPr>
        <w:t xml:space="preserve"> linguistic minority to independent school boards managed and controlled by representatives chosen by it is guaranteed.</w:t>
      </w:r>
      <w:r w:rsidRPr="000A0EA1">
        <w:rPr>
          <w:rStyle w:val="Appelnotedebasdep"/>
          <w:lang w:val="en-CA"/>
        </w:rPr>
        <w:footnoteReference w:id="131"/>
      </w:r>
      <w:r w:rsidRPr="000A0EA1">
        <w:rPr>
          <w:lang w:val="en-CA"/>
        </w:rPr>
        <w:t xml:space="preserve"> Moreover, in their view, at the time of the 1997 constitutional amendment, the governments </w:t>
      </w:r>
      <w:r w:rsidR="005C6043">
        <w:rPr>
          <w:lang w:val="en-CA"/>
        </w:rPr>
        <w:t xml:space="preserve">of Quebec and Canada </w:t>
      </w:r>
      <w:r w:rsidRPr="000A0EA1">
        <w:rPr>
          <w:lang w:val="en-CA"/>
        </w:rPr>
        <w:t>made a commitment to them that their exclusive management and control rights would not be affected.</w:t>
      </w:r>
    </w:p>
    <w:p w14:paraId="17F5F2C6" w14:textId="77777777" w:rsidR="00F75613" w:rsidRPr="000A0EA1" w:rsidRDefault="00B02E00" w:rsidP="00B255B8">
      <w:pPr>
        <w:pStyle w:val="Paragraphe"/>
        <w:numPr>
          <w:ilvl w:val="0"/>
          <w:numId w:val="0"/>
        </w:numPr>
        <w:spacing w:line="240" w:lineRule="auto"/>
        <w:ind w:left="2160"/>
        <w:rPr>
          <w:u w:val="single"/>
          <w:lang w:val="en-CA"/>
        </w:rPr>
      </w:pPr>
      <w:r w:rsidRPr="000A0EA1">
        <w:rPr>
          <w:u w:val="single"/>
          <w:lang w:val="en-CA"/>
        </w:rPr>
        <w:t>The intervener, Quebec Community Groups Network</w:t>
      </w:r>
    </w:p>
    <w:p w14:paraId="17F5F2C7" w14:textId="30BEC17E" w:rsidR="00F75613" w:rsidRPr="000A0EA1" w:rsidRDefault="00B02E00" w:rsidP="00B255B8">
      <w:pPr>
        <w:pStyle w:val="Paragraphe"/>
        <w:spacing w:line="240" w:lineRule="auto"/>
        <w:rPr>
          <w:lang w:val="en-CA"/>
        </w:rPr>
      </w:pPr>
      <w:r w:rsidRPr="000A0EA1">
        <w:rPr>
          <w:lang w:val="en-CA"/>
        </w:rPr>
        <w:t xml:space="preserve">The Quebec Community Groups Network, the intervener on appeal, has existed since 1995 as a non-profit organization linking some forty </w:t>
      </w:r>
      <w:r w:rsidR="00AE3408">
        <w:rPr>
          <w:lang w:val="en-CA"/>
        </w:rPr>
        <w:t>English</w:t>
      </w:r>
      <w:r w:rsidR="00AE3408">
        <w:rPr>
          <w:lang w:val="en-CA"/>
        </w:rPr>
        <w:noBreakHyphen/>
        <w:t>language</w:t>
      </w:r>
      <w:r w:rsidRPr="000A0EA1">
        <w:rPr>
          <w:lang w:val="en-CA"/>
        </w:rPr>
        <w:t xml:space="preserve"> associations in Quebec. It is recognized by the Canadian government as a representative of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community.</w:t>
      </w:r>
      <w:r w:rsidRPr="000A0EA1">
        <w:rPr>
          <w:rStyle w:val="Appelnotedebasdep"/>
          <w:lang w:val="en-CA"/>
        </w:rPr>
        <w:footnoteReference w:id="132"/>
      </w:r>
      <w:r w:rsidRPr="000A0EA1">
        <w:rPr>
          <w:lang w:val="en-CA"/>
        </w:rPr>
        <w:t xml:space="preserve"> Its activities include interventions in constitutional disputes before all levels of court in Canada. </w:t>
      </w:r>
    </w:p>
    <w:p w14:paraId="17F5F2C8" w14:textId="555537F4" w:rsidR="00F75613" w:rsidRPr="000A0EA1" w:rsidRDefault="00B02E00" w:rsidP="00B255B8">
      <w:pPr>
        <w:pStyle w:val="Paragraphe"/>
        <w:spacing w:line="240" w:lineRule="auto"/>
        <w:rPr>
          <w:lang w:val="en-CA"/>
        </w:rPr>
      </w:pPr>
      <w:r w:rsidRPr="000A0EA1">
        <w:rPr>
          <w:lang w:val="en-CA"/>
        </w:rPr>
        <w:lastRenderedPageBreak/>
        <w:t xml:space="preserve">It submits that </w:t>
      </w:r>
      <w:r w:rsidR="0062160E">
        <w:rPr>
          <w:lang w:val="en-CA"/>
        </w:rPr>
        <w:t>s. 2</w:t>
      </w:r>
      <w:r w:rsidRPr="000A0EA1">
        <w:rPr>
          <w:lang w:val="en-CA"/>
        </w:rPr>
        <w:t xml:space="preserve">3 of the </w:t>
      </w:r>
      <w:r w:rsidRPr="000A0EA1">
        <w:rPr>
          <w:i/>
          <w:iCs/>
          <w:lang w:val="en-CA"/>
        </w:rPr>
        <w:t xml:space="preserve">Charter </w:t>
      </w:r>
      <w:r w:rsidRPr="000A0EA1">
        <w:rPr>
          <w:lang w:val="en-CA"/>
        </w:rPr>
        <w:t xml:space="preserve">has both an individual dimension and a collective dimension, but </w:t>
      </w:r>
      <w:r w:rsidR="001033C6">
        <w:rPr>
          <w:lang w:val="en-CA"/>
        </w:rPr>
        <w:t xml:space="preserve">that </w:t>
      </w:r>
      <w:r w:rsidRPr="000A0EA1">
        <w:rPr>
          <w:lang w:val="en-CA"/>
        </w:rPr>
        <w:t xml:space="preserve">its ultimate purpose is to ensure the vitality of the minority language community in each province and territory of Canada. This collective dimension is reflected in </w:t>
      </w:r>
      <w:r w:rsidR="0062160E">
        <w:rPr>
          <w:lang w:val="en-CA"/>
        </w:rPr>
        <w:t>s. 2</w:t>
      </w:r>
      <w:r w:rsidRPr="000A0EA1">
        <w:rPr>
          <w:lang w:val="en-CA"/>
        </w:rPr>
        <w:t>3(3)(</w:t>
      </w:r>
      <w:r w:rsidRPr="000A0EA1">
        <w:rPr>
          <w:i/>
          <w:iCs/>
          <w:lang w:val="en-CA"/>
        </w:rPr>
        <w:t>b</w:t>
      </w:r>
      <w:r w:rsidRPr="000A0EA1">
        <w:rPr>
          <w:lang w:val="en-CA"/>
        </w:rPr>
        <w:t xml:space="preserve">), from which rights of management and control over educational institutions arise for the linguistic minority as a whole. This collective dimension is an integral part of </w:t>
      </w:r>
      <w:r w:rsidR="0062160E">
        <w:rPr>
          <w:lang w:val="en-CA"/>
        </w:rPr>
        <w:t>s. 2</w:t>
      </w:r>
      <w:r w:rsidRPr="000A0EA1">
        <w:rPr>
          <w:lang w:val="en-CA"/>
        </w:rPr>
        <w:t>3 and must be taken into account if its ultimate objective is to be achieved.</w:t>
      </w:r>
    </w:p>
    <w:p w14:paraId="17F5F2C9" w14:textId="49AF2723" w:rsidR="00F75613" w:rsidRPr="000A0EA1" w:rsidRDefault="00B02E00" w:rsidP="00B255B8">
      <w:pPr>
        <w:pStyle w:val="Paragraphe"/>
        <w:spacing w:line="240" w:lineRule="auto"/>
        <w:rPr>
          <w:lang w:val="en-CA"/>
        </w:rPr>
      </w:pPr>
      <w:r w:rsidRPr="000A0EA1">
        <w:rPr>
          <w:lang w:val="en-CA"/>
        </w:rPr>
        <w:t xml:space="preserve">It follows that the management and control rights over minority language educational facilities belong to that community as a whole. In practice, these rights are exercised through representatives from the linguistic minority, who are chosen by the members of that minority. To this end, there is no need to distinguish between the various categories of rights holders, as all members of the </w:t>
      </w:r>
      <w:r w:rsidR="004C2091">
        <w:rPr>
          <w:lang w:val="en-CA"/>
        </w:rPr>
        <w:t xml:space="preserve">minority </w:t>
      </w:r>
      <w:r w:rsidR="003D6D47">
        <w:rPr>
          <w:lang w:val="en-CA"/>
        </w:rPr>
        <w:t xml:space="preserve">language </w:t>
      </w:r>
      <w:r w:rsidRPr="000A0EA1">
        <w:rPr>
          <w:lang w:val="en-CA"/>
        </w:rPr>
        <w:t xml:space="preserve">community are concerned by this collective dimension of </w:t>
      </w:r>
      <w:r w:rsidR="0062160E">
        <w:rPr>
          <w:lang w:val="en-CA"/>
        </w:rPr>
        <w:t>s. 2</w:t>
      </w:r>
      <w:r w:rsidRPr="000A0EA1">
        <w:rPr>
          <w:lang w:val="en-CA"/>
        </w:rPr>
        <w:t xml:space="preserve">3, whether they are covered by </w:t>
      </w:r>
      <w:r w:rsidR="0062160E">
        <w:rPr>
          <w:lang w:val="en-CA"/>
        </w:rPr>
        <w:t>s. 2</w:t>
      </w:r>
      <w:r w:rsidRPr="000A0EA1">
        <w:rPr>
          <w:lang w:val="en-CA"/>
        </w:rPr>
        <w:t>3(1)(</w:t>
      </w:r>
      <w:r w:rsidRPr="000A0EA1">
        <w:rPr>
          <w:i/>
          <w:iCs/>
          <w:lang w:val="en-CA"/>
        </w:rPr>
        <w:t>a</w:t>
      </w:r>
      <w:r w:rsidRPr="000A0EA1">
        <w:rPr>
          <w:lang w:val="en-CA"/>
        </w:rPr>
        <w:t>) or (</w:t>
      </w:r>
      <w:r w:rsidRPr="000A0EA1">
        <w:rPr>
          <w:i/>
          <w:iCs/>
          <w:lang w:val="en-CA"/>
        </w:rPr>
        <w:t>b</w:t>
      </w:r>
      <w:r w:rsidRPr="000A0EA1">
        <w:rPr>
          <w:lang w:val="en-CA"/>
        </w:rPr>
        <w:t xml:space="preserve">) or by </w:t>
      </w:r>
      <w:r w:rsidR="0062160E">
        <w:rPr>
          <w:lang w:val="en-CA"/>
        </w:rPr>
        <w:t>s. 2</w:t>
      </w:r>
      <w:r w:rsidRPr="000A0EA1">
        <w:rPr>
          <w:lang w:val="en-CA"/>
        </w:rPr>
        <w:t xml:space="preserve">3(2) of the </w:t>
      </w:r>
      <w:r w:rsidRPr="000A0EA1">
        <w:rPr>
          <w:i/>
          <w:iCs/>
          <w:lang w:val="en-CA"/>
        </w:rPr>
        <w:t>Charter</w:t>
      </w:r>
      <w:r w:rsidRPr="000A0EA1">
        <w:rPr>
          <w:lang w:val="en-CA"/>
        </w:rPr>
        <w:t>.</w:t>
      </w:r>
    </w:p>
    <w:p w14:paraId="17F5F2CA" w14:textId="77777777" w:rsidR="00F75613" w:rsidRPr="000A0EA1" w:rsidRDefault="00B02E00" w:rsidP="00B255B8">
      <w:pPr>
        <w:pStyle w:val="Paragraphe"/>
        <w:numPr>
          <w:ilvl w:val="0"/>
          <w:numId w:val="11"/>
        </w:numPr>
        <w:spacing w:line="240" w:lineRule="auto"/>
        <w:rPr>
          <w:i/>
          <w:iCs/>
          <w:u w:val="single"/>
          <w:lang w:val="en-CA"/>
        </w:rPr>
      </w:pPr>
      <w:r w:rsidRPr="000A0EA1">
        <w:rPr>
          <w:i/>
          <w:iCs/>
          <w:u w:val="single"/>
          <w:lang w:val="en-CA"/>
        </w:rPr>
        <w:t>Analysis</w:t>
      </w:r>
    </w:p>
    <w:p w14:paraId="17F5F2CB" w14:textId="58A99C18" w:rsidR="00F75613" w:rsidRPr="000A0EA1" w:rsidRDefault="00B02E00" w:rsidP="00B255B8">
      <w:pPr>
        <w:pStyle w:val="Paragraphe"/>
        <w:spacing w:line="240" w:lineRule="auto"/>
        <w:rPr>
          <w:lang w:val="en-CA"/>
        </w:rPr>
      </w:pPr>
      <w:r w:rsidRPr="000A0EA1">
        <w:rPr>
          <w:lang w:val="en-CA"/>
        </w:rPr>
        <w:t xml:space="preserve">The proper way to interpret the rights and freedoms enshrined in the </w:t>
      </w:r>
      <w:r w:rsidRPr="000A0EA1">
        <w:rPr>
          <w:i/>
          <w:iCs/>
          <w:lang w:val="en-CA"/>
        </w:rPr>
        <w:t>Charter</w:t>
      </w:r>
      <w:r w:rsidRPr="000A0EA1">
        <w:rPr>
          <w:lang w:val="en-CA"/>
        </w:rPr>
        <w:t xml:space="preserve"> is well established: they must be given a broad, liberal and purposive interpretation, </w:t>
      </w:r>
      <w:r w:rsidR="00E46AFD">
        <w:rPr>
          <w:lang w:val="en-CA"/>
        </w:rPr>
        <w:t>“</w:t>
      </w:r>
      <w:r w:rsidRPr="000A0EA1">
        <w:rPr>
          <w:lang w:val="en-CA"/>
        </w:rPr>
        <w:t xml:space="preserve">by reference to the character and the larger objects of the </w:t>
      </w:r>
      <w:r w:rsidRPr="000A0EA1">
        <w:rPr>
          <w:i/>
          <w:iCs/>
          <w:lang w:val="en-CA"/>
        </w:rPr>
        <w:t xml:space="preserve">Charter </w:t>
      </w:r>
      <w:r w:rsidRPr="000A0EA1">
        <w:rPr>
          <w:lang w:val="en-CA"/>
        </w:rPr>
        <w:t xml:space="preserve">itself, to the language chosen to articulate the [...] right or freedom [in question], to the historical origins of the concepts enshrined, and where applicable, to the meaning and purpose of the other specific rights and freedoms with which it is associated within the text of the </w:t>
      </w:r>
      <w:r w:rsidRPr="000A0EA1">
        <w:rPr>
          <w:i/>
          <w:iCs/>
          <w:lang w:val="en-CA"/>
        </w:rPr>
        <w:t>Charter</w:t>
      </w:r>
      <w:r w:rsidR="00E46AFD">
        <w:rPr>
          <w:lang w:val="en-CA"/>
        </w:rPr>
        <w:t>”</w:t>
      </w:r>
      <w:r w:rsidRPr="000A0EA1">
        <w:rPr>
          <w:lang w:val="en-CA"/>
        </w:rPr>
        <w:t>.</w:t>
      </w:r>
      <w:r w:rsidRPr="000A0EA1">
        <w:rPr>
          <w:rFonts w:cs="Arial"/>
          <w:color w:val="000000"/>
          <w:vertAlign w:val="superscript"/>
          <w:lang w:val="en-CA"/>
        </w:rPr>
        <w:footnoteReference w:id="133"/>
      </w:r>
    </w:p>
    <w:p w14:paraId="17F5F2CC" w14:textId="19519143" w:rsidR="00F75613" w:rsidRPr="000A0EA1" w:rsidRDefault="00B02E00" w:rsidP="00B255B8">
      <w:pPr>
        <w:pStyle w:val="Paragraphe"/>
        <w:spacing w:line="240" w:lineRule="auto"/>
        <w:rPr>
          <w:lang w:val="en-CA"/>
        </w:rPr>
      </w:pPr>
      <w:r w:rsidRPr="000A0EA1">
        <w:rPr>
          <w:lang w:val="en-CA"/>
        </w:rPr>
        <w:t>Despite what a previous line of jurisprudence might have suggested,</w:t>
      </w:r>
      <w:r w:rsidRPr="000A0EA1">
        <w:rPr>
          <w:vertAlign w:val="superscript"/>
          <w:lang w:val="en-CA"/>
        </w:rPr>
        <w:footnoteReference w:id="134"/>
      </w:r>
      <w:r w:rsidRPr="000A0EA1">
        <w:rPr>
          <w:lang w:val="en-CA"/>
        </w:rPr>
        <w:t xml:space="preserve"> the fact that language rights – whether stemming from the </w:t>
      </w:r>
      <w:r w:rsidRPr="000A0EA1">
        <w:rPr>
          <w:i/>
          <w:iCs/>
          <w:lang w:val="en-CA"/>
        </w:rPr>
        <w:t>Constitution Act, 1867</w:t>
      </w:r>
      <w:r w:rsidRPr="000A0EA1">
        <w:rPr>
          <w:lang w:val="en-CA"/>
        </w:rPr>
        <w:t>,</w:t>
      </w:r>
      <w:r w:rsidRPr="000A0EA1">
        <w:rPr>
          <w:rStyle w:val="Appelnotedebasdep"/>
          <w:lang w:val="en-CA"/>
        </w:rPr>
        <w:footnoteReference w:id="135"/>
      </w:r>
      <w:r w:rsidRPr="000A0EA1">
        <w:rPr>
          <w:lang w:val="en-CA"/>
        </w:rPr>
        <w:t xml:space="preserve"> the </w:t>
      </w:r>
      <w:r w:rsidRPr="000A0EA1">
        <w:rPr>
          <w:i/>
          <w:iCs/>
          <w:lang w:val="en-CA"/>
        </w:rPr>
        <w:t xml:space="preserve">Charter </w:t>
      </w:r>
      <w:r w:rsidRPr="000A0EA1">
        <w:rPr>
          <w:lang w:val="en-CA"/>
        </w:rPr>
        <w:t>or a statute</w:t>
      </w:r>
      <w:r w:rsidRPr="000A0EA1">
        <w:rPr>
          <w:i/>
          <w:iCs/>
          <w:lang w:val="en-CA"/>
        </w:rPr>
        <w:t xml:space="preserve"> </w:t>
      </w:r>
      <w:r w:rsidRPr="000A0EA1">
        <w:rPr>
          <w:lang w:val="en-CA"/>
        </w:rPr>
        <w:t>– are the result of a political compromise does not affect this rule of interpretation.</w:t>
      </w:r>
      <w:r w:rsidRPr="000A0EA1">
        <w:rPr>
          <w:vertAlign w:val="superscript"/>
          <w:lang w:val="en-CA"/>
        </w:rPr>
        <w:footnoteReference w:id="136"/>
      </w:r>
      <w:r w:rsidRPr="000A0EA1">
        <w:rPr>
          <w:lang w:val="en-CA"/>
        </w:rPr>
        <w:t xml:space="preserve"> Indeed, it is now clear that language rights, including those set out in </w:t>
      </w:r>
      <w:r w:rsidR="0062160E">
        <w:rPr>
          <w:lang w:val="en-CA"/>
        </w:rPr>
        <w:t>s. 2</w:t>
      </w:r>
      <w:r w:rsidRPr="000A0EA1">
        <w:rPr>
          <w:lang w:val="en-CA"/>
        </w:rPr>
        <w:t xml:space="preserve">3 of the </w:t>
      </w:r>
      <w:r w:rsidRPr="000A0EA1">
        <w:rPr>
          <w:i/>
          <w:iCs/>
          <w:lang w:val="en-CA"/>
        </w:rPr>
        <w:t>Charter</w:t>
      </w:r>
      <w:r w:rsidRPr="000A0EA1">
        <w:rPr>
          <w:lang w:val="en-CA"/>
        </w:rPr>
        <w:t xml:space="preserve">, </w:t>
      </w:r>
      <w:r w:rsidR="00E46AFD">
        <w:rPr>
          <w:lang w:val="en-CA"/>
        </w:rPr>
        <w:t>“</w:t>
      </w:r>
      <w:r w:rsidRPr="000A0EA1">
        <w:rPr>
          <w:lang w:val="en-CA"/>
        </w:rPr>
        <w:t xml:space="preserve">must </w:t>
      </w:r>
      <w:r w:rsidRPr="000A0EA1">
        <w:rPr>
          <w:u w:val="single"/>
          <w:lang w:val="en-CA"/>
        </w:rPr>
        <w:t>in all cases</w:t>
      </w:r>
      <w:r w:rsidRPr="000A0EA1">
        <w:rPr>
          <w:lang w:val="en-CA"/>
        </w:rPr>
        <w:t xml:space="preserve"> be interpreted purposively, in a manner consistent with the preservation and development of official language communities in Canada</w:t>
      </w:r>
      <w:r w:rsidR="00E46AFD">
        <w:rPr>
          <w:lang w:val="en-CA"/>
        </w:rPr>
        <w:t>”</w:t>
      </w:r>
      <w:r w:rsidRPr="000A0EA1">
        <w:rPr>
          <w:lang w:val="en-CA"/>
        </w:rPr>
        <w:t>.</w:t>
      </w:r>
      <w:r w:rsidRPr="000A0EA1">
        <w:rPr>
          <w:vertAlign w:val="superscript"/>
          <w:lang w:val="en-CA"/>
        </w:rPr>
        <w:footnoteReference w:id="137"/>
      </w:r>
      <w:r w:rsidRPr="000A0EA1">
        <w:rPr>
          <w:lang w:val="en-CA"/>
        </w:rPr>
        <w:t xml:space="preserve"> In </w:t>
      </w:r>
      <w:r w:rsidRPr="000A0EA1">
        <w:rPr>
          <w:i/>
          <w:iCs/>
          <w:lang w:val="en-CA"/>
        </w:rPr>
        <w:lastRenderedPageBreak/>
        <w:t xml:space="preserve">Conseil </w:t>
      </w:r>
      <w:proofErr w:type="spellStart"/>
      <w:r w:rsidRPr="000A0EA1">
        <w:rPr>
          <w:i/>
          <w:iCs/>
          <w:lang w:val="en-CA"/>
        </w:rPr>
        <w:t>scolaire</w:t>
      </w:r>
      <w:proofErr w:type="spellEnd"/>
      <w:r w:rsidRPr="000A0EA1">
        <w:rPr>
          <w:i/>
          <w:iCs/>
          <w:lang w:val="en-CA"/>
        </w:rPr>
        <w:t xml:space="preserve"> francophone de la </w:t>
      </w:r>
      <w:proofErr w:type="spellStart"/>
      <w:r w:rsidRPr="000A0EA1">
        <w:rPr>
          <w:i/>
          <w:iCs/>
          <w:lang w:val="en-CA"/>
        </w:rPr>
        <w:t>Colombie</w:t>
      </w:r>
      <w:r w:rsidR="000451B4">
        <w:rPr>
          <w:i/>
          <w:iCs/>
          <w:lang w:val="en-CA"/>
        </w:rPr>
        <w:noBreakHyphen/>
      </w:r>
      <w:r w:rsidRPr="000A0EA1">
        <w:rPr>
          <w:i/>
          <w:iCs/>
          <w:lang w:val="en-CA"/>
        </w:rPr>
        <w:t>Britannique</w:t>
      </w:r>
      <w:proofErr w:type="spellEnd"/>
      <w:r w:rsidRPr="000A0EA1">
        <w:rPr>
          <w:lang w:val="en-CA"/>
        </w:rPr>
        <w:t>, Wagner,</w:t>
      </w:r>
      <w:r w:rsidR="000451B4">
        <w:rPr>
          <w:lang w:val="en-CA"/>
        </w:rPr>
        <w:t> </w:t>
      </w:r>
      <w:r w:rsidRPr="000A0EA1">
        <w:rPr>
          <w:lang w:val="en-CA"/>
        </w:rPr>
        <w:t xml:space="preserve">C.J., writing for the majority, pointed out that the cases that date back to when the Supreme Court favoured a restrictive approach to the interpretation of language rights, which include </w:t>
      </w:r>
      <w:proofErr w:type="spellStart"/>
      <w:r w:rsidRPr="000A0EA1">
        <w:rPr>
          <w:i/>
          <w:iCs/>
          <w:lang w:val="en-CA"/>
        </w:rPr>
        <w:t>Mahe</w:t>
      </w:r>
      <w:proofErr w:type="spellEnd"/>
      <w:r w:rsidRPr="000A0EA1">
        <w:rPr>
          <w:lang w:val="en-CA"/>
        </w:rPr>
        <w:t>, must therefore be interpreted in light of the subsequent cases favouring a broad and liberal interpretation of these rights.</w:t>
      </w:r>
      <w:r w:rsidRPr="000A0EA1">
        <w:rPr>
          <w:color w:val="000000"/>
          <w:vertAlign w:val="superscript"/>
          <w:lang w:val="en-CA"/>
        </w:rPr>
        <w:footnoteReference w:id="138"/>
      </w:r>
      <w:r w:rsidRPr="000A0EA1">
        <w:rPr>
          <w:lang w:val="en-CA"/>
        </w:rPr>
        <w:t xml:space="preserve"> </w:t>
      </w:r>
    </w:p>
    <w:p w14:paraId="17F5F2CD" w14:textId="5F7D4EA4" w:rsidR="00F75613" w:rsidRPr="0063286D" w:rsidRDefault="00B02E00" w:rsidP="00B255B8">
      <w:pPr>
        <w:pStyle w:val="Paragraphe"/>
        <w:spacing w:line="240" w:lineRule="auto"/>
        <w:rPr>
          <w:lang w:val="en-CA"/>
        </w:rPr>
      </w:pPr>
      <w:r w:rsidRPr="000A0EA1">
        <w:rPr>
          <w:lang w:val="en-CA"/>
        </w:rPr>
        <w:t xml:space="preserve">Nonetheless, these principles cannot prevail over the text of the </w:t>
      </w:r>
      <w:r w:rsidRPr="000A0EA1">
        <w:rPr>
          <w:i/>
          <w:iCs/>
          <w:lang w:val="en-CA"/>
        </w:rPr>
        <w:t>Charter</w:t>
      </w:r>
      <w:r w:rsidRPr="000A0EA1">
        <w:rPr>
          <w:lang w:val="en-CA"/>
        </w:rPr>
        <w:t xml:space="preserve"> provision. The interpretation must remain rooted in the text, which is the starting point for the interpretative exercise.</w:t>
      </w:r>
      <w:r w:rsidRPr="000A0EA1">
        <w:rPr>
          <w:vertAlign w:val="superscript"/>
          <w:lang w:val="en-CA"/>
        </w:rPr>
        <w:footnoteReference w:id="139"/>
      </w:r>
      <w:r w:rsidRPr="000A0EA1">
        <w:rPr>
          <w:lang w:val="en-CA"/>
        </w:rPr>
        <w:t xml:space="preserve"> Therefore, the interpretation must not overshoot – or undershoot – the actual purpose of the right or freedom in question.</w:t>
      </w:r>
      <w:r w:rsidRPr="000A0EA1">
        <w:rPr>
          <w:vertAlign w:val="superscript"/>
          <w:lang w:val="en-CA"/>
        </w:rPr>
        <w:footnoteReference w:id="140"/>
      </w:r>
      <w:r w:rsidR="0063286D">
        <w:rPr>
          <w:lang w:val="en-CA"/>
        </w:rPr>
        <w:t xml:space="preserve"> </w:t>
      </w:r>
      <w:r w:rsidR="0063286D" w:rsidRPr="0063286D">
        <w:rPr>
          <w:lang w:val="en-CA"/>
        </w:rPr>
        <w:t>Th</w:t>
      </w:r>
      <w:r w:rsidR="0063286D">
        <w:rPr>
          <w:lang w:val="en-CA"/>
        </w:rPr>
        <w:t>u</w:t>
      </w:r>
      <w:r w:rsidR="0063286D" w:rsidRPr="0063286D">
        <w:rPr>
          <w:lang w:val="en-CA"/>
        </w:rPr>
        <w:t xml:space="preserve">s, in its recent judgement in </w:t>
      </w:r>
      <w:r w:rsidR="0063286D" w:rsidRPr="0063286D">
        <w:rPr>
          <w:i/>
          <w:iCs/>
          <w:lang w:val="en-CA"/>
        </w:rPr>
        <w:t xml:space="preserve">Organisation </w:t>
      </w:r>
      <w:proofErr w:type="spellStart"/>
      <w:r w:rsidR="0063286D" w:rsidRPr="0063286D">
        <w:rPr>
          <w:i/>
          <w:iCs/>
          <w:lang w:val="en-CA"/>
        </w:rPr>
        <w:t>mondiale</w:t>
      </w:r>
      <w:proofErr w:type="spellEnd"/>
      <w:r w:rsidR="0063286D" w:rsidRPr="0063286D">
        <w:rPr>
          <w:i/>
          <w:iCs/>
          <w:lang w:val="en-CA"/>
        </w:rPr>
        <w:t xml:space="preserve"> </w:t>
      </w:r>
      <w:proofErr w:type="spellStart"/>
      <w:r w:rsidR="0063286D" w:rsidRPr="0063286D">
        <w:rPr>
          <w:i/>
          <w:iCs/>
          <w:lang w:val="en-CA"/>
        </w:rPr>
        <w:t>sikhe</w:t>
      </w:r>
      <w:proofErr w:type="spellEnd"/>
      <w:r w:rsidR="0063286D" w:rsidRPr="0063286D">
        <w:rPr>
          <w:i/>
          <w:iCs/>
          <w:lang w:val="en-CA"/>
        </w:rPr>
        <w:t xml:space="preserve"> du Canada</w:t>
      </w:r>
      <w:r w:rsidR="0063286D" w:rsidRPr="0063286D">
        <w:rPr>
          <w:lang w:val="en-CA"/>
        </w:rPr>
        <w:t>, the Court concluded t</w:t>
      </w:r>
      <w:r w:rsidR="0063286D">
        <w:rPr>
          <w:lang w:val="en-CA"/>
        </w:rPr>
        <w:t>hat s</w:t>
      </w:r>
      <w:r w:rsidR="00B534EC">
        <w:rPr>
          <w:lang w:val="en-CA"/>
        </w:rPr>
        <w:t>.</w:t>
      </w:r>
      <w:r w:rsidR="0063286D">
        <w:rPr>
          <w:lang w:val="en-CA"/>
        </w:rPr>
        <w:t xml:space="preserve"> 23 of the </w:t>
      </w:r>
      <w:r w:rsidR="0063286D">
        <w:rPr>
          <w:i/>
          <w:iCs/>
          <w:lang w:val="en-CA"/>
        </w:rPr>
        <w:t xml:space="preserve">Charter </w:t>
      </w:r>
      <w:r w:rsidR="0063286D">
        <w:rPr>
          <w:lang w:val="en-CA"/>
        </w:rPr>
        <w:t xml:space="preserve">could not be raised to invalidate the provisions </w:t>
      </w:r>
      <w:r w:rsidR="00B865A4">
        <w:rPr>
          <w:lang w:val="en-CA"/>
        </w:rPr>
        <w:t>of</w:t>
      </w:r>
      <w:r w:rsidR="0063286D">
        <w:rPr>
          <w:lang w:val="en-CA"/>
        </w:rPr>
        <w:t xml:space="preserve"> the </w:t>
      </w:r>
      <w:r w:rsidR="0063286D" w:rsidRPr="0063286D">
        <w:rPr>
          <w:i/>
          <w:iCs/>
          <w:lang w:val="en-CA"/>
        </w:rPr>
        <w:t>Act respecting the laicity of the State</w:t>
      </w:r>
      <w:r w:rsidR="0063286D" w:rsidRPr="0063286D">
        <w:rPr>
          <w:rStyle w:val="Appelnotedebasdep"/>
        </w:rPr>
        <w:footnoteReference w:id="141"/>
      </w:r>
      <w:r w:rsidR="0063286D" w:rsidRPr="0063286D">
        <w:rPr>
          <w:lang w:val="en-CA"/>
        </w:rPr>
        <w:t xml:space="preserve"> </w:t>
      </w:r>
      <w:r w:rsidR="0063286D">
        <w:rPr>
          <w:lang w:val="en-CA"/>
        </w:rPr>
        <w:t>since there was little conne</w:t>
      </w:r>
      <w:r w:rsidR="006163C5">
        <w:rPr>
          <w:lang w:val="en-CA"/>
        </w:rPr>
        <w:t>ction</w:t>
      </w:r>
      <w:r w:rsidR="0063286D">
        <w:rPr>
          <w:lang w:val="en-CA"/>
        </w:rPr>
        <w:t xml:space="preserve"> between this constitutional provision and the provisions of that act</w:t>
      </w:r>
      <w:r w:rsidR="00B534EC">
        <w:rPr>
          <w:lang w:val="en-CA"/>
        </w:rPr>
        <w:t>.</w:t>
      </w:r>
      <w:r w:rsidR="0063286D">
        <w:rPr>
          <w:rStyle w:val="Appelnotedebasdep"/>
        </w:rPr>
        <w:footnoteReference w:id="142"/>
      </w:r>
    </w:p>
    <w:p w14:paraId="17F5F2CE" w14:textId="7F6FE762" w:rsidR="00F75613" w:rsidRPr="000A0EA1" w:rsidRDefault="00B02E00" w:rsidP="00B255B8">
      <w:pPr>
        <w:pStyle w:val="Paragraphe"/>
        <w:spacing w:line="240" w:lineRule="auto"/>
        <w:rPr>
          <w:lang w:val="en-CA"/>
        </w:rPr>
      </w:pPr>
      <w:r w:rsidRPr="000A0EA1">
        <w:rPr>
          <w:lang w:val="en-CA"/>
        </w:rPr>
        <w:t xml:space="preserve">Section 23 of the </w:t>
      </w:r>
      <w:r w:rsidRPr="000A0EA1">
        <w:rPr>
          <w:i/>
          <w:iCs/>
          <w:lang w:val="en-CA"/>
        </w:rPr>
        <w:t xml:space="preserve">Charter </w:t>
      </w:r>
      <w:r w:rsidRPr="000A0EA1">
        <w:rPr>
          <w:lang w:val="en-CA"/>
        </w:rPr>
        <w:t>is both preventive and remedial in that it is meant to ensure, in each of the provinces and territories, the protection and development of the two official languages and the cultures they embrace.</w:t>
      </w:r>
      <w:r w:rsidRPr="000A0EA1">
        <w:rPr>
          <w:vertAlign w:val="superscript"/>
          <w:lang w:val="en-CA"/>
        </w:rPr>
        <w:footnoteReference w:id="143"/>
      </w:r>
      <w:r w:rsidRPr="000A0EA1">
        <w:rPr>
          <w:lang w:val="en-CA"/>
        </w:rPr>
        <w:t xml:space="preserve"> Indeed, it </w:t>
      </w:r>
      <w:r w:rsidR="00E46AFD">
        <w:rPr>
          <w:lang w:val="en-CA"/>
        </w:rPr>
        <w:t>“</w:t>
      </w:r>
      <w:r w:rsidRPr="000A0EA1">
        <w:rPr>
          <w:lang w:val="en-CA"/>
        </w:rPr>
        <w:t>is intended not only to prevent the erosion of official language communities, but also to redress past injustices and promote the development of those communities</w:t>
      </w:r>
      <w:r w:rsidR="00E46AFD">
        <w:rPr>
          <w:lang w:val="en-CA"/>
        </w:rPr>
        <w:t>”</w:t>
      </w:r>
      <w:r w:rsidRPr="000A0EA1">
        <w:rPr>
          <w:lang w:val="en-CA"/>
        </w:rPr>
        <w:t>.</w:t>
      </w:r>
      <w:r w:rsidRPr="000A0EA1">
        <w:rPr>
          <w:color w:val="000000"/>
          <w:szCs w:val="24"/>
          <w:vertAlign w:val="superscript"/>
          <w:lang w:val="en-CA"/>
        </w:rPr>
        <w:footnoteReference w:id="144"/>
      </w:r>
      <w:r w:rsidRPr="000A0EA1">
        <w:rPr>
          <w:lang w:val="en-CA"/>
        </w:rPr>
        <w:t xml:space="preserve"> In other words, it seeks to change the status quo</w:t>
      </w:r>
      <w:r w:rsidRPr="000A0EA1">
        <w:rPr>
          <w:color w:val="000000"/>
          <w:szCs w:val="24"/>
          <w:vertAlign w:val="superscript"/>
          <w:lang w:val="en-CA"/>
        </w:rPr>
        <w:footnoteReference w:id="145"/>
      </w:r>
      <w:r w:rsidRPr="000A0EA1">
        <w:rPr>
          <w:lang w:val="en-CA"/>
        </w:rPr>
        <w:t xml:space="preserve"> and </w:t>
      </w:r>
      <w:r w:rsidR="00E46AFD">
        <w:rPr>
          <w:lang w:val="en-CA"/>
        </w:rPr>
        <w:t>“</w:t>
      </w:r>
      <w:r w:rsidRPr="000A0EA1">
        <w:rPr>
          <w:lang w:val="en-CA"/>
        </w:rPr>
        <w:t>ensure the sustainability of the country</w:t>
      </w:r>
      <w:r w:rsidR="00E46AFD">
        <w:rPr>
          <w:lang w:val="en-CA"/>
        </w:rPr>
        <w:t>’</w:t>
      </w:r>
      <w:r w:rsidRPr="000A0EA1">
        <w:rPr>
          <w:lang w:val="en-CA"/>
        </w:rPr>
        <w:t>s linguistic communities</w:t>
      </w:r>
      <w:r w:rsidR="00E46AFD">
        <w:rPr>
          <w:lang w:val="en-CA"/>
        </w:rPr>
        <w:t>”</w:t>
      </w:r>
      <w:r w:rsidRPr="000A0EA1">
        <w:rPr>
          <w:lang w:val="en-CA"/>
        </w:rPr>
        <w:t xml:space="preserve"> while also making it possible for them </w:t>
      </w:r>
      <w:r w:rsidR="00E46AFD">
        <w:rPr>
          <w:lang w:val="en-CA"/>
        </w:rPr>
        <w:t>“</w:t>
      </w:r>
      <w:r w:rsidRPr="000A0EA1">
        <w:rPr>
          <w:lang w:val="en-CA"/>
        </w:rPr>
        <w:t>to develop in their own language and culture</w:t>
      </w:r>
      <w:r w:rsidR="00E46AFD">
        <w:rPr>
          <w:lang w:val="en-CA"/>
        </w:rPr>
        <w:t>”</w:t>
      </w:r>
      <w:r w:rsidRPr="000A0EA1">
        <w:rPr>
          <w:lang w:val="en-CA"/>
        </w:rPr>
        <w:t>.</w:t>
      </w:r>
      <w:r w:rsidRPr="000A0EA1">
        <w:rPr>
          <w:vertAlign w:val="superscript"/>
          <w:lang w:val="en-CA"/>
        </w:rPr>
        <w:footnoteReference w:id="146"/>
      </w:r>
      <w:r w:rsidRPr="000A0EA1">
        <w:rPr>
          <w:lang w:val="en-CA"/>
        </w:rPr>
        <w:t xml:space="preserve"> </w:t>
      </w:r>
    </w:p>
    <w:p w14:paraId="17F5F2CF" w14:textId="1B5176A6" w:rsidR="00F75613" w:rsidRPr="000A0EA1" w:rsidRDefault="00B02E00" w:rsidP="00B255B8">
      <w:pPr>
        <w:pStyle w:val="Paragraphe"/>
        <w:spacing w:line="240" w:lineRule="auto"/>
        <w:rPr>
          <w:lang w:val="en-CA"/>
        </w:rPr>
      </w:pPr>
      <w:r w:rsidRPr="000A0EA1">
        <w:rPr>
          <w:lang w:val="en-CA"/>
        </w:rPr>
        <w:lastRenderedPageBreak/>
        <w:t>Protection of the right to instruction in the minority official language is the means chosen to realize this objective. A well-established line of Supreme Court cases recognizes the fundamental role of education in preserving and encouraging linguistic and cultural vitality in the minority language community,</w:t>
      </w:r>
      <w:r w:rsidRPr="000A0EA1">
        <w:rPr>
          <w:vertAlign w:val="superscript"/>
          <w:lang w:val="en-CA"/>
        </w:rPr>
        <w:footnoteReference w:id="147"/>
      </w:r>
      <w:r w:rsidRPr="000A0EA1">
        <w:rPr>
          <w:lang w:val="en-CA"/>
        </w:rPr>
        <w:t xml:space="preserve"> as schools are </w:t>
      </w:r>
      <w:r w:rsidR="00E46AFD">
        <w:rPr>
          <w:lang w:val="en-CA"/>
        </w:rPr>
        <w:t>“</w:t>
      </w:r>
      <w:r w:rsidRPr="000A0EA1">
        <w:rPr>
          <w:lang w:val="en-CA"/>
        </w:rPr>
        <w:t>a setting for socialization where students can converse with one another and develop their potential in their own language and, in using it, familiarize themselves with their culture</w:t>
      </w:r>
      <w:r w:rsidR="00E46AFD">
        <w:rPr>
          <w:lang w:val="en-CA"/>
        </w:rPr>
        <w:t>”</w:t>
      </w:r>
      <w:r w:rsidRPr="000A0EA1">
        <w:rPr>
          <w:lang w:val="en-CA"/>
        </w:rPr>
        <w:t>.</w:t>
      </w:r>
      <w:r w:rsidRPr="000A0EA1">
        <w:rPr>
          <w:vertAlign w:val="superscript"/>
          <w:lang w:val="en-CA"/>
        </w:rPr>
        <w:footnoteReference w:id="148"/>
      </w:r>
      <w:r w:rsidRPr="000A0EA1">
        <w:rPr>
          <w:lang w:val="en-CA"/>
        </w:rPr>
        <w:t xml:space="preserve"> Minority language schools also play a vital role in fulfilling the promise contained in </w:t>
      </w:r>
      <w:r w:rsidR="0062160E">
        <w:rPr>
          <w:lang w:val="en-CA"/>
        </w:rPr>
        <w:t>s. 2</w:t>
      </w:r>
      <w:r w:rsidRPr="000A0EA1">
        <w:rPr>
          <w:lang w:val="en-CA"/>
        </w:rPr>
        <w:t xml:space="preserve">3 – namely, to </w:t>
      </w:r>
      <w:r w:rsidR="00E46AFD">
        <w:rPr>
          <w:lang w:val="en-CA"/>
        </w:rPr>
        <w:t>“</w:t>
      </w:r>
      <w:r w:rsidRPr="000A0EA1">
        <w:rPr>
          <w:lang w:val="en-CA"/>
        </w:rPr>
        <w:t>give effect to the equal partnership of the two official language groups in the context of education</w:t>
      </w:r>
      <w:r w:rsidR="00E46AFD">
        <w:rPr>
          <w:lang w:val="en-CA"/>
        </w:rPr>
        <w:t>”</w:t>
      </w:r>
      <w:r w:rsidRPr="000A0EA1">
        <w:rPr>
          <w:lang w:val="en-CA"/>
        </w:rPr>
        <w:t>.</w:t>
      </w:r>
      <w:r w:rsidRPr="000A0EA1">
        <w:rPr>
          <w:color w:val="000000"/>
          <w:vertAlign w:val="superscript"/>
          <w:lang w:val="en-CA"/>
        </w:rPr>
        <w:footnoteReference w:id="149"/>
      </w:r>
    </w:p>
    <w:p w14:paraId="17F5F2D0" w14:textId="2FF2B215" w:rsidR="00F75613" w:rsidRPr="000A0EA1" w:rsidRDefault="00B02E00" w:rsidP="00B255B8">
      <w:pPr>
        <w:pStyle w:val="Paragraphe"/>
        <w:spacing w:line="240" w:lineRule="auto"/>
        <w:rPr>
          <w:lang w:val="en-CA"/>
        </w:rPr>
      </w:pPr>
      <w:r w:rsidRPr="000A0EA1">
        <w:rPr>
          <w:lang w:val="en-CA"/>
        </w:rPr>
        <w:t xml:space="preserve">Moreover, </w:t>
      </w:r>
      <w:r w:rsidR="0062160E">
        <w:rPr>
          <w:lang w:val="en-CA"/>
        </w:rPr>
        <w:t>s. 2</w:t>
      </w:r>
      <w:r w:rsidRPr="000A0EA1">
        <w:rPr>
          <w:lang w:val="en-CA"/>
        </w:rPr>
        <w:t xml:space="preserve">3 has a unifying purpose </w:t>
      </w:r>
      <w:r w:rsidR="00E46AFD">
        <w:rPr>
          <w:lang w:val="en-CA"/>
        </w:rPr>
        <w:t>“</w:t>
      </w:r>
      <w:r w:rsidRPr="000A0EA1">
        <w:rPr>
          <w:lang w:val="en-CA"/>
        </w:rPr>
        <w:t>in that it accommodates mobility by enabling citizens to move anywhere in the country without fearing that they will have to abandon their language and culture</w:t>
      </w:r>
      <w:r w:rsidR="00E46AFD">
        <w:rPr>
          <w:lang w:val="en-CA"/>
        </w:rPr>
        <w:t>”</w:t>
      </w:r>
      <w:r w:rsidRPr="000A0EA1">
        <w:rPr>
          <w:lang w:val="en-CA"/>
        </w:rPr>
        <w:t>.</w:t>
      </w:r>
      <w:r w:rsidRPr="000A0EA1">
        <w:rPr>
          <w:vertAlign w:val="superscript"/>
          <w:lang w:val="en-CA"/>
        </w:rPr>
        <w:footnoteReference w:id="150"/>
      </w:r>
    </w:p>
    <w:p w14:paraId="17F5F2D1" w14:textId="266AC9C9" w:rsidR="00F75613" w:rsidRPr="000A0EA1" w:rsidRDefault="00B02E00" w:rsidP="00B255B8">
      <w:pPr>
        <w:pStyle w:val="Paragraphe"/>
        <w:spacing w:line="240" w:lineRule="auto"/>
        <w:rPr>
          <w:lang w:val="en-CA"/>
        </w:rPr>
      </w:pPr>
      <w:r w:rsidRPr="000A0EA1">
        <w:rPr>
          <w:lang w:val="en-CA"/>
        </w:rPr>
        <w:t>Section 23, which is an essential component in Canada</w:t>
      </w:r>
      <w:r w:rsidR="00E46AFD">
        <w:rPr>
          <w:lang w:val="en-CA"/>
        </w:rPr>
        <w:t>’</w:t>
      </w:r>
      <w:r w:rsidRPr="000A0EA1">
        <w:rPr>
          <w:lang w:val="en-CA"/>
        </w:rPr>
        <w:t xml:space="preserve">s constitutional protection of the official languages, has been described as the </w:t>
      </w:r>
      <w:r w:rsidR="00E46AFD">
        <w:rPr>
          <w:lang w:val="en-CA"/>
        </w:rPr>
        <w:t>“</w:t>
      </w:r>
      <w:r w:rsidRPr="000A0EA1">
        <w:rPr>
          <w:lang w:val="en-CA"/>
        </w:rPr>
        <w:t>linchpin in [Canada]</w:t>
      </w:r>
      <w:r w:rsidR="00E46AFD">
        <w:rPr>
          <w:lang w:val="en-CA"/>
        </w:rPr>
        <w:t>’</w:t>
      </w:r>
      <w:r w:rsidRPr="000A0EA1">
        <w:rPr>
          <w:lang w:val="en-CA"/>
        </w:rPr>
        <w:t>s commitment to the values of bilingualism and biculturalism</w:t>
      </w:r>
      <w:r w:rsidR="00E46AFD">
        <w:rPr>
          <w:lang w:val="en-CA"/>
        </w:rPr>
        <w:t>”</w:t>
      </w:r>
      <w:r w:rsidRPr="000A0EA1">
        <w:rPr>
          <w:lang w:val="en-CA"/>
        </w:rPr>
        <w:t>.</w:t>
      </w:r>
      <w:r w:rsidRPr="000A0EA1">
        <w:rPr>
          <w:vertAlign w:val="superscript"/>
          <w:lang w:val="en-CA"/>
        </w:rPr>
        <w:footnoteReference w:id="151"/>
      </w:r>
      <w:r w:rsidRPr="000A0EA1">
        <w:rPr>
          <w:lang w:val="en-CA"/>
        </w:rPr>
        <w:t xml:space="preserve"> Indeed, the Supreme Court has repeatedly stated that </w:t>
      </w:r>
      <w:r w:rsidR="0062160E">
        <w:rPr>
          <w:lang w:val="en-CA"/>
        </w:rPr>
        <w:t>s. 2</w:t>
      </w:r>
      <w:r w:rsidRPr="000A0EA1">
        <w:rPr>
          <w:lang w:val="en-CA"/>
        </w:rPr>
        <w:t>3 is a unique provision, peculiar to Canada,</w:t>
      </w:r>
      <w:r w:rsidRPr="000A0EA1">
        <w:rPr>
          <w:vertAlign w:val="superscript"/>
          <w:lang w:val="en-CA"/>
        </w:rPr>
        <w:footnoteReference w:id="152"/>
      </w:r>
      <w:r w:rsidRPr="000A0EA1">
        <w:rPr>
          <w:lang w:val="en-CA"/>
        </w:rPr>
        <w:t xml:space="preserve"> which </w:t>
      </w:r>
      <w:r w:rsidR="00E46AFD">
        <w:rPr>
          <w:lang w:val="en-CA"/>
        </w:rPr>
        <w:t>“</w:t>
      </w:r>
      <w:r w:rsidRPr="000A0EA1">
        <w:rPr>
          <w:lang w:val="en-CA"/>
        </w:rPr>
        <w:t>is unlike those generally found in charters and declarations of fundamental rights</w:t>
      </w:r>
      <w:r w:rsidR="00E46AFD">
        <w:rPr>
          <w:lang w:val="en-CA"/>
        </w:rPr>
        <w:t>”</w:t>
      </w:r>
      <w:r w:rsidRPr="000A0EA1">
        <w:rPr>
          <w:lang w:val="en-CA"/>
        </w:rPr>
        <w:t>.</w:t>
      </w:r>
      <w:r w:rsidRPr="000A0EA1">
        <w:rPr>
          <w:vertAlign w:val="superscript"/>
          <w:lang w:val="en-CA"/>
        </w:rPr>
        <w:footnoteReference w:id="153"/>
      </w:r>
      <w:r w:rsidRPr="000A0EA1">
        <w:rPr>
          <w:lang w:val="en-CA"/>
        </w:rPr>
        <w:t xml:space="preserve"> A particular feature of </w:t>
      </w:r>
      <w:r w:rsidR="0062160E">
        <w:rPr>
          <w:lang w:val="en-CA"/>
        </w:rPr>
        <w:t>s. 2</w:t>
      </w:r>
      <w:r w:rsidRPr="000A0EA1">
        <w:rPr>
          <w:lang w:val="en-CA"/>
        </w:rPr>
        <w:t xml:space="preserve">3 is that, unlike other constitutional provisions that impose only negative </w:t>
      </w:r>
      <w:r w:rsidRPr="000A0EA1">
        <w:rPr>
          <w:lang w:val="en-CA"/>
        </w:rPr>
        <w:lastRenderedPageBreak/>
        <w:t>obligations, it imposes positive obligations on the state.</w:t>
      </w:r>
      <w:r w:rsidRPr="000A0EA1">
        <w:rPr>
          <w:vertAlign w:val="superscript"/>
          <w:lang w:val="en-CA"/>
        </w:rPr>
        <w:footnoteReference w:id="154"/>
      </w:r>
      <w:r w:rsidRPr="000A0EA1">
        <w:rPr>
          <w:lang w:val="en-CA"/>
        </w:rPr>
        <w:t xml:space="preserve"> It enshrines the constitutional duty of the provinces and territories to provide minority language education to children of </w:t>
      </w:r>
      <w:r w:rsidR="0062160E">
        <w:rPr>
          <w:lang w:val="en-CA"/>
        </w:rPr>
        <w:t>s. 2</w:t>
      </w:r>
      <w:r w:rsidRPr="000A0EA1">
        <w:rPr>
          <w:lang w:val="en-CA"/>
        </w:rPr>
        <w:t>3 rights holders where numbers warrant.</w:t>
      </w:r>
      <w:r w:rsidRPr="000A0EA1">
        <w:rPr>
          <w:vertAlign w:val="superscript"/>
          <w:lang w:val="en-CA"/>
        </w:rPr>
        <w:footnoteReference w:id="155"/>
      </w:r>
      <w:r w:rsidRPr="000A0EA1">
        <w:rPr>
          <w:lang w:val="en-CA"/>
        </w:rPr>
        <w:t xml:space="preserve"> It places on provincial and territorial governments </w:t>
      </w:r>
      <w:r w:rsidR="00E46AFD">
        <w:rPr>
          <w:lang w:val="en-CA"/>
        </w:rPr>
        <w:t>“</w:t>
      </w:r>
      <w:r w:rsidRPr="000A0EA1">
        <w:rPr>
          <w:lang w:val="en-CA"/>
        </w:rPr>
        <w:t>positive obligations [...] to mobilize resources and enact legislation for the development of major institutional structures</w:t>
      </w:r>
      <w:r w:rsidR="00E46AFD">
        <w:rPr>
          <w:lang w:val="en-CA"/>
        </w:rPr>
        <w:t>”</w:t>
      </w:r>
      <w:r w:rsidRPr="000A0EA1">
        <w:rPr>
          <w:lang w:val="en-CA"/>
        </w:rPr>
        <w:t>.</w:t>
      </w:r>
      <w:r w:rsidRPr="000A0EA1">
        <w:rPr>
          <w:vertAlign w:val="superscript"/>
          <w:lang w:val="en-CA"/>
        </w:rPr>
        <w:footnoteReference w:id="156"/>
      </w:r>
      <w:r w:rsidRPr="000A0EA1">
        <w:rPr>
          <w:lang w:val="en-CA"/>
        </w:rPr>
        <w:t xml:space="preserve"> Nonetheless, the state must </w:t>
      </w:r>
      <w:r w:rsidR="00E46AFD">
        <w:rPr>
          <w:lang w:val="en-CA"/>
        </w:rPr>
        <w:t>“</w:t>
      </w:r>
      <w:r w:rsidRPr="000A0EA1">
        <w:rPr>
          <w:lang w:val="en-CA"/>
        </w:rPr>
        <w:t xml:space="preserve">have the widest possible discretion in selecting the institutional means by which its </w:t>
      </w:r>
      <w:r w:rsidR="0062160E">
        <w:rPr>
          <w:lang w:val="en-CA"/>
        </w:rPr>
        <w:t>s. 2</w:t>
      </w:r>
      <w:r w:rsidRPr="000A0EA1">
        <w:rPr>
          <w:lang w:val="en-CA"/>
        </w:rPr>
        <w:t>3 obligations are to be met</w:t>
      </w:r>
      <w:r w:rsidR="00E46AFD">
        <w:rPr>
          <w:lang w:val="en-CA"/>
        </w:rPr>
        <w:t>”</w:t>
      </w:r>
      <w:r w:rsidRPr="000A0EA1">
        <w:rPr>
          <w:lang w:val="en-CA"/>
        </w:rPr>
        <w:t>.</w:t>
      </w:r>
      <w:r w:rsidRPr="000A0EA1">
        <w:rPr>
          <w:color w:val="000000"/>
          <w:vertAlign w:val="superscript"/>
          <w:lang w:val="en-CA"/>
        </w:rPr>
        <w:footnoteReference w:id="157"/>
      </w:r>
    </w:p>
    <w:p w14:paraId="17F5F2D2" w14:textId="242ADE0B" w:rsidR="00F75613" w:rsidRPr="000A0EA1" w:rsidRDefault="00B02E00" w:rsidP="00B255B8">
      <w:pPr>
        <w:pStyle w:val="Paragraphe"/>
        <w:spacing w:line="240" w:lineRule="auto"/>
        <w:rPr>
          <w:lang w:val="en-CA"/>
        </w:rPr>
      </w:pPr>
      <w:r w:rsidRPr="000A0EA1">
        <w:rPr>
          <w:lang w:val="en-CA"/>
        </w:rPr>
        <w:t xml:space="preserve">From the earliest decisions on the interpretation of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Canadian appellate courts recognized that this provision confers on the linguistic minority the exclusive right</w:t>
      </w:r>
      <w:r w:rsidR="00AF0FB6">
        <w:rPr>
          <w:lang w:val="en-CA"/>
        </w:rPr>
        <w:t>s</w:t>
      </w:r>
      <w:r w:rsidRPr="000A0EA1">
        <w:rPr>
          <w:lang w:val="en-CA"/>
        </w:rPr>
        <w:t xml:space="preserve"> to manage and control its educational facilities where the number of children concerned so warrants. In 1987, in </w:t>
      </w:r>
      <w:proofErr w:type="spellStart"/>
      <w:r w:rsidRPr="000A0EA1">
        <w:rPr>
          <w:i/>
          <w:iCs/>
          <w:lang w:val="en-CA"/>
        </w:rPr>
        <w:t>Mahe</w:t>
      </w:r>
      <w:proofErr w:type="spellEnd"/>
      <w:r w:rsidRPr="000A0EA1">
        <w:rPr>
          <w:lang w:val="en-CA"/>
        </w:rPr>
        <w:t>, the Alberta Court of Appeal expressed itself as follows:</w:t>
      </w:r>
      <w:r w:rsidRPr="000A0EA1">
        <w:rPr>
          <w:vertAlign w:val="superscript"/>
          <w:lang w:val="en-CA"/>
        </w:rPr>
        <w:footnoteReference w:id="158"/>
      </w:r>
    </w:p>
    <w:p w14:paraId="17F5F2D3" w14:textId="0DB1D5EB"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bookmarkStart w:id="53" w:name="par96"/>
      <w:r w:rsidRPr="000A0EA1">
        <w:rPr>
          <w:kern w:val="24"/>
          <w:sz w:val="22"/>
          <w:lang w:val="en-CA"/>
        </w:rPr>
        <w:t>96</w:t>
      </w:r>
      <w:bookmarkEnd w:id="53"/>
      <w:r w:rsidRPr="000A0EA1">
        <w:rPr>
          <w:kern w:val="24"/>
          <w:sz w:val="22"/>
          <w:lang w:val="en-CA"/>
        </w:rPr>
        <w:t>]</w:t>
      </w:r>
      <w:r w:rsidRPr="000A0EA1">
        <w:rPr>
          <w:kern w:val="24"/>
          <w:sz w:val="14"/>
          <w:szCs w:val="14"/>
          <w:lang w:val="en-CA"/>
        </w:rPr>
        <w:tab/>
      </w:r>
      <w:r w:rsidRPr="000A0EA1">
        <w:rPr>
          <w:kern w:val="24"/>
          <w:sz w:val="22"/>
          <w:lang w:val="en-CA"/>
        </w:rPr>
        <w:t xml:space="preserve">In my view, </w:t>
      </w:r>
      <w:r w:rsidR="0062160E">
        <w:rPr>
          <w:kern w:val="24"/>
          <w:sz w:val="22"/>
          <w:lang w:val="en-CA"/>
        </w:rPr>
        <w:t>s. 2</w:t>
      </w:r>
      <w:r w:rsidRPr="000A0EA1">
        <w:rPr>
          <w:kern w:val="24"/>
          <w:sz w:val="22"/>
          <w:lang w:val="en-CA"/>
        </w:rPr>
        <w:t xml:space="preserve">3(3)(b) guarantees to </w:t>
      </w:r>
      <w:r w:rsidR="0062160E">
        <w:rPr>
          <w:kern w:val="24"/>
          <w:sz w:val="22"/>
          <w:lang w:val="en-CA"/>
        </w:rPr>
        <w:t>s. 2</w:t>
      </w:r>
      <w:r w:rsidRPr="000A0EA1">
        <w:rPr>
          <w:kern w:val="24"/>
          <w:sz w:val="22"/>
          <w:lang w:val="en-CA"/>
        </w:rPr>
        <w:t xml:space="preserve">3 students, where numbers warrant, an educational system (with all its complexity and cost) that not only offers the same quality of education as other systems </w:t>
      </w:r>
      <w:r w:rsidRPr="000A0EA1">
        <w:rPr>
          <w:kern w:val="24"/>
          <w:sz w:val="22"/>
          <w:u w:val="single"/>
          <w:lang w:val="en-CA"/>
        </w:rPr>
        <w:t>but is run by the minority language group or its representatives</w:t>
      </w:r>
      <w:r w:rsidRPr="000A0EA1">
        <w:rPr>
          <w:kern w:val="24"/>
          <w:sz w:val="22"/>
          <w:lang w:val="en-CA"/>
        </w:rPr>
        <w:t>. To that extent, I disagree with the learned trial judge.</w:t>
      </w:r>
    </w:p>
    <w:p w14:paraId="17F5F2D4" w14:textId="77777777"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p>
    <w:p w14:paraId="17F5F2D5" w14:textId="1123B3A0"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w:t>
      </w:r>
      <w:bookmarkStart w:id="54" w:name="par104"/>
      <w:r w:rsidRPr="000A0EA1">
        <w:rPr>
          <w:kern w:val="24"/>
          <w:sz w:val="22"/>
          <w:lang w:val="en-CA"/>
        </w:rPr>
        <w:t>104</w:t>
      </w:r>
      <w:bookmarkEnd w:id="54"/>
      <w:r w:rsidRPr="000A0EA1">
        <w:rPr>
          <w:kern w:val="24"/>
          <w:sz w:val="22"/>
          <w:lang w:val="en-CA"/>
        </w:rPr>
        <w:t>]</w:t>
      </w:r>
      <w:r w:rsidRPr="000A0EA1">
        <w:rPr>
          <w:kern w:val="24"/>
          <w:sz w:val="14"/>
          <w:szCs w:val="14"/>
          <w:lang w:val="en-CA"/>
        </w:rPr>
        <w:tab/>
      </w:r>
      <w:r w:rsidRPr="000A0EA1">
        <w:rPr>
          <w:kern w:val="24"/>
          <w:sz w:val="22"/>
          <w:lang w:val="en-CA"/>
        </w:rPr>
        <w:t xml:space="preserve">I therefore conclude that </w:t>
      </w:r>
      <w:r w:rsidR="0062160E">
        <w:rPr>
          <w:kern w:val="24"/>
          <w:sz w:val="22"/>
          <w:u w:val="single"/>
          <w:lang w:val="en-CA"/>
        </w:rPr>
        <w:t>s. 2</w:t>
      </w:r>
      <w:r w:rsidRPr="000A0EA1">
        <w:rPr>
          <w:kern w:val="24"/>
          <w:sz w:val="22"/>
          <w:u w:val="single"/>
          <w:lang w:val="en-CA"/>
        </w:rPr>
        <w:t>3(3)(b) offers the minority</w:t>
      </w:r>
      <w:r w:rsidR="006932D8">
        <w:rPr>
          <w:kern w:val="24"/>
          <w:sz w:val="22"/>
          <w:u w:val="single"/>
          <w:lang w:val="en-CA"/>
        </w:rPr>
        <w:t>-</w:t>
      </w:r>
      <w:r w:rsidRPr="000A0EA1">
        <w:rPr>
          <w:kern w:val="24"/>
          <w:sz w:val="22"/>
          <w:u w:val="single"/>
          <w:lang w:val="en-CA"/>
        </w:rPr>
        <w:t>language group the right, where numbers warrant, to establish and control an independent school system, but that a province shall select the institutional means by which that right will be implemented</w:t>
      </w:r>
      <w:r w:rsidRPr="000A0EA1">
        <w:rPr>
          <w:kern w:val="24"/>
          <w:sz w:val="22"/>
          <w:lang w:val="en-CA"/>
        </w:rPr>
        <w:t>.</w:t>
      </w:r>
    </w:p>
    <w:p w14:paraId="17F5F2D6" w14:textId="7135421F" w:rsidR="00F75613" w:rsidRPr="000A0EA1" w:rsidRDefault="00403CE7" w:rsidP="00B255B8">
      <w:pPr>
        <w:spacing w:after="120" w:line="240" w:lineRule="auto"/>
        <w:ind w:left="720" w:right="720"/>
        <w:jc w:val="right"/>
        <w:rPr>
          <w:kern w:val="24"/>
          <w:sz w:val="22"/>
          <w:lang w:val="en-CA"/>
        </w:rPr>
      </w:pPr>
      <w:r>
        <w:rPr>
          <w:kern w:val="24"/>
          <w:sz w:val="22"/>
          <w:lang w:val="en-CA"/>
        </w:rPr>
        <w:t>(</w:t>
      </w:r>
      <w:r w:rsidR="00B02E00" w:rsidRPr="000A0EA1">
        <w:rPr>
          <w:kern w:val="24"/>
          <w:sz w:val="22"/>
          <w:lang w:val="en-CA"/>
        </w:rPr>
        <w:t>Underlining added</w:t>
      </w:r>
      <w:r>
        <w:rPr>
          <w:kern w:val="24"/>
          <w:sz w:val="22"/>
          <w:lang w:val="en-CA"/>
        </w:rPr>
        <w:t>)</w:t>
      </w:r>
    </w:p>
    <w:p w14:paraId="17F5F2D7" w14:textId="02E5BDF1" w:rsidR="00F75613" w:rsidRPr="000A0EA1" w:rsidRDefault="00B02E00" w:rsidP="00B255B8">
      <w:pPr>
        <w:pStyle w:val="Paragraphe"/>
        <w:spacing w:line="240" w:lineRule="auto"/>
        <w:rPr>
          <w:lang w:val="en-CA"/>
        </w:rPr>
      </w:pPr>
      <w:r w:rsidRPr="000A0EA1">
        <w:rPr>
          <w:lang w:val="en-CA"/>
        </w:rPr>
        <w:t>As Dickson,</w:t>
      </w:r>
      <w:r w:rsidR="00F34D01">
        <w:rPr>
          <w:lang w:val="en-CA"/>
        </w:rPr>
        <w:t> </w:t>
      </w:r>
      <w:r w:rsidRPr="000A0EA1">
        <w:rPr>
          <w:lang w:val="en-CA"/>
        </w:rPr>
        <w:t xml:space="preserve">C.J. noted in </w:t>
      </w:r>
      <w:proofErr w:type="spellStart"/>
      <w:r w:rsidRPr="000A0EA1">
        <w:rPr>
          <w:i/>
          <w:iCs/>
          <w:lang w:val="en-CA"/>
        </w:rPr>
        <w:t>Mahe</w:t>
      </w:r>
      <w:proofErr w:type="spellEnd"/>
      <w:r w:rsidRPr="000A0EA1">
        <w:rPr>
          <w:lang w:val="en-CA"/>
        </w:rPr>
        <w:t>, courts in Ontario, Saskatchewan, Nova Scotia and Prince Edward Island had reached similar conclusions.</w:t>
      </w:r>
      <w:r w:rsidRPr="000A0EA1">
        <w:rPr>
          <w:vertAlign w:val="superscript"/>
          <w:lang w:val="en-CA"/>
        </w:rPr>
        <w:footnoteReference w:id="159"/>
      </w:r>
      <w:r w:rsidRPr="000A0EA1">
        <w:rPr>
          <w:lang w:val="en-CA"/>
        </w:rPr>
        <w:t xml:space="preserve"> I</w:t>
      </w:r>
      <w:r w:rsidR="00713F89">
        <w:rPr>
          <w:lang w:val="en-CA"/>
        </w:rPr>
        <w:t>n taking into account</w:t>
      </w:r>
      <w:r w:rsidRPr="000A0EA1">
        <w:rPr>
          <w:lang w:val="en-CA"/>
        </w:rPr>
        <w:t xml:space="preserve"> this judicial consensus</w:t>
      </w:r>
      <w:r w:rsidR="00713F89">
        <w:rPr>
          <w:lang w:val="en-CA"/>
        </w:rPr>
        <w:t>,</w:t>
      </w:r>
      <w:r w:rsidRPr="000A0EA1">
        <w:rPr>
          <w:lang w:val="en-CA"/>
        </w:rPr>
        <w:t xml:space="preserve"> </w:t>
      </w:r>
      <w:r w:rsidR="00B534EC">
        <w:rPr>
          <w:lang w:val="en-CA"/>
        </w:rPr>
        <w:t>he</w:t>
      </w:r>
      <w:r w:rsidRPr="000A0EA1">
        <w:rPr>
          <w:lang w:val="en-CA"/>
        </w:rPr>
        <w:t xml:space="preserve"> concluded, </w:t>
      </w:r>
      <w:bookmarkStart w:id="56" w:name="_Hlk186977044"/>
      <w:r w:rsidRPr="000A0EA1">
        <w:rPr>
          <w:lang w:val="en-CA"/>
        </w:rPr>
        <w:t xml:space="preserve">for a unanimous Supreme Court, </w:t>
      </w:r>
      <w:bookmarkEnd w:id="56"/>
      <w:r w:rsidRPr="000A0EA1">
        <w:rPr>
          <w:lang w:val="en-CA"/>
        </w:rPr>
        <w:t xml:space="preserve">that, where the </w:t>
      </w:r>
      <w:r w:rsidRPr="000A0EA1">
        <w:rPr>
          <w:lang w:val="en-CA"/>
        </w:rPr>
        <w:lastRenderedPageBreak/>
        <w:t xml:space="preserve">number of children is significant enough to warrant it, </w:t>
      </w:r>
      <w:r w:rsidR="0062160E">
        <w:rPr>
          <w:lang w:val="en-CA"/>
        </w:rPr>
        <w:t>s. 2</w:t>
      </w:r>
      <w:r w:rsidRPr="000A0EA1">
        <w:rPr>
          <w:lang w:val="en-CA"/>
        </w:rPr>
        <w:t>3(3)(</w:t>
      </w:r>
      <w:r w:rsidRPr="000A0EA1">
        <w:rPr>
          <w:i/>
          <w:iCs/>
          <w:lang w:val="en-CA"/>
        </w:rPr>
        <w:t>b</w:t>
      </w:r>
      <w:r w:rsidRPr="000A0EA1">
        <w:rPr>
          <w:lang w:val="en-CA"/>
        </w:rPr>
        <w:t xml:space="preserve">) sets out an </w:t>
      </w:r>
      <w:r w:rsidRPr="000A0EA1">
        <w:rPr>
          <w:u w:val="single"/>
          <w:lang w:val="en-CA"/>
        </w:rPr>
        <w:t>upper</w:t>
      </w:r>
      <w:r w:rsidRPr="000A0EA1">
        <w:rPr>
          <w:lang w:val="en-CA"/>
        </w:rPr>
        <w:t xml:space="preserve"> level of management and control by the linguistic minority:</w:t>
      </w:r>
      <w:r w:rsidRPr="000A0EA1">
        <w:rPr>
          <w:vertAlign w:val="superscript"/>
          <w:lang w:val="en-CA"/>
        </w:rPr>
        <w:footnoteReference w:id="160"/>
      </w:r>
    </w:p>
    <w:p w14:paraId="17F5F2D8" w14:textId="27160DD7" w:rsidR="00F75613" w:rsidRPr="000A0EA1" w:rsidRDefault="00B02E00" w:rsidP="00B255B8">
      <w:pPr>
        <w:spacing w:before="120" w:after="120" w:line="240" w:lineRule="auto"/>
        <w:ind w:left="720" w:right="720" w:firstLine="720"/>
        <w:jc w:val="both"/>
        <w:rPr>
          <w:kern w:val="24"/>
          <w:sz w:val="22"/>
          <w:u w:val="single"/>
          <w:lang w:val="en-CA"/>
        </w:rPr>
      </w:pPr>
      <w:r w:rsidRPr="000A0EA1">
        <w:rPr>
          <w:kern w:val="24"/>
          <w:sz w:val="22"/>
          <w:lang w:val="en-CA"/>
        </w:rPr>
        <w:t xml:space="preserve">In my view, the words of </w:t>
      </w:r>
      <w:r w:rsidR="0062160E">
        <w:rPr>
          <w:kern w:val="24"/>
          <w:sz w:val="22"/>
          <w:lang w:val="en-CA"/>
        </w:rPr>
        <w:t>s. 2</w:t>
      </w:r>
      <w:r w:rsidRPr="000A0EA1">
        <w:rPr>
          <w:kern w:val="24"/>
          <w:sz w:val="22"/>
          <w:lang w:val="en-CA"/>
        </w:rPr>
        <w:t xml:space="preserve">3(3)(b) are consistent with and supportive of the conclusion that </w:t>
      </w:r>
      <w:r w:rsidR="0062160E">
        <w:rPr>
          <w:kern w:val="24"/>
          <w:sz w:val="22"/>
          <w:lang w:val="en-CA"/>
        </w:rPr>
        <w:t>s. 2</w:t>
      </w:r>
      <w:r w:rsidRPr="000A0EA1">
        <w:rPr>
          <w:kern w:val="24"/>
          <w:sz w:val="22"/>
          <w:lang w:val="en-CA"/>
        </w:rPr>
        <w:t>3 mandates, where the numbers warrant, a measure of management and control.</w:t>
      </w:r>
      <w:r w:rsidR="00AC60FF">
        <w:rPr>
          <w:kern w:val="24"/>
          <w:sz w:val="22"/>
          <w:lang w:val="en-CA"/>
        </w:rPr>
        <w:t xml:space="preserve"> </w:t>
      </w:r>
      <w:r w:rsidRPr="000A0EA1">
        <w:rPr>
          <w:kern w:val="24"/>
          <w:sz w:val="22"/>
          <w:lang w:val="en-CA"/>
        </w:rPr>
        <w:t>Consider, first, the words of subs. (3)(b) in the context of the entire section.</w:t>
      </w:r>
      <w:r w:rsidR="00AC60FF">
        <w:rPr>
          <w:kern w:val="24"/>
          <w:sz w:val="22"/>
          <w:lang w:val="en-CA"/>
        </w:rPr>
        <w:t xml:space="preserve"> </w:t>
      </w:r>
      <w:r w:rsidRPr="000A0EA1">
        <w:rPr>
          <w:kern w:val="24"/>
          <w:sz w:val="22"/>
          <w:lang w:val="en-CA"/>
        </w:rPr>
        <w:t xml:space="preserve">Instruction must take place somewhere and accordingly the right to </w:t>
      </w:r>
      <w:r w:rsidR="00E46AFD">
        <w:rPr>
          <w:kern w:val="24"/>
          <w:sz w:val="22"/>
          <w:lang w:val="en-CA"/>
        </w:rPr>
        <w:t>“</w:t>
      </w:r>
      <w:r w:rsidRPr="000A0EA1">
        <w:rPr>
          <w:kern w:val="24"/>
          <w:sz w:val="22"/>
          <w:lang w:val="en-CA"/>
        </w:rPr>
        <w:t>instruction</w:t>
      </w:r>
      <w:r w:rsidR="00E46AFD">
        <w:rPr>
          <w:kern w:val="24"/>
          <w:sz w:val="22"/>
          <w:lang w:val="en-CA"/>
        </w:rPr>
        <w:t>”</w:t>
      </w:r>
      <w:r w:rsidRPr="000A0EA1">
        <w:rPr>
          <w:kern w:val="24"/>
          <w:sz w:val="22"/>
          <w:lang w:val="en-CA"/>
        </w:rPr>
        <w:t xml:space="preserve"> includes an implicit right to be instructed in facilities.</w:t>
      </w:r>
      <w:r w:rsidR="00AC60FF">
        <w:rPr>
          <w:kern w:val="24"/>
          <w:sz w:val="22"/>
          <w:lang w:val="en-CA"/>
        </w:rPr>
        <w:t xml:space="preserve"> </w:t>
      </w:r>
      <w:r w:rsidRPr="000A0EA1">
        <w:rPr>
          <w:kern w:val="24"/>
          <w:sz w:val="22"/>
          <w:lang w:val="en-CA"/>
        </w:rPr>
        <w:t xml:space="preserve">If the term </w:t>
      </w:r>
      <w:r w:rsidR="00E46AFD">
        <w:rPr>
          <w:kern w:val="24"/>
          <w:sz w:val="22"/>
          <w:lang w:val="en-CA"/>
        </w:rPr>
        <w:t>“</w:t>
      </w:r>
      <w:r w:rsidRPr="000A0EA1">
        <w:rPr>
          <w:kern w:val="24"/>
          <w:sz w:val="22"/>
          <w:lang w:val="en-CA"/>
        </w:rPr>
        <w:t>minority language educational facilities</w:t>
      </w:r>
      <w:r w:rsidR="00E46AFD">
        <w:rPr>
          <w:kern w:val="24"/>
          <w:sz w:val="22"/>
          <w:lang w:val="en-CA"/>
        </w:rPr>
        <w:t>”</w:t>
      </w:r>
      <w:r w:rsidRPr="000A0EA1">
        <w:rPr>
          <w:kern w:val="24"/>
          <w:sz w:val="22"/>
          <w:lang w:val="en-CA"/>
        </w:rPr>
        <w:t xml:space="preserve"> is not viewed as encompassing a degree of management and control, then there would not appear to be any purpose in including it in </w:t>
      </w:r>
      <w:r w:rsidR="0062160E">
        <w:rPr>
          <w:kern w:val="24"/>
          <w:sz w:val="22"/>
          <w:lang w:val="en-CA"/>
        </w:rPr>
        <w:t>s. 2</w:t>
      </w:r>
      <w:r w:rsidRPr="000A0EA1">
        <w:rPr>
          <w:kern w:val="24"/>
          <w:sz w:val="22"/>
          <w:lang w:val="en-CA"/>
        </w:rPr>
        <w:t>3.</w:t>
      </w:r>
      <w:r w:rsidR="00AC60FF">
        <w:rPr>
          <w:kern w:val="24"/>
          <w:sz w:val="22"/>
          <w:lang w:val="en-CA"/>
        </w:rPr>
        <w:t xml:space="preserve"> </w:t>
      </w:r>
      <w:r w:rsidRPr="000A0EA1">
        <w:rPr>
          <w:kern w:val="24"/>
          <w:sz w:val="22"/>
          <w:lang w:val="en-CA"/>
        </w:rPr>
        <w:t xml:space="preserve">This common sense conclusion militates against interpreting </w:t>
      </w:r>
      <w:r w:rsidR="00E46AFD">
        <w:rPr>
          <w:kern w:val="24"/>
          <w:sz w:val="22"/>
          <w:lang w:val="en-CA"/>
        </w:rPr>
        <w:t>“</w:t>
      </w:r>
      <w:r w:rsidRPr="000A0EA1">
        <w:rPr>
          <w:kern w:val="24"/>
          <w:sz w:val="22"/>
          <w:lang w:val="en-CA"/>
        </w:rPr>
        <w:t>facilities</w:t>
      </w:r>
      <w:r w:rsidR="00E46AFD">
        <w:rPr>
          <w:kern w:val="24"/>
          <w:sz w:val="22"/>
          <w:lang w:val="en-CA"/>
        </w:rPr>
        <w:t>”</w:t>
      </w:r>
      <w:r w:rsidRPr="000A0EA1">
        <w:rPr>
          <w:kern w:val="24"/>
          <w:sz w:val="22"/>
          <w:lang w:val="en-CA"/>
        </w:rPr>
        <w:t xml:space="preserve"> as a reference to physical structures.</w:t>
      </w:r>
      <w:r w:rsidR="00AC60FF">
        <w:rPr>
          <w:kern w:val="24"/>
          <w:sz w:val="22"/>
          <w:lang w:val="en-CA"/>
        </w:rPr>
        <w:t xml:space="preserve"> </w:t>
      </w:r>
      <w:r w:rsidRPr="000A0EA1">
        <w:rPr>
          <w:kern w:val="24"/>
          <w:sz w:val="22"/>
          <w:lang w:val="en-CA"/>
        </w:rPr>
        <w:t xml:space="preserve">Indeed, once the sliding scale approach is accepted it becomes unnecessary to focus too intently upon the word </w:t>
      </w:r>
      <w:r w:rsidR="00E46AFD">
        <w:rPr>
          <w:kern w:val="24"/>
          <w:sz w:val="22"/>
          <w:lang w:val="en-CA"/>
        </w:rPr>
        <w:t>“</w:t>
      </w:r>
      <w:r w:rsidRPr="000A0EA1">
        <w:rPr>
          <w:kern w:val="24"/>
          <w:sz w:val="22"/>
          <w:lang w:val="en-CA"/>
        </w:rPr>
        <w:t>facilities</w:t>
      </w:r>
      <w:r w:rsidR="00E46AFD">
        <w:rPr>
          <w:kern w:val="24"/>
          <w:sz w:val="22"/>
          <w:lang w:val="en-CA"/>
        </w:rPr>
        <w:t>”</w:t>
      </w:r>
      <w:r w:rsidRPr="000A0EA1">
        <w:rPr>
          <w:kern w:val="24"/>
          <w:sz w:val="22"/>
          <w:lang w:val="en-CA"/>
        </w:rPr>
        <w:t xml:space="preserve">. </w:t>
      </w:r>
      <w:r w:rsidRPr="000A0EA1">
        <w:rPr>
          <w:kern w:val="24"/>
          <w:sz w:val="22"/>
          <w:u w:val="single"/>
          <w:lang w:val="en-CA"/>
        </w:rPr>
        <w:t xml:space="preserve">Rather, the text of </w:t>
      </w:r>
      <w:r w:rsidR="0062160E">
        <w:rPr>
          <w:kern w:val="24"/>
          <w:sz w:val="22"/>
          <w:u w:val="single"/>
          <w:lang w:val="en-CA"/>
        </w:rPr>
        <w:t>s. 2</w:t>
      </w:r>
      <w:r w:rsidRPr="000A0EA1">
        <w:rPr>
          <w:kern w:val="24"/>
          <w:sz w:val="22"/>
          <w:u w:val="single"/>
          <w:lang w:val="en-CA"/>
        </w:rPr>
        <w:t xml:space="preserve">3 supports viewing the entire term </w:t>
      </w:r>
      <w:r w:rsidR="00E46AFD">
        <w:rPr>
          <w:kern w:val="24"/>
          <w:sz w:val="22"/>
          <w:u w:val="single"/>
          <w:lang w:val="en-CA"/>
        </w:rPr>
        <w:t>“</w:t>
      </w:r>
      <w:r w:rsidRPr="000A0EA1">
        <w:rPr>
          <w:kern w:val="24"/>
          <w:sz w:val="22"/>
          <w:u w:val="single"/>
          <w:lang w:val="en-CA"/>
        </w:rPr>
        <w:t>minority language educational facilities</w:t>
      </w:r>
      <w:r w:rsidR="00E46AFD">
        <w:rPr>
          <w:kern w:val="24"/>
          <w:sz w:val="22"/>
          <w:u w:val="single"/>
          <w:lang w:val="en-CA"/>
        </w:rPr>
        <w:t>”</w:t>
      </w:r>
      <w:r w:rsidRPr="000A0EA1">
        <w:rPr>
          <w:kern w:val="24"/>
          <w:sz w:val="22"/>
          <w:u w:val="single"/>
          <w:lang w:val="en-CA"/>
        </w:rPr>
        <w:t xml:space="preserve"> as setting out an </w:t>
      </w:r>
      <w:r w:rsidRPr="000A0EA1">
        <w:rPr>
          <w:b/>
          <w:bCs/>
          <w:kern w:val="24"/>
          <w:sz w:val="22"/>
          <w:u w:val="single"/>
          <w:lang w:val="en-CA"/>
        </w:rPr>
        <w:t>upper</w:t>
      </w:r>
      <w:r w:rsidRPr="000A0EA1">
        <w:rPr>
          <w:kern w:val="24"/>
          <w:sz w:val="22"/>
          <w:u w:val="single"/>
          <w:lang w:val="en-CA"/>
        </w:rPr>
        <w:t xml:space="preserve"> level of management and control.</w:t>
      </w:r>
    </w:p>
    <w:p w14:paraId="17F5F2D9" w14:textId="539B8D79" w:rsidR="00F75613" w:rsidRPr="000A0EA1" w:rsidRDefault="00403CE7" w:rsidP="00B255B8">
      <w:pPr>
        <w:spacing w:after="120" w:line="240" w:lineRule="auto"/>
        <w:ind w:left="720" w:right="720"/>
        <w:jc w:val="right"/>
        <w:rPr>
          <w:kern w:val="24"/>
          <w:sz w:val="22"/>
          <w:lang w:val="en-CA"/>
        </w:rPr>
      </w:pPr>
      <w:r>
        <w:rPr>
          <w:kern w:val="24"/>
          <w:sz w:val="22"/>
          <w:lang w:val="en-CA"/>
        </w:rPr>
        <w:t>(</w:t>
      </w:r>
      <w:r w:rsidR="00B02E00" w:rsidRPr="000A0EA1">
        <w:rPr>
          <w:kern w:val="24"/>
          <w:sz w:val="22"/>
          <w:lang w:val="en-CA"/>
        </w:rPr>
        <w:t>Underlining and boldface added</w:t>
      </w:r>
      <w:r>
        <w:rPr>
          <w:kern w:val="24"/>
          <w:sz w:val="22"/>
          <w:lang w:val="en-CA"/>
        </w:rPr>
        <w:t>)</w:t>
      </w:r>
    </w:p>
    <w:p w14:paraId="17F5F2DA" w14:textId="59F3DDB5" w:rsidR="00F75613" w:rsidRPr="000A0EA1" w:rsidRDefault="00B02E00" w:rsidP="00B255B8">
      <w:pPr>
        <w:pStyle w:val="Paragraphe"/>
        <w:spacing w:line="240" w:lineRule="auto"/>
        <w:rPr>
          <w:sz w:val="22"/>
          <w:szCs w:val="22"/>
          <w:lang w:val="en-CA"/>
        </w:rPr>
      </w:pPr>
      <w:r w:rsidRPr="000A0EA1">
        <w:rPr>
          <w:lang w:val="en-CA"/>
        </w:rPr>
        <w:t xml:space="preserve">Although certain passages in </w:t>
      </w:r>
      <w:proofErr w:type="spellStart"/>
      <w:r w:rsidRPr="000A0EA1">
        <w:rPr>
          <w:i/>
          <w:iCs/>
          <w:lang w:val="en-CA"/>
        </w:rPr>
        <w:t>Mahe</w:t>
      </w:r>
      <w:proofErr w:type="spellEnd"/>
      <w:r w:rsidRPr="000A0EA1">
        <w:rPr>
          <w:lang w:val="en-CA"/>
        </w:rPr>
        <w:t xml:space="preserve"> may suggest that only the parents of children attending a minority language school or their representatives exercise the management and control rights arising from </w:t>
      </w:r>
      <w:r w:rsidR="0062160E">
        <w:rPr>
          <w:lang w:val="en-CA"/>
        </w:rPr>
        <w:t>s. 2</w:t>
      </w:r>
      <w:r w:rsidRPr="000A0EA1">
        <w:rPr>
          <w:lang w:val="en-CA"/>
        </w:rPr>
        <w:t>3(3)(</w:t>
      </w:r>
      <w:r w:rsidRPr="000A0EA1">
        <w:rPr>
          <w:i/>
          <w:iCs/>
          <w:lang w:val="en-CA"/>
        </w:rPr>
        <w:t>b</w:t>
      </w:r>
      <w:r w:rsidRPr="000A0EA1">
        <w:rPr>
          <w:lang w:val="en-CA"/>
        </w:rPr>
        <w:t>),</w:t>
      </w:r>
      <w:r w:rsidRPr="000A0EA1">
        <w:rPr>
          <w:vertAlign w:val="superscript"/>
          <w:lang w:val="en-CA"/>
        </w:rPr>
        <w:footnoteReference w:id="161"/>
      </w:r>
      <w:r w:rsidRPr="000A0EA1">
        <w:rPr>
          <w:lang w:val="en-CA"/>
        </w:rPr>
        <w:t xml:space="preserve"> Dickson,</w:t>
      </w:r>
      <w:r w:rsidR="00A7718F">
        <w:rPr>
          <w:lang w:val="en-CA"/>
        </w:rPr>
        <w:t> </w:t>
      </w:r>
      <w:r w:rsidRPr="000A0EA1">
        <w:rPr>
          <w:lang w:val="en-CA"/>
        </w:rPr>
        <w:t>C.J.</w:t>
      </w:r>
      <w:r w:rsidR="00E46AFD">
        <w:rPr>
          <w:lang w:val="en-CA"/>
        </w:rPr>
        <w:t>’</w:t>
      </w:r>
      <w:r w:rsidRPr="000A0EA1">
        <w:rPr>
          <w:lang w:val="en-CA"/>
        </w:rPr>
        <w:t xml:space="preserve">s reasons also specify that it is the </w:t>
      </w:r>
      <w:r w:rsidR="00E46AFD">
        <w:rPr>
          <w:lang w:val="en-CA"/>
        </w:rPr>
        <w:t>“</w:t>
      </w:r>
      <w:r w:rsidRPr="000A0EA1">
        <w:rPr>
          <w:lang w:val="en-CA"/>
        </w:rPr>
        <w:t>minority language</w:t>
      </w:r>
      <w:r w:rsidR="00E46AFD">
        <w:rPr>
          <w:lang w:val="en-CA"/>
        </w:rPr>
        <w:t>”</w:t>
      </w:r>
      <w:r w:rsidRPr="000A0EA1">
        <w:rPr>
          <w:lang w:val="en-CA"/>
        </w:rPr>
        <w:t xml:space="preserve"> representatives who exercise these rights.</w:t>
      </w:r>
      <w:r w:rsidRPr="000A0EA1">
        <w:rPr>
          <w:rStyle w:val="Appelnotedebasdep"/>
          <w:lang w:val="en-CA"/>
        </w:rPr>
        <w:footnoteReference w:id="162"/>
      </w:r>
      <w:r w:rsidRPr="000A0EA1">
        <w:rPr>
          <w:lang w:val="en-CA"/>
        </w:rPr>
        <w:t xml:space="preserve"> </w:t>
      </w:r>
    </w:p>
    <w:p w14:paraId="17F5F2DB" w14:textId="11C2D740" w:rsidR="00F75613" w:rsidRPr="000A0EA1" w:rsidRDefault="00713F89" w:rsidP="00B255B8">
      <w:pPr>
        <w:pStyle w:val="Paragraphe"/>
        <w:spacing w:line="240" w:lineRule="auto"/>
        <w:rPr>
          <w:sz w:val="22"/>
          <w:szCs w:val="22"/>
          <w:lang w:val="en-CA"/>
        </w:rPr>
      </w:pPr>
      <w:r>
        <w:rPr>
          <w:lang w:val="en-CA"/>
        </w:rPr>
        <w:t>The Court is</w:t>
      </w:r>
      <w:r w:rsidR="00B02E00" w:rsidRPr="000A0EA1">
        <w:rPr>
          <w:lang w:val="en-CA"/>
        </w:rPr>
        <w:t xml:space="preserve"> of the </w:t>
      </w:r>
      <w:r w:rsidR="00855CB3">
        <w:rPr>
          <w:lang w:val="en-CA"/>
        </w:rPr>
        <w:t>view</w:t>
      </w:r>
      <w:r w:rsidR="00B02E00" w:rsidRPr="000A0EA1">
        <w:rPr>
          <w:lang w:val="en-CA"/>
        </w:rPr>
        <w:t xml:space="preserve"> that the management and control rights stemming from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are intended to protect the linguistic minority as a whole – not just parents whose children attend schools. These management and control rights are therefore exercised by representatives chosen by the linguistic minority as a whole. The following reasons </w:t>
      </w:r>
      <w:r w:rsidR="00E313A4">
        <w:rPr>
          <w:lang w:val="en-CA"/>
        </w:rPr>
        <w:t xml:space="preserve">explain </w:t>
      </w:r>
      <w:r w:rsidR="00B02E00" w:rsidRPr="000A0EA1">
        <w:rPr>
          <w:lang w:val="en-CA"/>
        </w:rPr>
        <w:t>this conclusion.</w:t>
      </w:r>
    </w:p>
    <w:p w14:paraId="17F5F2DC" w14:textId="085D658C" w:rsidR="00F75613" w:rsidRPr="000A0EA1" w:rsidRDefault="00B02E00" w:rsidP="00B255B8">
      <w:pPr>
        <w:pStyle w:val="Paragraphe"/>
        <w:spacing w:line="240" w:lineRule="auto"/>
        <w:rPr>
          <w:sz w:val="22"/>
          <w:szCs w:val="22"/>
          <w:lang w:val="en-CA"/>
        </w:rPr>
      </w:pPr>
      <w:r w:rsidRPr="000A0EA1">
        <w:rPr>
          <w:lang w:val="en-CA"/>
        </w:rPr>
        <w:t xml:space="preserve">As Major and </w:t>
      </w:r>
      <w:proofErr w:type="spellStart"/>
      <w:r w:rsidRPr="000A0EA1">
        <w:rPr>
          <w:lang w:val="en-CA"/>
        </w:rPr>
        <w:t>Bastarache</w:t>
      </w:r>
      <w:proofErr w:type="spellEnd"/>
      <w:r w:rsidRPr="000A0EA1">
        <w:rPr>
          <w:lang w:val="en-CA"/>
        </w:rPr>
        <w:t xml:space="preserve">, JJ. noted in </w:t>
      </w:r>
      <w:r w:rsidRPr="000A0EA1">
        <w:rPr>
          <w:i/>
          <w:iCs/>
          <w:lang w:val="en-CA"/>
        </w:rPr>
        <w:t>Arsenault</w:t>
      </w:r>
      <w:r w:rsidR="0073439A">
        <w:rPr>
          <w:rFonts w:ascii="Cambria Math" w:hAnsi="Cambria Math" w:cs="Cambria Math"/>
          <w:i/>
          <w:iCs/>
          <w:lang w:val="en-CA"/>
        </w:rPr>
        <w:noBreakHyphen/>
      </w:r>
      <w:r w:rsidRPr="000A0EA1">
        <w:rPr>
          <w:i/>
          <w:iCs/>
          <w:lang w:val="en-CA"/>
        </w:rPr>
        <w:t>Cameron</w:t>
      </w:r>
      <w:r w:rsidRPr="000A0EA1">
        <w:rPr>
          <w:iCs/>
          <w:lang w:val="en-CA"/>
        </w:rPr>
        <w:t xml:space="preserve">, </w:t>
      </w:r>
      <w:r w:rsidR="00E46AFD">
        <w:rPr>
          <w:iCs/>
          <w:lang w:val="en-CA"/>
        </w:rPr>
        <w:t>“</w:t>
      </w:r>
      <w:r w:rsidRPr="000A0EA1">
        <w:rPr>
          <w:iCs/>
          <w:lang w:val="en-CA"/>
        </w:rPr>
        <w:t>[</w:t>
      </w:r>
      <w:proofErr w:type="spellStart"/>
      <w:r w:rsidRPr="000A0EA1">
        <w:rPr>
          <w:iCs/>
          <w:lang w:val="en-CA"/>
        </w:rPr>
        <w:t>i</w:t>
      </w:r>
      <w:proofErr w:type="spellEnd"/>
      <w:r w:rsidRPr="000A0EA1">
        <w:rPr>
          <w:iCs/>
          <w:lang w:val="en-CA"/>
        </w:rPr>
        <w:t xml:space="preserve">]n </w:t>
      </w:r>
      <w:proofErr w:type="spellStart"/>
      <w:r w:rsidRPr="000A0EA1">
        <w:rPr>
          <w:i/>
          <w:iCs/>
          <w:lang w:val="en-CA"/>
        </w:rPr>
        <w:t>Mahe</w:t>
      </w:r>
      <w:proofErr w:type="spellEnd"/>
      <w:r w:rsidRPr="000A0EA1">
        <w:rPr>
          <w:iCs/>
          <w:lang w:val="en-CA"/>
        </w:rPr>
        <w:t xml:space="preserve">, the Court decided that, where numbers warrant the creation of facilities, </w:t>
      </w:r>
      <w:r w:rsidRPr="000A0EA1">
        <w:rPr>
          <w:iCs/>
          <w:u w:val="single"/>
          <w:lang w:val="en-CA"/>
        </w:rPr>
        <w:t>the representatives of the official language community have the right to a degree of governance of these facilities</w:t>
      </w:r>
      <w:r w:rsidR="00E46AFD">
        <w:rPr>
          <w:iCs/>
          <w:lang w:val="en-CA"/>
        </w:rPr>
        <w:t>”</w:t>
      </w:r>
      <w:r w:rsidR="00BD3602">
        <w:rPr>
          <w:iCs/>
          <w:lang w:val="en-CA"/>
        </w:rPr>
        <w:t>.</w:t>
      </w:r>
      <w:r w:rsidRPr="000A0EA1">
        <w:rPr>
          <w:szCs w:val="24"/>
          <w:vertAlign w:val="superscript"/>
          <w:lang w:val="en-CA"/>
        </w:rPr>
        <w:footnoteReference w:id="163"/>
      </w:r>
      <w:r w:rsidRPr="000A0EA1">
        <w:rPr>
          <w:szCs w:val="24"/>
          <w:lang w:val="en-CA"/>
        </w:rPr>
        <w:t xml:space="preserve"> Indeed, this is effectively what Dickson,</w:t>
      </w:r>
      <w:r w:rsidR="00B80057">
        <w:rPr>
          <w:szCs w:val="24"/>
          <w:lang w:val="en-CA"/>
        </w:rPr>
        <w:t> </w:t>
      </w:r>
      <w:r w:rsidRPr="000A0EA1">
        <w:rPr>
          <w:szCs w:val="24"/>
          <w:lang w:val="en-CA"/>
        </w:rPr>
        <w:t xml:space="preserve">C.J. stated in </w:t>
      </w:r>
      <w:proofErr w:type="spellStart"/>
      <w:r w:rsidRPr="000A0EA1">
        <w:rPr>
          <w:i/>
          <w:iCs/>
          <w:szCs w:val="24"/>
          <w:lang w:val="en-CA"/>
        </w:rPr>
        <w:t>Mahe</w:t>
      </w:r>
      <w:proofErr w:type="spellEnd"/>
      <w:r w:rsidRPr="000A0EA1">
        <w:rPr>
          <w:szCs w:val="24"/>
          <w:lang w:val="en-CA"/>
        </w:rPr>
        <w:t xml:space="preserve"> when he explained the scope of these rights:</w:t>
      </w:r>
      <w:r w:rsidRPr="000A0EA1">
        <w:rPr>
          <w:szCs w:val="24"/>
          <w:vertAlign w:val="superscript"/>
          <w:lang w:val="en-CA"/>
        </w:rPr>
        <w:footnoteReference w:id="164"/>
      </w:r>
    </w:p>
    <w:p w14:paraId="17F5F2DD" w14:textId="7E2CB863" w:rsidR="00F75613" w:rsidRPr="000A0EA1" w:rsidRDefault="00B02E00" w:rsidP="00B255B8">
      <w:pPr>
        <w:spacing w:before="120" w:after="120" w:line="240" w:lineRule="auto"/>
        <w:ind w:left="720" w:right="720" w:firstLine="720"/>
        <w:jc w:val="both"/>
        <w:rPr>
          <w:rFonts w:cs="Arial"/>
          <w:color w:val="000000"/>
          <w:sz w:val="22"/>
          <w:szCs w:val="22"/>
          <w:lang w:val="en-CA" w:eastAsia="fr-CA"/>
        </w:rPr>
      </w:pPr>
      <w:r w:rsidRPr="000A0EA1">
        <w:rPr>
          <w:rFonts w:cs="Arial"/>
          <w:color w:val="000000"/>
          <w:sz w:val="22"/>
          <w:szCs w:val="22"/>
          <w:lang w:val="en-CA" w:eastAsia="fr-CA"/>
        </w:rPr>
        <w:t xml:space="preserve">In my view, the measure of management and control required by </w:t>
      </w:r>
      <w:r w:rsidR="0062160E">
        <w:rPr>
          <w:rFonts w:cs="Arial"/>
          <w:color w:val="000000"/>
          <w:sz w:val="22"/>
          <w:szCs w:val="22"/>
          <w:lang w:val="en-CA" w:eastAsia="fr-CA"/>
        </w:rPr>
        <w:t>s. 2</w:t>
      </w:r>
      <w:r w:rsidRPr="000A0EA1">
        <w:rPr>
          <w:rFonts w:cs="Arial"/>
          <w:color w:val="000000"/>
          <w:sz w:val="22"/>
          <w:szCs w:val="22"/>
          <w:lang w:val="en-CA" w:eastAsia="fr-CA"/>
        </w:rPr>
        <w:t xml:space="preserve">3 of the </w:t>
      </w:r>
      <w:r w:rsidRPr="000A0EA1">
        <w:rPr>
          <w:rFonts w:cs="Arial"/>
          <w:i/>
          <w:iCs/>
          <w:color w:val="000000"/>
          <w:sz w:val="22"/>
          <w:szCs w:val="22"/>
          <w:lang w:val="en-CA" w:eastAsia="fr-CA"/>
        </w:rPr>
        <w:t xml:space="preserve">Charter </w:t>
      </w:r>
      <w:r w:rsidRPr="000A0EA1">
        <w:rPr>
          <w:rFonts w:cs="Arial"/>
          <w:color w:val="000000"/>
          <w:sz w:val="22"/>
          <w:szCs w:val="22"/>
          <w:lang w:val="en-CA" w:eastAsia="fr-CA"/>
        </w:rPr>
        <w:t xml:space="preserve">may, depending on the number of students to be served, </w:t>
      </w:r>
      <w:r w:rsidRPr="000A0EA1">
        <w:rPr>
          <w:rFonts w:cs="Arial"/>
          <w:color w:val="000000"/>
          <w:sz w:val="22"/>
          <w:szCs w:val="22"/>
          <w:u w:val="single"/>
          <w:lang w:val="en-CA" w:eastAsia="fr-CA"/>
        </w:rPr>
        <w:t>warrant an independent school board</w:t>
      </w:r>
      <w:r w:rsidRPr="000A0EA1">
        <w:rPr>
          <w:rFonts w:cs="Arial"/>
          <w:color w:val="000000"/>
          <w:sz w:val="22"/>
          <w:szCs w:val="22"/>
          <w:lang w:val="en-CA" w:eastAsia="fr-CA"/>
        </w:rPr>
        <w:t>.</w:t>
      </w:r>
      <w:r w:rsidR="00AC60FF">
        <w:rPr>
          <w:rFonts w:cs="Arial"/>
          <w:color w:val="000000"/>
          <w:sz w:val="22"/>
          <w:szCs w:val="22"/>
          <w:lang w:val="en-CA" w:eastAsia="fr-CA"/>
        </w:rPr>
        <w:t xml:space="preserve"> </w:t>
      </w:r>
      <w:r w:rsidRPr="000A0EA1">
        <w:rPr>
          <w:rFonts w:cs="Arial"/>
          <w:color w:val="000000"/>
          <w:sz w:val="22"/>
          <w:szCs w:val="22"/>
          <w:lang w:val="en-CA" w:eastAsia="fr-CA"/>
        </w:rPr>
        <w:t xml:space="preserve">Where numbers do not warrant granting this maximum level of management and control, however, they may nonetheless be sufficient to </w:t>
      </w:r>
      <w:r w:rsidRPr="000A0EA1">
        <w:rPr>
          <w:rFonts w:cs="Arial"/>
          <w:color w:val="000000"/>
          <w:sz w:val="22"/>
          <w:szCs w:val="22"/>
          <w:lang w:val="en-CA" w:eastAsia="fr-CA"/>
        </w:rPr>
        <w:lastRenderedPageBreak/>
        <w:t xml:space="preserve">require </w:t>
      </w:r>
      <w:r w:rsidRPr="000A0EA1">
        <w:rPr>
          <w:rFonts w:cs="Arial"/>
          <w:color w:val="000000"/>
          <w:sz w:val="22"/>
          <w:szCs w:val="22"/>
          <w:u w:val="single"/>
          <w:lang w:val="en-CA" w:eastAsia="fr-CA"/>
        </w:rPr>
        <w:t>linguistic minority representation</w:t>
      </w:r>
      <w:r w:rsidRPr="000A0EA1">
        <w:rPr>
          <w:rFonts w:cs="Arial"/>
          <w:color w:val="000000"/>
          <w:sz w:val="22"/>
          <w:szCs w:val="22"/>
          <w:lang w:val="en-CA" w:eastAsia="fr-CA"/>
        </w:rPr>
        <w:t xml:space="preserve"> on an existing school board.</w:t>
      </w:r>
      <w:r w:rsidR="00AC60FF">
        <w:rPr>
          <w:rFonts w:cs="Arial"/>
          <w:color w:val="000000"/>
          <w:sz w:val="22"/>
          <w:szCs w:val="22"/>
          <w:lang w:val="en-CA" w:eastAsia="fr-CA"/>
        </w:rPr>
        <w:t xml:space="preserve"> </w:t>
      </w:r>
      <w:r w:rsidRPr="000A0EA1">
        <w:rPr>
          <w:rFonts w:cs="Arial"/>
          <w:color w:val="000000"/>
          <w:sz w:val="22"/>
          <w:szCs w:val="22"/>
          <w:lang w:val="en-CA" w:eastAsia="fr-CA"/>
        </w:rPr>
        <w:t>In this latter case:</w:t>
      </w:r>
    </w:p>
    <w:p w14:paraId="17F5F2DE" w14:textId="77777777" w:rsidR="00F75613" w:rsidRPr="000A0EA1" w:rsidRDefault="00B02E00" w:rsidP="00B255B8">
      <w:pPr>
        <w:spacing w:before="120" w:after="120" w:line="240" w:lineRule="auto"/>
        <w:ind w:left="873" w:right="720"/>
        <w:jc w:val="both"/>
        <w:rPr>
          <w:rFonts w:cs="Arial"/>
          <w:color w:val="000000"/>
          <w:sz w:val="22"/>
          <w:szCs w:val="22"/>
          <w:lang w:val="en-CA" w:eastAsia="fr-CA"/>
        </w:rPr>
      </w:pPr>
      <w:r w:rsidRPr="000A0EA1">
        <w:rPr>
          <w:rFonts w:cs="Arial"/>
          <w:color w:val="000000"/>
          <w:sz w:val="22"/>
          <w:szCs w:val="22"/>
          <w:lang w:val="en-CA" w:eastAsia="fr-CA"/>
        </w:rPr>
        <w:t>(1)</w:t>
      </w:r>
      <w:r w:rsidRPr="000A0EA1">
        <w:rPr>
          <w:rFonts w:cs="Arial"/>
          <w:color w:val="000000"/>
          <w:sz w:val="22"/>
          <w:szCs w:val="22"/>
          <w:lang w:val="en-CA" w:eastAsia="fr-CA"/>
        </w:rPr>
        <w:tab/>
        <w:t xml:space="preserve">The </w:t>
      </w:r>
      <w:r w:rsidRPr="000A0EA1">
        <w:rPr>
          <w:rFonts w:cs="Arial"/>
          <w:color w:val="000000"/>
          <w:sz w:val="22"/>
          <w:szCs w:val="22"/>
          <w:u w:val="single"/>
          <w:lang w:val="en-CA" w:eastAsia="fr-CA"/>
        </w:rPr>
        <w:t>representation of the linguistic minority</w:t>
      </w:r>
      <w:r w:rsidRPr="000A0EA1">
        <w:rPr>
          <w:rFonts w:cs="Arial"/>
          <w:color w:val="000000"/>
          <w:sz w:val="22"/>
          <w:szCs w:val="22"/>
          <w:lang w:val="en-CA" w:eastAsia="fr-CA"/>
        </w:rPr>
        <w:t xml:space="preserve"> on local boards or other public authorities which administer minority language instruction or facilities should be guaranteed;</w:t>
      </w:r>
    </w:p>
    <w:p w14:paraId="17F5F2DF" w14:textId="2895CAA8" w:rsidR="00F75613" w:rsidRPr="000A0EA1" w:rsidRDefault="00B02E00" w:rsidP="00B255B8">
      <w:pPr>
        <w:spacing w:before="120" w:after="120" w:line="240" w:lineRule="auto"/>
        <w:ind w:left="873" w:right="720"/>
        <w:jc w:val="both"/>
        <w:rPr>
          <w:rFonts w:cs="Arial"/>
          <w:color w:val="000000"/>
          <w:sz w:val="22"/>
          <w:szCs w:val="22"/>
          <w:lang w:val="en-CA" w:eastAsia="fr-CA"/>
        </w:rPr>
      </w:pPr>
      <w:r w:rsidRPr="000A0EA1">
        <w:rPr>
          <w:rFonts w:cs="Arial"/>
          <w:color w:val="000000"/>
          <w:sz w:val="22"/>
          <w:szCs w:val="22"/>
          <w:lang w:val="en-CA" w:eastAsia="fr-CA"/>
        </w:rPr>
        <w:t>(2)</w:t>
      </w:r>
      <w:r w:rsidRPr="000A0EA1">
        <w:rPr>
          <w:rFonts w:cs="Arial"/>
          <w:color w:val="000000"/>
          <w:sz w:val="22"/>
          <w:szCs w:val="22"/>
          <w:lang w:val="en-CA" w:eastAsia="fr-CA"/>
        </w:rPr>
        <w:tab/>
        <w:t xml:space="preserve">The number of </w:t>
      </w:r>
      <w:r w:rsidRPr="000A0EA1">
        <w:rPr>
          <w:rFonts w:cs="Arial"/>
          <w:color w:val="000000"/>
          <w:sz w:val="22"/>
          <w:szCs w:val="22"/>
          <w:u w:val="single"/>
          <w:lang w:val="en-CA" w:eastAsia="fr-CA"/>
        </w:rPr>
        <w:t>minority language representatives</w:t>
      </w:r>
      <w:r w:rsidRPr="000A0EA1">
        <w:rPr>
          <w:rFonts w:cs="Arial"/>
          <w:color w:val="000000"/>
          <w:sz w:val="22"/>
          <w:szCs w:val="22"/>
          <w:lang w:val="en-CA" w:eastAsia="fr-CA"/>
        </w:rPr>
        <w:t xml:space="preserve"> on the board should be, at a minimum, proportional to the number of minority language students in the school district,</w:t>
      </w:r>
      <w:r w:rsidR="00AC60FF">
        <w:rPr>
          <w:rFonts w:cs="Arial"/>
          <w:color w:val="000000"/>
          <w:sz w:val="22"/>
          <w:szCs w:val="22"/>
          <w:lang w:val="en-CA" w:eastAsia="fr-CA"/>
        </w:rPr>
        <w:t xml:space="preserve"> </w:t>
      </w:r>
      <w:r w:rsidRPr="000A0EA1">
        <w:rPr>
          <w:rFonts w:cs="Arial"/>
          <w:color w:val="000000"/>
          <w:sz w:val="22"/>
          <w:szCs w:val="22"/>
          <w:lang w:val="en-CA" w:eastAsia="fr-CA"/>
        </w:rPr>
        <w:t>i.e., the number of minority language students for whom the board is responsible;</w:t>
      </w:r>
    </w:p>
    <w:p w14:paraId="17F5F2E0" w14:textId="77777777" w:rsidR="00F75613" w:rsidRPr="000A0EA1" w:rsidRDefault="00B02E00" w:rsidP="00B255B8">
      <w:pPr>
        <w:spacing w:before="120" w:after="120" w:line="240" w:lineRule="auto"/>
        <w:ind w:left="873" w:right="720"/>
        <w:jc w:val="both"/>
        <w:rPr>
          <w:rFonts w:cs="Arial"/>
          <w:color w:val="000000"/>
          <w:sz w:val="22"/>
          <w:szCs w:val="22"/>
          <w:lang w:val="en-CA" w:eastAsia="fr-CA"/>
        </w:rPr>
      </w:pPr>
      <w:r w:rsidRPr="000A0EA1">
        <w:rPr>
          <w:rFonts w:cs="Arial"/>
          <w:color w:val="000000"/>
          <w:sz w:val="22"/>
          <w:szCs w:val="22"/>
          <w:lang w:val="en-CA" w:eastAsia="fr-CA"/>
        </w:rPr>
        <w:t>(3)</w:t>
      </w:r>
      <w:r w:rsidRPr="000A0EA1">
        <w:rPr>
          <w:rFonts w:cs="Arial"/>
          <w:color w:val="000000"/>
          <w:sz w:val="22"/>
          <w:szCs w:val="22"/>
          <w:lang w:val="en-CA" w:eastAsia="fr-CA"/>
        </w:rPr>
        <w:tab/>
        <w:t xml:space="preserve">The </w:t>
      </w:r>
      <w:r w:rsidRPr="000A0EA1">
        <w:rPr>
          <w:rFonts w:cs="Arial"/>
          <w:color w:val="000000"/>
          <w:sz w:val="22"/>
          <w:szCs w:val="22"/>
          <w:u w:val="single"/>
          <w:lang w:val="en-CA" w:eastAsia="fr-CA"/>
        </w:rPr>
        <w:t>minority language representatives</w:t>
      </w:r>
      <w:r w:rsidRPr="000A0EA1">
        <w:rPr>
          <w:rFonts w:cs="Arial"/>
          <w:color w:val="000000"/>
          <w:sz w:val="22"/>
          <w:szCs w:val="22"/>
          <w:lang w:val="en-CA" w:eastAsia="fr-CA"/>
        </w:rPr>
        <w:t xml:space="preserve"> should have </w:t>
      </w:r>
      <w:r w:rsidRPr="000A0EA1">
        <w:rPr>
          <w:rFonts w:cs="Arial"/>
          <w:color w:val="000000"/>
          <w:sz w:val="22"/>
          <w:szCs w:val="22"/>
          <w:u w:val="single"/>
          <w:lang w:val="en-CA" w:eastAsia="fr-CA"/>
        </w:rPr>
        <w:t>exclusive authority</w:t>
      </w:r>
      <w:r w:rsidRPr="000A0EA1">
        <w:rPr>
          <w:rFonts w:cs="Arial"/>
          <w:color w:val="000000"/>
          <w:sz w:val="22"/>
          <w:szCs w:val="22"/>
          <w:lang w:val="en-CA" w:eastAsia="fr-CA"/>
        </w:rPr>
        <w:t xml:space="preserve"> to make decisions relating to the minority language instruction and facilities, </w:t>
      </w:r>
      <w:r w:rsidRPr="000A0EA1">
        <w:rPr>
          <w:rFonts w:cs="Arial"/>
          <w:color w:val="000000"/>
          <w:sz w:val="22"/>
          <w:szCs w:val="22"/>
          <w:u w:val="single"/>
          <w:lang w:val="en-CA" w:eastAsia="fr-CA"/>
        </w:rPr>
        <w:t>including</w:t>
      </w:r>
      <w:r w:rsidRPr="000A0EA1">
        <w:rPr>
          <w:rFonts w:cs="Arial"/>
          <w:color w:val="000000"/>
          <w:sz w:val="22"/>
          <w:szCs w:val="22"/>
          <w:lang w:val="en-CA" w:eastAsia="fr-CA"/>
        </w:rPr>
        <w:t>:</w:t>
      </w:r>
    </w:p>
    <w:p w14:paraId="17F5F2E1" w14:textId="77777777" w:rsidR="00F75613" w:rsidRPr="000A0EA1" w:rsidRDefault="00B02E00" w:rsidP="00B255B8">
      <w:pPr>
        <w:spacing w:before="120" w:after="120" w:line="240" w:lineRule="auto"/>
        <w:ind w:left="2160" w:right="720" w:hanging="459"/>
        <w:jc w:val="both"/>
        <w:rPr>
          <w:rFonts w:cs="Arial"/>
          <w:color w:val="000000"/>
          <w:sz w:val="22"/>
          <w:szCs w:val="22"/>
          <w:lang w:val="en-CA" w:eastAsia="fr-CA"/>
        </w:rPr>
      </w:pPr>
      <w:r w:rsidRPr="000A0EA1">
        <w:rPr>
          <w:rFonts w:cs="Arial"/>
          <w:color w:val="000000"/>
          <w:sz w:val="22"/>
          <w:szCs w:val="22"/>
          <w:lang w:val="en-CA" w:eastAsia="fr-CA"/>
        </w:rPr>
        <w:t>(a)</w:t>
      </w:r>
      <w:r w:rsidRPr="000A0EA1">
        <w:rPr>
          <w:rFonts w:cs="Arial"/>
          <w:color w:val="000000"/>
          <w:sz w:val="22"/>
          <w:szCs w:val="22"/>
          <w:lang w:val="en-CA" w:eastAsia="fr-CA"/>
        </w:rPr>
        <w:tab/>
      </w:r>
      <w:r w:rsidRPr="000A0EA1">
        <w:rPr>
          <w:rFonts w:cs="Arial"/>
          <w:color w:val="000000"/>
          <w:sz w:val="22"/>
          <w:szCs w:val="22"/>
          <w:u w:val="single"/>
          <w:lang w:val="en-CA" w:eastAsia="fr-CA"/>
        </w:rPr>
        <w:t>expenditures of funds provided for such instruction and facilities</w:t>
      </w:r>
      <w:r w:rsidRPr="000A0EA1">
        <w:rPr>
          <w:rFonts w:cs="Arial"/>
          <w:color w:val="000000"/>
          <w:sz w:val="22"/>
          <w:szCs w:val="22"/>
          <w:lang w:val="en-CA" w:eastAsia="fr-CA"/>
        </w:rPr>
        <w:t>;</w:t>
      </w:r>
    </w:p>
    <w:p w14:paraId="17F5F2E2" w14:textId="77777777" w:rsidR="00F75613" w:rsidRPr="000A0EA1" w:rsidRDefault="00B02E00" w:rsidP="00B255B8">
      <w:pPr>
        <w:spacing w:before="120" w:after="120" w:line="240" w:lineRule="auto"/>
        <w:ind w:left="2160" w:right="720" w:hanging="459"/>
        <w:jc w:val="both"/>
        <w:rPr>
          <w:rFonts w:cs="Arial"/>
          <w:color w:val="000000"/>
          <w:spacing w:val="-3"/>
          <w:sz w:val="22"/>
          <w:szCs w:val="22"/>
          <w:lang w:val="en-CA" w:eastAsia="fr-CA"/>
        </w:rPr>
      </w:pPr>
      <w:r w:rsidRPr="000A0EA1">
        <w:rPr>
          <w:rFonts w:cs="Arial"/>
          <w:color w:val="000000"/>
          <w:spacing w:val="-3"/>
          <w:sz w:val="22"/>
          <w:szCs w:val="22"/>
          <w:lang w:val="en-CA" w:eastAsia="fr-CA"/>
        </w:rPr>
        <w:t>(b)</w:t>
      </w:r>
      <w:r w:rsidRPr="000A0EA1">
        <w:rPr>
          <w:rFonts w:cs="Arial"/>
          <w:color w:val="000000"/>
          <w:spacing w:val="-3"/>
          <w:sz w:val="22"/>
          <w:szCs w:val="22"/>
          <w:lang w:val="en-CA" w:eastAsia="fr-CA"/>
        </w:rPr>
        <w:tab/>
      </w:r>
      <w:r w:rsidRPr="000A0EA1">
        <w:rPr>
          <w:rFonts w:cs="Arial"/>
          <w:color w:val="000000"/>
          <w:spacing w:val="-3"/>
          <w:sz w:val="22"/>
          <w:szCs w:val="22"/>
          <w:u w:val="single"/>
          <w:lang w:val="en-CA" w:eastAsia="fr-CA"/>
        </w:rPr>
        <w:t>the appointment and direction of those responsible for the administration of such instruction and facilities</w:t>
      </w:r>
      <w:r w:rsidRPr="000A0EA1">
        <w:rPr>
          <w:rFonts w:cs="Arial"/>
          <w:color w:val="000000"/>
          <w:spacing w:val="-3"/>
          <w:sz w:val="22"/>
          <w:szCs w:val="22"/>
          <w:lang w:val="en-CA" w:eastAsia="fr-CA"/>
        </w:rPr>
        <w:t>;</w:t>
      </w:r>
    </w:p>
    <w:p w14:paraId="17F5F2E3" w14:textId="77777777" w:rsidR="00F75613" w:rsidRPr="000A0EA1" w:rsidRDefault="00B02E00" w:rsidP="00B255B8">
      <w:pPr>
        <w:spacing w:before="120" w:after="120" w:line="240" w:lineRule="auto"/>
        <w:ind w:left="1701" w:right="720"/>
        <w:jc w:val="both"/>
        <w:rPr>
          <w:rFonts w:cs="Arial"/>
          <w:color w:val="000000"/>
          <w:spacing w:val="-3"/>
          <w:sz w:val="22"/>
          <w:szCs w:val="22"/>
          <w:u w:val="single"/>
          <w:lang w:val="en-CA" w:eastAsia="fr-CA"/>
        </w:rPr>
      </w:pPr>
      <w:r w:rsidRPr="000A0EA1">
        <w:rPr>
          <w:rFonts w:cs="Arial"/>
          <w:color w:val="000000"/>
          <w:spacing w:val="-3"/>
          <w:sz w:val="22"/>
          <w:szCs w:val="22"/>
          <w:lang w:val="en-CA" w:eastAsia="fr-CA"/>
        </w:rPr>
        <w:t>(c)</w:t>
      </w:r>
      <w:r w:rsidRPr="000A0EA1">
        <w:rPr>
          <w:rFonts w:cs="Arial"/>
          <w:color w:val="000000"/>
          <w:spacing w:val="-3"/>
          <w:sz w:val="22"/>
          <w:szCs w:val="22"/>
          <w:lang w:val="en-CA" w:eastAsia="fr-CA"/>
        </w:rPr>
        <w:tab/>
      </w:r>
      <w:r w:rsidRPr="000A0EA1">
        <w:rPr>
          <w:rFonts w:cs="Arial"/>
          <w:color w:val="000000"/>
          <w:spacing w:val="-3"/>
          <w:sz w:val="22"/>
          <w:szCs w:val="22"/>
          <w:u w:val="single"/>
          <w:lang w:val="en-CA" w:eastAsia="fr-CA"/>
        </w:rPr>
        <w:t>the establishment of programs of instruction;</w:t>
      </w:r>
    </w:p>
    <w:p w14:paraId="17F5F2E4" w14:textId="77777777" w:rsidR="00F75613" w:rsidRPr="000A0EA1" w:rsidRDefault="00B02E00" w:rsidP="00B255B8">
      <w:pPr>
        <w:spacing w:before="120" w:after="120" w:line="240" w:lineRule="auto"/>
        <w:ind w:left="2160" w:right="720" w:hanging="459"/>
        <w:jc w:val="both"/>
        <w:rPr>
          <w:rFonts w:cs="Arial"/>
          <w:color w:val="000000"/>
          <w:sz w:val="22"/>
          <w:szCs w:val="22"/>
          <w:lang w:val="en-CA" w:eastAsia="fr-CA"/>
        </w:rPr>
      </w:pPr>
      <w:r w:rsidRPr="000A0EA1">
        <w:rPr>
          <w:rFonts w:cs="Arial"/>
          <w:color w:val="000000"/>
          <w:sz w:val="22"/>
          <w:szCs w:val="22"/>
          <w:lang w:val="en-CA" w:eastAsia="fr-CA"/>
        </w:rPr>
        <w:t>(d)</w:t>
      </w:r>
      <w:r w:rsidRPr="000A0EA1">
        <w:rPr>
          <w:rFonts w:cs="Arial"/>
          <w:color w:val="000000"/>
          <w:sz w:val="22"/>
          <w:szCs w:val="22"/>
          <w:lang w:val="en-CA" w:eastAsia="fr-CA"/>
        </w:rPr>
        <w:tab/>
      </w:r>
      <w:r w:rsidRPr="000A0EA1">
        <w:rPr>
          <w:rFonts w:cs="Arial"/>
          <w:color w:val="000000"/>
          <w:sz w:val="22"/>
          <w:szCs w:val="22"/>
          <w:u w:val="single"/>
          <w:lang w:val="en-CA" w:eastAsia="fr-CA"/>
        </w:rPr>
        <w:t>recruitment and assignment of teachers and other personnel</w:t>
      </w:r>
      <w:r w:rsidRPr="000A0EA1">
        <w:rPr>
          <w:rFonts w:cs="Arial"/>
          <w:color w:val="000000"/>
          <w:sz w:val="22"/>
          <w:szCs w:val="22"/>
          <w:lang w:val="en-CA" w:eastAsia="fr-CA"/>
        </w:rPr>
        <w:t>; and</w:t>
      </w:r>
    </w:p>
    <w:p w14:paraId="17F5F2E5" w14:textId="77777777" w:rsidR="00F75613" w:rsidRPr="000A0EA1" w:rsidRDefault="00B02E00" w:rsidP="00B255B8">
      <w:pPr>
        <w:spacing w:before="120" w:after="120" w:line="240" w:lineRule="auto"/>
        <w:ind w:left="2160" w:right="720" w:hanging="459"/>
        <w:jc w:val="both"/>
        <w:rPr>
          <w:rFonts w:cs="Arial"/>
          <w:color w:val="000000"/>
          <w:sz w:val="22"/>
          <w:szCs w:val="22"/>
          <w:lang w:val="en-CA" w:eastAsia="fr-CA"/>
        </w:rPr>
      </w:pPr>
      <w:r w:rsidRPr="000A0EA1">
        <w:rPr>
          <w:rFonts w:cs="Arial"/>
          <w:color w:val="000000"/>
          <w:sz w:val="22"/>
          <w:szCs w:val="22"/>
          <w:lang w:val="en-CA" w:eastAsia="fr-CA"/>
        </w:rPr>
        <w:t>(e)</w:t>
      </w:r>
      <w:r w:rsidRPr="000A0EA1">
        <w:rPr>
          <w:rFonts w:cs="Arial"/>
          <w:color w:val="000000"/>
          <w:sz w:val="22"/>
          <w:szCs w:val="22"/>
          <w:lang w:val="en-CA" w:eastAsia="fr-CA"/>
        </w:rPr>
        <w:tab/>
      </w:r>
      <w:r w:rsidRPr="000A0EA1">
        <w:rPr>
          <w:rFonts w:cs="Arial"/>
          <w:color w:val="000000"/>
          <w:sz w:val="22"/>
          <w:szCs w:val="22"/>
          <w:u w:val="single"/>
          <w:lang w:val="en-CA" w:eastAsia="fr-CA"/>
        </w:rPr>
        <w:t>making of agreements for education and services for minority language pupils</w:t>
      </w:r>
      <w:r w:rsidRPr="000A0EA1">
        <w:rPr>
          <w:rFonts w:cs="Arial"/>
          <w:color w:val="000000"/>
          <w:sz w:val="22"/>
          <w:szCs w:val="22"/>
          <w:lang w:val="en-CA" w:eastAsia="fr-CA"/>
        </w:rPr>
        <w:t>.</w:t>
      </w:r>
    </w:p>
    <w:p w14:paraId="17F5F2E6" w14:textId="4C5C0E7F" w:rsidR="00F75613" w:rsidRPr="000A0EA1" w:rsidRDefault="00403CE7" w:rsidP="00B255B8">
      <w:pPr>
        <w:spacing w:after="120" w:line="240" w:lineRule="auto"/>
        <w:ind w:left="720" w:right="720"/>
        <w:jc w:val="right"/>
        <w:rPr>
          <w:kern w:val="28"/>
          <w:sz w:val="22"/>
          <w:szCs w:val="22"/>
          <w:lang w:val="en-CA"/>
        </w:rPr>
      </w:pPr>
      <w:r>
        <w:rPr>
          <w:kern w:val="28"/>
          <w:sz w:val="22"/>
          <w:szCs w:val="22"/>
          <w:lang w:val="en-CA"/>
        </w:rPr>
        <w:t>(</w:t>
      </w:r>
      <w:r w:rsidR="00B02E00" w:rsidRPr="000A0EA1">
        <w:rPr>
          <w:kern w:val="28"/>
          <w:sz w:val="22"/>
          <w:szCs w:val="22"/>
          <w:lang w:val="en-CA"/>
        </w:rPr>
        <w:t>Underlining added</w:t>
      </w:r>
      <w:r>
        <w:rPr>
          <w:kern w:val="28"/>
          <w:sz w:val="22"/>
          <w:szCs w:val="22"/>
          <w:lang w:val="en-CA"/>
        </w:rPr>
        <w:t>)</w:t>
      </w:r>
    </w:p>
    <w:p w14:paraId="17F5F2E7" w14:textId="3B652085" w:rsidR="00F75613" w:rsidRPr="000A0EA1" w:rsidRDefault="00B02E00" w:rsidP="00B255B8">
      <w:pPr>
        <w:pStyle w:val="Paragraphe"/>
        <w:spacing w:line="240" w:lineRule="auto"/>
        <w:rPr>
          <w:lang w:val="en-CA"/>
        </w:rPr>
      </w:pPr>
      <w:r w:rsidRPr="000A0EA1">
        <w:rPr>
          <w:lang w:val="en-CA"/>
        </w:rPr>
        <w:t>This is also what Wagner,</w:t>
      </w:r>
      <w:r w:rsidR="00B80057">
        <w:rPr>
          <w:lang w:val="en-CA"/>
        </w:rPr>
        <w:t> </w:t>
      </w:r>
      <w:r w:rsidRPr="000A0EA1">
        <w:rPr>
          <w:lang w:val="en-CA"/>
        </w:rPr>
        <w:t xml:space="preserve">C.J. made </w:t>
      </w:r>
      <w:r w:rsidR="00713F89">
        <w:rPr>
          <w:lang w:val="en-CA"/>
        </w:rPr>
        <w:t>quite</w:t>
      </w:r>
      <w:r w:rsidRPr="000A0EA1">
        <w:rPr>
          <w:lang w:val="en-CA"/>
        </w:rPr>
        <w:t xml:space="preserve"> clear in </w:t>
      </w:r>
      <w:bookmarkStart w:id="57" w:name="_Hlk187312495"/>
      <w:r w:rsidRPr="000A0EA1">
        <w:rPr>
          <w:i/>
          <w:iCs/>
          <w:lang w:val="en-CA"/>
        </w:rPr>
        <w:t xml:space="preserve">Conseil </w:t>
      </w:r>
      <w:proofErr w:type="spellStart"/>
      <w:r w:rsidRPr="000A0EA1">
        <w:rPr>
          <w:i/>
          <w:iCs/>
          <w:lang w:val="en-CA"/>
        </w:rPr>
        <w:t>scolaire</w:t>
      </w:r>
      <w:proofErr w:type="spellEnd"/>
      <w:r w:rsidRPr="000A0EA1">
        <w:rPr>
          <w:i/>
          <w:iCs/>
          <w:lang w:val="en-CA"/>
        </w:rPr>
        <w:t xml:space="preserve"> francophone de la </w:t>
      </w:r>
      <w:proofErr w:type="spellStart"/>
      <w:r w:rsidRPr="000A0EA1">
        <w:rPr>
          <w:i/>
          <w:iCs/>
          <w:lang w:val="en-CA"/>
        </w:rPr>
        <w:t>Colombie</w:t>
      </w:r>
      <w:r w:rsidR="00B80057">
        <w:rPr>
          <w:i/>
          <w:iCs/>
          <w:lang w:val="en-CA"/>
        </w:rPr>
        <w:noBreakHyphen/>
      </w:r>
      <w:r w:rsidRPr="000A0EA1">
        <w:rPr>
          <w:i/>
          <w:iCs/>
          <w:lang w:val="en-CA"/>
        </w:rPr>
        <w:t>Britannique</w:t>
      </w:r>
      <w:proofErr w:type="spellEnd"/>
      <w:r w:rsidRPr="000A0EA1">
        <w:rPr>
          <w:lang w:val="en-CA"/>
        </w:rPr>
        <w:t>:</w:t>
      </w:r>
      <w:r w:rsidRPr="000A0EA1">
        <w:rPr>
          <w:vertAlign w:val="superscript"/>
          <w:lang w:val="en-CA"/>
        </w:rPr>
        <w:footnoteReference w:id="165"/>
      </w:r>
      <w:bookmarkEnd w:id="57"/>
    </w:p>
    <w:p w14:paraId="17F5F2E8" w14:textId="2518AAD3"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[23]</w:t>
      </w:r>
      <w:r w:rsidRPr="000A0EA1">
        <w:rPr>
          <w:kern w:val="24"/>
          <w:sz w:val="22"/>
          <w:lang w:val="en-CA"/>
        </w:rPr>
        <w:tab/>
        <w:t xml:space="preserve">In </w:t>
      </w:r>
      <w:proofErr w:type="spellStart"/>
      <w:r w:rsidRPr="000A0EA1">
        <w:rPr>
          <w:i/>
          <w:iCs/>
          <w:kern w:val="24"/>
          <w:sz w:val="22"/>
          <w:lang w:val="en-CA"/>
        </w:rPr>
        <w:t>Mahe</w:t>
      </w:r>
      <w:proofErr w:type="spellEnd"/>
      <w:r w:rsidRPr="000A0EA1">
        <w:rPr>
          <w:kern w:val="24"/>
          <w:sz w:val="22"/>
          <w:lang w:val="en-CA"/>
        </w:rPr>
        <w:t xml:space="preserve">, this Court rejected what was called the </w:t>
      </w:r>
      <w:r w:rsidR="00E46AFD">
        <w:rPr>
          <w:kern w:val="24"/>
          <w:sz w:val="22"/>
          <w:lang w:val="en-CA"/>
        </w:rPr>
        <w:t>“</w:t>
      </w:r>
      <w:r w:rsidRPr="000A0EA1">
        <w:rPr>
          <w:kern w:val="24"/>
          <w:sz w:val="22"/>
          <w:lang w:val="en-CA"/>
        </w:rPr>
        <w:t>separate rights</w:t>
      </w:r>
      <w:r w:rsidR="00E46AFD">
        <w:rPr>
          <w:kern w:val="24"/>
          <w:sz w:val="22"/>
          <w:lang w:val="en-CA"/>
        </w:rPr>
        <w:t>”</w:t>
      </w:r>
      <w:r w:rsidRPr="000A0EA1">
        <w:rPr>
          <w:kern w:val="24"/>
          <w:sz w:val="22"/>
          <w:lang w:val="en-CA"/>
        </w:rPr>
        <w:t xml:space="preserve"> approach, according to which </w:t>
      </w:r>
      <w:r w:rsidR="0062160E">
        <w:rPr>
          <w:kern w:val="24"/>
          <w:sz w:val="22"/>
          <w:lang w:val="en-CA"/>
        </w:rPr>
        <w:t>s. 2</w:t>
      </w:r>
      <w:r w:rsidRPr="000A0EA1">
        <w:rPr>
          <w:kern w:val="24"/>
          <w:sz w:val="22"/>
          <w:lang w:val="en-CA"/>
        </w:rPr>
        <w:t xml:space="preserve">3 provides for only two rights: a right to educational facilities where there are a specific number of students and a right only to instruction where the number of students is smaller. The Court held that </w:t>
      </w:r>
      <w:r w:rsidR="0062160E">
        <w:rPr>
          <w:kern w:val="24"/>
          <w:sz w:val="22"/>
          <w:lang w:val="en-CA"/>
        </w:rPr>
        <w:t>s. 2</w:t>
      </w:r>
      <w:r w:rsidRPr="000A0EA1">
        <w:rPr>
          <w:kern w:val="24"/>
          <w:sz w:val="22"/>
          <w:lang w:val="en-CA"/>
        </w:rPr>
        <w:t xml:space="preserve">3 must instead be understood </w:t>
      </w:r>
      <w:r w:rsidR="00E46AFD">
        <w:rPr>
          <w:kern w:val="24"/>
          <w:sz w:val="22"/>
          <w:lang w:val="en-CA"/>
        </w:rPr>
        <w:t>“</w:t>
      </w:r>
      <w:r w:rsidRPr="000A0EA1">
        <w:rPr>
          <w:kern w:val="24"/>
          <w:sz w:val="22"/>
          <w:lang w:val="en-CA"/>
        </w:rPr>
        <w:t xml:space="preserve">as encompassing a </w:t>
      </w:r>
      <w:r w:rsidR="00E46AFD">
        <w:rPr>
          <w:kern w:val="24"/>
          <w:sz w:val="22"/>
          <w:lang w:val="en-CA"/>
        </w:rPr>
        <w:t>‘</w:t>
      </w:r>
      <w:r w:rsidRPr="000A0EA1">
        <w:rPr>
          <w:kern w:val="24"/>
          <w:sz w:val="22"/>
          <w:lang w:val="en-CA"/>
        </w:rPr>
        <w:t>sliding scale</w:t>
      </w:r>
      <w:r w:rsidR="00E46AFD">
        <w:rPr>
          <w:kern w:val="24"/>
          <w:sz w:val="22"/>
          <w:lang w:val="en-CA"/>
        </w:rPr>
        <w:t>’</w:t>
      </w:r>
      <w:r w:rsidRPr="000A0EA1">
        <w:rPr>
          <w:kern w:val="24"/>
          <w:sz w:val="22"/>
          <w:lang w:val="en-CA"/>
        </w:rPr>
        <w:t xml:space="preserve"> of requirement</w:t>
      </w:r>
      <w:r w:rsidR="00E46AFD">
        <w:rPr>
          <w:kern w:val="24"/>
          <w:sz w:val="22"/>
          <w:lang w:val="en-CA"/>
        </w:rPr>
        <w:t>”</w:t>
      </w:r>
      <w:r w:rsidRPr="000A0EA1">
        <w:rPr>
          <w:kern w:val="24"/>
          <w:sz w:val="22"/>
          <w:lang w:val="en-CA"/>
        </w:rPr>
        <w:t xml:space="preserve"> (p.</w:t>
      </w:r>
      <w:r w:rsidR="00D7616D">
        <w:rPr>
          <w:kern w:val="24"/>
          <w:sz w:val="22"/>
          <w:lang w:val="en-CA"/>
        </w:rPr>
        <w:t> </w:t>
      </w:r>
      <w:r w:rsidRPr="000A0EA1">
        <w:rPr>
          <w:kern w:val="24"/>
          <w:sz w:val="22"/>
          <w:lang w:val="en-CA"/>
        </w:rPr>
        <w:t>366).</w:t>
      </w:r>
    </w:p>
    <w:p w14:paraId="17F5F2E9" w14:textId="3BA6F71B" w:rsidR="00F75613" w:rsidRPr="000A0EA1" w:rsidRDefault="00B02E00" w:rsidP="00B255B8">
      <w:pPr>
        <w:spacing w:before="120" w:after="120" w:line="240" w:lineRule="auto"/>
        <w:ind w:left="720" w:right="720"/>
        <w:jc w:val="both"/>
        <w:rPr>
          <w:kern w:val="24"/>
          <w:sz w:val="22"/>
          <w:lang w:val="en-CA"/>
        </w:rPr>
      </w:pPr>
      <w:r w:rsidRPr="000A0EA1">
        <w:rPr>
          <w:kern w:val="24"/>
          <w:sz w:val="22"/>
          <w:lang w:val="en-CA"/>
        </w:rPr>
        <w:t>[24]</w:t>
      </w:r>
      <w:r w:rsidRPr="000A0EA1">
        <w:rPr>
          <w:kern w:val="24"/>
          <w:sz w:val="22"/>
          <w:lang w:val="en-CA"/>
        </w:rPr>
        <w:tab/>
        <w:t xml:space="preserve">By virtue of this </w:t>
      </w:r>
      <w:r w:rsidR="00E46AFD">
        <w:rPr>
          <w:kern w:val="24"/>
          <w:sz w:val="22"/>
          <w:lang w:val="en-CA"/>
        </w:rPr>
        <w:t>“</w:t>
      </w:r>
      <w:r w:rsidRPr="000A0EA1">
        <w:rPr>
          <w:kern w:val="24"/>
          <w:sz w:val="22"/>
          <w:lang w:val="en-CA"/>
        </w:rPr>
        <w:t>sliding scale</w:t>
      </w:r>
      <w:r w:rsidR="00E46AFD">
        <w:rPr>
          <w:kern w:val="24"/>
          <w:sz w:val="22"/>
          <w:lang w:val="en-CA"/>
        </w:rPr>
        <w:t>”</w:t>
      </w:r>
      <w:r w:rsidRPr="000A0EA1">
        <w:rPr>
          <w:kern w:val="24"/>
          <w:sz w:val="22"/>
          <w:lang w:val="en-CA"/>
        </w:rPr>
        <w:t xml:space="preserve"> concept, </w:t>
      </w:r>
      <w:r w:rsidR="0062160E">
        <w:rPr>
          <w:kern w:val="24"/>
          <w:sz w:val="22"/>
          <w:lang w:val="en-CA"/>
        </w:rPr>
        <w:t>s. 2</w:t>
      </w:r>
      <w:r w:rsidRPr="000A0EA1">
        <w:rPr>
          <w:kern w:val="24"/>
          <w:sz w:val="22"/>
          <w:lang w:val="en-CA"/>
        </w:rPr>
        <w:t xml:space="preserve">3 provides a basis for a range of educational services. The low end of the scale corresponds to the right only to instruction that is provided for in </w:t>
      </w:r>
      <w:r w:rsidR="0062160E">
        <w:rPr>
          <w:kern w:val="24"/>
          <w:sz w:val="22"/>
          <w:lang w:val="en-CA"/>
        </w:rPr>
        <w:t>s. 2</w:t>
      </w:r>
      <w:r w:rsidRPr="000A0EA1">
        <w:rPr>
          <w:kern w:val="24"/>
          <w:sz w:val="22"/>
          <w:lang w:val="en-CA"/>
        </w:rPr>
        <w:t>3(3)(</w:t>
      </w:r>
      <w:r w:rsidRPr="000A0EA1">
        <w:rPr>
          <w:i/>
          <w:iCs/>
          <w:kern w:val="24"/>
          <w:sz w:val="22"/>
          <w:lang w:val="en-CA"/>
        </w:rPr>
        <w:t>a</w:t>
      </w:r>
      <w:r w:rsidRPr="000A0EA1">
        <w:rPr>
          <w:kern w:val="24"/>
          <w:sz w:val="22"/>
          <w:lang w:val="en-CA"/>
        </w:rPr>
        <w:t xml:space="preserve">), while the high end corresponds to the </w:t>
      </w:r>
      <w:r w:rsidR="00E46AFD">
        <w:rPr>
          <w:kern w:val="24"/>
          <w:sz w:val="22"/>
          <w:lang w:val="en-CA"/>
        </w:rPr>
        <w:t>“</w:t>
      </w:r>
      <w:r w:rsidRPr="000A0EA1">
        <w:rPr>
          <w:kern w:val="24"/>
          <w:sz w:val="22"/>
          <w:lang w:val="en-CA"/>
        </w:rPr>
        <w:t>upper level of management and control</w:t>
      </w:r>
      <w:r w:rsidR="00E46AFD">
        <w:rPr>
          <w:kern w:val="24"/>
          <w:sz w:val="22"/>
          <w:lang w:val="en-CA"/>
        </w:rPr>
        <w:t>”</w:t>
      </w:r>
      <w:r w:rsidRPr="000A0EA1">
        <w:rPr>
          <w:kern w:val="24"/>
          <w:sz w:val="22"/>
          <w:lang w:val="en-CA"/>
        </w:rPr>
        <w:t xml:space="preserve"> provided for in </w:t>
      </w:r>
      <w:r w:rsidR="0062160E">
        <w:rPr>
          <w:kern w:val="24"/>
          <w:sz w:val="22"/>
          <w:lang w:val="en-CA"/>
        </w:rPr>
        <w:t>s. 2</w:t>
      </w:r>
      <w:r w:rsidRPr="000A0EA1">
        <w:rPr>
          <w:kern w:val="24"/>
          <w:sz w:val="22"/>
          <w:lang w:val="en-CA"/>
        </w:rPr>
        <w:t>3(3)(</w:t>
      </w:r>
      <w:r w:rsidRPr="000A0EA1">
        <w:rPr>
          <w:i/>
          <w:iCs/>
          <w:kern w:val="24"/>
          <w:sz w:val="22"/>
          <w:lang w:val="en-CA"/>
        </w:rPr>
        <w:t>b</w:t>
      </w:r>
      <w:r w:rsidRPr="000A0EA1">
        <w:rPr>
          <w:kern w:val="24"/>
          <w:sz w:val="22"/>
          <w:lang w:val="en-CA"/>
        </w:rPr>
        <w:t>) (</w:t>
      </w:r>
      <w:proofErr w:type="spellStart"/>
      <w:r w:rsidRPr="000A0EA1">
        <w:rPr>
          <w:i/>
          <w:iCs/>
          <w:kern w:val="24"/>
          <w:sz w:val="22"/>
          <w:lang w:val="en-CA"/>
        </w:rPr>
        <w:t>Mahe</w:t>
      </w:r>
      <w:proofErr w:type="spellEnd"/>
      <w:r w:rsidRPr="000A0EA1">
        <w:rPr>
          <w:kern w:val="24"/>
          <w:sz w:val="22"/>
          <w:lang w:val="en-CA"/>
        </w:rPr>
        <w:t>, at p.</w:t>
      </w:r>
      <w:r w:rsidR="00D7616D">
        <w:rPr>
          <w:kern w:val="24"/>
          <w:sz w:val="22"/>
          <w:lang w:val="en-CA"/>
        </w:rPr>
        <w:t> </w:t>
      </w:r>
      <w:r w:rsidRPr="000A0EA1">
        <w:rPr>
          <w:kern w:val="24"/>
          <w:sz w:val="22"/>
          <w:lang w:val="en-CA"/>
        </w:rPr>
        <w:t xml:space="preserve">370). In other words, at the low end, </w:t>
      </w:r>
      <w:r w:rsidR="0062160E">
        <w:rPr>
          <w:kern w:val="24"/>
          <w:sz w:val="22"/>
          <w:lang w:val="en-CA"/>
        </w:rPr>
        <w:t>s. 2</w:t>
      </w:r>
      <w:r w:rsidRPr="000A0EA1">
        <w:rPr>
          <w:kern w:val="24"/>
          <w:sz w:val="22"/>
          <w:lang w:val="en-CA"/>
        </w:rPr>
        <w:t xml:space="preserve">3 rights holders are entitled to have </w:t>
      </w:r>
      <w:r w:rsidRPr="000A0EA1">
        <w:rPr>
          <w:kern w:val="24"/>
          <w:sz w:val="22"/>
          <w:lang w:val="en-CA"/>
        </w:rPr>
        <w:lastRenderedPageBreak/>
        <w:t xml:space="preserve">their children receive instruction in the language of the official language minority, but the extent to which </w:t>
      </w:r>
      <w:r w:rsidRPr="000A0EA1">
        <w:rPr>
          <w:kern w:val="24"/>
          <w:sz w:val="22"/>
          <w:u w:val="single"/>
          <w:lang w:val="en-CA"/>
        </w:rPr>
        <w:t>the minority exercises</w:t>
      </w:r>
      <w:r w:rsidRPr="000A0EA1">
        <w:rPr>
          <w:kern w:val="24"/>
          <w:sz w:val="22"/>
          <w:lang w:val="en-CA"/>
        </w:rPr>
        <w:t xml:space="preserve"> control over the provision of instruction rises with the number of children of rights holders. At the low end of the scale, </w:t>
      </w:r>
      <w:r w:rsidRPr="000A0EA1">
        <w:rPr>
          <w:kern w:val="24"/>
          <w:sz w:val="22"/>
          <w:u w:val="single"/>
          <w:lang w:val="en-CA"/>
        </w:rPr>
        <w:t>the minority</w:t>
      </w:r>
      <w:r w:rsidRPr="000A0EA1">
        <w:rPr>
          <w:kern w:val="24"/>
          <w:sz w:val="22"/>
          <w:lang w:val="en-CA"/>
        </w:rPr>
        <w:t xml:space="preserve"> is entitled only to instruction in its language. In the middle, it might have control over one or more classrooms in a school of the majority or over one part of a school it shares with the majority. It might also have control over the hiring of teaching staff and over certain expenditures. At the high end, </w:t>
      </w:r>
      <w:r w:rsidRPr="000A0EA1">
        <w:rPr>
          <w:kern w:val="24"/>
          <w:sz w:val="22"/>
          <w:u w:val="single"/>
          <w:lang w:val="en-CA"/>
        </w:rPr>
        <w:t>the minority has control over separate educational facilities</w:t>
      </w:r>
      <w:r w:rsidRPr="000A0EA1">
        <w:rPr>
          <w:kern w:val="24"/>
          <w:sz w:val="22"/>
          <w:lang w:val="en-CA"/>
        </w:rPr>
        <w:t xml:space="preserve">, that is, over a homogeneous school. </w:t>
      </w:r>
      <w:r w:rsidRPr="000A0EA1">
        <w:rPr>
          <w:kern w:val="24"/>
          <w:sz w:val="22"/>
          <w:u w:val="single"/>
          <w:lang w:val="en-CA"/>
        </w:rPr>
        <w:t>The number of children of rights holders might also entitle the minority to the management and control of a separate school board.</w:t>
      </w:r>
      <w:r w:rsidRPr="000A0EA1">
        <w:rPr>
          <w:kern w:val="24"/>
          <w:sz w:val="22"/>
          <w:lang w:val="en-CA"/>
        </w:rPr>
        <w:t xml:space="preserve"> In short, once the minimum threshold of </w:t>
      </w:r>
      <w:r w:rsidR="0062160E">
        <w:rPr>
          <w:kern w:val="24"/>
          <w:sz w:val="22"/>
          <w:lang w:val="en-CA"/>
        </w:rPr>
        <w:t>s. 2</w:t>
      </w:r>
      <w:r w:rsidRPr="000A0EA1">
        <w:rPr>
          <w:kern w:val="24"/>
          <w:sz w:val="22"/>
          <w:lang w:val="en-CA"/>
        </w:rPr>
        <w:t>3(3)(</w:t>
      </w:r>
      <w:r w:rsidRPr="000A0EA1">
        <w:rPr>
          <w:i/>
          <w:iCs/>
          <w:kern w:val="24"/>
          <w:sz w:val="22"/>
          <w:lang w:val="en-CA"/>
        </w:rPr>
        <w:t>a</w:t>
      </w:r>
      <w:r w:rsidRPr="000A0EA1">
        <w:rPr>
          <w:kern w:val="24"/>
          <w:sz w:val="22"/>
          <w:lang w:val="en-CA"/>
        </w:rPr>
        <w:t xml:space="preserve">) is crossed, </w:t>
      </w:r>
      <w:r w:rsidRPr="000A0EA1">
        <w:rPr>
          <w:kern w:val="24"/>
          <w:sz w:val="22"/>
          <w:u w:val="single"/>
          <w:lang w:val="en-CA"/>
        </w:rPr>
        <w:t>the sliding scale applies to determine the level of services that corresponds to the extent to which the minority will have control over the provision of educational services</w:t>
      </w:r>
      <w:r w:rsidRPr="000A0EA1">
        <w:rPr>
          <w:kern w:val="24"/>
          <w:sz w:val="22"/>
          <w:lang w:val="en-CA"/>
        </w:rPr>
        <w:t>.</w:t>
      </w:r>
    </w:p>
    <w:p w14:paraId="17F5F2EA" w14:textId="3A3B3130" w:rsidR="00F75613" w:rsidRPr="000A0EA1" w:rsidRDefault="00403CE7" w:rsidP="00B255B8">
      <w:pPr>
        <w:spacing w:before="120" w:after="120" w:line="240" w:lineRule="auto"/>
        <w:ind w:left="720" w:right="720"/>
        <w:jc w:val="right"/>
        <w:rPr>
          <w:kern w:val="24"/>
          <w:sz w:val="22"/>
          <w:lang w:val="en-CA"/>
        </w:rPr>
      </w:pPr>
      <w:r>
        <w:rPr>
          <w:kern w:val="24"/>
          <w:sz w:val="22"/>
          <w:lang w:val="en-CA"/>
        </w:rPr>
        <w:t>(</w:t>
      </w:r>
      <w:r w:rsidR="00B02E00" w:rsidRPr="000A0EA1">
        <w:rPr>
          <w:kern w:val="24"/>
          <w:sz w:val="22"/>
          <w:lang w:val="en-CA"/>
        </w:rPr>
        <w:t>Underlining added</w:t>
      </w:r>
      <w:r>
        <w:rPr>
          <w:kern w:val="24"/>
          <w:sz w:val="22"/>
          <w:lang w:val="en-CA"/>
        </w:rPr>
        <w:t>)</w:t>
      </w:r>
    </w:p>
    <w:p w14:paraId="17F5F2EB" w14:textId="1FD4495F" w:rsidR="00F75613" w:rsidRPr="000A0EA1" w:rsidRDefault="00B02E00" w:rsidP="00B255B8">
      <w:pPr>
        <w:pStyle w:val="Paragraphe"/>
        <w:spacing w:line="240" w:lineRule="auto"/>
        <w:rPr>
          <w:lang w:val="en-CA"/>
        </w:rPr>
      </w:pPr>
      <w:r w:rsidRPr="000A0EA1">
        <w:rPr>
          <w:lang w:val="en-CA"/>
        </w:rPr>
        <w:t xml:space="preserve">This is so because of </w:t>
      </w:r>
      <w:r w:rsidR="00E46AFD">
        <w:rPr>
          <w:lang w:val="en-CA"/>
        </w:rPr>
        <w:t>“</w:t>
      </w:r>
      <w:r w:rsidRPr="000A0EA1">
        <w:rPr>
          <w:lang w:val="en-CA"/>
        </w:rPr>
        <w:t>the collective scope of the individual rights [</w:t>
      </w:r>
      <w:r w:rsidR="0062160E">
        <w:rPr>
          <w:lang w:val="en-CA"/>
        </w:rPr>
        <w:t>s. 2</w:t>
      </w:r>
      <w:r w:rsidRPr="000A0EA1">
        <w:rPr>
          <w:lang w:val="en-CA"/>
        </w:rPr>
        <w:t>3] grants</w:t>
      </w:r>
      <w:r w:rsidR="00E46AFD">
        <w:rPr>
          <w:lang w:val="en-CA"/>
        </w:rPr>
        <w:t>”</w:t>
      </w:r>
      <w:r w:rsidRPr="000A0EA1">
        <w:rPr>
          <w:rStyle w:val="Appelnotedebasdep"/>
          <w:lang w:val="en-CA"/>
        </w:rPr>
        <w:footnoteReference w:id="166"/>
      </w:r>
      <w:r w:rsidRPr="000A0EA1">
        <w:rPr>
          <w:lang w:val="en-CA"/>
        </w:rPr>
        <w:t xml:space="preserve"> and the vital role this section plays in ensuring the equal partnership of the two official language groups in the context of education.</w:t>
      </w:r>
      <w:r w:rsidRPr="000A0EA1">
        <w:rPr>
          <w:vertAlign w:val="superscript"/>
          <w:lang w:val="en-CA"/>
        </w:rPr>
        <w:footnoteReference w:id="167"/>
      </w:r>
      <w:r w:rsidRPr="000A0EA1">
        <w:rPr>
          <w:lang w:val="en-CA"/>
        </w:rPr>
        <w:t xml:space="preserve"> As a unanimous Supreme Court pointed out in </w:t>
      </w:r>
      <w:r w:rsidRPr="000A0EA1">
        <w:rPr>
          <w:i/>
          <w:iCs/>
          <w:lang w:val="en-CA"/>
        </w:rPr>
        <w:t>Solski</w:t>
      </w:r>
      <w:r w:rsidRPr="000A0EA1">
        <w:rPr>
          <w:lang w:val="en-CA"/>
        </w:rPr>
        <w:t xml:space="preserve">, </w:t>
      </w:r>
      <w:r w:rsidR="00E46AFD">
        <w:rPr>
          <w:lang w:val="en-CA"/>
        </w:rPr>
        <w:t>“</w:t>
      </w:r>
      <w:r w:rsidRPr="000A0EA1">
        <w:rPr>
          <w:lang w:val="en-CA"/>
        </w:rPr>
        <w:t>[s]</w:t>
      </w:r>
      <w:proofErr w:type="spellStart"/>
      <w:r w:rsidRPr="000A0EA1">
        <w:rPr>
          <w:lang w:val="en-CA"/>
        </w:rPr>
        <w:t>ection</w:t>
      </w:r>
      <w:proofErr w:type="spellEnd"/>
      <w:r w:rsidRPr="000A0EA1">
        <w:rPr>
          <w:lang w:val="en-CA"/>
        </w:rPr>
        <w:t xml:space="preserve"> 23 provides a comprehensive </w:t>
      </w:r>
      <w:r w:rsidRPr="00713F89">
        <w:rPr>
          <w:lang w:val="en-CA"/>
        </w:rPr>
        <w:t>code of</w:t>
      </w:r>
      <w:r w:rsidRPr="000A0EA1">
        <w:rPr>
          <w:lang w:val="en-CA"/>
        </w:rPr>
        <w:t xml:space="preserve"> minority language education </w:t>
      </w:r>
      <w:r w:rsidRPr="00713F89">
        <w:rPr>
          <w:lang w:val="en-CA"/>
        </w:rPr>
        <w:t xml:space="preserve">rights </w:t>
      </w:r>
      <w:r w:rsidRPr="000A0EA1">
        <w:rPr>
          <w:u w:val="single"/>
          <w:lang w:val="en-CA"/>
        </w:rPr>
        <w:t>which afford special status to minority</w:t>
      </w:r>
      <w:r w:rsidRPr="00E71F69">
        <w:rPr>
          <w:u w:val="single"/>
          <w:lang w:val="en-CA"/>
        </w:rPr>
        <w:t xml:space="preserve"> English- or </w:t>
      </w:r>
      <w:r w:rsidR="00AE3408" w:rsidRPr="00E71F69">
        <w:rPr>
          <w:u w:val="single"/>
          <w:lang w:val="en-CA"/>
        </w:rPr>
        <w:t>French</w:t>
      </w:r>
      <w:r w:rsidR="00AE3408" w:rsidRPr="00E71F69">
        <w:rPr>
          <w:u w:val="single"/>
          <w:lang w:val="en-CA"/>
        </w:rPr>
        <w:noBreakHyphen/>
      </w:r>
      <w:r w:rsidR="00AE3408" w:rsidRPr="00B064B1">
        <w:rPr>
          <w:u w:val="single"/>
          <w:lang w:val="en-CA"/>
        </w:rPr>
        <w:t>language</w:t>
      </w:r>
      <w:r w:rsidRPr="00B064B1">
        <w:rPr>
          <w:u w:val="single"/>
          <w:lang w:val="en-CA"/>
        </w:rPr>
        <w:t xml:space="preserve"> communities</w:t>
      </w:r>
      <w:r w:rsidR="00E46AFD">
        <w:rPr>
          <w:lang w:val="en-CA"/>
        </w:rPr>
        <w:t>”</w:t>
      </w:r>
      <w:r w:rsidRPr="000A0EA1">
        <w:rPr>
          <w:lang w:val="en-CA"/>
        </w:rPr>
        <w:t>.</w:t>
      </w:r>
      <w:r w:rsidRPr="000A0EA1">
        <w:rPr>
          <w:vertAlign w:val="superscript"/>
          <w:lang w:val="en-CA"/>
        </w:rPr>
        <w:footnoteReference w:id="168"/>
      </w:r>
    </w:p>
    <w:p w14:paraId="17F5F2EC" w14:textId="5141956E" w:rsidR="00F75613" w:rsidRPr="000A0EA1" w:rsidRDefault="00B02E00" w:rsidP="00B255B8">
      <w:pPr>
        <w:pStyle w:val="Paragraphe"/>
        <w:spacing w:line="240" w:lineRule="auto"/>
        <w:rPr>
          <w:lang w:val="en-CA"/>
        </w:rPr>
      </w:pPr>
      <w:r w:rsidRPr="000A0EA1">
        <w:rPr>
          <w:lang w:val="en-CA"/>
        </w:rPr>
        <w:t xml:space="preserve">A textual interpretation of </w:t>
      </w:r>
      <w:r w:rsidR="0062160E">
        <w:rPr>
          <w:lang w:val="en-CA"/>
        </w:rPr>
        <w:t>s. 2</w:t>
      </w:r>
      <w:r w:rsidRPr="000A0EA1">
        <w:rPr>
          <w:lang w:val="en-CA"/>
        </w:rPr>
        <w:t xml:space="preserve">3 supports this conclusion. Indeed, the text of </w:t>
      </w:r>
      <w:r w:rsidR="0062160E">
        <w:rPr>
          <w:lang w:val="en-CA"/>
        </w:rPr>
        <w:t>s. 2</w:t>
      </w:r>
      <w:r w:rsidRPr="000A0EA1">
        <w:rPr>
          <w:lang w:val="en-CA"/>
        </w:rPr>
        <w:t>3(3)(</w:t>
      </w:r>
      <w:r w:rsidRPr="000A0EA1">
        <w:rPr>
          <w:i/>
          <w:iCs/>
          <w:lang w:val="en-CA"/>
        </w:rPr>
        <w:t>b</w:t>
      </w:r>
      <w:r w:rsidRPr="000A0EA1">
        <w:rPr>
          <w:lang w:val="en-CA"/>
        </w:rPr>
        <w:t xml:space="preserve">) refers to the right of certain Canadian citizens to have their children receive instruction </w:t>
      </w:r>
      <w:r w:rsidR="00E46AFD">
        <w:rPr>
          <w:lang w:val="en-CA"/>
        </w:rPr>
        <w:t>“</w:t>
      </w:r>
      <w:r w:rsidRPr="000A0EA1">
        <w:rPr>
          <w:lang w:val="en-CA"/>
        </w:rPr>
        <w:t xml:space="preserve">in </w:t>
      </w:r>
      <w:r w:rsidRPr="000A0EA1">
        <w:rPr>
          <w:u w:val="single"/>
          <w:lang w:val="en-CA"/>
        </w:rPr>
        <w:t>minority language</w:t>
      </w:r>
      <w:r w:rsidRPr="000A0EA1">
        <w:rPr>
          <w:lang w:val="en-CA"/>
        </w:rPr>
        <w:t xml:space="preserve"> educational facilities</w:t>
      </w:r>
      <w:r w:rsidR="00E46AFD">
        <w:rPr>
          <w:lang w:val="en-CA"/>
        </w:rPr>
        <w:t>”</w:t>
      </w:r>
      <w:r w:rsidR="00FA520F">
        <w:rPr>
          <w:lang w:val="en-CA"/>
        </w:rPr>
        <w:t>,</w:t>
      </w:r>
      <w:r w:rsidRPr="000A0EA1">
        <w:rPr>
          <w:rStyle w:val="Appelnotedebasdep"/>
          <w:lang w:val="en-CA"/>
        </w:rPr>
        <w:footnoteReference w:id="169"/>
      </w:r>
      <w:r w:rsidRPr="000A0EA1">
        <w:rPr>
          <w:lang w:val="en-CA"/>
        </w:rPr>
        <w:t xml:space="preserve"> and not </w:t>
      </w:r>
      <w:r w:rsidR="00E46AFD">
        <w:rPr>
          <w:lang w:val="en-CA"/>
        </w:rPr>
        <w:t>“</w:t>
      </w:r>
      <w:r w:rsidRPr="000A0EA1">
        <w:rPr>
          <w:lang w:val="en-CA"/>
        </w:rPr>
        <w:t>in the parents</w:t>
      </w:r>
      <w:r w:rsidR="00E46AFD">
        <w:rPr>
          <w:lang w:val="en-CA"/>
        </w:rPr>
        <w:t>’</w:t>
      </w:r>
      <w:r w:rsidRPr="000A0EA1">
        <w:rPr>
          <w:lang w:val="en-CA"/>
        </w:rPr>
        <w:t xml:space="preserve"> minority language educational facilities</w:t>
      </w:r>
      <w:r w:rsidR="00E46AFD">
        <w:rPr>
          <w:lang w:val="en-CA"/>
        </w:rPr>
        <w:t>”</w:t>
      </w:r>
      <w:r w:rsidRPr="000A0EA1">
        <w:rPr>
          <w:lang w:val="en-CA"/>
        </w:rPr>
        <w:t xml:space="preserve">. The words </w:t>
      </w:r>
      <w:r w:rsidR="00E46AFD">
        <w:rPr>
          <w:lang w:val="en-CA"/>
        </w:rPr>
        <w:t>“</w:t>
      </w:r>
      <w:r w:rsidRPr="000A0EA1">
        <w:rPr>
          <w:lang w:val="en-CA"/>
        </w:rPr>
        <w:t>minority language</w:t>
      </w:r>
      <w:r w:rsidR="00E46AFD">
        <w:rPr>
          <w:lang w:val="en-CA"/>
        </w:rPr>
        <w:t>”</w:t>
      </w:r>
      <w:r w:rsidRPr="000A0EA1">
        <w:rPr>
          <w:lang w:val="en-CA"/>
        </w:rPr>
        <w:t xml:space="preserve"> must therefore be given their common, literal meaning – i.e., the minority language community as a whole, as opposed to a restricted group belonging to this community. </w:t>
      </w:r>
    </w:p>
    <w:p w14:paraId="17F5F2ED" w14:textId="653EDD1E" w:rsidR="00F75613" w:rsidRPr="000A0EA1" w:rsidRDefault="00B02E00" w:rsidP="00B255B8">
      <w:pPr>
        <w:pStyle w:val="Paragraphe"/>
        <w:spacing w:line="240" w:lineRule="auto"/>
        <w:rPr>
          <w:lang w:val="en-CA"/>
        </w:rPr>
      </w:pPr>
      <w:r w:rsidRPr="000A0EA1">
        <w:rPr>
          <w:lang w:val="en-CA"/>
        </w:rPr>
        <w:t>In fact, that is how these words have been understood across Canada, including</w:t>
      </w:r>
      <w:r w:rsidR="006D2915">
        <w:rPr>
          <w:lang w:val="en-CA"/>
        </w:rPr>
        <w:t xml:space="preserve"> in</w:t>
      </w:r>
      <w:r w:rsidRPr="000A0EA1">
        <w:rPr>
          <w:lang w:val="en-CA"/>
        </w:rPr>
        <w:t xml:space="preserve"> Quebec. Thus, when linguistic school boards were established in Quebec, there were no restrictions on who, among Canadian citizens belonging to the </w:t>
      </w:r>
      <w:r w:rsidR="008C0A15">
        <w:rPr>
          <w:lang w:val="en-CA"/>
        </w:rPr>
        <w:t xml:space="preserve">minority </w:t>
      </w:r>
      <w:r w:rsidR="003D6D47">
        <w:rPr>
          <w:lang w:val="en-CA"/>
        </w:rPr>
        <w:t xml:space="preserve">language </w:t>
      </w:r>
      <w:r w:rsidRPr="000A0EA1">
        <w:rPr>
          <w:lang w:val="en-CA"/>
        </w:rPr>
        <w:t xml:space="preserve">community, could vote in school elections held by </w:t>
      </w:r>
      <w:r w:rsidR="00AE3408">
        <w:rPr>
          <w:lang w:val="en-CA"/>
        </w:rPr>
        <w:t>English</w:t>
      </w:r>
      <w:r w:rsidR="00AE3408">
        <w:rPr>
          <w:lang w:val="en-CA"/>
        </w:rPr>
        <w:noBreakHyphen/>
        <w:t>language</w:t>
      </w:r>
      <w:r w:rsidRPr="000A0EA1">
        <w:rPr>
          <w:lang w:val="en-CA"/>
        </w:rPr>
        <w:t xml:space="preserve"> school boards. </w:t>
      </w:r>
    </w:p>
    <w:p w14:paraId="17F5F2EE" w14:textId="22F954B9" w:rsidR="00F75613" w:rsidRPr="000A0EA1" w:rsidRDefault="00B02E00" w:rsidP="00B255B8">
      <w:pPr>
        <w:pStyle w:val="Paragraphe"/>
        <w:spacing w:line="240" w:lineRule="auto"/>
        <w:rPr>
          <w:lang w:val="en-CA"/>
        </w:rPr>
      </w:pPr>
      <w:r w:rsidRPr="000A0EA1">
        <w:rPr>
          <w:lang w:val="en-CA"/>
        </w:rPr>
        <w:t xml:space="preserve">Moreover, following </w:t>
      </w:r>
      <w:proofErr w:type="spellStart"/>
      <w:r w:rsidRPr="000A0EA1">
        <w:rPr>
          <w:i/>
          <w:iCs/>
          <w:lang w:val="en-CA"/>
        </w:rPr>
        <w:t>Mahe</w:t>
      </w:r>
      <w:proofErr w:type="spellEnd"/>
      <w:r w:rsidRPr="000A0EA1">
        <w:rPr>
          <w:lang w:val="en-CA"/>
        </w:rPr>
        <w:t xml:space="preserve"> and subsequent case law, the provinces and territories provided in their respective legislation that Canadian citizens who are members of the </w:t>
      </w:r>
      <w:r w:rsidR="00AE3408">
        <w:rPr>
          <w:lang w:val="en-CA"/>
        </w:rPr>
        <w:t>French</w:t>
      </w:r>
      <w:r w:rsidR="00AE3408">
        <w:rPr>
          <w:lang w:val="en-CA"/>
        </w:rPr>
        <w:noBreakHyphen/>
        <w:t>language</w:t>
      </w:r>
      <w:r w:rsidRPr="000A0EA1">
        <w:rPr>
          <w:lang w:val="en-CA"/>
        </w:rPr>
        <w:t xml:space="preserve"> minority and are covered by s</w:t>
      </w:r>
      <w:r w:rsidR="0062160E">
        <w:rPr>
          <w:lang w:val="en-CA"/>
        </w:rPr>
        <w:t>s. 2</w:t>
      </w:r>
      <w:r w:rsidRPr="000A0EA1">
        <w:rPr>
          <w:lang w:val="en-CA"/>
        </w:rPr>
        <w:t xml:space="preserve">3 (1) and (2) of the </w:t>
      </w:r>
      <w:r w:rsidRPr="000A0EA1">
        <w:rPr>
          <w:i/>
          <w:iCs/>
          <w:lang w:val="en-CA"/>
        </w:rPr>
        <w:t>Charter</w:t>
      </w:r>
      <w:r w:rsidRPr="000A0EA1">
        <w:rPr>
          <w:lang w:val="en-CA"/>
        </w:rPr>
        <w:t xml:space="preserve"> are the ones who may vote and stand for election to the school bodies that manage and control </w:t>
      </w:r>
      <w:r w:rsidRPr="000A0EA1">
        <w:rPr>
          <w:lang w:val="en-CA"/>
        </w:rPr>
        <w:lastRenderedPageBreak/>
        <w:t>the schools that provide minority language education, without restriction based on the status of being a parent of a student enrolled in a minority language school.</w:t>
      </w:r>
      <w:r w:rsidRPr="000A0EA1">
        <w:rPr>
          <w:vertAlign w:val="superscript"/>
          <w:lang w:val="en-CA"/>
        </w:rPr>
        <w:footnoteReference w:id="170"/>
      </w:r>
    </w:p>
    <w:p w14:paraId="17F5F2EF" w14:textId="37B5A52F" w:rsidR="00F75613" w:rsidRPr="000A0EA1" w:rsidRDefault="00B02E00" w:rsidP="00B255B8">
      <w:pPr>
        <w:pStyle w:val="Paragraphe"/>
        <w:spacing w:line="240" w:lineRule="auto"/>
        <w:rPr>
          <w:lang w:val="en-CA"/>
        </w:rPr>
      </w:pPr>
      <w:r w:rsidRPr="000A0EA1">
        <w:rPr>
          <w:lang w:val="en-CA"/>
        </w:rPr>
        <w:t xml:space="preserve">These are significant legislative facts that bolster the conclusion that it is indeed </w:t>
      </w:r>
      <w:bookmarkStart w:id="58" w:name="_Hlk186796385"/>
      <w:r w:rsidRPr="000A0EA1">
        <w:rPr>
          <w:lang w:val="en-CA"/>
        </w:rPr>
        <w:t>the members of the linguistic minority – and not just the parents of</w:t>
      </w:r>
      <w:r w:rsidR="0096200F">
        <w:rPr>
          <w:lang w:val="en-CA"/>
        </w:rPr>
        <w:t xml:space="preserve"> </w:t>
      </w:r>
      <w:r w:rsidRPr="000A0EA1">
        <w:rPr>
          <w:lang w:val="en-CA"/>
        </w:rPr>
        <w:t>students</w:t>
      </w:r>
      <w:r w:rsidR="0096200F">
        <w:rPr>
          <w:lang w:val="en-CA"/>
        </w:rPr>
        <w:t xml:space="preserve"> enrolled in schools of the linguistic minority</w:t>
      </w:r>
      <w:r w:rsidRPr="000A0EA1">
        <w:rPr>
          <w:lang w:val="en-CA"/>
        </w:rPr>
        <w:t>, as the AGQ submits – who participate in the management and control of minority language educational facilities by choosing their representatives for this purpose.</w:t>
      </w:r>
      <w:bookmarkEnd w:id="58"/>
      <w:r w:rsidRPr="000A0EA1">
        <w:rPr>
          <w:lang w:val="en-CA"/>
        </w:rPr>
        <w:t xml:space="preserve"> As Major and </w:t>
      </w:r>
      <w:proofErr w:type="spellStart"/>
      <w:r w:rsidRPr="000A0EA1">
        <w:rPr>
          <w:lang w:val="en-CA"/>
        </w:rPr>
        <w:t>Bastarache</w:t>
      </w:r>
      <w:proofErr w:type="spellEnd"/>
      <w:r w:rsidRPr="000A0EA1">
        <w:rPr>
          <w:lang w:val="en-CA"/>
        </w:rPr>
        <w:t xml:space="preserve">, JJ. pointed out for a unanimous Supreme Court in </w:t>
      </w:r>
      <w:r w:rsidRPr="000A0EA1">
        <w:rPr>
          <w:i/>
          <w:iCs/>
          <w:lang w:val="en-CA"/>
        </w:rPr>
        <w:t>Arsenault</w:t>
      </w:r>
      <w:r w:rsidR="00D33AC3">
        <w:rPr>
          <w:i/>
          <w:iCs/>
          <w:lang w:val="en-CA"/>
        </w:rPr>
        <w:noBreakHyphen/>
      </w:r>
      <w:r w:rsidRPr="000A0EA1">
        <w:rPr>
          <w:i/>
          <w:iCs/>
          <w:lang w:val="en-CA"/>
        </w:rPr>
        <w:t>Cameron</w:t>
      </w:r>
      <w:r w:rsidRPr="000A0EA1">
        <w:rPr>
          <w:lang w:val="en-CA"/>
        </w:rPr>
        <w:t xml:space="preserve">, it is </w:t>
      </w:r>
      <w:r w:rsidR="00E46AFD">
        <w:rPr>
          <w:lang w:val="en-CA"/>
        </w:rPr>
        <w:t>“</w:t>
      </w:r>
      <w:r w:rsidRPr="000A0EA1">
        <w:rPr>
          <w:lang w:val="en-CA"/>
        </w:rPr>
        <w:t xml:space="preserve">the official language minority, which is itself a true beneficiary under </w:t>
      </w:r>
      <w:r w:rsidR="0062160E">
        <w:rPr>
          <w:lang w:val="en-CA"/>
        </w:rPr>
        <w:t>s. 2</w:t>
      </w:r>
      <w:r w:rsidRPr="000A0EA1">
        <w:rPr>
          <w:lang w:val="en-CA"/>
        </w:rPr>
        <w:t>3</w:t>
      </w:r>
      <w:r w:rsidR="00E46AFD">
        <w:rPr>
          <w:lang w:val="en-CA"/>
        </w:rPr>
        <w:t>”</w:t>
      </w:r>
      <w:r w:rsidRPr="000A0EA1">
        <w:rPr>
          <w:lang w:val="en-CA"/>
        </w:rPr>
        <w:t>.</w:t>
      </w:r>
      <w:r w:rsidRPr="000A0EA1">
        <w:rPr>
          <w:vertAlign w:val="superscript"/>
          <w:lang w:val="en-CA"/>
        </w:rPr>
        <w:footnoteReference w:id="171"/>
      </w:r>
    </w:p>
    <w:p w14:paraId="17F5F2F0" w14:textId="1F1AA28B" w:rsidR="00F75613" w:rsidRPr="000A0EA1" w:rsidRDefault="00B02E00" w:rsidP="00B255B8">
      <w:pPr>
        <w:pStyle w:val="Paragraphe"/>
        <w:spacing w:line="240" w:lineRule="auto"/>
        <w:rPr>
          <w:lang w:val="en-CA"/>
        </w:rPr>
      </w:pPr>
      <w:r w:rsidRPr="000A0EA1">
        <w:rPr>
          <w:lang w:val="en-CA"/>
        </w:rPr>
        <w:t xml:space="preserve">Moreover, when the </w:t>
      </w:r>
      <w:r w:rsidRPr="000A0EA1">
        <w:rPr>
          <w:i/>
          <w:iCs/>
          <w:lang w:val="en-CA"/>
        </w:rPr>
        <w:t>Constitution Amendment,</w:t>
      </w:r>
      <w:r w:rsidR="00CF61E8">
        <w:rPr>
          <w:i/>
          <w:iCs/>
          <w:lang w:val="en-CA"/>
        </w:rPr>
        <w:t> </w:t>
      </w:r>
      <w:r w:rsidRPr="000A0EA1">
        <w:rPr>
          <w:i/>
          <w:iCs/>
          <w:lang w:val="en-CA"/>
        </w:rPr>
        <w:t>1997</w:t>
      </w:r>
      <w:r w:rsidR="00CF61E8">
        <w:rPr>
          <w:i/>
          <w:iCs/>
          <w:lang w:val="en-CA"/>
        </w:rPr>
        <w:t> </w:t>
      </w:r>
      <w:r w:rsidRPr="000A0EA1">
        <w:rPr>
          <w:i/>
          <w:iCs/>
          <w:lang w:val="en-CA"/>
        </w:rPr>
        <w:t>(Quebec)</w:t>
      </w:r>
      <w:r w:rsidRPr="000A0EA1">
        <w:rPr>
          <w:lang w:val="en-CA"/>
        </w:rPr>
        <w:t xml:space="preserve"> was enacted, making paragraphs (1) to (4) of </w:t>
      </w:r>
      <w:r w:rsidR="0062160E">
        <w:rPr>
          <w:lang w:val="en-CA"/>
        </w:rPr>
        <w:t>s. 9</w:t>
      </w:r>
      <w:r w:rsidRPr="000A0EA1">
        <w:rPr>
          <w:lang w:val="en-CA"/>
        </w:rPr>
        <w:t xml:space="preserve">3 of the </w:t>
      </w:r>
      <w:r w:rsidRPr="000A0EA1">
        <w:rPr>
          <w:i/>
          <w:iCs/>
          <w:lang w:val="en-CA"/>
        </w:rPr>
        <w:t>Constitution Act,</w:t>
      </w:r>
      <w:r w:rsidR="00CF61E8">
        <w:rPr>
          <w:i/>
          <w:iCs/>
          <w:lang w:val="en-CA"/>
        </w:rPr>
        <w:t> </w:t>
      </w:r>
      <w:r w:rsidRPr="000A0EA1">
        <w:rPr>
          <w:i/>
          <w:iCs/>
          <w:lang w:val="en-CA"/>
        </w:rPr>
        <w:t>1867</w:t>
      </w:r>
      <w:r w:rsidRPr="000A0EA1">
        <w:rPr>
          <w:lang w:val="en-CA"/>
        </w:rPr>
        <w:t xml:space="preserve"> inapplicable to Quebec, it was understood that the rights of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minority to manage and control its educational institutions were preserved by the effect of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w:t>
      </w:r>
    </w:p>
    <w:p w14:paraId="17F5F2F1" w14:textId="3DCA6712" w:rsidR="00F75613" w:rsidRPr="000A0EA1" w:rsidRDefault="00EB6E4D" w:rsidP="00B255B8">
      <w:pPr>
        <w:pStyle w:val="Paragraphe"/>
        <w:spacing w:line="240" w:lineRule="auto"/>
        <w:rPr>
          <w:lang w:val="en-CA"/>
        </w:rPr>
      </w:pPr>
      <w:r>
        <w:rPr>
          <w:lang w:val="en-CA"/>
        </w:rPr>
        <w:t>A</w:t>
      </w:r>
      <w:r w:rsidR="00B02E00" w:rsidRPr="000A0EA1">
        <w:rPr>
          <w:lang w:val="en-CA"/>
        </w:rPr>
        <w:t>s previously noted, during the debates in the National Assembly regarding this constitutional amendment, the then Minister of Education expressed the government of Quebec</w:t>
      </w:r>
      <w:r w:rsidR="00E46AFD">
        <w:rPr>
          <w:lang w:val="en-CA"/>
        </w:rPr>
        <w:t>’</w:t>
      </w:r>
      <w:r w:rsidR="00B02E00" w:rsidRPr="000A0EA1">
        <w:rPr>
          <w:lang w:val="en-CA"/>
        </w:rPr>
        <w:t>s commitment to allow Quebec</w:t>
      </w:r>
      <w:r w:rsidR="00E46AFD">
        <w:rPr>
          <w:lang w:val="en-CA"/>
        </w:rPr>
        <w:t>’</w:t>
      </w:r>
      <w:r w:rsidR="00B02E00" w:rsidRPr="000A0EA1">
        <w:rPr>
          <w:lang w:val="en-CA"/>
        </w:rPr>
        <w:t xml:space="preserve">s English community to manage the new </w:t>
      </w:r>
      <w:r w:rsidR="00AE3408">
        <w:rPr>
          <w:lang w:val="en-CA"/>
        </w:rPr>
        <w:t>English</w:t>
      </w:r>
      <w:r w:rsidR="00AE3408">
        <w:rPr>
          <w:lang w:val="en-CA"/>
        </w:rPr>
        <w:noBreakHyphen/>
        <w:t>language</w:t>
      </w:r>
      <w:r w:rsidR="00B02E00" w:rsidRPr="000A0EA1">
        <w:rPr>
          <w:lang w:val="en-CA"/>
        </w:rPr>
        <w:t xml:space="preserve"> school boards,</w:t>
      </w:r>
      <w:r w:rsidR="00B02E00" w:rsidRPr="000A0EA1">
        <w:rPr>
          <w:rFonts w:cs="Arial"/>
          <w:color w:val="333333"/>
          <w:vertAlign w:val="superscript"/>
          <w:lang w:val="en-CA"/>
        </w:rPr>
        <w:footnoteReference w:id="172"/>
      </w:r>
      <w:r w:rsidR="00B02E00" w:rsidRPr="000A0EA1">
        <w:rPr>
          <w:lang w:val="en-CA"/>
        </w:rPr>
        <w:t xml:space="preserve"> as, in fact, </w:t>
      </w:r>
      <w:r w:rsidR="0062160E">
        <w:rPr>
          <w:lang w:val="en-CA"/>
        </w:rPr>
        <w:t>s. 2</w:t>
      </w:r>
      <w:r w:rsidR="00B02E00" w:rsidRPr="000A0EA1">
        <w:rPr>
          <w:lang w:val="en-CA"/>
        </w:rPr>
        <w:t xml:space="preserve">3 of the </w:t>
      </w:r>
      <w:r w:rsidR="00B02E00" w:rsidRPr="000A0EA1">
        <w:rPr>
          <w:i/>
          <w:iCs/>
          <w:lang w:val="en-CA"/>
        </w:rPr>
        <w:t>Charter</w:t>
      </w:r>
      <w:r w:rsidR="00B02E00" w:rsidRPr="000A0EA1">
        <w:rPr>
          <w:lang w:val="en-CA"/>
        </w:rPr>
        <w:t xml:space="preserve"> provides. The National Assembly</w:t>
      </w:r>
      <w:r w:rsidR="00E46AFD">
        <w:rPr>
          <w:lang w:val="en-CA"/>
        </w:rPr>
        <w:t>’</w:t>
      </w:r>
      <w:r w:rsidR="00B02E00" w:rsidRPr="000A0EA1">
        <w:rPr>
          <w:lang w:val="en-CA"/>
        </w:rPr>
        <w:t xml:space="preserve">s resolution to amend </w:t>
      </w:r>
      <w:r w:rsidR="0062160E">
        <w:rPr>
          <w:lang w:val="en-CA"/>
        </w:rPr>
        <w:t>s. 9</w:t>
      </w:r>
      <w:r w:rsidR="00B02E00" w:rsidRPr="000A0EA1">
        <w:rPr>
          <w:lang w:val="en-CA"/>
        </w:rPr>
        <w:t xml:space="preserve">3 of the </w:t>
      </w:r>
      <w:r w:rsidR="00B02E00" w:rsidRPr="000A0EA1">
        <w:rPr>
          <w:i/>
          <w:iCs/>
          <w:lang w:val="en-CA"/>
        </w:rPr>
        <w:t>Constitution Act,</w:t>
      </w:r>
      <w:r w:rsidR="005F0FEC">
        <w:rPr>
          <w:i/>
          <w:iCs/>
          <w:lang w:val="en-CA"/>
        </w:rPr>
        <w:t> </w:t>
      </w:r>
      <w:r w:rsidR="00B02E00" w:rsidRPr="000A0EA1">
        <w:rPr>
          <w:i/>
          <w:iCs/>
          <w:lang w:val="en-CA"/>
        </w:rPr>
        <w:t>1867</w:t>
      </w:r>
      <w:r w:rsidR="00B02E00" w:rsidRPr="000A0EA1">
        <w:rPr>
          <w:lang w:val="en-CA"/>
        </w:rPr>
        <w:t xml:space="preserve"> also reaffirms the established rights of Quebec</w:t>
      </w:r>
      <w:r w:rsidR="00E46AFD">
        <w:rPr>
          <w:lang w:val="en-CA"/>
        </w:rPr>
        <w:t>’</w:t>
      </w:r>
      <w:r w:rsidR="00B02E00" w:rsidRPr="000A0EA1">
        <w:rPr>
          <w:lang w:val="en-CA"/>
        </w:rPr>
        <w:t xml:space="preserve">s </w:t>
      </w:r>
      <w:r w:rsidR="00312FD9">
        <w:rPr>
          <w:lang w:val="en-CA"/>
        </w:rPr>
        <w:t>English</w:t>
      </w:r>
      <w:r w:rsidR="00312FD9">
        <w:rPr>
          <w:lang w:val="en-CA"/>
        </w:rPr>
        <w:noBreakHyphen/>
        <w:t>speaking</w:t>
      </w:r>
      <w:r w:rsidR="00B02E00" w:rsidRPr="000A0EA1">
        <w:rPr>
          <w:lang w:val="en-CA"/>
        </w:rPr>
        <w:t xml:space="preserve"> community, including the right to have those of </w:t>
      </w:r>
      <w:r w:rsidR="009E4FA4">
        <w:rPr>
          <w:lang w:val="en-CA"/>
        </w:rPr>
        <w:t xml:space="preserve">its </w:t>
      </w:r>
      <w:r w:rsidR="00B02E00" w:rsidRPr="000A0EA1">
        <w:rPr>
          <w:lang w:val="en-CA"/>
        </w:rPr>
        <w:t xml:space="preserve">children who are entitled thereto receive their instruction in </w:t>
      </w:r>
      <w:r w:rsidR="00AE3408">
        <w:rPr>
          <w:lang w:val="en-CA"/>
        </w:rPr>
        <w:t>English</w:t>
      </w:r>
      <w:r w:rsidR="00AE3408">
        <w:rPr>
          <w:lang w:val="en-CA"/>
        </w:rPr>
        <w:noBreakHyphen/>
        <w:t>language</w:t>
      </w:r>
      <w:r w:rsidR="00B02E00" w:rsidRPr="000A0EA1">
        <w:rPr>
          <w:lang w:val="en-CA"/>
        </w:rPr>
        <w:t xml:space="preserve"> </w:t>
      </w:r>
      <w:r w:rsidR="00B02E00" w:rsidRPr="000A0EA1">
        <w:rPr>
          <w:lang w:val="en-CA"/>
        </w:rPr>
        <w:lastRenderedPageBreak/>
        <w:t xml:space="preserve">educational facilities that are </w:t>
      </w:r>
      <w:r w:rsidR="00E46AFD">
        <w:rPr>
          <w:lang w:val="en-CA"/>
        </w:rPr>
        <w:t>“</w:t>
      </w:r>
      <w:r w:rsidR="00B02E00" w:rsidRPr="000A0EA1">
        <w:rPr>
          <w:lang w:val="en-CA"/>
        </w:rPr>
        <w:t>under the management and control of this community</w:t>
      </w:r>
      <w:r w:rsidR="00E46AFD">
        <w:rPr>
          <w:lang w:val="en-CA"/>
        </w:rPr>
        <w:t>”</w:t>
      </w:r>
      <w:r w:rsidR="00B02E00" w:rsidRPr="000A0EA1">
        <w:rPr>
          <w:lang w:val="en-CA"/>
        </w:rPr>
        <w:t>.</w:t>
      </w:r>
      <w:r w:rsidR="00B02E00" w:rsidRPr="000A0EA1">
        <w:rPr>
          <w:rFonts w:cs="Arial"/>
          <w:color w:val="333333"/>
          <w:vertAlign w:val="superscript"/>
          <w:lang w:val="en-CA"/>
        </w:rPr>
        <w:footnoteReference w:id="173"/>
      </w:r>
      <w:r w:rsidR="00B02E00" w:rsidRPr="000A0EA1">
        <w:rPr>
          <w:lang w:val="en-CA"/>
        </w:rPr>
        <w:t xml:space="preserve"> Moreover, during the debates on the enactment of the </w:t>
      </w:r>
      <w:r w:rsidR="00B02E00" w:rsidRPr="000A0EA1">
        <w:rPr>
          <w:i/>
          <w:iCs/>
          <w:lang w:val="en-CA"/>
        </w:rPr>
        <w:t>Constitution Amendment,</w:t>
      </w:r>
      <w:r w:rsidR="0088746D">
        <w:rPr>
          <w:i/>
          <w:iCs/>
          <w:lang w:val="en-CA"/>
        </w:rPr>
        <w:t> </w:t>
      </w:r>
      <w:r w:rsidR="00B02E00" w:rsidRPr="000A0EA1">
        <w:rPr>
          <w:i/>
          <w:iCs/>
          <w:lang w:val="en-CA"/>
        </w:rPr>
        <w:t>1997 (Quebec)</w:t>
      </w:r>
      <w:r w:rsidR="00B02E00" w:rsidRPr="000A0EA1">
        <w:rPr>
          <w:lang w:val="en-CA"/>
        </w:rPr>
        <w:t>, the federal minister in charge of the file informed the Canadian Parliament that this amendment would not have a negative impact on Quebec</w:t>
      </w:r>
      <w:r w:rsidR="00E46AFD">
        <w:rPr>
          <w:lang w:val="en-CA"/>
        </w:rPr>
        <w:t>’</w:t>
      </w:r>
      <w:r w:rsidR="00B02E00" w:rsidRPr="000A0EA1">
        <w:rPr>
          <w:lang w:val="en-CA"/>
        </w:rPr>
        <w:t xml:space="preserve">s </w:t>
      </w:r>
      <w:r w:rsidR="00312FD9">
        <w:rPr>
          <w:lang w:val="en-CA"/>
        </w:rPr>
        <w:t>English</w:t>
      </w:r>
      <w:r w:rsidR="00312FD9">
        <w:rPr>
          <w:lang w:val="en-CA"/>
        </w:rPr>
        <w:noBreakHyphen/>
        <w:t>speaking</w:t>
      </w:r>
      <w:r w:rsidR="00B02E00" w:rsidRPr="000A0EA1">
        <w:rPr>
          <w:lang w:val="en-CA"/>
        </w:rPr>
        <w:t xml:space="preserve"> minority given the constitutional rights set out in </w:t>
      </w:r>
      <w:r w:rsidR="0062160E">
        <w:rPr>
          <w:lang w:val="en-CA"/>
        </w:rPr>
        <w:t>s. 2</w:t>
      </w:r>
      <w:r w:rsidR="00B02E00" w:rsidRPr="000A0EA1">
        <w:rPr>
          <w:lang w:val="en-CA"/>
        </w:rPr>
        <w:t xml:space="preserve">3 of the </w:t>
      </w:r>
      <w:r w:rsidR="00B02E00" w:rsidRPr="000A0EA1">
        <w:rPr>
          <w:i/>
          <w:iCs/>
          <w:lang w:val="en-CA"/>
        </w:rPr>
        <w:t>Charter</w:t>
      </w:r>
      <w:r w:rsidR="00B02E00" w:rsidRPr="000A0EA1">
        <w:rPr>
          <w:lang w:val="en-CA"/>
        </w:rPr>
        <w:t>, in particular the right of that linguistic minority to have separate school boards it can manage and control.</w:t>
      </w:r>
      <w:r w:rsidR="00B02E00" w:rsidRPr="000A0EA1">
        <w:rPr>
          <w:rFonts w:cs="Arial"/>
          <w:color w:val="000000"/>
          <w:vertAlign w:val="superscript"/>
          <w:lang w:val="en-CA"/>
        </w:rPr>
        <w:footnoteReference w:id="174"/>
      </w:r>
      <w:r w:rsidR="00B02E00" w:rsidRPr="000A0EA1">
        <w:rPr>
          <w:lang w:val="en-CA"/>
        </w:rPr>
        <w:t xml:space="preserve"> </w:t>
      </w:r>
    </w:p>
    <w:p w14:paraId="17F5F2F2" w14:textId="7ACE0230" w:rsidR="00F75613" w:rsidRPr="000A0EA1" w:rsidRDefault="00B02E00" w:rsidP="00B255B8">
      <w:pPr>
        <w:pStyle w:val="Paragraphe"/>
        <w:spacing w:line="240" w:lineRule="auto"/>
        <w:rPr>
          <w:lang w:val="en-CA"/>
        </w:rPr>
      </w:pPr>
      <w:r w:rsidRPr="000A0EA1">
        <w:rPr>
          <w:lang w:val="en-CA"/>
        </w:rPr>
        <w:t xml:space="preserve">As Major and </w:t>
      </w:r>
      <w:proofErr w:type="spellStart"/>
      <w:r w:rsidRPr="000A0EA1">
        <w:rPr>
          <w:lang w:val="en-CA"/>
        </w:rPr>
        <w:t>Bastarache</w:t>
      </w:r>
      <w:proofErr w:type="spellEnd"/>
      <w:r w:rsidRPr="000A0EA1">
        <w:rPr>
          <w:lang w:val="en-CA"/>
        </w:rPr>
        <w:t xml:space="preserve">, JJ. noted in </w:t>
      </w:r>
      <w:r w:rsidRPr="000A0EA1">
        <w:rPr>
          <w:i/>
          <w:iCs/>
          <w:lang w:val="en-CA"/>
        </w:rPr>
        <w:t>Arsenaul</w:t>
      </w:r>
      <w:r w:rsidR="00F72C04">
        <w:rPr>
          <w:i/>
          <w:iCs/>
          <w:lang w:val="en-CA"/>
        </w:rPr>
        <w:t>t</w:t>
      </w:r>
      <w:r w:rsidR="00F72C04">
        <w:rPr>
          <w:lang w:val="en-CA"/>
        </w:rPr>
        <w:noBreakHyphen/>
      </w:r>
      <w:r w:rsidRPr="000A0EA1">
        <w:rPr>
          <w:lang w:val="en-CA"/>
        </w:rPr>
        <w:t xml:space="preserve">Cameron, </w:t>
      </w:r>
      <w:r w:rsidR="00E46AFD">
        <w:rPr>
          <w:lang w:val="en-CA"/>
        </w:rPr>
        <w:t>“</w:t>
      </w:r>
      <w:r w:rsidRPr="000A0EA1">
        <w:rPr>
          <w:lang w:val="en-CA"/>
        </w:rPr>
        <w:t xml:space="preserve">[t]he historical and contextual analysis is important for courts in determining whether a government has failed to meet its </w:t>
      </w:r>
      <w:r w:rsidR="0062160E">
        <w:rPr>
          <w:lang w:val="en-CA"/>
        </w:rPr>
        <w:t>s. 2</w:t>
      </w:r>
      <w:r w:rsidRPr="000A0EA1">
        <w:rPr>
          <w:lang w:val="en-CA"/>
        </w:rPr>
        <w:t>3 obligations</w:t>
      </w:r>
      <w:r w:rsidR="00E46AFD">
        <w:rPr>
          <w:lang w:val="en-CA"/>
        </w:rPr>
        <w:t>”</w:t>
      </w:r>
      <w:r w:rsidRPr="000A0EA1">
        <w:rPr>
          <w:lang w:val="en-CA"/>
        </w:rPr>
        <w:t>.</w:t>
      </w:r>
      <w:r w:rsidRPr="000A0EA1">
        <w:rPr>
          <w:vertAlign w:val="superscript"/>
          <w:lang w:val="en-CA"/>
        </w:rPr>
        <w:footnoteReference w:id="175"/>
      </w:r>
      <w:r w:rsidRPr="000A0EA1">
        <w:rPr>
          <w:lang w:val="en-CA"/>
        </w:rPr>
        <w:t xml:space="preserve"> In </w:t>
      </w:r>
      <w:r w:rsidRPr="000A0EA1">
        <w:rPr>
          <w:i/>
          <w:iCs/>
          <w:lang w:val="en-CA"/>
        </w:rPr>
        <w:t xml:space="preserve">Conseil </w:t>
      </w:r>
      <w:proofErr w:type="spellStart"/>
      <w:r w:rsidRPr="000A0EA1">
        <w:rPr>
          <w:i/>
          <w:iCs/>
          <w:lang w:val="en-CA"/>
        </w:rPr>
        <w:t>scolaire</w:t>
      </w:r>
      <w:proofErr w:type="spellEnd"/>
      <w:r w:rsidRPr="000A0EA1">
        <w:rPr>
          <w:i/>
          <w:iCs/>
          <w:lang w:val="en-CA"/>
        </w:rPr>
        <w:t xml:space="preserve"> francophone de la </w:t>
      </w:r>
      <w:proofErr w:type="spellStart"/>
      <w:r w:rsidRPr="000A0EA1">
        <w:rPr>
          <w:i/>
          <w:iCs/>
          <w:lang w:val="en-CA"/>
        </w:rPr>
        <w:t>Colombie</w:t>
      </w:r>
      <w:r w:rsidR="00CE3294">
        <w:rPr>
          <w:i/>
          <w:iCs/>
          <w:lang w:val="en-CA"/>
        </w:rPr>
        <w:noBreakHyphen/>
      </w:r>
      <w:r w:rsidRPr="000A0EA1">
        <w:rPr>
          <w:i/>
          <w:iCs/>
          <w:lang w:val="en-CA"/>
        </w:rPr>
        <w:t>Britannique</w:t>
      </w:r>
      <w:proofErr w:type="spellEnd"/>
      <w:r w:rsidRPr="000A0EA1">
        <w:rPr>
          <w:lang w:val="en-CA"/>
        </w:rPr>
        <w:t>,</w:t>
      </w:r>
      <w:r w:rsidRPr="000A0EA1">
        <w:rPr>
          <w:vertAlign w:val="superscript"/>
          <w:lang w:val="en-CA"/>
        </w:rPr>
        <w:footnoteReference w:id="176"/>
      </w:r>
      <w:r w:rsidRPr="000A0EA1">
        <w:rPr>
          <w:lang w:val="en-CA"/>
        </w:rPr>
        <w:t xml:space="preserve"> Wagner,</w:t>
      </w:r>
      <w:r w:rsidR="00CE3294">
        <w:rPr>
          <w:lang w:val="en-CA"/>
        </w:rPr>
        <w:t> </w:t>
      </w:r>
      <w:r w:rsidRPr="000A0EA1">
        <w:rPr>
          <w:lang w:val="en-CA"/>
        </w:rPr>
        <w:t xml:space="preserve">C.J. also emphasized the importance of this analysis, noting the role that </w:t>
      </w:r>
      <w:r w:rsidR="0062160E">
        <w:rPr>
          <w:lang w:val="en-CA"/>
        </w:rPr>
        <w:t>s. 9</w:t>
      </w:r>
      <w:r w:rsidRPr="000A0EA1">
        <w:rPr>
          <w:lang w:val="en-CA"/>
        </w:rPr>
        <w:t xml:space="preserve">3 of the </w:t>
      </w:r>
      <w:r w:rsidRPr="000A0EA1">
        <w:rPr>
          <w:i/>
          <w:iCs/>
          <w:lang w:val="en-CA"/>
        </w:rPr>
        <w:t>Constitution Act,</w:t>
      </w:r>
      <w:r w:rsidR="00CE3294">
        <w:rPr>
          <w:i/>
          <w:iCs/>
          <w:lang w:val="en-CA"/>
        </w:rPr>
        <w:t> </w:t>
      </w:r>
      <w:r w:rsidRPr="000A0EA1">
        <w:rPr>
          <w:i/>
          <w:iCs/>
          <w:lang w:val="en-CA"/>
        </w:rPr>
        <w:t>1867</w:t>
      </w:r>
      <w:r w:rsidRPr="000A0EA1">
        <w:rPr>
          <w:lang w:val="en-CA"/>
        </w:rPr>
        <w:t xml:space="preserve"> played in ensuring the protection of linguistic minorities in Canada, including Quebec.</w:t>
      </w:r>
      <w:r w:rsidRPr="000A0EA1">
        <w:rPr>
          <w:vertAlign w:val="superscript"/>
          <w:lang w:val="en-CA"/>
        </w:rPr>
        <w:footnoteReference w:id="177"/>
      </w:r>
      <w:r w:rsidRPr="000A0EA1">
        <w:rPr>
          <w:lang w:val="en-CA"/>
        </w:rPr>
        <w:t xml:space="preserve"> </w:t>
      </w:r>
    </w:p>
    <w:p w14:paraId="17F5F2F3" w14:textId="7D459AA9" w:rsidR="00F75613" w:rsidRPr="000A0EA1" w:rsidRDefault="00B02E00" w:rsidP="00B255B8">
      <w:pPr>
        <w:pStyle w:val="Paragraphe"/>
        <w:spacing w:line="240" w:lineRule="auto"/>
        <w:rPr>
          <w:lang w:val="en-CA"/>
        </w:rPr>
      </w:pPr>
      <w:r w:rsidRPr="000A0EA1">
        <w:rPr>
          <w:lang w:val="en-CA"/>
        </w:rPr>
        <w:t>Wagner,</w:t>
      </w:r>
      <w:r w:rsidR="00CE3294">
        <w:rPr>
          <w:lang w:val="en-CA"/>
        </w:rPr>
        <w:t> </w:t>
      </w:r>
      <w:r w:rsidRPr="000A0EA1">
        <w:rPr>
          <w:lang w:val="en-CA"/>
        </w:rPr>
        <w:t>C.J. pointed out that the social context, demographics and history of each language group, including Quebec</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minority, must all be considered when analyzing the rights conferred by </w:t>
      </w:r>
      <w:r w:rsidR="0062160E">
        <w:rPr>
          <w:lang w:val="en-CA"/>
        </w:rPr>
        <w:t>s. 2</w:t>
      </w:r>
      <w:r w:rsidRPr="000A0EA1">
        <w:rPr>
          <w:lang w:val="en-CA"/>
        </w:rPr>
        <w:t>3.</w:t>
      </w:r>
      <w:r w:rsidRPr="000A0EA1">
        <w:rPr>
          <w:vertAlign w:val="superscript"/>
          <w:lang w:val="en-CA"/>
        </w:rPr>
        <w:footnoteReference w:id="178"/>
      </w:r>
      <w:r w:rsidRPr="000A0EA1">
        <w:rPr>
          <w:lang w:val="en-CA"/>
        </w:rPr>
        <w:t xml:space="preserve"> He noted that this section must receive a broad and liberal interpretation that is consistent with the development of official language communities,</w:t>
      </w:r>
      <w:r w:rsidRPr="000A0EA1">
        <w:rPr>
          <w:vertAlign w:val="superscript"/>
          <w:lang w:val="en-CA"/>
        </w:rPr>
        <w:footnoteReference w:id="179"/>
      </w:r>
      <w:r w:rsidRPr="000A0EA1">
        <w:rPr>
          <w:lang w:val="en-CA"/>
        </w:rPr>
        <w:t xml:space="preserve"> and emphasized that </w:t>
      </w:r>
      <w:r w:rsidR="00E46AFD">
        <w:rPr>
          <w:lang w:val="en-CA"/>
        </w:rPr>
        <w:t>“</w:t>
      </w:r>
      <w:r w:rsidRPr="000A0EA1">
        <w:rPr>
          <w:lang w:val="en-CA"/>
        </w:rPr>
        <w:t>[m]any rights that have been granted to Canada</w:t>
      </w:r>
      <w:r w:rsidR="00E46AFD">
        <w:rPr>
          <w:lang w:val="en-CA"/>
        </w:rPr>
        <w:t>’</w:t>
      </w:r>
      <w:r w:rsidRPr="000A0EA1">
        <w:rPr>
          <w:lang w:val="en-CA"/>
        </w:rPr>
        <w:t>s minorities were dearly won over many years, and [that] it is up to the courts to give full effect to them, and to do so clearly and transparently</w:t>
      </w:r>
      <w:r w:rsidR="00E46AFD">
        <w:rPr>
          <w:lang w:val="en-CA"/>
        </w:rPr>
        <w:t>”</w:t>
      </w:r>
      <w:r w:rsidRPr="000A0EA1">
        <w:rPr>
          <w:lang w:val="en-CA"/>
        </w:rPr>
        <w:t>.</w:t>
      </w:r>
      <w:r w:rsidRPr="000A0EA1">
        <w:rPr>
          <w:vertAlign w:val="superscript"/>
          <w:lang w:val="en-CA"/>
        </w:rPr>
        <w:footnoteReference w:id="180"/>
      </w:r>
    </w:p>
    <w:p w14:paraId="17F5F2F4" w14:textId="1EE602C6" w:rsidR="00F75613" w:rsidRPr="000A0EA1" w:rsidRDefault="00B02E00" w:rsidP="00B255B8">
      <w:pPr>
        <w:pStyle w:val="Paragraphe"/>
        <w:spacing w:line="240" w:lineRule="auto"/>
        <w:rPr>
          <w:lang w:val="en-CA"/>
        </w:rPr>
      </w:pPr>
      <w:r w:rsidRPr="000A0EA1">
        <w:rPr>
          <w:lang w:val="en-CA"/>
        </w:rPr>
        <w:t>To c</w:t>
      </w:r>
      <w:r w:rsidR="00B534EC">
        <w:rPr>
          <w:lang w:val="en-CA"/>
        </w:rPr>
        <w:t>lose</w:t>
      </w:r>
      <w:r w:rsidRPr="000A0EA1">
        <w:rPr>
          <w:lang w:val="en-CA"/>
        </w:rPr>
        <w:t xml:space="preserve"> on this point, a textual and contextual analysis of </w:t>
      </w:r>
      <w:r w:rsidR="0062160E">
        <w:rPr>
          <w:lang w:val="en-CA"/>
        </w:rPr>
        <w:t>s. 2</w:t>
      </w:r>
      <w:r w:rsidRPr="000A0EA1">
        <w:rPr>
          <w:lang w:val="en-CA"/>
        </w:rPr>
        <w:t xml:space="preserve">3 </w:t>
      </w:r>
      <w:r w:rsidR="005A5EC5">
        <w:rPr>
          <w:lang w:val="en-CA"/>
        </w:rPr>
        <w:t>leads to the conclusion</w:t>
      </w:r>
      <w:r w:rsidRPr="000A0EA1">
        <w:rPr>
          <w:lang w:val="en-CA"/>
        </w:rPr>
        <w:t xml:space="preserve"> that it is those who make up the linguistic minority who benefit from the rights </w:t>
      </w:r>
      <w:r w:rsidRPr="000A0EA1">
        <w:rPr>
          <w:lang w:val="en-CA"/>
        </w:rPr>
        <w:lastRenderedPageBreak/>
        <w:t xml:space="preserve">conferred by this section with regard to the management and control of their educational facilities, and that they do so through representatives they choose and designate for this purpose. This conclusion is bolstered in Quebec by the historical and contextual analysis of the </w:t>
      </w:r>
      <w:r w:rsidRPr="000A0EA1">
        <w:rPr>
          <w:i/>
          <w:iCs/>
          <w:lang w:val="en-CA"/>
        </w:rPr>
        <w:t>Constitution Amendment,</w:t>
      </w:r>
      <w:r w:rsidR="008C31B2">
        <w:rPr>
          <w:i/>
          <w:iCs/>
          <w:lang w:val="en-CA"/>
        </w:rPr>
        <w:t> </w:t>
      </w:r>
      <w:r w:rsidRPr="000A0EA1">
        <w:rPr>
          <w:i/>
          <w:iCs/>
          <w:lang w:val="en-CA"/>
        </w:rPr>
        <w:t>1997</w:t>
      </w:r>
      <w:r w:rsidR="008C31B2">
        <w:rPr>
          <w:i/>
          <w:iCs/>
          <w:lang w:val="en-CA"/>
        </w:rPr>
        <w:t> </w:t>
      </w:r>
      <w:r w:rsidRPr="000A0EA1">
        <w:rPr>
          <w:i/>
          <w:iCs/>
          <w:lang w:val="en-CA"/>
        </w:rPr>
        <w:t>(Quebec)</w:t>
      </w:r>
      <w:r w:rsidRPr="000A0EA1">
        <w:rPr>
          <w:lang w:val="en-CA"/>
        </w:rPr>
        <w:t xml:space="preserve">. </w:t>
      </w:r>
    </w:p>
    <w:p w14:paraId="17F5F2F5" w14:textId="7C360691" w:rsidR="00F75613" w:rsidRPr="000A0EA1" w:rsidRDefault="00B02E00" w:rsidP="00B255B8">
      <w:pPr>
        <w:pStyle w:val="Paragraphe"/>
        <w:spacing w:line="240" w:lineRule="auto"/>
        <w:rPr>
          <w:lang w:val="en-CA"/>
        </w:rPr>
      </w:pPr>
      <w:r w:rsidRPr="000A0EA1">
        <w:rPr>
          <w:lang w:val="en-CA"/>
        </w:rPr>
        <w:t xml:space="preserve">That said, it should be noted that by virtue of </w:t>
      </w:r>
      <w:r w:rsidR="0062160E">
        <w:rPr>
          <w:lang w:val="en-CA"/>
        </w:rPr>
        <w:t>s. 5</w:t>
      </w:r>
      <w:r w:rsidRPr="000A0EA1">
        <w:rPr>
          <w:lang w:val="en-CA"/>
        </w:rPr>
        <w:t xml:space="preserve">9 of the </w:t>
      </w:r>
      <w:r w:rsidRPr="000A0EA1">
        <w:rPr>
          <w:i/>
          <w:iCs/>
          <w:lang w:val="en-CA"/>
        </w:rPr>
        <w:t>Constitution Act,</w:t>
      </w:r>
      <w:r w:rsidR="008C31B2">
        <w:rPr>
          <w:i/>
          <w:iCs/>
          <w:lang w:val="en-CA"/>
        </w:rPr>
        <w:t> </w:t>
      </w:r>
      <w:r w:rsidRPr="000A0EA1">
        <w:rPr>
          <w:i/>
          <w:iCs/>
          <w:lang w:val="en-CA"/>
        </w:rPr>
        <w:t>1982</w:t>
      </w:r>
      <w:r w:rsidRPr="000A0EA1">
        <w:rPr>
          <w:lang w:val="en-CA"/>
        </w:rPr>
        <w:t xml:space="preserve">, </w:t>
      </w:r>
      <w:r w:rsidR="0062160E">
        <w:rPr>
          <w:lang w:val="en-CA"/>
        </w:rPr>
        <w:t>s. 2</w:t>
      </w:r>
      <w:r w:rsidRPr="000A0EA1">
        <w:rPr>
          <w:lang w:val="en-CA"/>
        </w:rPr>
        <w:t>3(1)(</w:t>
      </w:r>
      <w:r w:rsidRPr="000A0EA1">
        <w:rPr>
          <w:i/>
          <w:iCs/>
          <w:lang w:val="en-CA"/>
        </w:rPr>
        <w:t>a</w:t>
      </w:r>
      <w:r w:rsidRPr="000A0EA1">
        <w:rPr>
          <w:lang w:val="en-CA"/>
        </w:rPr>
        <w:t xml:space="preserve">) of the </w:t>
      </w:r>
      <w:r w:rsidRPr="000A0EA1">
        <w:rPr>
          <w:i/>
          <w:iCs/>
          <w:lang w:val="en-CA"/>
        </w:rPr>
        <w:t>Charter</w:t>
      </w:r>
      <w:r w:rsidRPr="000A0EA1">
        <w:rPr>
          <w:lang w:val="en-CA"/>
        </w:rPr>
        <w:t xml:space="preserve"> is not in force in Quebec. As a result, a number of those within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minority are not covered by the individual right to have their children receive instruction in English out of public funds, even though their first language learned and still understood is English. </w:t>
      </w:r>
    </w:p>
    <w:p w14:paraId="17F5F2F6" w14:textId="4665928F" w:rsidR="00F75613" w:rsidRPr="000A0EA1" w:rsidRDefault="00B02E00" w:rsidP="00B255B8">
      <w:pPr>
        <w:pStyle w:val="Paragraphe"/>
        <w:spacing w:line="240" w:lineRule="auto"/>
        <w:rPr>
          <w:lang w:val="en-CA"/>
        </w:rPr>
      </w:pPr>
      <w:r w:rsidRPr="000A0EA1">
        <w:rPr>
          <w:lang w:val="en-CA"/>
        </w:rPr>
        <w:t xml:space="preserve">For example, many immigrants from the United Kingdom, the United States, Australia, New Zealand, South Africa and numerous other countries, who have become Canadian citizens residing in Quebec, are not entitled to </w:t>
      </w:r>
      <w:r w:rsidR="00AE3408">
        <w:rPr>
          <w:lang w:val="en-CA"/>
        </w:rPr>
        <w:t>English</w:t>
      </w:r>
      <w:r w:rsidR="00AE3408">
        <w:rPr>
          <w:lang w:val="en-CA"/>
        </w:rPr>
        <w:noBreakHyphen/>
        <w:t>language</w:t>
      </w:r>
      <w:r w:rsidRPr="000A0EA1">
        <w:rPr>
          <w:lang w:val="en-CA"/>
        </w:rPr>
        <w:t xml:space="preserve"> instruction for their children, even though English is their mother tongue. That said, they are nonetheless an integral part of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community. Quebec legislation has allowed them, as members of Quebec</w:t>
      </w:r>
      <w:r w:rsidR="00E46AFD">
        <w:rPr>
          <w:lang w:val="en-CA"/>
        </w:rPr>
        <w:t>’</w:t>
      </w:r>
      <w:r w:rsidRPr="000A0EA1">
        <w:rPr>
          <w:lang w:val="en-CA"/>
        </w:rPr>
        <w:t xml:space="preserve">s linguistic minority, to participate in </w:t>
      </w:r>
      <w:r w:rsidR="00AE3408">
        <w:rPr>
          <w:lang w:val="en-CA"/>
        </w:rPr>
        <w:t>English</w:t>
      </w:r>
      <w:r w:rsidR="00AE3408">
        <w:rPr>
          <w:lang w:val="en-CA"/>
        </w:rPr>
        <w:noBreakHyphen/>
        <w:t>language</w:t>
      </w:r>
      <w:r w:rsidRPr="000A0EA1">
        <w:rPr>
          <w:lang w:val="en-CA"/>
        </w:rPr>
        <w:t xml:space="preserve"> school board elections (as voters or candidates), unless they have children enrolled in a </w:t>
      </w:r>
      <w:r w:rsidR="00AE3408">
        <w:rPr>
          <w:lang w:val="en-CA"/>
        </w:rPr>
        <w:t>French</w:t>
      </w:r>
      <w:r w:rsidR="00AE3408">
        <w:rPr>
          <w:lang w:val="en-CA"/>
        </w:rPr>
        <w:noBreakHyphen/>
        <w:t>language</w:t>
      </w:r>
      <w:r w:rsidRPr="000A0EA1">
        <w:rPr>
          <w:lang w:val="en-CA"/>
        </w:rPr>
        <w:t xml:space="preserve"> school.</w:t>
      </w:r>
      <w:r w:rsidRPr="000A0EA1">
        <w:rPr>
          <w:rStyle w:val="Appelnotedebasdep"/>
          <w:lang w:val="en-CA"/>
        </w:rPr>
        <w:footnoteReference w:id="181"/>
      </w:r>
      <w:r w:rsidRPr="000A0EA1">
        <w:rPr>
          <w:lang w:val="en-CA"/>
        </w:rPr>
        <w:t xml:space="preserve"> This is still the case, even since the enactment of </w:t>
      </w:r>
      <w:r w:rsidR="00C33BBC">
        <w:rPr>
          <w:i/>
          <w:iCs/>
          <w:lang w:val="en-CA"/>
        </w:rPr>
        <w:t>Bill 40</w:t>
      </w:r>
      <w:r w:rsidRPr="000A0EA1">
        <w:rPr>
          <w:lang w:val="en-CA"/>
        </w:rPr>
        <w:t xml:space="preserve">, given that </w:t>
      </w:r>
      <w:r w:rsidR="0062160E">
        <w:rPr>
          <w:lang w:val="en-CA"/>
        </w:rPr>
        <w:t>s. 1</w:t>
      </w:r>
      <w:r w:rsidRPr="000A0EA1">
        <w:rPr>
          <w:lang w:val="en-CA"/>
        </w:rPr>
        <w:t xml:space="preserve">5 of the </w:t>
      </w:r>
      <w:r w:rsidRPr="000A0EA1">
        <w:rPr>
          <w:i/>
          <w:iCs/>
          <w:lang w:val="en-CA"/>
        </w:rPr>
        <w:t>New Act respecting school elections</w:t>
      </w:r>
      <w:r w:rsidRPr="000A0EA1">
        <w:rPr>
          <w:lang w:val="en-CA"/>
        </w:rPr>
        <w:t xml:space="preserve"> still allows it. Indeed, </w:t>
      </w:r>
      <w:r w:rsidR="0062160E">
        <w:rPr>
          <w:lang w:val="en-CA"/>
        </w:rPr>
        <w:t>s. 1</w:t>
      </w:r>
      <w:r w:rsidRPr="000A0EA1">
        <w:rPr>
          <w:lang w:val="en-CA"/>
        </w:rPr>
        <w:t xml:space="preserve">.1 of that statute implicitly recognizes this. </w:t>
      </w:r>
    </w:p>
    <w:p w14:paraId="17F5F2F7" w14:textId="76D06AF0" w:rsidR="00F75613" w:rsidRPr="000A0EA1" w:rsidRDefault="007147BC" w:rsidP="00B255B8">
      <w:pPr>
        <w:pStyle w:val="Paragraphe"/>
        <w:spacing w:line="240" w:lineRule="auto"/>
        <w:rPr>
          <w:lang w:val="en-CA"/>
        </w:rPr>
      </w:pPr>
      <w:r>
        <w:rPr>
          <w:lang w:val="en-CA"/>
        </w:rPr>
        <w:t xml:space="preserve">While </w:t>
      </w:r>
      <w:r w:rsidR="0062160E">
        <w:rPr>
          <w:lang w:val="en-CA"/>
        </w:rPr>
        <w:t>s. 5</w:t>
      </w:r>
      <w:r w:rsidR="00B02E00" w:rsidRPr="000A0EA1">
        <w:rPr>
          <w:lang w:val="en-CA"/>
        </w:rPr>
        <w:t xml:space="preserve">9 of the </w:t>
      </w:r>
      <w:r w:rsidR="00B02E00" w:rsidRPr="000A0EA1">
        <w:rPr>
          <w:i/>
          <w:iCs/>
          <w:lang w:val="en-CA"/>
        </w:rPr>
        <w:t>Constitution Act,</w:t>
      </w:r>
      <w:r>
        <w:rPr>
          <w:i/>
          <w:iCs/>
          <w:lang w:val="en-CA"/>
        </w:rPr>
        <w:t> </w:t>
      </w:r>
      <w:r w:rsidR="00B02E00" w:rsidRPr="000A0EA1">
        <w:rPr>
          <w:i/>
          <w:iCs/>
          <w:lang w:val="en-CA"/>
        </w:rPr>
        <w:t>1982</w:t>
      </w:r>
      <w:r w:rsidR="00B02E00" w:rsidRPr="000A0EA1">
        <w:rPr>
          <w:lang w:val="en-CA"/>
        </w:rPr>
        <w:t xml:space="preserve"> delays the coming into force in Quebec of </w:t>
      </w:r>
      <w:r w:rsidR="0062160E">
        <w:rPr>
          <w:lang w:val="en-CA"/>
        </w:rPr>
        <w:t>s. 2</w:t>
      </w:r>
      <w:r w:rsidR="00B02E00" w:rsidRPr="000A0EA1">
        <w:rPr>
          <w:lang w:val="en-CA"/>
        </w:rPr>
        <w:t>3(1)(</w:t>
      </w:r>
      <w:r w:rsidR="00B02E00" w:rsidRPr="000A0EA1">
        <w:rPr>
          <w:i/>
          <w:iCs/>
          <w:lang w:val="en-CA"/>
        </w:rPr>
        <w:t>a</w:t>
      </w:r>
      <w:r w:rsidR="00B02E00" w:rsidRPr="000A0EA1">
        <w:rPr>
          <w:lang w:val="en-CA"/>
        </w:rPr>
        <w:t xml:space="preserve">) of the </w:t>
      </w:r>
      <w:r w:rsidR="00B02E00" w:rsidRPr="000A0EA1">
        <w:rPr>
          <w:i/>
          <w:iCs/>
          <w:lang w:val="en-CA"/>
        </w:rPr>
        <w:t>Charter</w:t>
      </w:r>
      <w:r w:rsidR="00B02E00" w:rsidRPr="000A0EA1">
        <w:rPr>
          <w:lang w:val="en-CA"/>
        </w:rPr>
        <w:t xml:space="preserve">, its effect is to exclude Canadian citizens whose first language learned and still understood is English from having the individual right to have their children receive instruction in English in Quebec, unless they otherwise have that right under </w:t>
      </w:r>
      <w:r w:rsidR="0062160E">
        <w:rPr>
          <w:lang w:val="en-CA"/>
        </w:rPr>
        <w:t>s. 2</w:t>
      </w:r>
      <w:r w:rsidR="00B02E00" w:rsidRPr="000A0EA1">
        <w:rPr>
          <w:lang w:val="en-CA"/>
        </w:rPr>
        <w:t>3(1)(</w:t>
      </w:r>
      <w:r w:rsidR="00B02E00" w:rsidRPr="000A0EA1">
        <w:rPr>
          <w:i/>
          <w:iCs/>
          <w:lang w:val="en-CA"/>
        </w:rPr>
        <w:t>b</w:t>
      </w:r>
      <w:r w:rsidR="00B02E00" w:rsidRPr="000A0EA1">
        <w:rPr>
          <w:lang w:val="en-CA"/>
        </w:rPr>
        <w:t xml:space="preserve">) or 23(2) of the </w:t>
      </w:r>
      <w:r w:rsidR="00B02E00" w:rsidRPr="000A0EA1">
        <w:rPr>
          <w:i/>
          <w:iCs/>
          <w:lang w:val="en-CA"/>
        </w:rPr>
        <w:t>Charter</w:t>
      </w:r>
      <w:r w:rsidR="00541F1A">
        <w:rPr>
          <w:lang w:val="en-CA"/>
        </w:rPr>
        <w:t>.</w:t>
      </w:r>
      <w:r w:rsidR="00B02E00" w:rsidRPr="000A0EA1">
        <w:rPr>
          <w:lang w:val="en-CA"/>
        </w:rPr>
        <w:t xml:space="preserve"> </w:t>
      </w:r>
      <w:r w:rsidR="00541F1A">
        <w:rPr>
          <w:lang w:val="en-CA"/>
        </w:rPr>
        <w:t xml:space="preserve">However, </w:t>
      </w:r>
      <w:r w:rsidR="0062160E">
        <w:rPr>
          <w:lang w:val="en-CA"/>
        </w:rPr>
        <w:t>s. 5</w:t>
      </w:r>
      <w:r w:rsidR="00B02E00" w:rsidRPr="000A0EA1">
        <w:rPr>
          <w:lang w:val="en-CA"/>
        </w:rPr>
        <w:t xml:space="preserve">9 of the </w:t>
      </w:r>
      <w:r w:rsidR="00B02E00" w:rsidRPr="000A0EA1">
        <w:rPr>
          <w:i/>
          <w:iCs/>
          <w:lang w:val="en-CA"/>
        </w:rPr>
        <w:t>Constitution Act, 1982</w:t>
      </w:r>
      <w:r w:rsidR="00B02E00" w:rsidRPr="000A0EA1">
        <w:rPr>
          <w:lang w:val="en-CA"/>
        </w:rPr>
        <w:t xml:space="preserve">, has no effect on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of the </w:t>
      </w:r>
      <w:r w:rsidR="00B02E00" w:rsidRPr="000A0EA1">
        <w:rPr>
          <w:i/>
          <w:iCs/>
          <w:lang w:val="en-CA"/>
        </w:rPr>
        <w:t>Charter</w:t>
      </w:r>
      <w:r w:rsidR="00B02E00" w:rsidRPr="000A0EA1">
        <w:rPr>
          <w:lang w:val="en-CA"/>
        </w:rPr>
        <w:t xml:space="preserve">. Consequently, it cannot limit the meaning of the words used in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nor can it </w:t>
      </w:r>
      <w:r w:rsidR="00541F1A">
        <w:rPr>
          <w:lang w:val="en-CA"/>
        </w:rPr>
        <w:t xml:space="preserve">be used to </w:t>
      </w:r>
      <w:r w:rsidR="00B02E00" w:rsidRPr="000A0EA1">
        <w:rPr>
          <w:lang w:val="en-CA"/>
        </w:rPr>
        <w:t xml:space="preserve">deny </w:t>
      </w:r>
      <w:r w:rsidR="00541F1A">
        <w:rPr>
          <w:lang w:val="en-CA"/>
        </w:rPr>
        <w:t>that an</w:t>
      </w:r>
      <w:r w:rsidR="00B02E00" w:rsidRPr="000A0EA1">
        <w:rPr>
          <w:lang w:val="en-CA"/>
        </w:rPr>
        <w:t xml:space="preserve"> individual</w:t>
      </w:r>
      <w:r w:rsidR="00541F1A">
        <w:rPr>
          <w:lang w:val="en-CA"/>
        </w:rPr>
        <w:t xml:space="preserve"> belongs to</w:t>
      </w:r>
      <w:r w:rsidR="00B02E00" w:rsidRPr="000A0EA1">
        <w:rPr>
          <w:lang w:val="en-CA"/>
        </w:rPr>
        <w:t xml:space="preserve"> Quebec</w:t>
      </w:r>
      <w:r w:rsidR="00E46AFD">
        <w:rPr>
          <w:lang w:val="en-CA"/>
        </w:rPr>
        <w:t>’</w:t>
      </w:r>
      <w:r w:rsidR="00B02E00" w:rsidRPr="000A0EA1">
        <w:rPr>
          <w:lang w:val="en-CA"/>
        </w:rPr>
        <w:t xml:space="preserve">s linguistic minority for </w:t>
      </w:r>
      <w:r w:rsidR="00541F1A">
        <w:rPr>
          <w:lang w:val="en-CA"/>
        </w:rPr>
        <w:t xml:space="preserve">the </w:t>
      </w:r>
      <w:r w:rsidR="00B02E00" w:rsidRPr="000A0EA1">
        <w:rPr>
          <w:lang w:val="en-CA"/>
        </w:rPr>
        <w:t>purposes of the resulting rights of management and control over minority language educational facilities.</w:t>
      </w:r>
    </w:p>
    <w:p w14:paraId="17F5F2F8" w14:textId="77777777" w:rsidR="00F75613" w:rsidRPr="000A0EA1" w:rsidRDefault="00B02E00" w:rsidP="00B255B8">
      <w:pPr>
        <w:pStyle w:val="Paragraphe"/>
        <w:numPr>
          <w:ilvl w:val="0"/>
          <w:numId w:val="11"/>
        </w:numPr>
        <w:spacing w:line="240" w:lineRule="auto"/>
        <w:rPr>
          <w:i/>
          <w:iCs/>
          <w:u w:val="single"/>
          <w:lang w:val="en-CA"/>
        </w:rPr>
      </w:pPr>
      <w:r w:rsidRPr="000A0EA1">
        <w:rPr>
          <w:i/>
          <w:iCs/>
          <w:u w:val="single"/>
          <w:lang w:val="en-CA"/>
        </w:rPr>
        <w:t>Conclusions</w:t>
      </w:r>
    </w:p>
    <w:p w14:paraId="17F5F2F9" w14:textId="3185E00E" w:rsidR="00F75613" w:rsidRPr="000A0EA1" w:rsidRDefault="00B02E00" w:rsidP="00B255B8">
      <w:pPr>
        <w:pStyle w:val="Paragraphe"/>
        <w:spacing w:line="240" w:lineRule="auto"/>
        <w:rPr>
          <w:lang w:val="en-CA"/>
        </w:rPr>
      </w:pPr>
      <w:r w:rsidRPr="000A0EA1">
        <w:rPr>
          <w:lang w:val="en-CA"/>
        </w:rPr>
        <w:t xml:space="preserve">The management and control rights arising under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are those described in </w:t>
      </w:r>
      <w:proofErr w:type="spellStart"/>
      <w:r w:rsidRPr="000A0EA1">
        <w:rPr>
          <w:i/>
          <w:iCs/>
          <w:lang w:val="en-CA"/>
        </w:rPr>
        <w:t>Mahe</w:t>
      </w:r>
      <w:proofErr w:type="spellEnd"/>
      <w:r w:rsidRPr="000A0EA1">
        <w:rPr>
          <w:lang w:val="en-CA"/>
        </w:rPr>
        <w:t>.</w:t>
      </w:r>
      <w:r w:rsidRPr="000A0EA1">
        <w:rPr>
          <w:rStyle w:val="Appelnotedebasdep"/>
          <w:lang w:val="en-CA"/>
        </w:rPr>
        <w:footnoteReference w:id="182"/>
      </w:r>
      <w:r w:rsidRPr="000A0EA1">
        <w:rPr>
          <w:lang w:val="en-CA"/>
        </w:rPr>
        <w:t xml:space="preserve"> Consequently, the measure of management and control may, depending on the number of students involved, warrant an independent school board for the linguistic minority. Those rights, include, at the very least, the exclusive authority of the minority language representatives to make decisions relating to the minority language instruction and facilities, particularly with regard to: (a)</w:t>
      </w:r>
      <w:r w:rsidR="00535399">
        <w:rPr>
          <w:lang w:val="en-CA"/>
        </w:rPr>
        <w:t> </w:t>
      </w:r>
      <w:r w:rsidRPr="000A0EA1">
        <w:rPr>
          <w:lang w:val="en-CA"/>
        </w:rPr>
        <w:t>expenditures of funds provided for such instruction and facilities; (b)</w:t>
      </w:r>
      <w:r w:rsidR="00535399">
        <w:rPr>
          <w:lang w:val="en-CA"/>
        </w:rPr>
        <w:t> </w:t>
      </w:r>
      <w:r w:rsidRPr="000A0EA1">
        <w:rPr>
          <w:lang w:val="en-CA"/>
        </w:rPr>
        <w:t xml:space="preserve">the appointment and direction of those responsible for </w:t>
      </w:r>
      <w:r w:rsidRPr="000A0EA1">
        <w:rPr>
          <w:lang w:val="en-CA"/>
        </w:rPr>
        <w:lastRenderedPageBreak/>
        <w:t>the administration of such instruction and facilities; (c)</w:t>
      </w:r>
      <w:r w:rsidR="00535399">
        <w:rPr>
          <w:lang w:val="en-CA"/>
        </w:rPr>
        <w:t> </w:t>
      </w:r>
      <w:r w:rsidRPr="000A0EA1">
        <w:rPr>
          <w:lang w:val="en-CA"/>
        </w:rPr>
        <w:t>the establishment of programs of instruction; (d)</w:t>
      </w:r>
      <w:r w:rsidR="00535399">
        <w:rPr>
          <w:lang w:val="en-CA"/>
        </w:rPr>
        <w:t> </w:t>
      </w:r>
      <w:r w:rsidRPr="000A0EA1">
        <w:rPr>
          <w:lang w:val="en-CA"/>
        </w:rPr>
        <w:t>the recruitment and assignment of personnel, including teachers; and (e)</w:t>
      </w:r>
      <w:r w:rsidR="00535399">
        <w:rPr>
          <w:lang w:val="en-CA"/>
        </w:rPr>
        <w:t> </w:t>
      </w:r>
      <w:r w:rsidRPr="000A0EA1">
        <w:rPr>
          <w:lang w:val="en-CA"/>
        </w:rPr>
        <w:t>the making of agreements for education and services for minority language pupils.</w:t>
      </w:r>
    </w:p>
    <w:p w14:paraId="17F5F2FA" w14:textId="34061160" w:rsidR="00F75613" w:rsidRPr="000A0EA1" w:rsidRDefault="00B02E00" w:rsidP="00B255B8">
      <w:pPr>
        <w:pStyle w:val="Paragraphe"/>
        <w:spacing w:line="240" w:lineRule="auto"/>
        <w:rPr>
          <w:lang w:val="en-CA"/>
        </w:rPr>
      </w:pPr>
      <w:r w:rsidRPr="000A0EA1">
        <w:rPr>
          <w:lang w:val="en-CA"/>
        </w:rPr>
        <w:t xml:space="preserve">Those who </w:t>
      </w:r>
      <w:r w:rsidR="00541F1A">
        <w:rPr>
          <w:lang w:val="en-CA"/>
        </w:rPr>
        <w:t>effectively</w:t>
      </w:r>
      <w:r w:rsidRPr="000A0EA1">
        <w:rPr>
          <w:lang w:val="en-CA"/>
        </w:rPr>
        <w:t xml:space="preserve"> exercise these management and control rights are the representatives chosen by the individuals forming part of the linguistic minority. In Quebec, this linguistic minority includes, at a minimum, Canadian citizens: (a)</w:t>
      </w:r>
      <w:r w:rsidR="0072581C">
        <w:rPr>
          <w:lang w:val="en-CA"/>
        </w:rPr>
        <w:t> </w:t>
      </w:r>
      <w:r w:rsidRPr="000A0EA1">
        <w:rPr>
          <w:lang w:val="en-CA"/>
        </w:rPr>
        <w:t>whose first language learned and still understood is English (</w:t>
      </w:r>
      <w:r w:rsidR="0062160E">
        <w:rPr>
          <w:lang w:val="en-CA"/>
        </w:rPr>
        <w:t>s. 2</w:t>
      </w:r>
      <w:r w:rsidRPr="000A0EA1">
        <w:rPr>
          <w:lang w:val="en-CA"/>
        </w:rPr>
        <w:t>3(1)(</w:t>
      </w:r>
      <w:r w:rsidRPr="000A0EA1">
        <w:rPr>
          <w:i/>
          <w:iCs/>
          <w:lang w:val="en-CA"/>
        </w:rPr>
        <w:t>a</w:t>
      </w:r>
      <w:r w:rsidRPr="000A0EA1">
        <w:rPr>
          <w:lang w:val="en-CA"/>
        </w:rPr>
        <w:t xml:space="preserve">) of the </w:t>
      </w:r>
      <w:r w:rsidRPr="000A0EA1">
        <w:rPr>
          <w:i/>
          <w:iCs/>
          <w:lang w:val="en-CA"/>
        </w:rPr>
        <w:t>Charter</w:t>
      </w:r>
      <w:r w:rsidRPr="000A0EA1">
        <w:rPr>
          <w:lang w:val="en-CA"/>
        </w:rPr>
        <w:t>); (b)</w:t>
      </w:r>
      <w:r w:rsidR="0072581C">
        <w:rPr>
          <w:lang w:val="en-CA"/>
        </w:rPr>
        <w:t> </w:t>
      </w:r>
      <w:r w:rsidRPr="000A0EA1">
        <w:rPr>
          <w:lang w:val="en-CA"/>
        </w:rPr>
        <w:t>who received their primary school instruction in Canada in English (</w:t>
      </w:r>
      <w:r w:rsidR="0062160E">
        <w:rPr>
          <w:lang w:val="en-CA"/>
        </w:rPr>
        <w:t>s. 2</w:t>
      </w:r>
      <w:r w:rsidRPr="000A0EA1">
        <w:rPr>
          <w:lang w:val="en-CA"/>
        </w:rPr>
        <w:t>3(1)(</w:t>
      </w:r>
      <w:r w:rsidRPr="000A0EA1">
        <w:rPr>
          <w:i/>
          <w:iCs/>
          <w:lang w:val="en-CA"/>
        </w:rPr>
        <w:t>b</w:t>
      </w:r>
      <w:r w:rsidRPr="000A0EA1">
        <w:rPr>
          <w:lang w:val="en-CA"/>
        </w:rPr>
        <w:t xml:space="preserve">) of the </w:t>
      </w:r>
      <w:r w:rsidRPr="000A0EA1">
        <w:rPr>
          <w:i/>
          <w:iCs/>
          <w:lang w:val="en-CA"/>
        </w:rPr>
        <w:t>Charter</w:t>
      </w:r>
      <w:r w:rsidRPr="000A0EA1">
        <w:rPr>
          <w:lang w:val="en-CA"/>
        </w:rPr>
        <w:t>); or (c)</w:t>
      </w:r>
      <w:r w:rsidR="0072581C">
        <w:rPr>
          <w:lang w:val="en-CA"/>
        </w:rPr>
        <w:t> </w:t>
      </w:r>
      <w:r w:rsidRPr="000A0EA1">
        <w:rPr>
          <w:lang w:val="en-CA"/>
        </w:rPr>
        <w:t>of whom any child has received or is receiving primary or secondary school instruction in English in Canada (</w:t>
      </w:r>
      <w:r w:rsidR="0062160E">
        <w:rPr>
          <w:lang w:val="en-CA"/>
        </w:rPr>
        <w:t>s. 2</w:t>
      </w:r>
      <w:r w:rsidRPr="000A0EA1">
        <w:rPr>
          <w:lang w:val="en-CA"/>
        </w:rPr>
        <w:t xml:space="preserve">3(2) of the </w:t>
      </w:r>
      <w:r w:rsidRPr="000A0EA1">
        <w:rPr>
          <w:i/>
          <w:iCs/>
          <w:lang w:val="en-CA"/>
        </w:rPr>
        <w:t>Charter</w:t>
      </w:r>
      <w:r w:rsidRPr="000A0EA1">
        <w:rPr>
          <w:lang w:val="en-CA"/>
        </w:rPr>
        <w:t>).</w:t>
      </w:r>
    </w:p>
    <w:p w14:paraId="17F5F2FB" w14:textId="01ACDE80" w:rsidR="00F75613" w:rsidRDefault="00B02E00" w:rsidP="00B255B8">
      <w:pPr>
        <w:pStyle w:val="Paragraphe"/>
        <w:spacing w:line="240" w:lineRule="auto"/>
        <w:rPr>
          <w:lang w:val="en-CA"/>
        </w:rPr>
      </w:pPr>
      <w:r w:rsidRPr="000A0EA1">
        <w:rPr>
          <w:lang w:val="en-CA"/>
        </w:rPr>
        <w:t xml:space="preserve">With these </w:t>
      </w:r>
      <w:r w:rsidR="00541F1A" w:rsidRPr="000A0EA1">
        <w:rPr>
          <w:lang w:val="en-CA"/>
        </w:rPr>
        <w:t>parameters</w:t>
      </w:r>
      <w:r w:rsidRPr="000A0EA1">
        <w:rPr>
          <w:lang w:val="en-CA"/>
        </w:rPr>
        <w:t xml:space="preserve"> in mind, we wil</w:t>
      </w:r>
      <w:r w:rsidR="00696466">
        <w:rPr>
          <w:lang w:val="en-CA"/>
        </w:rPr>
        <w:t>l</w:t>
      </w:r>
      <w:r w:rsidRPr="000A0EA1">
        <w:rPr>
          <w:lang w:val="en-CA"/>
        </w:rPr>
        <w:t xml:space="preserve"> now consider whether the judge erred in finding that </w:t>
      </w:r>
      <w:r w:rsidR="0062160E">
        <w:rPr>
          <w:lang w:val="en-CA"/>
        </w:rPr>
        <w:t>s. 2</w:t>
      </w:r>
      <w:r w:rsidRPr="000A0EA1">
        <w:rPr>
          <w:lang w:val="en-CA"/>
        </w:rPr>
        <w:t xml:space="preserve">3 of the </w:t>
      </w:r>
      <w:r w:rsidRPr="000A0EA1">
        <w:rPr>
          <w:i/>
          <w:iCs/>
          <w:lang w:val="en-CA"/>
        </w:rPr>
        <w:t>Charter</w:t>
      </w:r>
      <w:r w:rsidRPr="000A0EA1">
        <w:rPr>
          <w:lang w:val="en-CA"/>
        </w:rPr>
        <w:t xml:space="preserve"> is infringed. </w:t>
      </w:r>
    </w:p>
    <w:p w14:paraId="64195364" w14:textId="790518BA" w:rsidR="004C00B4" w:rsidRPr="004C00B4" w:rsidRDefault="004C00B4" w:rsidP="00B255B8">
      <w:pPr>
        <w:pStyle w:val="Paragraphe"/>
        <w:numPr>
          <w:ilvl w:val="0"/>
          <w:numId w:val="0"/>
        </w:numPr>
        <w:spacing w:line="240" w:lineRule="auto"/>
        <w:rPr>
          <w:b/>
          <w:bCs/>
          <w:u w:val="single"/>
          <w:lang w:val="en-CA"/>
        </w:rPr>
      </w:pPr>
      <w:r w:rsidRPr="004C00B4">
        <w:rPr>
          <w:b/>
          <w:bCs/>
          <w:u w:val="single"/>
          <w:lang w:val="en-CA"/>
        </w:rPr>
        <w:t xml:space="preserve">Did the trial judge err in concluding that ss. 50, 52 in respect of the addition of s. 155 to the </w:t>
      </w:r>
      <w:r w:rsidRPr="004C00B4">
        <w:rPr>
          <w:b/>
          <w:bCs/>
          <w:i/>
          <w:iCs/>
          <w:u w:val="single"/>
          <w:lang w:val="en-CA"/>
        </w:rPr>
        <w:t>EA</w:t>
      </w:r>
      <w:r w:rsidRPr="004C00B4">
        <w:rPr>
          <w:b/>
          <w:bCs/>
          <w:u w:val="single"/>
          <w:lang w:val="en-CA"/>
        </w:rPr>
        <w:t xml:space="preserve">, 66, 91, 93, 196, 208, 212 and 216 of </w:t>
      </w:r>
      <w:r w:rsidRPr="004C00B4">
        <w:rPr>
          <w:b/>
          <w:bCs/>
          <w:i/>
          <w:iCs/>
          <w:u w:val="single"/>
          <w:lang w:val="en-CA"/>
        </w:rPr>
        <w:t>Bill 40</w:t>
      </w:r>
      <w:r w:rsidRPr="004C00B4">
        <w:rPr>
          <w:b/>
          <w:bCs/>
          <w:u w:val="single"/>
          <w:lang w:val="en-CA"/>
        </w:rPr>
        <w:t xml:space="preserve">, as well as ss. 155 and 473.1 of the </w:t>
      </w:r>
      <w:r w:rsidRPr="004C00B4">
        <w:rPr>
          <w:b/>
          <w:bCs/>
          <w:i/>
          <w:iCs/>
          <w:u w:val="single"/>
          <w:lang w:val="en-CA"/>
        </w:rPr>
        <w:t>EA</w:t>
      </w:r>
      <w:r w:rsidRPr="004C00B4">
        <w:rPr>
          <w:b/>
          <w:bCs/>
          <w:u w:val="single"/>
          <w:lang w:val="en-CA"/>
        </w:rPr>
        <w:t xml:space="preserve"> and s. 15 of the </w:t>
      </w:r>
      <w:r w:rsidRPr="004C00B4">
        <w:rPr>
          <w:b/>
          <w:bCs/>
          <w:i/>
          <w:iCs/>
          <w:u w:val="single"/>
          <w:lang w:val="en-CA"/>
        </w:rPr>
        <w:t>New Act respecting school elections</w:t>
      </w:r>
      <w:r w:rsidRPr="004C00B4">
        <w:rPr>
          <w:b/>
          <w:bCs/>
          <w:u w:val="single"/>
          <w:lang w:val="en-CA"/>
        </w:rPr>
        <w:t xml:space="preserve">, unjustifiably infringe s. 23 of the </w:t>
      </w:r>
      <w:r w:rsidRPr="004C00B4">
        <w:rPr>
          <w:b/>
          <w:bCs/>
          <w:i/>
          <w:iCs/>
          <w:u w:val="single"/>
          <w:lang w:val="en-CA"/>
        </w:rPr>
        <w:t>Charter</w:t>
      </w:r>
      <w:r w:rsidRPr="004C00B4">
        <w:rPr>
          <w:b/>
          <w:bCs/>
          <w:u w:val="single"/>
          <w:lang w:val="en-CA"/>
        </w:rPr>
        <w:t>?</w:t>
      </w:r>
    </w:p>
    <w:p w14:paraId="17F5F2FC" w14:textId="36EF1C24" w:rsidR="00F75613" w:rsidRPr="000A0EA1" w:rsidRDefault="004C00B4" w:rsidP="00B255B8">
      <w:pPr>
        <w:pStyle w:val="Paragraphe"/>
        <w:spacing w:line="240" w:lineRule="auto"/>
        <w:rPr>
          <w:lang w:val="en-CA"/>
        </w:rPr>
      </w:pPr>
      <w:r>
        <w:rPr>
          <w:lang w:val="en-CA"/>
        </w:rPr>
        <w:t>F</w:t>
      </w:r>
      <w:r w:rsidR="00B02E00" w:rsidRPr="000A0EA1">
        <w:rPr>
          <w:lang w:val="en-CA"/>
        </w:rPr>
        <w:t xml:space="preserve">or reasons of logic and convenience, </w:t>
      </w:r>
      <w:r w:rsidR="00680439">
        <w:rPr>
          <w:lang w:val="en-CA"/>
        </w:rPr>
        <w:t>the Court</w:t>
      </w:r>
      <w:r w:rsidR="00B02E00" w:rsidRPr="000A0EA1">
        <w:rPr>
          <w:lang w:val="en-CA"/>
        </w:rPr>
        <w:t xml:space="preserve"> will examine the provisions in question in the following order:</w:t>
      </w:r>
    </w:p>
    <w:p w14:paraId="17F5F2FD" w14:textId="3B56DF37" w:rsidR="00F75613" w:rsidRPr="000A0EA1" w:rsidRDefault="0062160E" w:rsidP="00B255B8">
      <w:pPr>
        <w:pStyle w:val="Paragraphe"/>
        <w:numPr>
          <w:ilvl w:val="0"/>
          <w:numId w:val="13"/>
        </w:numPr>
        <w:spacing w:line="240" w:lineRule="auto"/>
        <w:ind w:left="1077" w:hanging="357"/>
        <w:rPr>
          <w:lang w:val="en-CA"/>
        </w:rPr>
      </w:pPr>
      <w:r>
        <w:rPr>
          <w:lang w:val="en-CA"/>
        </w:rPr>
        <w:t>s. 2</w:t>
      </w:r>
      <w:r w:rsidR="00B02E00" w:rsidRPr="000A0EA1">
        <w:rPr>
          <w:lang w:val="en-CA"/>
        </w:rPr>
        <w:t xml:space="preserve">12 of </w:t>
      </w:r>
      <w:r w:rsidR="00C33BBC">
        <w:rPr>
          <w:i/>
          <w:iCs/>
          <w:lang w:val="en-CA"/>
        </w:rPr>
        <w:t>Bill 40</w:t>
      </w:r>
      <w:r w:rsidR="00B02E00" w:rsidRPr="000A0EA1">
        <w:rPr>
          <w:lang w:val="en-CA"/>
        </w:rPr>
        <w:t xml:space="preserve"> and </w:t>
      </w:r>
      <w:r>
        <w:rPr>
          <w:lang w:val="en-CA"/>
        </w:rPr>
        <w:t>s. 1</w:t>
      </w:r>
      <w:r w:rsidR="00B02E00" w:rsidRPr="000A0EA1">
        <w:rPr>
          <w:lang w:val="en-CA"/>
        </w:rPr>
        <w:t xml:space="preserve">5 of the </w:t>
      </w:r>
      <w:r w:rsidR="00B02E00" w:rsidRPr="000A0EA1">
        <w:rPr>
          <w:i/>
          <w:iCs/>
          <w:lang w:val="en-CA"/>
        </w:rPr>
        <w:t>New Act respecting school elections</w:t>
      </w:r>
      <w:r w:rsidR="00B02E00" w:rsidRPr="000A0EA1">
        <w:rPr>
          <w:lang w:val="en-CA"/>
        </w:rPr>
        <w:t>, which deal with the right to vote and the eligibility of candidates in minority language school elections;</w:t>
      </w:r>
    </w:p>
    <w:p w14:paraId="17F5F2FE" w14:textId="2B7CD9F7" w:rsidR="00F75613" w:rsidRPr="000A0EA1" w:rsidRDefault="00B02E00" w:rsidP="00B255B8">
      <w:pPr>
        <w:pStyle w:val="Paragraphe"/>
        <w:numPr>
          <w:ilvl w:val="0"/>
          <w:numId w:val="13"/>
        </w:numPr>
        <w:spacing w:line="240" w:lineRule="auto"/>
        <w:ind w:left="1077" w:hanging="357"/>
        <w:rPr>
          <w:lang w:val="en-CA"/>
        </w:rPr>
      </w:pPr>
      <w:r w:rsidRPr="000A0EA1">
        <w:rPr>
          <w:lang w:val="en-CA"/>
        </w:rPr>
        <w:t>s</w:t>
      </w:r>
      <w:r w:rsidR="0062160E">
        <w:rPr>
          <w:lang w:val="en-CA"/>
        </w:rPr>
        <w:t>s. 5</w:t>
      </w:r>
      <w:r w:rsidRPr="000A0EA1">
        <w:rPr>
          <w:lang w:val="en-CA"/>
        </w:rPr>
        <w:t xml:space="preserve">0, 196, 208 and 216 of </w:t>
      </w:r>
      <w:r w:rsidR="00C33BBC">
        <w:rPr>
          <w:i/>
          <w:iCs/>
          <w:lang w:val="en-CA"/>
        </w:rPr>
        <w:t>Bill 40</w:t>
      </w:r>
      <w:r w:rsidRPr="000A0EA1">
        <w:rPr>
          <w:lang w:val="en-CA"/>
        </w:rPr>
        <w:t xml:space="preserve">, which deal with the composition of the boards of directors of </w:t>
      </w:r>
      <w:r w:rsidR="00AE3408">
        <w:rPr>
          <w:lang w:val="en-CA"/>
        </w:rPr>
        <w:t>English</w:t>
      </w:r>
      <w:r w:rsidR="00AE3408">
        <w:rPr>
          <w:lang w:val="en-CA"/>
        </w:rPr>
        <w:noBreakHyphen/>
        <w:t>language</w:t>
      </w:r>
      <w:r w:rsidRPr="000A0EA1">
        <w:rPr>
          <w:lang w:val="en-CA"/>
        </w:rPr>
        <w:t xml:space="preserve"> school service centres and the manner in which the members of these boards of directors are selected;</w:t>
      </w:r>
    </w:p>
    <w:p w14:paraId="17F5F2FF" w14:textId="1AC522AA" w:rsidR="00F75613" w:rsidRPr="000A0EA1" w:rsidRDefault="0062160E" w:rsidP="00B255B8">
      <w:pPr>
        <w:pStyle w:val="Paragraphe"/>
        <w:numPr>
          <w:ilvl w:val="0"/>
          <w:numId w:val="13"/>
        </w:numPr>
        <w:spacing w:line="240" w:lineRule="auto"/>
        <w:ind w:left="1077" w:hanging="357"/>
        <w:rPr>
          <w:lang w:val="en-CA"/>
        </w:rPr>
      </w:pPr>
      <w:r>
        <w:rPr>
          <w:lang w:val="en-CA"/>
        </w:rPr>
        <w:t>s. 6</w:t>
      </w:r>
      <w:r w:rsidR="00B02E00" w:rsidRPr="000A0EA1">
        <w:rPr>
          <w:lang w:val="en-CA"/>
        </w:rPr>
        <w:t xml:space="preserve">6 of </w:t>
      </w:r>
      <w:r w:rsidR="00C33BBC">
        <w:rPr>
          <w:i/>
          <w:iCs/>
          <w:lang w:val="en-CA"/>
        </w:rPr>
        <w:t>Bill 40</w:t>
      </w:r>
      <w:r w:rsidR="00B02E00" w:rsidRPr="000A0EA1">
        <w:rPr>
          <w:lang w:val="en-CA"/>
        </w:rPr>
        <w:t>, which abolishes the remuneration of members of the boards of directors;</w:t>
      </w:r>
    </w:p>
    <w:p w14:paraId="17F5F300" w14:textId="0F1C5F21" w:rsidR="00F75613" w:rsidRPr="000A0EA1" w:rsidRDefault="0062160E" w:rsidP="00B255B8">
      <w:pPr>
        <w:pStyle w:val="Paragraphe"/>
        <w:numPr>
          <w:ilvl w:val="0"/>
          <w:numId w:val="13"/>
        </w:numPr>
        <w:spacing w:line="240" w:lineRule="auto"/>
        <w:ind w:left="1077" w:hanging="357"/>
        <w:rPr>
          <w:lang w:val="en-CA"/>
        </w:rPr>
      </w:pPr>
      <w:r>
        <w:rPr>
          <w:lang w:val="en-CA"/>
        </w:rPr>
        <w:t>s. 5</w:t>
      </w:r>
      <w:r w:rsidR="00B02E00" w:rsidRPr="000A0EA1">
        <w:rPr>
          <w:lang w:val="en-CA"/>
        </w:rPr>
        <w:t xml:space="preserve">2 of </w:t>
      </w:r>
      <w:r w:rsidR="00C33BBC">
        <w:rPr>
          <w:i/>
          <w:iCs/>
          <w:lang w:val="en-CA"/>
        </w:rPr>
        <w:t>Bill 40</w:t>
      </w:r>
      <w:r w:rsidR="00B02E00" w:rsidRPr="000A0EA1">
        <w:rPr>
          <w:lang w:val="en-CA"/>
        </w:rPr>
        <w:t>, which establishes eligibility restrictions for the positions of chair and vice-chair of the boards of directors;</w:t>
      </w:r>
    </w:p>
    <w:p w14:paraId="17F5F301" w14:textId="3E9A7879" w:rsidR="00F75613" w:rsidRPr="000A0EA1" w:rsidRDefault="0062160E" w:rsidP="00B255B8">
      <w:pPr>
        <w:pStyle w:val="Paragraphe"/>
        <w:numPr>
          <w:ilvl w:val="0"/>
          <w:numId w:val="13"/>
        </w:numPr>
        <w:spacing w:line="240" w:lineRule="auto"/>
        <w:ind w:left="1077" w:hanging="357"/>
        <w:rPr>
          <w:lang w:val="en-CA"/>
        </w:rPr>
      </w:pPr>
      <w:r>
        <w:rPr>
          <w:lang w:val="en-CA"/>
        </w:rPr>
        <w:t>s. 9</w:t>
      </w:r>
      <w:r w:rsidR="00B02E00" w:rsidRPr="000A0EA1">
        <w:rPr>
          <w:lang w:val="en-CA"/>
        </w:rPr>
        <w:t xml:space="preserve">3 of </w:t>
      </w:r>
      <w:r w:rsidR="00C33BBC">
        <w:rPr>
          <w:i/>
          <w:iCs/>
          <w:lang w:val="en-CA"/>
        </w:rPr>
        <w:t>Bill 40</w:t>
      </w:r>
      <w:r w:rsidR="00B02E00" w:rsidRPr="000A0EA1">
        <w:rPr>
          <w:lang w:val="en-CA"/>
        </w:rPr>
        <w:t xml:space="preserve"> and the amendments to </w:t>
      </w:r>
      <w:r>
        <w:rPr>
          <w:lang w:val="en-CA"/>
        </w:rPr>
        <w:t>s. 1</w:t>
      </w:r>
      <w:r w:rsidR="00B02E00" w:rsidRPr="000A0EA1">
        <w:rPr>
          <w:lang w:val="en-CA"/>
        </w:rPr>
        <w:t xml:space="preserve">55 </w:t>
      </w:r>
      <w:r w:rsidR="00B02E00" w:rsidRPr="000A0EA1">
        <w:rPr>
          <w:i/>
          <w:iCs/>
          <w:lang w:val="en-CA"/>
        </w:rPr>
        <w:t>EA</w:t>
      </w:r>
      <w:r w:rsidR="00B02E00" w:rsidRPr="000A0EA1">
        <w:rPr>
          <w:lang w:val="en-CA"/>
        </w:rPr>
        <w:t>, which provide that the role of spokesperson of a school service centre is now entrusted to its director general;</w:t>
      </w:r>
    </w:p>
    <w:p w14:paraId="17F5F302" w14:textId="7F74D127" w:rsidR="00F75613" w:rsidRPr="000A0EA1" w:rsidRDefault="0062160E" w:rsidP="00B255B8">
      <w:pPr>
        <w:pStyle w:val="Paragraphe"/>
        <w:numPr>
          <w:ilvl w:val="0"/>
          <w:numId w:val="13"/>
        </w:numPr>
        <w:spacing w:line="240" w:lineRule="auto"/>
        <w:ind w:left="1077" w:hanging="357"/>
        <w:rPr>
          <w:lang w:val="en-CA"/>
        </w:rPr>
      </w:pPr>
      <w:r>
        <w:rPr>
          <w:lang w:val="en-CA"/>
        </w:rPr>
        <w:t>s. 9</w:t>
      </w:r>
      <w:r w:rsidR="00B02E00" w:rsidRPr="000A0EA1">
        <w:rPr>
          <w:lang w:val="en-CA"/>
        </w:rPr>
        <w:t xml:space="preserve">1 of </w:t>
      </w:r>
      <w:r w:rsidR="00C33BBC">
        <w:rPr>
          <w:i/>
          <w:iCs/>
          <w:lang w:val="en-CA"/>
        </w:rPr>
        <w:t>Bill 40</w:t>
      </w:r>
      <w:r w:rsidR="00B02E00" w:rsidRPr="000A0EA1">
        <w:rPr>
          <w:lang w:val="en-CA"/>
        </w:rPr>
        <w:t>, which deals with the creation and mission of the commitment</w:t>
      </w:r>
      <w:r w:rsidR="001B4111">
        <w:rPr>
          <w:lang w:val="en-CA"/>
        </w:rPr>
        <w:noBreakHyphen/>
      </w:r>
      <w:r w:rsidR="00B02E00" w:rsidRPr="000A0EA1">
        <w:rPr>
          <w:lang w:val="en-CA"/>
        </w:rPr>
        <w:t>to</w:t>
      </w:r>
      <w:r w:rsidR="001B4111">
        <w:rPr>
          <w:lang w:val="en-CA"/>
        </w:rPr>
        <w:noBreakHyphen/>
      </w:r>
      <w:r w:rsidR="00B02E00" w:rsidRPr="000A0EA1">
        <w:rPr>
          <w:lang w:val="en-CA"/>
        </w:rPr>
        <w:t>student</w:t>
      </w:r>
      <w:r w:rsidR="001B4111">
        <w:rPr>
          <w:lang w:val="en-CA"/>
        </w:rPr>
        <w:noBreakHyphen/>
      </w:r>
      <w:r w:rsidR="00B02E00" w:rsidRPr="000A0EA1">
        <w:rPr>
          <w:lang w:val="en-CA"/>
        </w:rPr>
        <w:t>success committee; and</w:t>
      </w:r>
    </w:p>
    <w:p w14:paraId="17F5F303" w14:textId="27A53361" w:rsidR="00F75613" w:rsidRPr="000A0EA1" w:rsidRDefault="00B02E00" w:rsidP="00B255B8">
      <w:pPr>
        <w:pStyle w:val="Paragraphe"/>
        <w:numPr>
          <w:ilvl w:val="0"/>
          <w:numId w:val="13"/>
        </w:numPr>
        <w:spacing w:line="240" w:lineRule="auto"/>
        <w:ind w:left="1077" w:hanging="357"/>
        <w:rPr>
          <w:lang w:val="en-CA"/>
        </w:rPr>
      </w:pPr>
      <w:r w:rsidRPr="000A0EA1">
        <w:rPr>
          <w:lang w:val="en-CA"/>
        </w:rPr>
        <w:lastRenderedPageBreak/>
        <w:t xml:space="preserve">lastly, </w:t>
      </w:r>
      <w:r w:rsidR="0062160E">
        <w:rPr>
          <w:lang w:val="en-CA"/>
        </w:rPr>
        <w:t>s. 4</w:t>
      </w:r>
      <w:r w:rsidRPr="000A0EA1">
        <w:rPr>
          <w:lang w:val="en-CA"/>
        </w:rPr>
        <w:t xml:space="preserve">73.1 of the </w:t>
      </w:r>
      <w:r w:rsidRPr="000A0EA1">
        <w:rPr>
          <w:i/>
          <w:iCs/>
          <w:lang w:val="en-CA"/>
        </w:rPr>
        <w:t>EA</w:t>
      </w:r>
      <w:r w:rsidRPr="000A0EA1">
        <w:rPr>
          <w:lang w:val="en-CA"/>
        </w:rPr>
        <w:t>, which provides for dedicated or protected funding measures.</w:t>
      </w:r>
    </w:p>
    <w:p w14:paraId="17F5F305" w14:textId="146A3BDC" w:rsidR="00F75613" w:rsidRPr="000A0EA1" w:rsidRDefault="00B02E00" w:rsidP="00B255B8">
      <w:pPr>
        <w:pStyle w:val="Paragraphe"/>
        <w:numPr>
          <w:ilvl w:val="0"/>
          <w:numId w:val="12"/>
        </w:numPr>
        <w:spacing w:line="240" w:lineRule="auto"/>
        <w:rPr>
          <w:lang w:val="en-CA"/>
        </w:rPr>
      </w:pPr>
      <w:r w:rsidRPr="000A0EA1">
        <w:rPr>
          <w:i/>
          <w:iCs/>
          <w:lang w:val="en-CA"/>
        </w:rPr>
        <w:t>The electoral qualification allowing members of the linguistic majority to vote and run in school elections in the minority language school system (</w:t>
      </w:r>
      <w:r w:rsidR="0062160E">
        <w:rPr>
          <w:i/>
          <w:iCs/>
          <w:lang w:val="en-CA"/>
        </w:rPr>
        <w:t>s. 2</w:t>
      </w:r>
      <w:r w:rsidRPr="000A0EA1">
        <w:rPr>
          <w:i/>
          <w:iCs/>
          <w:lang w:val="en-CA"/>
        </w:rPr>
        <w:t xml:space="preserve">12 of </w:t>
      </w:r>
      <w:r w:rsidR="00C33BBC">
        <w:rPr>
          <w:i/>
          <w:iCs/>
          <w:lang w:val="en-CA"/>
        </w:rPr>
        <w:t>Bill 40</w:t>
      </w:r>
      <w:r w:rsidRPr="000A0EA1">
        <w:rPr>
          <w:i/>
          <w:iCs/>
          <w:lang w:val="en-CA"/>
        </w:rPr>
        <w:t xml:space="preserve"> and </w:t>
      </w:r>
      <w:r w:rsidR="0062160E">
        <w:rPr>
          <w:i/>
          <w:iCs/>
          <w:lang w:val="en-CA"/>
        </w:rPr>
        <w:t>s. 1</w:t>
      </w:r>
      <w:r w:rsidRPr="000A0EA1">
        <w:rPr>
          <w:i/>
          <w:iCs/>
          <w:lang w:val="en-CA"/>
        </w:rPr>
        <w:t>5 of the New Act respecting school elections)</w:t>
      </w:r>
    </w:p>
    <w:p w14:paraId="17F5F306" w14:textId="11C279CE" w:rsidR="00F75613" w:rsidRPr="000A0EA1" w:rsidRDefault="00B02E00" w:rsidP="00B255B8">
      <w:pPr>
        <w:pStyle w:val="Paragraphe"/>
        <w:spacing w:before="240" w:line="240" w:lineRule="auto"/>
        <w:rPr>
          <w:lang w:val="en-CA"/>
        </w:rPr>
      </w:pPr>
      <w:r w:rsidRPr="000A0EA1">
        <w:rPr>
          <w:lang w:val="en-CA"/>
        </w:rPr>
        <w:t xml:space="preserve">Prior to </w:t>
      </w:r>
      <w:r w:rsidR="00C33BBC">
        <w:rPr>
          <w:i/>
          <w:iCs/>
          <w:lang w:val="en-CA"/>
        </w:rPr>
        <w:t>Bill 40</w:t>
      </w:r>
      <w:r w:rsidRPr="000A0EA1">
        <w:rPr>
          <w:lang w:val="en-CA"/>
        </w:rPr>
        <w:t xml:space="preserve">, </w:t>
      </w:r>
      <w:r w:rsidR="0062160E">
        <w:rPr>
          <w:lang w:val="en-CA"/>
        </w:rPr>
        <w:t>s. 1</w:t>
      </w:r>
      <w:r w:rsidRPr="000A0EA1">
        <w:rPr>
          <w:lang w:val="en-CA"/>
        </w:rPr>
        <w:t xml:space="preserve">5 of the </w:t>
      </w:r>
      <w:r w:rsidRPr="000A0EA1">
        <w:rPr>
          <w:i/>
          <w:iCs/>
          <w:lang w:val="en-CA"/>
        </w:rPr>
        <w:t xml:space="preserve">Act respecting school elections </w:t>
      </w:r>
      <w:r w:rsidRPr="000A0EA1">
        <w:rPr>
          <w:lang w:val="en-CA"/>
        </w:rPr>
        <w:t>essentially granted, since 1989</w:t>
      </w:r>
      <w:r w:rsidR="0054433A">
        <w:rPr>
          <w:lang w:val="en-CA"/>
        </w:rPr>
        <w:t>,</w:t>
      </w:r>
      <w:r w:rsidRPr="000A0EA1">
        <w:rPr>
          <w:rStyle w:val="Appelnotedebasdep"/>
          <w:lang w:val="en-CA"/>
        </w:rPr>
        <w:footnoteReference w:id="183"/>
      </w:r>
      <w:r w:rsidRPr="000A0EA1">
        <w:rPr>
          <w:lang w:val="en-CA"/>
        </w:rPr>
        <w:t xml:space="preserve"> the unfettered choice to register on the electoral list of an </w:t>
      </w:r>
      <w:r w:rsidR="00AE3408">
        <w:rPr>
          <w:lang w:val="en-CA"/>
        </w:rPr>
        <w:t>English</w:t>
      </w:r>
      <w:r w:rsidR="00AE3408">
        <w:rPr>
          <w:lang w:val="en-CA"/>
        </w:rPr>
        <w:noBreakHyphen/>
        <w:t>language</w:t>
      </w:r>
      <w:r w:rsidRPr="000A0EA1">
        <w:rPr>
          <w:lang w:val="en-CA"/>
        </w:rPr>
        <w:t xml:space="preserve"> school board if the elector was domiciled in the territory of the school board and did not have a child admitted to the educational services of a French</w:t>
      </w:r>
      <w:r w:rsidR="000C0733">
        <w:rPr>
          <w:lang w:val="en-CA"/>
        </w:rPr>
        <w:noBreakHyphen/>
        <w:t xml:space="preserve"> </w:t>
      </w:r>
      <w:r w:rsidRPr="000A0EA1">
        <w:rPr>
          <w:lang w:val="en-CA"/>
        </w:rPr>
        <w:t xml:space="preserve">or </w:t>
      </w:r>
      <w:r w:rsidR="00AE3408">
        <w:rPr>
          <w:lang w:val="en-CA"/>
        </w:rPr>
        <w:t>English</w:t>
      </w:r>
      <w:r w:rsidR="00AE3408">
        <w:rPr>
          <w:lang w:val="en-CA"/>
        </w:rPr>
        <w:noBreakHyphen/>
        <w:t>language</w:t>
      </w:r>
      <w:r w:rsidRPr="000A0EA1">
        <w:rPr>
          <w:lang w:val="en-CA"/>
        </w:rPr>
        <w:t xml:space="preserve"> school board. However, an elector who had a child </w:t>
      </w:r>
      <w:r w:rsidR="004A63A6">
        <w:rPr>
          <w:lang w:val="en-CA"/>
        </w:rPr>
        <w:t>admitted to educational services</w:t>
      </w:r>
      <w:r w:rsidRPr="000A0EA1">
        <w:rPr>
          <w:lang w:val="en-CA"/>
        </w:rPr>
        <w:t xml:space="preserve"> in either a French- or </w:t>
      </w:r>
      <w:r w:rsidR="00AE3408">
        <w:rPr>
          <w:lang w:val="en-CA"/>
        </w:rPr>
        <w:t>English</w:t>
      </w:r>
      <w:r w:rsidR="00AE3408">
        <w:rPr>
          <w:lang w:val="en-CA"/>
        </w:rPr>
        <w:noBreakHyphen/>
        <w:t>language</w:t>
      </w:r>
      <w:r w:rsidRPr="000A0EA1">
        <w:rPr>
          <w:lang w:val="en-CA"/>
        </w:rPr>
        <w:t xml:space="preserve"> school board could only vote in elections held by the school board in which the child was enrolled. As for an elector whose child was enrolled in an </w:t>
      </w:r>
      <w:r w:rsidR="00AE3408">
        <w:rPr>
          <w:lang w:val="en-CA"/>
        </w:rPr>
        <w:t>English</w:t>
      </w:r>
      <w:r w:rsidR="00AE3408">
        <w:rPr>
          <w:lang w:val="en-CA"/>
        </w:rPr>
        <w:noBreakHyphen/>
        <w:t>language</w:t>
      </w:r>
      <w:r w:rsidRPr="000A0EA1">
        <w:rPr>
          <w:lang w:val="en-CA"/>
        </w:rPr>
        <w:t xml:space="preserve"> school board when he or she finished school, the elector was deemed to have chosen to be registered on the list of electors of that school board and to vote in its elections.</w:t>
      </w:r>
    </w:p>
    <w:p w14:paraId="17F5F307" w14:textId="5A2D69C2" w:rsidR="00F75613" w:rsidRPr="000A0EA1" w:rsidRDefault="00B02E00" w:rsidP="00B255B8">
      <w:pPr>
        <w:pStyle w:val="Paragraphe"/>
        <w:spacing w:line="240" w:lineRule="auto"/>
        <w:rPr>
          <w:lang w:val="en-CA"/>
        </w:rPr>
      </w:pPr>
      <w:r w:rsidRPr="000A0EA1">
        <w:rPr>
          <w:lang w:val="en-CA"/>
        </w:rPr>
        <w:t xml:space="preserve">Section 212 of </w:t>
      </w:r>
      <w:r w:rsidR="00C33BBC">
        <w:rPr>
          <w:i/>
          <w:iCs/>
          <w:lang w:val="en-CA"/>
        </w:rPr>
        <w:t>Bill 40</w:t>
      </w:r>
      <w:r w:rsidRPr="000A0EA1">
        <w:rPr>
          <w:lang w:val="en-CA"/>
        </w:rPr>
        <w:t xml:space="preserve"> amends </w:t>
      </w:r>
      <w:r w:rsidR="0062160E">
        <w:rPr>
          <w:lang w:val="en-CA"/>
        </w:rPr>
        <w:t>s. 1</w:t>
      </w:r>
      <w:r w:rsidRPr="000A0EA1">
        <w:rPr>
          <w:lang w:val="en-CA"/>
        </w:rPr>
        <w:t xml:space="preserve">5 while preserving the principle of free choice for electors who do not have a child enrolled in a school under the jurisdiction of a French- or </w:t>
      </w:r>
      <w:r w:rsidR="00AE3408">
        <w:rPr>
          <w:lang w:val="en-CA"/>
        </w:rPr>
        <w:t>English</w:t>
      </w:r>
      <w:r w:rsidR="00AE3408">
        <w:rPr>
          <w:lang w:val="en-CA"/>
        </w:rPr>
        <w:noBreakHyphen/>
        <w:t>language</w:t>
      </w:r>
      <w:r w:rsidRPr="000A0EA1">
        <w:rPr>
          <w:lang w:val="en-CA"/>
        </w:rPr>
        <w:t xml:space="preserve"> school service centre. Section 212 of </w:t>
      </w:r>
      <w:r w:rsidR="00C33BBC">
        <w:rPr>
          <w:i/>
          <w:iCs/>
          <w:lang w:val="en-CA"/>
        </w:rPr>
        <w:t>Bill 40</w:t>
      </w:r>
      <w:r w:rsidRPr="000A0EA1">
        <w:rPr>
          <w:lang w:val="en-CA"/>
        </w:rPr>
        <w:t xml:space="preserve"> simply adapts the text of </w:t>
      </w:r>
      <w:r w:rsidR="0062160E">
        <w:rPr>
          <w:lang w:val="en-CA"/>
        </w:rPr>
        <w:t>s. 1</w:t>
      </w:r>
      <w:r w:rsidRPr="000A0EA1">
        <w:rPr>
          <w:lang w:val="en-CA"/>
        </w:rPr>
        <w:t xml:space="preserve">5 in light of the fact that there are no longer any school elections in the </w:t>
      </w:r>
      <w:r w:rsidR="00AE3408">
        <w:rPr>
          <w:lang w:val="en-CA"/>
        </w:rPr>
        <w:t>French</w:t>
      </w:r>
      <w:r w:rsidR="00AE3408">
        <w:rPr>
          <w:lang w:val="en-CA"/>
        </w:rPr>
        <w:noBreakHyphen/>
        <w:t>language</w:t>
      </w:r>
      <w:r w:rsidRPr="000A0EA1">
        <w:rPr>
          <w:lang w:val="en-CA"/>
        </w:rPr>
        <w:t xml:space="preserve"> school network.</w:t>
      </w:r>
      <w:r w:rsidRPr="000A0EA1">
        <w:rPr>
          <w:i/>
          <w:iCs/>
          <w:lang w:val="en-CA"/>
        </w:rPr>
        <w:t xml:space="preserve"> </w:t>
      </w:r>
      <w:r w:rsidRPr="000A0EA1">
        <w:rPr>
          <w:lang w:val="en-CA"/>
        </w:rPr>
        <w:t>It now reads as follows:</w:t>
      </w:r>
      <w:r w:rsidRPr="000A0EA1">
        <w:rPr>
          <w:rStyle w:val="Appelnotedebasdep"/>
          <w:lang w:val="en-CA"/>
        </w:rPr>
        <w:footnoteReference w:id="184"/>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4936F2" w:rsidRPr="000A0EA1" w14:paraId="17F5F310" w14:textId="77777777" w:rsidTr="00313499">
        <w:tc>
          <w:tcPr>
            <w:tcW w:w="4676" w:type="dxa"/>
          </w:tcPr>
          <w:p w14:paraId="17F5F308" w14:textId="2222BD14" w:rsidR="00F75613" w:rsidRPr="000A0EA1" w:rsidRDefault="00000000" w:rsidP="00B255B8">
            <w:pPr>
              <w:shd w:val="clear" w:color="auto" w:fill="FFFFFF"/>
              <w:spacing w:before="120" w:after="120" w:line="240" w:lineRule="auto"/>
              <w:ind w:left="720" w:right="142"/>
              <w:jc w:val="both"/>
              <w:rPr>
                <w:rFonts w:cs="Arial"/>
                <w:sz w:val="22"/>
                <w:szCs w:val="22"/>
                <w:lang w:val="en-CA" w:eastAsia="fr-CA"/>
              </w:rPr>
            </w:pPr>
            <w:hyperlink r:id="rId8" w:anchor="se:15" w:history="1">
              <w:r w:rsidR="00B02E00" w:rsidRPr="000A0EA1">
                <w:rPr>
                  <w:rFonts w:cs="Arial"/>
                  <w:b/>
                  <w:bCs/>
                  <w:sz w:val="22"/>
                  <w:szCs w:val="22"/>
                  <w:lang w:val="en-CA" w:eastAsia="fr-CA"/>
                </w:rPr>
                <w:t>15.</w:t>
              </w:r>
            </w:hyperlink>
            <w:r w:rsidR="00B02E00" w:rsidRPr="000A0EA1">
              <w:rPr>
                <w:rFonts w:cs="Arial"/>
                <w:sz w:val="22"/>
                <w:szCs w:val="22"/>
                <w:lang w:val="en-CA" w:eastAsia="fr-CA"/>
              </w:rPr>
              <w:t> Any elector who has a child to whom section 1 of the Education Act (chapter I</w:t>
            </w:r>
            <w:r w:rsidR="00B02E00" w:rsidRPr="000A0EA1">
              <w:rPr>
                <w:rFonts w:ascii="Cambria Math" w:hAnsi="Cambria Math" w:cs="Cambria Math"/>
                <w:sz w:val="22"/>
                <w:szCs w:val="22"/>
                <w:lang w:val="en-CA" w:eastAsia="fr-CA"/>
              </w:rPr>
              <w:t>‐</w:t>
            </w:r>
            <w:r w:rsidR="00B02E00" w:rsidRPr="000A0EA1">
              <w:rPr>
                <w:rFonts w:cs="Arial"/>
                <w:sz w:val="22"/>
                <w:szCs w:val="22"/>
                <w:lang w:val="en-CA" w:eastAsia="fr-CA"/>
              </w:rPr>
              <w:t xml:space="preserve">13.3) applies who is admitted to educational services provided by an </w:t>
            </w:r>
            <w:r w:rsidR="00AE3408">
              <w:rPr>
                <w:rFonts w:cs="Arial"/>
                <w:sz w:val="22"/>
                <w:szCs w:val="22"/>
                <w:lang w:val="en-CA" w:eastAsia="fr-CA"/>
              </w:rPr>
              <w:t>English</w:t>
            </w:r>
            <w:r w:rsidR="00AE3408">
              <w:rPr>
                <w:rFonts w:cs="Arial"/>
                <w:sz w:val="22"/>
                <w:szCs w:val="22"/>
                <w:lang w:val="en-CA" w:eastAsia="fr-CA"/>
              </w:rPr>
              <w:noBreakHyphen/>
              <w:t>language</w:t>
            </w:r>
            <w:r w:rsidR="00B02E00" w:rsidRPr="000A0EA1">
              <w:rPr>
                <w:rFonts w:cs="Arial"/>
                <w:sz w:val="22"/>
                <w:szCs w:val="22"/>
                <w:lang w:val="en-CA" w:eastAsia="fr-CA"/>
              </w:rPr>
              <w:t xml:space="preserve"> school service centre having jurisdiction over the territory in which the elector is domiciled may vote at the election of the members of that centre</w:t>
            </w:r>
            <w:r w:rsidR="00E46AFD">
              <w:rPr>
                <w:rFonts w:cs="Arial"/>
                <w:sz w:val="22"/>
                <w:szCs w:val="22"/>
                <w:lang w:val="en-CA" w:eastAsia="fr-CA"/>
              </w:rPr>
              <w:t>’</w:t>
            </w:r>
            <w:r w:rsidR="00B02E00" w:rsidRPr="000A0EA1">
              <w:rPr>
                <w:rFonts w:cs="Arial"/>
                <w:sz w:val="22"/>
                <w:szCs w:val="22"/>
                <w:lang w:val="en-CA" w:eastAsia="fr-CA"/>
              </w:rPr>
              <w:t>s board of directors.</w:t>
            </w:r>
          </w:p>
          <w:p w14:paraId="17F5F309" w14:textId="0AF95672"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sz w:val="22"/>
                <w:szCs w:val="22"/>
                <w:lang w:val="en-CA" w:eastAsia="fr-CA"/>
              </w:rPr>
              <w:t xml:space="preserve">Any elector who does not have a child to whom section 1 of the Education Act applies who is admitted to educational services provided by an English- or </w:t>
            </w:r>
            <w:r w:rsidR="00AE3408">
              <w:rPr>
                <w:rFonts w:cs="Arial"/>
                <w:sz w:val="22"/>
                <w:szCs w:val="22"/>
                <w:lang w:val="en-CA" w:eastAsia="fr-CA"/>
              </w:rPr>
              <w:t>French</w:t>
            </w:r>
            <w:r w:rsidR="00AE3408">
              <w:rPr>
                <w:rFonts w:cs="Arial"/>
                <w:sz w:val="22"/>
                <w:szCs w:val="22"/>
                <w:lang w:val="en-CA" w:eastAsia="fr-CA"/>
              </w:rPr>
              <w:noBreakHyphen/>
              <w:t>language</w:t>
            </w:r>
            <w:r w:rsidRPr="000A0EA1">
              <w:rPr>
                <w:rFonts w:cs="Arial"/>
                <w:sz w:val="22"/>
                <w:szCs w:val="22"/>
                <w:lang w:val="en-CA" w:eastAsia="fr-CA"/>
              </w:rPr>
              <w:t xml:space="preserve"> school service centre having jurisdiction over the </w:t>
            </w:r>
            <w:r w:rsidRPr="000A0EA1">
              <w:rPr>
                <w:rFonts w:cs="Arial"/>
                <w:sz w:val="22"/>
                <w:szCs w:val="22"/>
                <w:lang w:val="en-CA" w:eastAsia="fr-CA"/>
              </w:rPr>
              <w:lastRenderedPageBreak/>
              <w:t xml:space="preserve">territory in which the elector is domiciled may vote at the election of the members of the </w:t>
            </w:r>
            <w:r w:rsidR="00AE3408">
              <w:rPr>
                <w:rFonts w:cs="Arial"/>
                <w:sz w:val="22"/>
                <w:szCs w:val="22"/>
                <w:lang w:val="en-CA" w:eastAsia="fr-CA"/>
              </w:rPr>
              <w:t>English</w:t>
            </w:r>
            <w:r w:rsidR="00AE3408">
              <w:rPr>
                <w:rFonts w:cs="Arial"/>
                <w:sz w:val="22"/>
                <w:szCs w:val="22"/>
                <w:lang w:val="en-CA" w:eastAsia="fr-CA"/>
              </w:rPr>
              <w:noBreakHyphen/>
              <w:t>language</w:t>
            </w:r>
            <w:r w:rsidRPr="000A0EA1">
              <w:rPr>
                <w:rFonts w:cs="Arial"/>
                <w:sz w:val="22"/>
                <w:szCs w:val="22"/>
                <w:lang w:val="en-CA" w:eastAsia="fr-CA"/>
              </w:rPr>
              <w:t xml:space="preserve"> school service centre</w:t>
            </w:r>
            <w:r w:rsidR="00E46AFD">
              <w:rPr>
                <w:rFonts w:cs="Arial"/>
                <w:sz w:val="22"/>
                <w:szCs w:val="22"/>
                <w:lang w:val="en-CA" w:eastAsia="fr-CA"/>
              </w:rPr>
              <w:t>’</w:t>
            </w:r>
            <w:r w:rsidRPr="000A0EA1">
              <w:rPr>
                <w:rFonts w:cs="Arial"/>
                <w:sz w:val="22"/>
                <w:szCs w:val="22"/>
                <w:lang w:val="en-CA" w:eastAsia="fr-CA"/>
              </w:rPr>
              <w:t>s board of directors, if the elector so chooses.</w:t>
            </w:r>
          </w:p>
          <w:p w14:paraId="17F5F30A" w14:textId="47A33778" w:rsidR="00F75613" w:rsidRPr="000A0EA1" w:rsidRDefault="00B02E00" w:rsidP="00B255B8">
            <w:pPr>
              <w:shd w:val="clear" w:color="auto" w:fill="FFFFFF"/>
              <w:spacing w:before="120" w:after="120" w:line="240" w:lineRule="auto"/>
              <w:ind w:left="720" w:right="142"/>
              <w:jc w:val="both"/>
              <w:rPr>
                <w:rFonts w:cs="Arial"/>
                <w:sz w:val="22"/>
                <w:szCs w:val="22"/>
                <w:lang w:val="en-CA" w:eastAsia="fr-CA"/>
              </w:rPr>
            </w:pPr>
            <w:r w:rsidRPr="000A0EA1">
              <w:rPr>
                <w:rFonts w:cs="Arial"/>
                <w:sz w:val="22"/>
                <w:szCs w:val="22"/>
                <w:lang w:val="en-CA" w:eastAsia="fr-CA"/>
              </w:rPr>
              <w:t xml:space="preserve">However, an elector whose child was enrolled in an </w:t>
            </w:r>
            <w:r w:rsidR="00AE3408">
              <w:rPr>
                <w:rFonts w:cs="Arial"/>
                <w:sz w:val="22"/>
                <w:szCs w:val="22"/>
                <w:lang w:val="en-CA" w:eastAsia="fr-CA"/>
              </w:rPr>
              <w:t>English</w:t>
            </w:r>
            <w:r w:rsidR="00AE3408">
              <w:rPr>
                <w:rFonts w:cs="Arial"/>
                <w:sz w:val="22"/>
                <w:szCs w:val="22"/>
                <w:lang w:val="en-CA" w:eastAsia="fr-CA"/>
              </w:rPr>
              <w:noBreakHyphen/>
              <w:t>language</w:t>
            </w:r>
            <w:r w:rsidRPr="000A0EA1">
              <w:rPr>
                <w:rFonts w:cs="Arial"/>
                <w:sz w:val="22"/>
                <w:szCs w:val="22"/>
                <w:lang w:val="en-CA" w:eastAsia="fr-CA"/>
              </w:rPr>
              <w:t xml:space="preserve"> school service centre when he or she finished school is deemed to have chosen to be registered on the list of electors of that </w:t>
            </w:r>
            <w:r w:rsidR="00AE3408">
              <w:rPr>
                <w:rFonts w:cs="Arial"/>
                <w:sz w:val="22"/>
                <w:szCs w:val="22"/>
                <w:lang w:val="en-CA" w:eastAsia="fr-CA"/>
              </w:rPr>
              <w:t>English</w:t>
            </w:r>
            <w:r w:rsidR="00AE3408">
              <w:rPr>
                <w:rFonts w:cs="Arial"/>
                <w:sz w:val="22"/>
                <w:szCs w:val="22"/>
                <w:lang w:val="en-CA" w:eastAsia="fr-CA"/>
              </w:rPr>
              <w:noBreakHyphen/>
              <w:t>language</w:t>
            </w:r>
            <w:r w:rsidRPr="000A0EA1">
              <w:rPr>
                <w:rFonts w:cs="Arial"/>
                <w:sz w:val="22"/>
                <w:szCs w:val="22"/>
                <w:lang w:val="en-CA" w:eastAsia="fr-CA"/>
              </w:rPr>
              <w:t xml:space="preserve"> school service centre and to vote in its elections.</w:t>
            </w:r>
          </w:p>
          <w:p w14:paraId="17F5F30B" w14:textId="30E41E34" w:rsidR="00F75613" w:rsidRPr="000A0EA1" w:rsidRDefault="00B02E00" w:rsidP="00B255B8">
            <w:pPr>
              <w:shd w:val="clear" w:color="auto" w:fill="FFFFFF"/>
              <w:spacing w:before="120" w:after="120" w:line="240" w:lineRule="auto"/>
              <w:ind w:left="720" w:right="142"/>
              <w:jc w:val="both"/>
              <w:rPr>
                <w:lang w:val="en-CA"/>
              </w:rPr>
            </w:pPr>
            <w:r w:rsidRPr="000A0EA1">
              <w:rPr>
                <w:rFonts w:cs="Arial"/>
                <w:sz w:val="22"/>
                <w:szCs w:val="22"/>
                <w:lang w:val="en-CA" w:eastAsia="fr-CA"/>
              </w:rPr>
              <w:t>The elector may exercise the voting option described in the second paragraph, outside election proceedings, if, on the date the option is exercised, the elector does not have a child to whom section 1 of the Education Act applies who is admitted to educational services provided by either of the school service centres having jurisdiction over the territory in which the elector is domiciled.</w:t>
            </w:r>
          </w:p>
        </w:tc>
        <w:tc>
          <w:tcPr>
            <w:tcW w:w="4676" w:type="dxa"/>
          </w:tcPr>
          <w:p w14:paraId="17F5F30C" w14:textId="62AF5696" w:rsidR="00F75613" w:rsidRPr="004F5918" w:rsidRDefault="00000000" w:rsidP="00B255B8">
            <w:pPr>
              <w:spacing w:before="120" w:after="120" w:line="240" w:lineRule="auto"/>
              <w:ind w:left="142" w:right="720"/>
              <w:jc w:val="both"/>
              <w:rPr>
                <w:rFonts w:cs="Arial"/>
                <w:sz w:val="22"/>
                <w:szCs w:val="22"/>
                <w:lang w:eastAsia="fr-CA"/>
              </w:rPr>
            </w:pPr>
            <w:hyperlink r:id="rId9" w:anchor="se:15" w:history="1">
              <w:r w:rsidR="00B02E00" w:rsidRPr="004F5918">
                <w:rPr>
                  <w:rFonts w:cs="Arial"/>
                  <w:b/>
                  <w:bCs/>
                  <w:sz w:val="22"/>
                  <w:szCs w:val="22"/>
                  <w:lang w:eastAsia="fr-CA"/>
                </w:rPr>
                <w:t>15.</w:t>
              </w:r>
            </w:hyperlink>
            <w:r w:rsidR="00B02E00" w:rsidRPr="004F5918">
              <w:rPr>
                <w:rFonts w:cs="Arial"/>
                <w:sz w:val="22"/>
                <w:szCs w:val="22"/>
                <w:lang w:eastAsia="fr-CA"/>
              </w:rPr>
              <w:t> L</w:t>
            </w:r>
            <w:r w:rsidR="00E46AFD">
              <w:rPr>
                <w:rFonts w:cs="Arial"/>
                <w:sz w:val="22"/>
                <w:szCs w:val="22"/>
                <w:lang w:eastAsia="fr-CA"/>
              </w:rPr>
              <w:t>’</w:t>
            </w:r>
            <w:r w:rsidR="00B02E00" w:rsidRPr="004F5918">
              <w:rPr>
                <w:rFonts w:cs="Arial"/>
                <w:sz w:val="22"/>
                <w:szCs w:val="22"/>
                <w:lang w:eastAsia="fr-CA"/>
              </w:rPr>
              <w:t>électeur qui a un enfant visé à l</w:t>
            </w:r>
            <w:r w:rsidR="00E46AFD">
              <w:rPr>
                <w:rFonts w:cs="Arial"/>
                <w:sz w:val="22"/>
                <w:szCs w:val="22"/>
                <w:lang w:eastAsia="fr-CA"/>
              </w:rPr>
              <w:t>’</w:t>
            </w:r>
            <w:r w:rsidR="00B02E00" w:rsidRPr="004F5918">
              <w:rPr>
                <w:rFonts w:cs="Arial"/>
                <w:sz w:val="22"/>
                <w:szCs w:val="22"/>
                <w:lang w:eastAsia="fr-CA"/>
              </w:rPr>
              <w:t>article 1 de la Loi sur l</w:t>
            </w:r>
            <w:r w:rsidR="00E46AFD">
              <w:rPr>
                <w:rFonts w:cs="Arial"/>
                <w:sz w:val="22"/>
                <w:szCs w:val="22"/>
                <w:lang w:eastAsia="fr-CA"/>
              </w:rPr>
              <w:t>’</w:t>
            </w:r>
            <w:r w:rsidR="00B02E00" w:rsidRPr="004F5918">
              <w:rPr>
                <w:rFonts w:cs="Arial"/>
                <w:sz w:val="22"/>
                <w:szCs w:val="22"/>
                <w:lang w:eastAsia="fr-CA"/>
              </w:rPr>
              <w:t>instruction publique (chapitre I</w:t>
            </w:r>
            <w:r w:rsidR="00B02E00" w:rsidRPr="004F5918">
              <w:rPr>
                <w:rFonts w:ascii="Cambria Math" w:hAnsi="Cambria Math" w:cs="Cambria Math"/>
                <w:sz w:val="22"/>
                <w:szCs w:val="22"/>
                <w:lang w:eastAsia="fr-CA"/>
              </w:rPr>
              <w:t>‐</w:t>
            </w:r>
            <w:r w:rsidR="00B02E00" w:rsidRPr="004F5918">
              <w:rPr>
                <w:rFonts w:cs="Arial"/>
                <w:sz w:val="22"/>
                <w:szCs w:val="22"/>
                <w:lang w:eastAsia="fr-CA"/>
              </w:rPr>
              <w:t>13.3) et admis aux services éducatifs dispensés par un centre de services scolaire anglophone qui a compétence sur le territoire où est situé son domicile peut voter à l</w:t>
            </w:r>
            <w:r w:rsidR="00E46AFD">
              <w:rPr>
                <w:rFonts w:cs="Arial"/>
                <w:sz w:val="22"/>
                <w:szCs w:val="22"/>
                <w:lang w:eastAsia="fr-CA"/>
              </w:rPr>
              <w:t>’</w:t>
            </w:r>
            <w:r w:rsidR="00B02E00" w:rsidRPr="004F5918">
              <w:rPr>
                <w:rFonts w:cs="Arial"/>
                <w:sz w:val="22"/>
                <w:szCs w:val="22"/>
                <w:lang w:eastAsia="fr-CA"/>
              </w:rPr>
              <w:t>élection des membres du conseil d</w:t>
            </w:r>
            <w:r w:rsidR="00E46AFD">
              <w:rPr>
                <w:rFonts w:cs="Arial"/>
                <w:sz w:val="22"/>
                <w:szCs w:val="22"/>
                <w:lang w:eastAsia="fr-CA"/>
              </w:rPr>
              <w:t>’</w:t>
            </w:r>
            <w:r w:rsidR="00B02E00" w:rsidRPr="004F5918">
              <w:rPr>
                <w:rFonts w:cs="Arial"/>
                <w:sz w:val="22"/>
                <w:szCs w:val="22"/>
                <w:lang w:eastAsia="fr-CA"/>
              </w:rPr>
              <w:t>administration de ce centre.</w:t>
            </w:r>
          </w:p>
          <w:p w14:paraId="17F5F30D" w14:textId="104300D0" w:rsidR="00F75613" w:rsidRPr="004F5918" w:rsidRDefault="00B02E00" w:rsidP="00B255B8">
            <w:pPr>
              <w:spacing w:before="120" w:after="120" w:line="240" w:lineRule="auto"/>
              <w:ind w:left="142" w:right="720"/>
              <w:jc w:val="both"/>
              <w:rPr>
                <w:rFonts w:cs="Arial"/>
                <w:sz w:val="22"/>
                <w:szCs w:val="22"/>
                <w:lang w:eastAsia="fr-CA"/>
              </w:rPr>
            </w:pPr>
            <w:r w:rsidRPr="004F5918">
              <w:rPr>
                <w:rFonts w:cs="Arial"/>
                <w:sz w:val="22"/>
                <w:szCs w:val="22"/>
                <w:lang w:eastAsia="fr-CA"/>
              </w:rPr>
              <w:t>L</w:t>
            </w:r>
            <w:r w:rsidR="00E46AFD">
              <w:rPr>
                <w:rFonts w:cs="Arial"/>
                <w:sz w:val="22"/>
                <w:szCs w:val="22"/>
                <w:lang w:eastAsia="fr-CA"/>
              </w:rPr>
              <w:t>’</w:t>
            </w:r>
            <w:r w:rsidRPr="004F5918">
              <w:rPr>
                <w:rFonts w:cs="Arial"/>
                <w:sz w:val="22"/>
                <w:szCs w:val="22"/>
                <w:lang w:eastAsia="fr-CA"/>
              </w:rPr>
              <w:t>électeur qui n</w:t>
            </w:r>
            <w:r w:rsidR="00E46AFD">
              <w:rPr>
                <w:rFonts w:cs="Arial"/>
                <w:sz w:val="22"/>
                <w:szCs w:val="22"/>
                <w:lang w:eastAsia="fr-CA"/>
              </w:rPr>
              <w:t>’</w:t>
            </w:r>
            <w:r w:rsidRPr="004F5918">
              <w:rPr>
                <w:rFonts w:cs="Arial"/>
                <w:sz w:val="22"/>
                <w:szCs w:val="22"/>
                <w:lang w:eastAsia="fr-CA"/>
              </w:rPr>
              <w:t>a pas d</w:t>
            </w:r>
            <w:r w:rsidR="00E46AFD">
              <w:rPr>
                <w:rFonts w:cs="Arial"/>
                <w:sz w:val="22"/>
                <w:szCs w:val="22"/>
                <w:lang w:eastAsia="fr-CA"/>
              </w:rPr>
              <w:t>’</w:t>
            </w:r>
            <w:r w:rsidRPr="004F5918">
              <w:rPr>
                <w:rFonts w:cs="Arial"/>
                <w:sz w:val="22"/>
                <w:szCs w:val="22"/>
                <w:lang w:eastAsia="fr-CA"/>
              </w:rPr>
              <w:t>enfant visé à l</w:t>
            </w:r>
            <w:r w:rsidR="00E46AFD">
              <w:rPr>
                <w:rFonts w:cs="Arial"/>
                <w:sz w:val="22"/>
                <w:szCs w:val="22"/>
                <w:lang w:eastAsia="fr-CA"/>
              </w:rPr>
              <w:t>’</w:t>
            </w:r>
            <w:r w:rsidRPr="004F5918">
              <w:rPr>
                <w:rFonts w:cs="Arial"/>
                <w:sz w:val="22"/>
                <w:szCs w:val="22"/>
                <w:lang w:eastAsia="fr-CA"/>
              </w:rPr>
              <w:t>article 1 de la Loi sur l</w:t>
            </w:r>
            <w:r w:rsidR="00E46AFD">
              <w:rPr>
                <w:rFonts w:cs="Arial"/>
                <w:sz w:val="22"/>
                <w:szCs w:val="22"/>
                <w:lang w:eastAsia="fr-CA"/>
              </w:rPr>
              <w:t>’</w:t>
            </w:r>
            <w:r w:rsidRPr="004F5918">
              <w:rPr>
                <w:rFonts w:cs="Arial"/>
                <w:sz w:val="22"/>
                <w:szCs w:val="22"/>
                <w:lang w:eastAsia="fr-CA"/>
              </w:rPr>
              <w:t xml:space="preserve">instruction publique et admis aux services éducatifs dispensés par un centre de services scolaire anglophone ou francophone qui a compétence sur le territoire où est situé son domicile </w:t>
            </w:r>
            <w:r w:rsidRPr="004F5918">
              <w:rPr>
                <w:rFonts w:cs="Arial"/>
                <w:sz w:val="22"/>
                <w:szCs w:val="22"/>
                <w:lang w:eastAsia="fr-CA"/>
              </w:rPr>
              <w:lastRenderedPageBreak/>
              <w:t>peut voter à l</w:t>
            </w:r>
            <w:r w:rsidR="00E46AFD">
              <w:rPr>
                <w:rFonts w:cs="Arial"/>
                <w:sz w:val="22"/>
                <w:szCs w:val="22"/>
                <w:lang w:eastAsia="fr-CA"/>
              </w:rPr>
              <w:t>’</w:t>
            </w:r>
            <w:r w:rsidRPr="004F5918">
              <w:rPr>
                <w:rFonts w:cs="Arial"/>
                <w:sz w:val="22"/>
                <w:szCs w:val="22"/>
                <w:lang w:eastAsia="fr-CA"/>
              </w:rPr>
              <w:t>élection des membres du conseil d</w:t>
            </w:r>
            <w:r w:rsidR="00E46AFD">
              <w:rPr>
                <w:rFonts w:cs="Arial"/>
                <w:sz w:val="22"/>
                <w:szCs w:val="22"/>
                <w:lang w:eastAsia="fr-CA"/>
              </w:rPr>
              <w:t>’</w:t>
            </w:r>
            <w:r w:rsidRPr="004F5918">
              <w:rPr>
                <w:rFonts w:cs="Arial"/>
                <w:sz w:val="22"/>
                <w:szCs w:val="22"/>
                <w:lang w:eastAsia="fr-CA"/>
              </w:rPr>
              <w:t>administration du centre de services scolaire anglophone, s</w:t>
            </w:r>
            <w:r w:rsidR="00E46AFD">
              <w:rPr>
                <w:rFonts w:cs="Arial"/>
                <w:sz w:val="22"/>
                <w:szCs w:val="22"/>
                <w:lang w:eastAsia="fr-CA"/>
              </w:rPr>
              <w:t>’</w:t>
            </w:r>
            <w:r w:rsidRPr="004F5918">
              <w:rPr>
                <w:rFonts w:cs="Arial"/>
                <w:sz w:val="22"/>
                <w:szCs w:val="22"/>
                <w:lang w:eastAsia="fr-CA"/>
              </w:rPr>
              <w:t>il en fait le choix.</w:t>
            </w:r>
          </w:p>
          <w:p w14:paraId="17F5F30E" w14:textId="21163DD5" w:rsidR="00F75613" w:rsidRPr="004F5918" w:rsidRDefault="00B02E00" w:rsidP="00B255B8">
            <w:pPr>
              <w:spacing w:before="360" w:after="120" w:line="240" w:lineRule="auto"/>
              <w:ind w:left="142" w:right="720"/>
              <w:jc w:val="both"/>
              <w:rPr>
                <w:rFonts w:cs="Arial"/>
                <w:sz w:val="22"/>
                <w:szCs w:val="22"/>
                <w:lang w:eastAsia="fr-CA"/>
              </w:rPr>
            </w:pPr>
            <w:r w:rsidRPr="004F5918">
              <w:rPr>
                <w:rFonts w:cs="Arial"/>
                <w:sz w:val="22"/>
                <w:szCs w:val="22"/>
                <w:lang w:eastAsia="fr-CA"/>
              </w:rPr>
              <w:t>Toutefois, l</w:t>
            </w:r>
            <w:r w:rsidR="00E46AFD">
              <w:rPr>
                <w:rFonts w:cs="Arial"/>
                <w:sz w:val="22"/>
                <w:szCs w:val="22"/>
                <w:lang w:eastAsia="fr-CA"/>
              </w:rPr>
              <w:t>’</w:t>
            </w:r>
            <w:r w:rsidRPr="004F5918">
              <w:rPr>
                <w:rFonts w:cs="Arial"/>
                <w:sz w:val="22"/>
                <w:szCs w:val="22"/>
                <w:lang w:eastAsia="fr-CA"/>
              </w:rPr>
              <w:t>électeur dont l</w:t>
            </w:r>
            <w:r w:rsidR="00E46AFD">
              <w:rPr>
                <w:rFonts w:cs="Arial"/>
                <w:sz w:val="22"/>
                <w:szCs w:val="22"/>
                <w:lang w:eastAsia="fr-CA"/>
              </w:rPr>
              <w:t>’</w:t>
            </w:r>
            <w:r w:rsidRPr="004F5918">
              <w:rPr>
                <w:rFonts w:cs="Arial"/>
                <w:sz w:val="22"/>
                <w:szCs w:val="22"/>
                <w:lang w:eastAsia="fr-CA"/>
              </w:rPr>
              <w:t>enfant a terminé ses études à un centre de services scolaire anglophone est réputé avoir choisi d</w:t>
            </w:r>
            <w:r w:rsidR="00E46AFD">
              <w:rPr>
                <w:rFonts w:cs="Arial"/>
                <w:sz w:val="22"/>
                <w:szCs w:val="22"/>
                <w:lang w:eastAsia="fr-CA"/>
              </w:rPr>
              <w:t>’</w:t>
            </w:r>
            <w:r w:rsidRPr="004F5918">
              <w:rPr>
                <w:rFonts w:cs="Arial"/>
                <w:sz w:val="22"/>
                <w:szCs w:val="22"/>
                <w:lang w:eastAsia="fr-CA"/>
              </w:rPr>
              <w:t>être inscrit sur la liste électorale de ce centre de services scolaire anglophone et d</w:t>
            </w:r>
            <w:r w:rsidR="00E46AFD">
              <w:rPr>
                <w:rFonts w:cs="Arial"/>
                <w:sz w:val="22"/>
                <w:szCs w:val="22"/>
                <w:lang w:eastAsia="fr-CA"/>
              </w:rPr>
              <w:t>’</w:t>
            </w:r>
            <w:r w:rsidRPr="004F5918">
              <w:rPr>
                <w:rFonts w:cs="Arial"/>
                <w:sz w:val="22"/>
                <w:szCs w:val="22"/>
                <w:lang w:eastAsia="fr-CA"/>
              </w:rPr>
              <w:t>y voter.</w:t>
            </w:r>
          </w:p>
          <w:p w14:paraId="17F5F30F" w14:textId="1D7D59E2" w:rsidR="00F75613" w:rsidRPr="004F5918" w:rsidRDefault="00B02E00" w:rsidP="00B255B8">
            <w:pPr>
              <w:spacing w:before="360" w:after="120" w:line="240" w:lineRule="auto"/>
              <w:ind w:left="142" w:right="720"/>
              <w:jc w:val="both"/>
            </w:pPr>
            <w:r w:rsidRPr="004F5918">
              <w:rPr>
                <w:rFonts w:cs="Arial"/>
                <w:sz w:val="22"/>
                <w:szCs w:val="22"/>
                <w:lang w:eastAsia="fr-CA"/>
              </w:rPr>
              <w:t>L</w:t>
            </w:r>
            <w:r w:rsidR="00E46AFD">
              <w:rPr>
                <w:rFonts w:cs="Arial"/>
                <w:sz w:val="22"/>
                <w:szCs w:val="22"/>
                <w:lang w:eastAsia="fr-CA"/>
              </w:rPr>
              <w:t>’</w:t>
            </w:r>
            <w:r w:rsidRPr="004F5918">
              <w:rPr>
                <w:rFonts w:cs="Arial"/>
                <w:sz w:val="22"/>
                <w:szCs w:val="22"/>
                <w:lang w:eastAsia="fr-CA"/>
              </w:rPr>
              <w:t>électeur peut faire le choix prévu au deuxième alinéa en dehors du processus électoral si, à la date où il est fait, il n</w:t>
            </w:r>
            <w:r w:rsidR="00E46AFD">
              <w:rPr>
                <w:rFonts w:cs="Arial"/>
                <w:sz w:val="22"/>
                <w:szCs w:val="22"/>
                <w:lang w:eastAsia="fr-CA"/>
              </w:rPr>
              <w:t>’</w:t>
            </w:r>
            <w:r w:rsidRPr="004F5918">
              <w:rPr>
                <w:rFonts w:cs="Arial"/>
                <w:sz w:val="22"/>
                <w:szCs w:val="22"/>
                <w:lang w:eastAsia="fr-CA"/>
              </w:rPr>
              <w:t>a pas d</w:t>
            </w:r>
            <w:r w:rsidR="00E46AFD">
              <w:rPr>
                <w:rFonts w:cs="Arial"/>
                <w:sz w:val="22"/>
                <w:szCs w:val="22"/>
                <w:lang w:eastAsia="fr-CA"/>
              </w:rPr>
              <w:t>’</w:t>
            </w:r>
            <w:r w:rsidRPr="004F5918">
              <w:rPr>
                <w:rFonts w:cs="Arial"/>
                <w:sz w:val="22"/>
                <w:szCs w:val="22"/>
                <w:lang w:eastAsia="fr-CA"/>
              </w:rPr>
              <w:t>enfant visé à l</w:t>
            </w:r>
            <w:r w:rsidR="00E46AFD">
              <w:rPr>
                <w:rFonts w:cs="Arial"/>
                <w:sz w:val="22"/>
                <w:szCs w:val="22"/>
                <w:lang w:eastAsia="fr-CA"/>
              </w:rPr>
              <w:t>’</w:t>
            </w:r>
            <w:r w:rsidRPr="004F5918">
              <w:rPr>
                <w:rFonts w:cs="Arial"/>
                <w:sz w:val="22"/>
                <w:szCs w:val="22"/>
                <w:lang w:eastAsia="fr-CA"/>
              </w:rPr>
              <w:t>article 1 de la Loi sur l</w:t>
            </w:r>
            <w:r w:rsidR="00E46AFD">
              <w:rPr>
                <w:rFonts w:cs="Arial"/>
                <w:sz w:val="22"/>
                <w:szCs w:val="22"/>
                <w:lang w:eastAsia="fr-CA"/>
              </w:rPr>
              <w:t>’</w:t>
            </w:r>
            <w:r w:rsidRPr="004F5918">
              <w:rPr>
                <w:rFonts w:cs="Arial"/>
                <w:sz w:val="22"/>
                <w:szCs w:val="22"/>
                <w:lang w:eastAsia="fr-CA"/>
              </w:rPr>
              <w:t>instruction publique et admis aux services éducatifs dispensés par l</w:t>
            </w:r>
            <w:r w:rsidR="00E46AFD">
              <w:rPr>
                <w:rFonts w:cs="Arial"/>
                <w:sz w:val="22"/>
                <w:szCs w:val="22"/>
                <w:lang w:eastAsia="fr-CA"/>
              </w:rPr>
              <w:t>’</w:t>
            </w:r>
            <w:r w:rsidRPr="004F5918">
              <w:rPr>
                <w:rFonts w:cs="Arial"/>
                <w:sz w:val="22"/>
                <w:szCs w:val="22"/>
                <w:lang w:eastAsia="fr-CA"/>
              </w:rPr>
              <w:t>un ou l</w:t>
            </w:r>
            <w:r w:rsidR="00E46AFD">
              <w:rPr>
                <w:rFonts w:cs="Arial"/>
                <w:sz w:val="22"/>
                <w:szCs w:val="22"/>
                <w:lang w:eastAsia="fr-CA"/>
              </w:rPr>
              <w:t>’</w:t>
            </w:r>
            <w:r w:rsidRPr="004F5918">
              <w:rPr>
                <w:rFonts w:cs="Arial"/>
                <w:sz w:val="22"/>
                <w:szCs w:val="22"/>
                <w:lang w:eastAsia="fr-CA"/>
              </w:rPr>
              <w:t>autre centre de services scolaire qui a compétence sur le territoire où est situé son domicile.</w:t>
            </w:r>
          </w:p>
        </w:tc>
      </w:tr>
    </w:tbl>
    <w:p w14:paraId="17F5F311" w14:textId="5ABE7174" w:rsidR="00F75613" w:rsidRPr="000A0EA1" w:rsidRDefault="00B02E00" w:rsidP="00B255B8">
      <w:pPr>
        <w:pStyle w:val="Paragraphe"/>
        <w:spacing w:before="240" w:line="240" w:lineRule="auto"/>
        <w:rPr>
          <w:lang w:val="en-CA"/>
        </w:rPr>
      </w:pPr>
      <w:r w:rsidRPr="000A0EA1">
        <w:rPr>
          <w:lang w:val="en-CA"/>
        </w:rPr>
        <w:lastRenderedPageBreak/>
        <w:t xml:space="preserve">The judge </w:t>
      </w:r>
      <w:r w:rsidR="004C00B4">
        <w:rPr>
          <w:lang w:val="en-CA"/>
        </w:rPr>
        <w:t>is</w:t>
      </w:r>
      <w:r w:rsidRPr="000A0EA1">
        <w:rPr>
          <w:lang w:val="en-CA"/>
        </w:rPr>
        <w:t xml:space="preserve"> of the opinion that the principle of free choice provided for in </w:t>
      </w:r>
      <w:r w:rsidR="0062160E">
        <w:rPr>
          <w:lang w:val="en-CA"/>
        </w:rPr>
        <w:t>s. 1</w:t>
      </w:r>
      <w:r w:rsidRPr="000A0EA1">
        <w:rPr>
          <w:lang w:val="en-CA"/>
        </w:rPr>
        <w:t>5</w:t>
      </w:r>
      <w:r w:rsidRPr="000A0EA1">
        <w:rPr>
          <w:i/>
          <w:iCs/>
          <w:lang w:val="en-CA"/>
        </w:rPr>
        <w:t xml:space="preserve"> </w:t>
      </w:r>
      <w:r w:rsidRPr="000A0EA1">
        <w:rPr>
          <w:lang w:val="en-CA"/>
        </w:rPr>
        <w:t xml:space="preserve">is incompatible with </w:t>
      </w:r>
      <w:r w:rsidR="0062160E">
        <w:rPr>
          <w:lang w:val="en-CA"/>
        </w:rPr>
        <w:t>s. 2</w:t>
      </w:r>
      <w:r w:rsidRPr="000A0EA1">
        <w:rPr>
          <w:lang w:val="en-CA"/>
        </w:rPr>
        <w:t xml:space="preserve">3 of the </w:t>
      </w:r>
      <w:r w:rsidRPr="000A0EA1">
        <w:rPr>
          <w:i/>
          <w:iCs/>
          <w:lang w:val="en-CA"/>
        </w:rPr>
        <w:t>Charter</w:t>
      </w:r>
      <w:r w:rsidRPr="000A0EA1">
        <w:rPr>
          <w:lang w:val="en-CA"/>
        </w:rPr>
        <w:t xml:space="preserve">, since it allows an individual who is not part of the </w:t>
      </w:r>
      <w:r w:rsidR="00AE3408">
        <w:rPr>
          <w:lang w:val="en-CA"/>
        </w:rPr>
        <w:t>English</w:t>
      </w:r>
      <w:r w:rsidR="00AE3408">
        <w:rPr>
          <w:lang w:val="en-CA"/>
        </w:rPr>
        <w:noBreakHyphen/>
        <w:t>language</w:t>
      </w:r>
      <w:r w:rsidRPr="000A0EA1">
        <w:rPr>
          <w:lang w:val="en-CA"/>
        </w:rPr>
        <w:t xml:space="preserve"> minority to participate in school elections in the </w:t>
      </w:r>
      <w:r w:rsidR="00312FD9">
        <w:rPr>
          <w:lang w:val="en-CA"/>
        </w:rPr>
        <w:t>English</w:t>
      </w:r>
      <w:r w:rsidR="00312FD9">
        <w:rPr>
          <w:lang w:val="en-CA"/>
        </w:rPr>
        <w:noBreakHyphen/>
        <w:t>speaking</w:t>
      </w:r>
      <w:r w:rsidRPr="000A0EA1">
        <w:rPr>
          <w:lang w:val="en-CA"/>
        </w:rPr>
        <w:t xml:space="preserve"> sector.</w:t>
      </w:r>
      <w:r w:rsidRPr="000A0EA1">
        <w:rPr>
          <w:rStyle w:val="Appelnotedebasdep"/>
          <w:lang w:val="en-CA"/>
        </w:rPr>
        <w:footnoteReference w:id="185"/>
      </w:r>
      <w:r w:rsidRPr="000A0EA1">
        <w:rPr>
          <w:lang w:val="en-CA"/>
        </w:rPr>
        <w:t xml:space="preserve"> The judge therefore declared that </w:t>
      </w:r>
      <w:r w:rsidR="0062160E">
        <w:rPr>
          <w:lang w:val="en-CA"/>
        </w:rPr>
        <w:t>s. 2</w:t>
      </w:r>
      <w:r w:rsidRPr="000A0EA1">
        <w:rPr>
          <w:lang w:val="en-CA"/>
        </w:rPr>
        <w:t xml:space="preserve">12 of </w:t>
      </w:r>
      <w:r w:rsidR="00C33BBC">
        <w:rPr>
          <w:i/>
          <w:iCs/>
          <w:lang w:val="en-CA"/>
        </w:rPr>
        <w:t>Bill 40</w:t>
      </w:r>
      <w:r w:rsidRPr="000A0EA1">
        <w:rPr>
          <w:i/>
          <w:iCs/>
          <w:lang w:val="en-CA"/>
        </w:rPr>
        <w:t xml:space="preserve"> </w:t>
      </w:r>
      <w:r w:rsidRPr="000A0EA1">
        <w:rPr>
          <w:lang w:val="en-CA"/>
        </w:rPr>
        <w:t xml:space="preserve">infringes the rights guaranteed by </w:t>
      </w:r>
      <w:r w:rsidR="0062160E">
        <w:rPr>
          <w:lang w:val="en-CA"/>
        </w:rPr>
        <w:t>s. 2</w:t>
      </w:r>
      <w:r w:rsidRPr="000A0EA1">
        <w:rPr>
          <w:lang w:val="en-CA"/>
        </w:rPr>
        <w:t xml:space="preserve">3 of the </w:t>
      </w:r>
      <w:r w:rsidRPr="000A0EA1">
        <w:rPr>
          <w:i/>
          <w:iCs/>
          <w:lang w:val="en-CA"/>
        </w:rPr>
        <w:t>Charter</w:t>
      </w:r>
      <w:r w:rsidRPr="000A0EA1">
        <w:rPr>
          <w:lang w:val="en-CA"/>
        </w:rPr>
        <w:t xml:space="preserve">, that this infringement is not justified and that </w:t>
      </w:r>
      <w:r w:rsidR="0062160E">
        <w:rPr>
          <w:lang w:val="en-CA"/>
        </w:rPr>
        <w:t>s. 2</w:t>
      </w:r>
      <w:r w:rsidRPr="000A0EA1">
        <w:rPr>
          <w:lang w:val="en-CA"/>
        </w:rPr>
        <w:t xml:space="preserve">12 must therefore be declared inoperative with regard to the </w:t>
      </w:r>
      <w:r w:rsidR="00AE3408">
        <w:rPr>
          <w:lang w:val="en-CA"/>
        </w:rPr>
        <w:t>English</w:t>
      </w:r>
      <w:r w:rsidR="00AE3408">
        <w:rPr>
          <w:lang w:val="en-CA"/>
        </w:rPr>
        <w:noBreakHyphen/>
        <w:t>language</w:t>
      </w:r>
      <w:r w:rsidRPr="000A0EA1">
        <w:rPr>
          <w:lang w:val="en-CA"/>
        </w:rPr>
        <w:t xml:space="preserve"> sector.</w:t>
      </w:r>
      <w:r w:rsidRPr="000A0EA1">
        <w:rPr>
          <w:rStyle w:val="Appelnotedebasdep"/>
          <w:lang w:val="en-CA"/>
        </w:rPr>
        <w:footnoteReference w:id="186"/>
      </w:r>
      <w:r w:rsidRPr="000A0EA1">
        <w:rPr>
          <w:lang w:val="en-CA"/>
        </w:rPr>
        <w:t xml:space="preserve"> He </w:t>
      </w:r>
      <w:r w:rsidR="004C00B4">
        <w:rPr>
          <w:lang w:val="en-CA"/>
        </w:rPr>
        <w:t>did not formally</w:t>
      </w:r>
      <w:r w:rsidRPr="000A0EA1">
        <w:rPr>
          <w:lang w:val="en-CA"/>
        </w:rPr>
        <w:t xml:space="preserve"> invalidate </w:t>
      </w:r>
      <w:r w:rsidR="0062160E">
        <w:rPr>
          <w:lang w:val="en-CA"/>
        </w:rPr>
        <w:t>s. 1</w:t>
      </w:r>
      <w:r w:rsidRPr="000A0EA1">
        <w:rPr>
          <w:lang w:val="en-CA"/>
        </w:rPr>
        <w:t xml:space="preserve">5 of the </w:t>
      </w:r>
      <w:r w:rsidRPr="000A0EA1">
        <w:rPr>
          <w:i/>
          <w:iCs/>
          <w:lang w:val="en-CA"/>
        </w:rPr>
        <w:t>New Act respecting school elections</w:t>
      </w:r>
      <w:r w:rsidRPr="000A0EA1">
        <w:rPr>
          <w:lang w:val="en-CA"/>
        </w:rPr>
        <w:t>,</w:t>
      </w:r>
      <w:r w:rsidRPr="000A0EA1">
        <w:rPr>
          <w:rStyle w:val="Appelnotedebasdep"/>
          <w:lang w:val="en-CA"/>
        </w:rPr>
        <w:footnoteReference w:id="187"/>
      </w:r>
      <w:r w:rsidRPr="000A0EA1">
        <w:rPr>
          <w:lang w:val="en-CA"/>
        </w:rPr>
        <w:t xml:space="preserve"> but nevertheless suspended the declaration of invalidity of this provision for a period of 18 months to allow the legislature to enact remedial legislation.</w:t>
      </w:r>
      <w:r w:rsidRPr="000A0EA1">
        <w:rPr>
          <w:rStyle w:val="Appelnotedebasdep"/>
          <w:lang w:val="en-CA"/>
        </w:rPr>
        <w:footnoteReference w:id="188"/>
      </w:r>
      <w:r w:rsidRPr="000A0EA1">
        <w:rPr>
          <w:lang w:val="en-CA"/>
        </w:rPr>
        <w:t xml:space="preserve"> </w:t>
      </w:r>
    </w:p>
    <w:p w14:paraId="17F5F312" w14:textId="465B9BE2" w:rsidR="00F75613" w:rsidRPr="000A0EA1" w:rsidRDefault="00B02E00" w:rsidP="00B255B8">
      <w:pPr>
        <w:pStyle w:val="Paragraphe"/>
        <w:spacing w:line="240" w:lineRule="auto"/>
        <w:rPr>
          <w:lang w:val="en-CA"/>
        </w:rPr>
      </w:pPr>
      <w:r w:rsidRPr="000A0EA1">
        <w:rPr>
          <w:lang w:val="en-CA"/>
        </w:rPr>
        <w:t xml:space="preserve">The AGQ submits that the judge erred in arriving at this conclusion. </w:t>
      </w:r>
      <w:r w:rsidR="004C00B4">
        <w:rPr>
          <w:lang w:val="en-CA"/>
        </w:rPr>
        <w:t>The Court</w:t>
      </w:r>
      <w:r w:rsidRPr="000A0EA1">
        <w:rPr>
          <w:lang w:val="en-CA"/>
        </w:rPr>
        <w:t xml:space="preserve"> disagree</w:t>
      </w:r>
      <w:r w:rsidR="004C00B4">
        <w:rPr>
          <w:lang w:val="en-CA"/>
        </w:rPr>
        <w:t>s</w:t>
      </w:r>
      <w:r w:rsidRPr="000A0EA1">
        <w:rPr>
          <w:lang w:val="en-CA"/>
        </w:rPr>
        <w:t>.</w:t>
      </w:r>
    </w:p>
    <w:p w14:paraId="17F5F313" w14:textId="3D77700E" w:rsidR="00F75613" w:rsidRPr="000A0EA1" w:rsidRDefault="00B02E00" w:rsidP="00B255B8">
      <w:pPr>
        <w:pStyle w:val="Paragraphe"/>
        <w:spacing w:line="240" w:lineRule="auto"/>
        <w:rPr>
          <w:lang w:val="en-CA"/>
        </w:rPr>
      </w:pPr>
      <w:r w:rsidRPr="000A0EA1">
        <w:rPr>
          <w:lang w:val="en-CA"/>
        </w:rPr>
        <w:lastRenderedPageBreak/>
        <w:t xml:space="preserve">As the AGQ rightly points out, there is no evidence in the record that members of the </w:t>
      </w:r>
      <w:r w:rsidR="00312FD9">
        <w:rPr>
          <w:lang w:val="en-CA"/>
        </w:rPr>
        <w:t>French</w:t>
      </w:r>
      <w:r w:rsidR="00312FD9">
        <w:rPr>
          <w:lang w:val="en-CA"/>
        </w:rPr>
        <w:noBreakHyphen/>
        <w:t>speaking</w:t>
      </w:r>
      <w:r w:rsidRPr="000A0EA1">
        <w:rPr>
          <w:lang w:val="en-CA"/>
        </w:rPr>
        <w:t xml:space="preserve"> majority have abused the principle of free choice in </w:t>
      </w:r>
      <w:r w:rsidR="00AE3408">
        <w:rPr>
          <w:lang w:val="en-CA"/>
        </w:rPr>
        <w:t>English</w:t>
      </w:r>
      <w:r w:rsidR="00AE3408">
        <w:rPr>
          <w:lang w:val="en-CA"/>
        </w:rPr>
        <w:noBreakHyphen/>
        <w:t>language</w:t>
      </w:r>
      <w:r w:rsidRPr="000A0EA1">
        <w:rPr>
          <w:lang w:val="en-CA"/>
        </w:rPr>
        <w:t xml:space="preserve"> school board elections held since 1989, that is, for over 35 years. In fact, there is no financial incentive, such as a reduced school tax rate, to encourage members of Quebec</w:t>
      </w:r>
      <w:r w:rsidR="00E46AFD">
        <w:rPr>
          <w:lang w:val="en-CA"/>
        </w:rPr>
        <w:t>’</w:t>
      </w:r>
      <w:r w:rsidRPr="000A0EA1">
        <w:rPr>
          <w:lang w:val="en-CA"/>
        </w:rPr>
        <w:t xml:space="preserve">s </w:t>
      </w:r>
      <w:r w:rsidR="00312FD9">
        <w:rPr>
          <w:lang w:val="en-CA"/>
        </w:rPr>
        <w:t>French</w:t>
      </w:r>
      <w:r w:rsidR="00312FD9">
        <w:rPr>
          <w:lang w:val="en-CA"/>
        </w:rPr>
        <w:noBreakHyphen/>
        <w:t>speaking</w:t>
      </w:r>
      <w:r w:rsidRPr="000A0EA1">
        <w:rPr>
          <w:lang w:val="en-CA"/>
        </w:rPr>
        <w:t xml:space="preserve"> majority to vote in school elections held by an </w:t>
      </w:r>
      <w:r w:rsidR="00AE3408">
        <w:rPr>
          <w:lang w:val="en-CA"/>
        </w:rPr>
        <w:t>English</w:t>
      </w:r>
      <w:r w:rsidR="00AE3408">
        <w:rPr>
          <w:lang w:val="en-CA"/>
        </w:rPr>
        <w:noBreakHyphen/>
        <w:t>language</w:t>
      </w:r>
      <w:r w:rsidRPr="000A0EA1">
        <w:rPr>
          <w:lang w:val="en-CA"/>
        </w:rPr>
        <w:t xml:space="preserve"> school board or school service centre, since the evidence shows that this rate is now standardized.</w:t>
      </w:r>
      <w:r w:rsidRPr="000A0EA1">
        <w:rPr>
          <w:rStyle w:val="Appelnotedebasdep"/>
          <w:lang w:val="en-CA"/>
        </w:rPr>
        <w:footnoteReference w:id="189"/>
      </w:r>
      <w:r w:rsidRPr="000A0EA1">
        <w:rPr>
          <w:lang w:val="en-CA"/>
        </w:rPr>
        <w:t xml:space="preserve"> Moreover, the interest of the </w:t>
      </w:r>
      <w:r w:rsidR="00312FD9">
        <w:rPr>
          <w:lang w:val="en-CA"/>
        </w:rPr>
        <w:t>French</w:t>
      </w:r>
      <w:r w:rsidR="00312FD9">
        <w:rPr>
          <w:lang w:val="en-CA"/>
        </w:rPr>
        <w:noBreakHyphen/>
        <w:t>speaking</w:t>
      </w:r>
      <w:r w:rsidRPr="000A0EA1">
        <w:rPr>
          <w:lang w:val="en-CA"/>
        </w:rPr>
        <w:t xml:space="preserve"> majority in school elections in general is negligible, with turnout in the most recent elections held for </w:t>
      </w:r>
      <w:r w:rsidR="00AE3408">
        <w:rPr>
          <w:lang w:val="en-CA"/>
        </w:rPr>
        <w:t>French</w:t>
      </w:r>
      <w:r w:rsidR="00AE3408">
        <w:rPr>
          <w:lang w:val="en-CA"/>
        </w:rPr>
        <w:noBreakHyphen/>
        <w:t>language</w:t>
      </w:r>
      <w:r w:rsidRPr="000A0EA1">
        <w:rPr>
          <w:lang w:val="en-CA"/>
        </w:rPr>
        <w:t xml:space="preserve"> school boards being extremely low.</w:t>
      </w:r>
      <w:r w:rsidRPr="000A0EA1">
        <w:rPr>
          <w:rStyle w:val="Appelnotedebasdep"/>
          <w:lang w:val="en-CA"/>
        </w:rPr>
        <w:footnoteReference w:id="190"/>
      </w:r>
      <w:r w:rsidRPr="000A0EA1">
        <w:rPr>
          <w:lang w:val="en-CA"/>
        </w:rPr>
        <w:t xml:space="preserve"> </w:t>
      </w:r>
    </w:p>
    <w:p w14:paraId="17F5F314" w14:textId="0E44874E" w:rsidR="00F75613" w:rsidRPr="000A0EA1" w:rsidRDefault="00B02E00" w:rsidP="00B255B8">
      <w:pPr>
        <w:pStyle w:val="Paragraphe"/>
        <w:spacing w:line="240" w:lineRule="auto"/>
        <w:rPr>
          <w:lang w:val="en-CA"/>
        </w:rPr>
      </w:pPr>
      <w:r w:rsidRPr="000A0EA1">
        <w:rPr>
          <w:lang w:val="en-CA"/>
        </w:rPr>
        <w:t xml:space="preserve">That said, </w:t>
      </w:r>
      <w:r w:rsidR="0062160E">
        <w:rPr>
          <w:lang w:val="en-CA"/>
        </w:rPr>
        <w:t>s. 1</w:t>
      </w:r>
      <w:r w:rsidRPr="000A0EA1">
        <w:rPr>
          <w:lang w:val="en-CA"/>
        </w:rPr>
        <w:t xml:space="preserve">5 of the </w:t>
      </w:r>
      <w:r w:rsidRPr="000A0EA1">
        <w:rPr>
          <w:i/>
          <w:iCs/>
          <w:lang w:val="en-CA"/>
        </w:rPr>
        <w:t xml:space="preserve">New Act respecting school elections </w:t>
      </w:r>
      <w:r w:rsidRPr="000A0EA1">
        <w:rPr>
          <w:lang w:val="en-CA"/>
        </w:rPr>
        <w:t>nevertheless allows an individual who is not part of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minority and does not have a child </w:t>
      </w:r>
      <w:r w:rsidR="007874B8" w:rsidRPr="000A0EA1">
        <w:rPr>
          <w:lang w:val="en-CA"/>
        </w:rPr>
        <w:t xml:space="preserve">admitted to the educational services </w:t>
      </w:r>
      <w:r w:rsidR="007874B8">
        <w:rPr>
          <w:lang w:val="en-CA"/>
        </w:rPr>
        <w:t>of</w:t>
      </w:r>
      <w:r w:rsidRPr="000A0EA1">
        <w:rPr>
          <w:lang w:val="en-CA"/>
        </w:rPr>
        <w:t xml:space="preserve"> a </w:t>
      </w:r>
      <w:r w:rsidR="00AE3408">
        <w:rPr>
          <w:lang w:val="en-CA"/>
        </w:rPr>
        <w:t>French</w:t>
      </w:r>
      <w:r w:rsidR="00AE3408">
        <w:rPr>
          <w:lang w:val="en-CA"/>
        </w:rPr>
        <w:noBreakHyphen/>
        <w:t>language</w:t>
      </w:r>
      <w:r w:rsidRPr="000A0EA1">
        <w:rPr>
          <w:lang w:val="en-CA"/>
        </w:rPr>
        <w:t xml:space="preserve"> </w:t>
      </w:r>
      <w:r w:rsidR="007874B8">
        <w:rPr>
          <w:lang w:val="en-CA"/>
        </w:rPr>
        <w:t xml:space="preserve">or English-language </w:t>
      </w:r>
      <w:r w:rsidRPr="000A0EA1">
        <w:rPr>
          <w:lang w:val="en-CA"/>
        </w:rPr>
        <w:t xml:space="preserve">school service centre to register on the electoral list for school elections in the </w:t>
      </w:r>
      <w:r w:rsidR="00AE3408">
        <w:rPr>
          <w:lang w:val="en-CA"/>
        </w:rPr>
        <w:t>English</w:t>
      </w:r>
      <w:r w:rsidR="00AE3408">
        <w:rPr>
          <w:lang w:val="en-CA"/>
        </w:rPr>
        <w:noBreakHyphen/>
        <w:t>language</w:t>
      </w:r>
      <w:r w:rsidRPr="000A0EA1">
        <w:rPr>
          <w:lang w:val="en-CA"/>
        </w:rPr>
        <w:t xml:space="preserve"> educational sector. This choice is made by simply giving a written notice.</w:t>
      </w:r>
      <w:r w:rsidRPr="000A0EA1">
        <w:rPr>
          <w:rStyle w:val="Appelnotedebasdep"/>
          <w:lang w:val="en-CA"/>
        </w:rPr>
        <w:footnoteReference w:id="191"/>
      </w:r>
      <w:r w:rsidRPr="000A0EA1">
        <w:rPr>
          <w:lang w:val="en-CA"/>
        </w:rPr>
        <w:t xml:space="preserve"> Furthermore, once such a choice has been made, this individual, who is not part of the </w:t>
      </w:r>
      <w:r w:rsidR="00312FD9">
        <w:rPr>
          <w:lang w:val="en-CA"/>
        </w:rPr>
        <w:t>English</w:t>
      </w:r>
      <w:r w:rsidR="00312FD9">
        <w:rPr>
          <w:lang w:val="en-CA"/>
        </w:rPr>
        <w:noBreakHyphen/>
        <w:t>speaking</w:t>
      </w:r>
      <w:r w:rsidRPr="000A0EA1">
        <w:rPr>
          <w:lang w:val="en-CA"/>
        </w:rPr>
        <w:t xml:space="preserve"> minority, can run for an elected position in the </w:t>
      </w:r>
      <w:r w:rsidR="00AE3408">
        <w:rPr>
          <w:lang w:val="en-CA"/>
        </w:rPr>
        <w:t>English</w:t>
      </w:r>
      <w:r w:rsidR="00AE3408">
        <w:rPr>
          <w:lang w:val="en-CA"/>
        </w:rPr>
        <w:noBreakHyphen/>
        <w:t>language</w:t>
      </w:r>
      <w:r w:rsidRPr="000A0EA1">
        <w:rPr>
          <w:lang w:val="en-CA"/>
        </w:rPr>
        <w:t xml:space="preserve"> school system.</w:t>
      </w:r>
      <w:r w:rsidRPr="000A0EA1">
        <w:rPr>
          <w:rStyle w:val="Appelnotedebasdep"/>
          <w:lang w:val="en-CA"/>
        </w:rPr>
        <w:footnoteReference w:id="192"/>
      </w:r>
    </w:p>
    <w:p w14:paraId="17F5F315" w14:textId="720ECC98" w:rsidR="00F75613" w:rsidRPr="000A0EA1" w:rsidRDefault="00B02E00" w:rsidP="00B255B8">
      <w:pPr>
        <w:pStyle w:val="Paragraphe"/>
        <w:spacing w:line="240" w:lineRule="auto"/>
        <w:rPr>
          <w:lang w:val="en-CA"/>
        </w:rPr>
      </w:pPr>
      <w:r w:rsidRPr="000A0EA1">
        <w:rPr>
          <w:lang w:val="en-CA"/>
        </w:rPr>
        <w:t xml:space="preserve">Conferring these voting and candidacy rights on individuals who are not part of the </w:t>
      </w:r>
      <w:r w:rsidR="00312FD9">
        <w:rPr>
          <w:lang w:val="en-CA"/>
        </w:rPr>
        <w:t>English</w:t>
      </w:r>
      <w:r w:rsidR="00312FD9">
        <w:rPr>
          <w:lang w:val="en-CA"/>
        </w:rPr>
        <w:noBreakHyphen/>
        <w:t>speaking</w:t>
      </w:r>
      <w:r w:rsidRPr="000A0EA1">
        <w:rPr>
          <w:lang w:val="en-CA"/>
        </w:rPr>
        <w:t xml:space="preserve"> minority is contrary to </w:t>
      </w:r>
      <w:r w:rsidR="0062160E">
        <w:rPr>
          <w:lang w:val="en-CA"/>
        </w:rPr>
        <w:t>s. 2</w:t>
      </w:r>
      <w:r w:rsidRPr="000A0EA1">
        <w:rPr>
          <w:lang w:val="en-CA"/>
        </w:rPr>
        <w:t xml:space="preserve">3 of the </w:t>
      </w:r>
      <w:r w:rsidRPr="000A0EA1">
        <w:rPr>
          <w:i/>
          <w:iCs/>
          <w:lang w:val="en-CA"/>
        </w:rPr>
        <w:t>Charter</w:t>
      </w:r>
      <w:r w:rsidRPr="000A0EA1">
        <w:rPr>
          <w:lang w:val="en-CA"/>
        </w:rPr>
        <w:t xml:space="preserve">. Although such cases are likely to be extremely rare, the respondents nonetheless consider this to be an infringement of </w:t>
      </w:r>
      <w:r w:rsidR="0062160E">
        <w:rPr>
          <w:lang w:val="en-CA"/>
        </w:rPr>
        <w:t>s. 2</w:t>
      </w:r>
      <w:r w:rsidRPr="000A0EA1">
        <w:rPr>
          <w:lang w:val="en-CA"/>
        </w:rPr>
        <w:t>3 that should be corrected by the legislature. They have expressed the fear that these rights might be used maliciously in the future. The judge agreed with them and made no error of law in this respect.</w:t>
      </w:r>
    </w:p>
    <w:p w14:paraId="17F5F316" w14:textId="313ED579" w:rsidR="00F75613" w:rsidRPr="000A0EA1" w:rsidRDefault="00B02E00" w:rsidP="00B255B8">
      <w:pPr>
        <w:pStyle w:val="Paragraphe"/>
        <w:spacing w:line="240" w:lineRule="auto"/>
        <w:rPr>
          <w:lang w:val="en-CA"/>
        </w:rPr>
      </w:pPr>
      <w:r w:rsidRPr="000A0EA1">
        <w:rPr>
          <w:lang w:val="en-CA"/>
        </w:rPr>
        <w:t xml:space="preserve">As already noted above, the Supreme Court recognizes that </w:t>
      </w:r>
      <w:r w:rsidR="0062160E">
        <w:rPr>
          <w:lang w:val="en-CA"/>
        </w:rPr>
        <w:t>s. 2</w:t>
      </w:r>
      <w:r w:rsidRPr="000A0EA1">
        <w:rPr>
          <w:lang w:val="en-CA"/>
        </w:rPr>
        <w:t>3(3)(</w:t>
      </w:r>
      <w:r w:rsidRPr="000A0EA1">
        <w:rPr>
          <w:i/>
          <w:iCs/>
          <w:lang w:val="en-CA"/>
        </w:rPr>
        <w:t>b</w:t>
      </w:r>
      <w:r w:rsidRPr="000A0EA1">
        <w:rPr>
          <w:lang w:val="en-CA"/>
        </w:rPr>
        <w:t xml:space="preserve">) confers </w:t>
      </w:r>
      <w:r w:rsidRPr="000A0EA1">
        <w:rPr>
          <w:u w:val="single"/>
          <w:lang w:val="en-CA"/>
        </w:rPr>
        <w:t>exclusive</w:t>
      </w:r>
      <w:r w:rsidRPr="000A0EA1">
        <w:rPr>
          <w:lang w:val="en-CA"/>
        </w:rPr>
        <w:t xml:space="preserve"> management and control rights on representatives of the linguistic minority.</w:t>
      </w:r>
      <w:r w:rsidRPr="000A0EA1">
        <w:rPr>
          <w:rStyle w:val="Appelnotedebasdep"/>
          <w:lang w:val="en-CA"/>
        </w:rPr>
        <w:footnoteReference w:id="193"/>
      </w:r>
      <w:r w:rsidRPr="000A0EA1">
        <w:rPr>
          <w:lang w:val="en-CA"/>
        </w:rPr>
        <w:t xml:space="preserve"> Those who are not part of the minority language community cannot control and manage the educational facilities of that language community within the meaning of this provision. It is therefore the members of the minority language community – to the exclusion of others – who must choose their representatives for these purposes. </w:t>
      </w:r>
    </w:p>
    <w:p w14:paraId="17F5F317" w14:textId="58621932" w:rsidR="00F75613" w:rsidRPr="000A0EA1" w:rsidRDefault="00B02E00" w:rsidP="00B255B8">
      <w:pPr>
        <w:pStyle w:val="Paragraphe"/>
        <w:spacing w:line="240" w:lineRule="auto"/>
        <w:rPr>
          <w:lang w:val="en-CA"/>
        </w:rPr>
      </w:pPr>
      <w:r w:rsidRPr="000A0EA1">
        <w:rPr>
          <w:lang w:val="en-CA"/>
        </w:rPr>
        <w:t>It is worth remembering that the members of Quebec</w:t>
      </w:r>
      <w:r w:rsidR="00E46AFD">
        <w:rPr>
          <w:lang w:val="en-CA"/>
        </w:rPr>
        <w:t>’</w:t>
      </w:r>
      <w:r w:rsidRPr="000A0EA1">
        <w:rPr>
          <w:lang w:val="en-CA"/>
        </w:rPr>
        <w:t xml:space="preserve">s minority language community include Canadian citizens residing in Quebec whose first language learned and still understood is English, Canadian citizens who received their primary education in </w:t>
      </w:r>
      <w:r w:rsidRPr="000A0EA1">
        <w:rPr>
          <w:lang w:val="en-CA"/>
        </w:rPr>
        <w:lastRenderedPageBreak/>
        <w:t xml:space="preserve">Canada in English, as well as Canadian citizens of whom any child received or is receiving primary or secondary instruction in English in Canada. </w:t>
      </w:r>
    </w:p>
    <w:p w14:paraId="17F5F318" w14:textId="046AB0A2" w:rsidR="00F75613" w:rsidRPr="000A0EA1" w:rsidRDefault="00B02E00" w:rsidP="00B255B8">
      <w:pPr>
        <w:pStyle w:val="Paragraphe"/>
        <w:spacing w:line="240" w:lineRule="auto"/>
        <w:rPr>
          <w:lang w:val="en-CA"/>
        </w:rPr>
      </w:pPr>
      <w:r w:rsidRPr="000A0EA1">
        <w:rPr>
          <w:lang w:val="en-CA"/>
        </w:rPr>
        <w:t xml:space="preserve">It should be noted that it is not the unfettered choice provided for in </w:t>
      </w:r>
      <w:r w:rsidR="0062160E">
        <w:rPr>
          <w:lang w:val="en-CA"/>
        </w:rPr>
        <w:t>s. 1</w:t>
      </w:r>
      <w:r w:rsidRPr="000A0EA1">
        <w:rPr>
          <w:lang w:val="en-CA"/>
        </w:rPr>
        <w:t xml:space="preserve">5 of the </w:t>
      </w:r>
      <w:r w:rsidRPr="000A0EA1">
        <w:rPr>
          <w:i/>
          <w:iCs/>
          <w:lang w:val="en-CA"/>
        </w:rPr>
        <w:t>New Act respecting school elections</w:t>
      </w:r>
      <w:r w:rsidRPr="000A0EA1">
        <w:rPr>
          <w:lang w:val="en-CA"/>
        </w:rPr>
        <w:t xml:space="preserve"> that poses a constitutional problem in and of itself. Rather, what is at issue is the lack of a mechanism for excluding from the electoral list those who would abuse that freedom of choice. Ultimately, it will be up to the legislature to remedy the situation by enacting legislation that complies with the principles of </w:t>
      </w:r>
      <w:r w:rsidR="0062160E">
        <w:rPr>
          <w:lang w:val="en-CA"/>
        </w:rPr>
        <w:t>s. 2</w:t>
      </w:r>
      <w:r w:rsidRPr="000A0EA1">
        <w:rPr>
          <w:lang w:val="en-CA"/>
        </w:rPr>
        <w:t xml:space="preserve">3 of the </w:t>
      </w:r>
      <w:r w:rsidRPr="000A0EA1">
        <w:rPr>
          <w:i/>
          <w:iCs/>
          <w:lang w:val="en-CA"/>
        </w:rPr>
        <w:t>Charter</w:t>
      </w:r>
      <w:r w:rsidRPr="000A0EA1">
        <w:rPr>
          <w:lang w:val="en-CA"/>
        </w:rPr>
        <w:t>.</w:t>
      </w:r>
    </w:p>
    <w:p w14:paraId="17F5F319" w14:textId="4BC639B3" w:rsidR="00F75613" w:rsidRPr="000A0EA1" w:rsidRDefault="00B02E00" w:rsidP="00B255B8">
      <w:pPr>
        <w:pStyle w:val="Paragraphe"/>
        <w:spacing w:line="240" w:lineRule="auto"/>
        <w:rPr>
          <w:lang w:val="en-CA"/>
        </w:rPr>
      </w:pPr>
      <w:r w:rsidRPr="000A0EA1">
        <w:rPr>
          <w:lang w:val="en-CA"/>
        </w:rPr>
        <w:t xml:space="preserve">It is therefore appropriate for the Court to intervene in order to replace the conclusion set out in paragraph [443] of the trial judgment with a declaration to the effect that </w:t>
      </w:r>
      <w:r w:rsidR="0062160E">
        <w:rPr>
          <w:lang w:val="en-CA"/>
        </w:rPr>
        <w:t>s. 1</w:t>
      </w:r>
      <w:r w:rsidRPr="000A0EA1">
        <w:rPr>
          <w:lang w:val="en-CA"/>
        </w:rPr>
        <w:t xml:space="preserve">5 of the </w:t>
      </w:r>
      <w:r w:rsidRPr="000A0EA1">
        <w:rPr>
          <w:i/>
          <w:iCs/>
          <w:lang w:val="en-CA"/>
        </w:rPr>
        <w:t>New</w:t>
      </w:r>
      <w:r w:rsidRPr="000A0EA1">
        <w:rPr>
          <w:lang w:val="en-CA"/>
        </w:rPr>
        <w:t xml:space="preserve"> </w:t>
      </w:r>
      <w:r w:rsidRPr="000A0EA1">
        <w:rPr>
          <w:i/>
          <w:iCs/>
          <w:lang w:val="en-CA"/>
        </w:rPr>
        <w:t xml:space="preserve">Act respecting school elections </w:t>
      </w:r>
      <w:r w:rsidRPr="000A0EA1">
        <w:rPr>
          <w:lang w:val="en-CA"/>
        </w:rPr>
        <w:t xml:space="preserve">infringes the rights guaranteed by </w:t>
      </w:r>
      <w:r w:rsidR="0062160E">
        <w:rPr>
          <w:lang w:val="en-CA"/>
        </w:rPr>
        <w:t>s. 2</w:t>
      </w:r>
      <w:r w:rsidRPr="000A0EA1">
        <w:rPr>
          <w:lang w:val="en-CA"/>
        </w:rPr>
        <w:t xml:space="preserve">3 of the </w:t>
      </w:r>
      <w:r w:rsidRPr="000A0EA1">
        <w:rPr>
          <w:i/>
          <w:iCs/>
          <w:lang w:val="en-CA"/>
        </w:rPr>
        <w:t>Charter</w:t>
      </w:r>
      <w:r w:rsidRPr="000A0EA1">
        <w:rPr>
          <w:lang w:val="en-CA"/>
        </w:rPr>
        <w:t xml:space="preserve"> to the sole extent that it allows an individual who is not part of Quebec</w:t>
      </w:r>
      <w:r w:rsidR="00E46AFD">
        <w:rPr>
          <w:lang w:val="en-CA"/>
        </w:rPr>
        <w:t>’</w:t>
      </w:r>
      <w:r w:rsidRPr="000A0EA1">
        <w:rPr>
          <w:lang w:val="en-CA"/>
        </w:rPr>
        <w:t xml:space="preserve">s linguistic minority to vote in school elections within the </w:t>
      </w:r>
      <w:r w:rsidR="00AE3408">
        <w:rPr>
          <w:lang w:val="en-CA"/>
        </w:rPr>
        <w:t>English</w:t>
      </w:r>
      <w:r w:rsidR="00AE3408">
        <w:rPr>
          <w:lang w:val="en-CA"/>
        </w:rPr>
        <w:noBreakHyphen/>
        <w:t>language</w:t>
      </w:r>
      <w:r w:rsidRPr="000A0EA1">
        <w:rPr>
          <w:lang w:val="en-CA"/>
        </w:rPr>
        <w:t xml:space="preserve"> school system.</w:t>
      </w:r>
    </w:p>
    <w:p w14:paraId="17F5F31A" w14:textId="2B58981B" w:rsidR="00F75613" w:rsidRPr="000A0EA1" w:rsidRDefault="00B02E00" w:rsidP="00B255B8">
      <w:pPr>
        <w:pStyle w:val="Paragraphe"/>
        <w:spacing w:line="240" w:lineRule="auto"/>
        <w:rPr>
          <w:lang w:val="en-CA"/>
        </w:rPr>
      </w:pPr>
      <w:r w:rsidRPr="000A0EA1">
        <w:rPr>
          <w:lang w:val="en-CA"/>
        </w:rPr>
        <w:t xml:space="preserve">This section is therefore inoperative with regard to </w:t>
      </w:r>
      <w:r w:rsidR="00F0768B">
        <w:rPr>
          <w:lang w:val="en-CA"/>
        </w:rPr>
        <w:t xml:space="preserve">the </w:t>
      </w:r>
      <w:r w:rsidR="00AE3408">
        <w:rPr>
          <w:lang w:val="en-CA"/>
        </w:rPr>
        <w:t>English</w:t>
      </w:r>
      <w:r w:rsidR="00AE3408">
        <w:rPr>
          <w:lang w:val="en-CA"/>
        </w:rPr>
        <w:noBreakHyphen/>
        <w:t>language</w:t>
      </w:r>
      <w:r w:rsidRPr="000A0EA1">
        <w:rPr>
          <w:lang w:val="en-CA"/>
        </w:rPr>
        <w:t xml:space="preserve"> </w:t>
      </w:r>
      <w:r w:rsidR="009553DA">
        <w:rPr>
          <w:lang w:val="en-CA"/>
        </w:rPr>
        <w:t>education sector</w:t>
      </w:r>
      <w:r w:rsidRPr="000A0EA1">
        <w:rPr>
          <w:lang w:val="en-CA"/>
        </w:rPr>
        <w:t xml:space="preserve"> solely to this extent. Moreover, the judge rightly granted the AGQ</w:t>
      </w:r>
      <w:r w:rsidR="00E46AFD">
        <w:rPr>
          <w:lang w:val="en-CA"/>
        </w:rPr>
        <w:t>’</w:t>
      </w:r>
      <w:r w:rsidRPr="000A0EA1">
        <w:rPr>
          <w:lang w:val="en-CA"/>
        </w:rPr>
        <w:t xml:space="preserve">s request to suspend the declaration of inoperability of </w:t>
      </w:r>
      <w:r w:rsidR="0062160E">
        <w:rPr>
          <w:lang w:val="en-CA"/>
        </w:rPr>
        <w:t>s. 1</w:t>
      </w:r>
      <w:r w:rsidRPr="000A0EA1">
        <w:rPr>
          <w:lang w:val="en-CA"/>
        </w:rPr>
        <w:t>5 for a period of 18 months following the end of the judicial process – a request the respondents had not opposed – and it is appropriate to do so here.</w:t>
      </w:r>
    </w:p>
    <w:p w14:paraId="17F5F31B" w14:textId="795A1E43" w:rsidR="00F75613" w:rsidRPr="000A0EA1" w:rsidRDefault="00B02E00" w:rsidP="00B255B8">
      <w:pPr>
        <w:pStyle w:val="Paragraphe"/>
        <w:numPr>
          <w:ilvl w:val="0"/>
          <w:numId w:val="12"/>
        </w:numPr>
        <w:spacing w:before="240" w:line="240" w:lineRule="auto"/>
        <w:rPr>
          <w:i/>
          <w:iCs/>
          <w:lang w:val="en-CA"/>
        </w:rPr>
      </w:pPr>
      <w:r w:rsidRPr="000A0EA1">
        <w:rPr>
          <w:i/>
          <w:iCs/>
          <w:lang w:val="en-CA"/>
        </w:rPr>
        <w:t xml:space="preserve">The composition </w:t>
      </w:r>
      <w:r w:rsidR="005920F5">
        <w:rPr>
          <w:i/>
          <w:iCs/>
          <w:lang w:val="en-CA"/>
        </w:rPr>
        <w:t xml:space="preserve">of the board of directors </w:t>
      </w:r>
      <w:r w:rsidRPr="000A0EA1">
        <w:rPr>
          <w:i/>
          <w:iCs/>
          <w:lang w:val="en-CA"/>
        </w:rPr>
        <w:t xml:space="preserve">and </w:t>
      </w:r>
      <w:r w:rsidR="005920F5">
        <w:rPr>
          <w:i/>
          <w:iCs/>
          <w:lang w:val="en-CA"/>
        </w:rPr>
        <w:t xml:space="preserve">the </w:t>
      </w:r>
      <w:r w:rsidRPr="000A0EA1">
        <w:rPr>
          <w:i/>
          <w:iCs/>
          <w:lang w:val="en-CA"/>
        </w:rPr>
        <w:t xml:space="preserve">method for </w:t>
      </w:r>
      <w:r w:rsidR="005920F5">
        <w:rPr>
          <w:i/>
          <w:iCs/>
          <w:lang w:val="en-CA"/>
        </w:rPr>
        <w:t xml:space="preserve">selecting its </w:t>
      </w:r>
      <w:r w:rsidRPr="000A0EA1">
        <w:rPr>
          <w:i/>
          <w:iCs/>
          <w:lang w:val="en-CA"/>
        </w:rPr>
        <w:t>members: s</w:t>
      </w:r>
      <w:r w:rsidR="0062160E">
        <w:rPr>
          <w:i/>
          <w:iCs/>
          <w:lang w:val="en-CA"/>
        </w:rPr>
        <w:t>s. 5</w:t>
      </w:r>
      <w:r w:rsidRPr="000A0EA1">
        <w:rPr>
          <w:i/>
          <w:iCs/>
          <w:lang w:val="en-CA"/>
        </w:rPr>
        <w:t xml:space="preserve">0, 196, 208 and 216 of </w:t>
      </w:r>
      <w:r w:rsidR="00C33BBC">
        <w:rPr>
          <w:i/>
          <w:iCs/>
          <w:lang w:val="en-CA"/>
        </w:rPr>
        <w:t>Bill 40</w:t>
      </w:r>
    </w:p>
    <w:p w14:paraId="17F5F31C" w14:textId="013CD0C6" w:rsidR="00F75613" w:rsidRPr="000A0EA1" w:rsidRDefault="009553DA" w:rsidP="00B255B8">
      <w:pPr>
        <w:pStyle w:val="Paragraphe"/>
        <w:spacing w:line="240" w:lineRule="auto"/>
        <w:rPr>
          <w:lang w:val="en-CA"/>
        </w:rPr>
      </w:pPr>
      <w:r>
        <w:rPr>
          <w:lang w:val="en-CA"/>
        </w:rPr>
        <w:t>For the following reasons, the Court is</w:t>
      </w:r>
      <w:r w:rsidR="004A1E2E">
        <w:rPr>
          <w:lang w:val="en-CA"/>
        </w:rPr>
        <w:t xml:space="preserve"> </w:t>
      </w:r>
      <w:r w:rsidR="00B02E00" w:rsidRPr="000A0EA1">
        <w:rPr>
          <w:lang w:val="en-CA"/>
        </w:rPr>
        <w:t>of the opinion that the trial judge did not err in concluding that s</w:t>
      </w:r>
      <w:r w:rsidR="0062160E">
        <w:rPr>
          <w:lang w:val="en-CA"/>
        </w:rPr>
        <w:t>s. 5</w:t>
      </w:r>
      <w:r w:rsidR="00B02E00" w:rsidRPr="000A0EA1">
        <w:rPr>
          <w:lang w:val="en-CA"/>
        </w:rPr>
        <w:t xml:space="preserve">0, 196, 208 and 216 of </w:t>
      </w:r>
      <w:r w:rsidR="00C33BBC">
        <w:rPr>
          <w:i/>
          <w:iCs/>
          <w:lang w:val="en-CA"/>
        </w:rPr>
        <w:t>Bill 40</w:t>
      </w:r>
      <w:r w:rsidR="00B02E00" w:rsidRPr="000A0EA1">
        <w:rPr>
          <w:lang w:val="en-CA"/>
        </w:rPr>
        <w:t xml:space="preserve"> restrict the rights guaranteed to the linguistic minority under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of the </w:t>
      </w:r>
      <w:r w:rsidR="00B02E00" w:rsidRPr="000A0EA1">
        <w:rPr>
          <w:i/>
          <w:iCs/>
          <w:lang w:val="en-CA"/>
        </w:rPr>
        <w:t>Charter</w:t>
      </w:r>
      <w:r w:rsidR="00B02E00" w:rsidRPr="000A0EA1">
        <w:rPr>
          <w:lang w:val="en-CA"/>
        </w:rPr>
        <w:t xml:space="preserve">. </w:t>
      </w:r>
    </w:p>
    <w:p w14:paraId="17F5F31D" w14:textId="77777777" w:rsidR="00F75613" w:rsidRPr="000A0EA1" w:rsidRDefault="00B02E00" w:rsidP="00B255B8">
      <w:pPr>
        <w:pStyle w:val="Paragraphe"/>
        <w:numPr>
          <w:ilvl w:val="0"/>
          <w:numId w:val="0"/>
        </w:numPr>
        <w:spacing w:line="240" w:lineRule="auto"/>
        <w:ind w:left="1440" w:firstLine="720"/>
        <w:rPr>
          <w:u w:val="single"/>
          <w:lang w:val="en-CA"/>
        </w:rPr>
      </w:pPr>
      <w:r w:rsidRPr="000A0EA1">
        <w:rPr>
          <w:szCs w:val="24"/>
          <w:u w:val="single"/>
          <w:lang w:val="en-CA"/>
        </w:rPr>
        <w:t>Eligibility criteria for parent representatives</w:t>
      </w:r>
    </w:p>
    <w:p w14:paraId="17F5F31E" w14:textId="0FBE5874" w:rsidR="00F75613" w:rsidRPr="000A0EA1" w:rsidRDefault="00B02E00" w:rsidP="00B255B8">
      <w:pPr>
        <w:pStyle w:val="Paragraphe"/>
        <w:spacing w:line="240" w:lineRule="auto"/>
        <w:rPr>
          <w:lang w:val="en-CA"/>
        </w:rPr>
      </w:pPr>
      <w:r w:rsidRPr="000A0EA1">
        <w:rPr>
          <w:lang w:val="en-CA"/>
        </w:rPr>
        <w:t xml:space="preserve">Before </w:t>
      </w:r>
      <w:r w:rsidR="00C33BBC">
        <w:rPr>
          <w:i/>
          <w:iCs/>
          <w:lang w:val="en-CA"/>
        </w:rPr>
        <w:t>Bill 40</w:t>
      </w:r>
      <w:r w:rsidRPr="000A0EA1">
        <w:rPr>
          <w:lang w:val="en-CA"/>
        </w:rPr>
        <w:t xml:space="preserve"> was enacted, commissioners were, for the most part, elected in each electoral division established for that purpose on the territory served by the school board, with the exception of the chair, who was elected by suffrage of all electors in the school board</w:t>
      </w:r>
      <w:r w:rsidR="00E46AFD">
        <w:rPr>
          <w:lang w:val="en-CA"/>
        </w:rPr>
        <w:t>’</w:t>
      </w:r>
      <w:r w:rsidRPr="000A0EA1">
        <w:rPr>
          <w:lang w:val="en-CA"/>
        </w:rPr>
        <w:t>s territory.</w:t>
      </w:r>
      <w:r w:rsidRPr="000A0EA1">
        <w:rPr>
          <w:rStyle w:val="Appelnotedebasdep"/>
          <w:lang w:val="en-CA"/>
        </w:rPr>
        <w:footnoteReference w:id="194"/>
      </w:r>
      <w:r w:rsidRPr="000A0EA1">
        <w:rPr>
          <w:lang w:val="en-CA"/>
        </w:rPr>
        <w:t xml:space="preserve"> All electors domiciled in the school board</w:t>
      </w:r>
      <w:r w:rsidR="00E46AFD">
        <w:rPr>
          <w:lang w:val="en-CA"/>
        </w:rPr>
        <w:t>’</w:t>
      </w:r>
      <w:r w:rsidRPr="000A0EA1">
        <w:rPr>
          <w:lang w:val="en-CA"/>
        </w:rPr>
        <w:t>s territory were eligible to run as a commissioner.</w:t>
      </w:r>
      <w:r w:rsidRPr="000A0EA1">
        <w:rPr>
          <w:rStyle w:val="Appelnotedebasdep"/>
          <w:lang w:val="en-CA"/>
        </w:rPr>
        <w:footnoteReference w:id="195"/>
      </w:r>
      <w:r w:rsidRPr="000A0EA1">
        <w:rPr>
          <w:lang w:val="en-CA"/>
        </w:rPr>
        <w:t xml:space="preserve"> In addition, there were three or four commissioners appointed by the parents</w:t>
      </w:r>
      <w:r w:rsidR="00E46AFD">
        <w:rPr>
          <w:lang w:val="en-CA"/>
        </w:rPr>
        <w:t>’</w:t>
      </w:r>
      <w:r w:rsidRPr="000A0EA1">
        <w:rPr>
          <w:lang w:val="en-CA"/>
        </w:rPr>
        <w:t xml:space="preserve"> committee</w:t>
      </w:r>
      <w:r w:rsidRPr="000A0EA1">
        <w:rPr>
          <w:rStyle w:val="Appelnotedebasdep"/>
          <w:lang w:val="en-CA"/>
        </w:rPr>
        <w:footnoteReference w:id="196"/>
      </w:r>
      <w:r w:rsidRPr="000A0EA1">
        <w:rPr>
          <w:lang w:val="en-CA"/>
        </w:rPr>
        <w:t xml:space="preserve"> and, only if the council of commissioners considered it </w:t>
      </w:r>
      <w:r w:rsidRPr="000A0EA1">
        <w:rPr>
          <w:lang w:val="en-CA"/>
        </w:rPr>
        <w:lastRenderedPageBreak/>
        <w:t>necessary, another one or two commissioners co-opted by a two-thirds majority of the commissioners.</w:t>
      </w:r>
      <w:r w:rsidRPr="000A0EA1">
        <w:rPr>
          <w:rStyle w:val="Appelnotedebasdep"/>
          <w:lang w:val="en-CA"/>
        </w:rPr>
        <w:footnoteReference w:id="197"/>
      </w:r>
    </w:p>
    <w:p w14:paraId="17F5F31F" w14:textId="5F3E7C3D" w:rsidR="00F75613" w:rsidRPr="000A0EA1" w:rsidRDefault="00B02E00" w:rsidP="00B255B8">
      <w:pPr>
        <w:pStyle w:val="Paragraphe"/>
        <w:spacing w:line="240" w:lineRule="auto"/>
        <w:rPr>
          <w:lang w:val="en-CA"/>
        </w:rPr>
      </w:pPr>
      <w:r w:rsidRPr="000A0EA1">
        <w:rPr>
          <w:lang w:val="en-CA"/>
        </w:rPr>
        <w:t xml:space="preserve">For an </w:t>
      </w:r>
      <w:r w:rsidR="00AE3408">
        <w:rPr>
          <w:lang w:val="en-CA"/>
        </w:rPr>
        <w:t>English</w:t>
      </w:r>
      <w:r w:rsidR="00AE3408">
        <w:rPr>
          <w:lang w:val="en-CA"/>
        </w:rPr>
        <w:noBreakHyphen/>
        <w:t>language</w:t>
      </w:r>
      <w:r w:rsidRPr="000A0EA1">
        <w:rPr>
          <w:lang w:val="en-CA"/>
        </w:rPr>
        <w:t xml:space="preserve"> school service centre, </w:t>
      </w:r>
      <w:r w:rsidR="0062160E">
        <w:rPr>
          <w:lang w:val="en-CA"/>
        </w:rPr>
        <w:t>s. 5</w:t>
      </w:r>
      <w:r w:rsidRPr="000A0EA1">
        <w:rPr>
          <w:lang w:val="en-CA"/>
        </w:rPr>
        <w:t xml:space="preserve">0 of </w:t>
      </w:r>
      <w:r w:rsidR="00C33BBC">
        <w:rPr>
          <w:i/>
          <w:iCs/>
          <w:lang w:val="en-CA"/>
        </w:rPr>
        <w:t>Bill 40</w:t>
      </w:r>
      <w:r w:rsidRPr="000A0EA1">
        <w:rPr>
          <w:lang w:val="en-CA"/>
        </w:rPr>
        <w:t xml:space="preserve"> now replaces the council of commissioners with a board of directors made up of three categories of individuals: elected parent representatives, elected community representatives, and members designated by and among staff of the school service centre. Each of these categories is defined</w:t>
      </w:r>
      <w:r w:rsidRPr="000A0EA1">
        <w:rPr>
          <w:i/>
          <w:iCs/>
          <w:lang w:val="en-CA"/>
        </w:rPr>
        <w:t xml:space="preserve"> </w:t>
      </w:r>
      <w:r w:rsidRPr="000A0EA1">
        <w:rPr>
          <w:lang w:val="en-CA"/>
        </w:rPr>
        <w:t>in</w:t>
      </w:r>
      <w:r w:rsidRPr="000A0EA1">
        <w:rPr>
          <w:i/>
          <w:iCs/>
          <w:lang w:val="en-CA"/>
        </w:rPr>
        <w:t xml:space="preserve"> </w:t>
      </w:r>
      <w:r w:rsidR="00C33BBC">
        <w:rPr>
          <w:i/>
          <w:iCs/>
          <w:lang w:val="en-CA"/>
        </w:rPr>
        <w:t>Bill 40</w:t>
      </w:r>
      <w:r w:rsidRPr="000A0EA1">
        <w:rPr>
          <w:lang w:val="en-CA"/>
        </w:rPr>
        <w:t xml:space="preserve"> and is subject to its own specific requirements. The board of directors of an </w:t>
      </w:r>
      <w:r w:rsidR="00AE3408">
        <w:rPr>
          <w:lang w:val="en-CA"/>
        </w:rPr>
        <w:t>English</w:t>
      </w:r>
      <w:r w:rsidR="00AE3408">
        <w:rPr>
          <w:lang w:val="en-CA"/>
        </w:rPr>
        <w:noBreakHyphen/>
        <w:t>language</w:t>
      </w:r>
      <w:r w:rsidRPr="000A0EA1">
        <w:rPr>
          <w:lang w:val="en-CA"/>
        </w:rPr>
        <w:t xml:space="preserve"> school service centre is now made up of a variable number of members, ranging from 16 to 34,</w:t>
      </w:r>
      <w:r w:rsidRPr="000A0EA1">
        <w:rPr>
          <w:rStyle w:val="Appelnotedebasdep"/>
          <w:lang w:val="en-CA"/>
        </w:rPr>
        <w:footnoteReference w:id="198"/>
      </w:r>
      <w:r w:rsidRPr="000A0EA1">
        <w:rPr>
          <w:lang w:val="en-CA"/>
        </w:rPr>
        <w:t xml:space="preserve"> depending on the number of electoral divisions established within </w:t>
      </w:r>
      <w:r w:rsidR="00D23B16">
        <w:rPr>
          <w:lang w:val="en-CA"/>
        </w:rPr>
        <w:t xml:space="preserve">the centre’s </w:t>
      </w:r>
      <w:r w:rsidRPr="000A0EA1">
        <w:rPr>
          <w:lang w:val="en-CA"/>
        </w:rPr>
        <w:t xml:space="preserve">territory under the </w:t>
      </w:r>
      <w:r w:rsidRPr="000A0EA1">
        <w:rPr>
          <w:i/>
          <w:iCs/>
          <w:lang w:val="en-CA"/>
        </w:rPr>
        <w:t>New Act respecting school elections</w:t>
      </w:r>
      <w:r w:rsidRPr="000A0EA1">
        <w:rPr>
          <w:lang w:val="en-CA"/>
        </w:rPr>
        <w:t>.</w:t>
      </w:r>
      <w:r w:rsidRPr="000A0EA1">
        <w:rPr>
          <w:rStyle w:val="Appelnotedebasdep"/>
          <w:lang w:val="en-CA"/>
        </w:rPr>
        <w:footnoteReference w:id="199"/>
      </w:r>
      <w:r w:rsidRPr="000A0EA1">
        <w:rPr>
          <w:lang w:val="en-CA"/>
        </w:rPr>
        <w:t xml:space="preserve"> Half of the total number of board positions is reserved for parent representatives,</w:t>
      </w:r>
      <w:r w:rsidRPr="000A0EA1">
        <w:rPr>
          <w:rStyle w:val="Appelnotedebasdep"/>
          <w:lang w:val="en-CA"/>
        </w:rPr>
        <w:footnoteReference w:id="200"/>
      </w:r>
      <w:r w:rsidRPr="000A0EA1">
        <w:rPr>
          <w:lang w:val="en-CA"/>
        </w:rPr>
        <w:t xml:space="preserve"> each of whom is elected for a given electoral division based on the division of the territory served by the school service centre.</w:t>
      </w:r>
      <w:r w:rsidRPr="000A0EA1">
        <w:rPr>
          <w:rStyle w:val="Appelnotedebasdep"/>
          <w:lang w:val="en-CA"/>
        </w:rPr>
        <w:footnoteReference w:id="201"/>
      </w:r>
    </w:p>
    <w:p w14:paraId="17F5F320" w14:textId="77777777" w:rsidR="00F75613" w:rsidRPr="000A0EA1" w:rsidRDefault="00B02E00" w:rsidP="00B255B8">
      <w:pPr>
        <w:pStyle w:val="Paragraphe"/>
        <w:spacing w:line="240" w:lineRule="auto"/>
        <w:rPr>
          <w:lang w:val="en-CA"/>
        </w:rPr>
      </w:pPr>
      <w:r w:rsidRPr="000A0EA1">
        <w:rPr>
          <w:lang w:val="en-CA"/>
        </w:rPr>
        <w:t>In addition to occupying half the positions on the board of directors, parent representatives are also the only ones entitled to hold the positions of chair and vice-chair of the board of directors.</w:t>
      </w:r>
      <w:r w:rsidRPr="000A0EA1">
        <w:rPr>
          <w:rStyle w:val="Appelnotedebasdep"/>
          <w:lang w:val="en-CA"/>
        </w:rPr>
        <w:footnoteReference w:id="202"/>
      </w:r>
      <w:r w:rsidRPr="000A0EA1">
        <w:rPr>
          <w:lang w:val="en-CA"/>
        </w:rPr>
        <w:t xml:space="preserve"> They are therefore called upon to play a predominant role on the board of directors. </w:t>
      </w:r>
    </w:p>
    <w:p w14:paraId="17F5F321" w14:textId="2059F086" w:rsidR="00F75613" w:rsidRPr="000A0EA1" w:rsidRDefault="00C33BBC" w:rsidP="00B255B8">
      <w:pPr>
        <w:pStyle w:val="Paragraphe"/>
        <w:spacing w:line="240" w:lineRule="auto"/>
        <w:rPr>
          <w:lang w:val="en-CA"/>
        </w:rPr>
      </w:pPr>
      <w:r>
        <w:rPr>
          <w:i/>
          <w:iCs/>
          <w:lang w:val="en-CA"/>
        </w:rPr>
        <w:t>Bill 40</w:t>
      </w:r>
      <w:r w:rsidR="00B02E00" w:rsidRPr="000A0EA1">
        <w:rPr>
          <w:lang w:val="en-CA"/>
        </w:rPr>
        <w:t>, however, places severe restrictions on the eligibility of individuals to run for parent representative positions. Under s</w:t>
      </w:r>
      <w:r w:rsidR="0062160E">
        <w:rPr>
          <w:lang w:val="en-CA"/>
        </w:rPr>
        <w:t>s. 5</w:t>
      </w:r>
      <w:r w:rsidR="00B02E00" w:rsidRPr="000A0EA1">
        <w:rPr>
          <w:lang w:val="en-CA"/>
        </w:rPr>
        <w:t xml:space="preserve">0 and 216 of </w:t>
      </w:r>
      <w:r>
        <w:rPr>
          <w:i/>
          <w:iCs/>
          <w:lang w:val="en-CA"/>
        </w:rPr>
        <w:t>Bill 40</w:t>
      </w:r>
      <w:r w:rsidR="00B02E00" w:rsidRPr="000A0EA1">
        <w:rPr>
          <w:lang w:val="en-CA"/>
        </w:rPr>
        <w:t>, any individual who wants to be elected to such a position must satisfy the following cumulative conditions (on the polling day): (1)</w:t>
      </w:r>
      <w:r w:rsidR="001416DD">
        <w:rPr>
          <w:lang w:val="en-CA"/>
        </w:rPr>
        <w:t> </w:t>
      </w:r>
      <w:r w:rsidR="00B02E00" w:rsidRPr="000A0EA1">
        <w:rPr>
          <w:lang w:val="en-CA"/>
        </w:rPr>
        <w:t>be the parent of a student attending an institution under the school service centre</w:t>
      </w:r>
      <w:r w:rsidR="00E46AFD">
        <w:rPr>
          <w:lang w:val="en-CA"/>
        </w:rPr>
        <w:t>’</w:t>
      </w:r>
      <w:r w:rsidR="00B02E00" w:rsidRPr="000A0EA1">
        <w:rPr>
          <w:lang w:val="en-CA"/>
        </w:rPr>
        <w:t>s jurisdiction;</w:t>
      </w:r>
      <w:r w:rsidR="00B02E00" w:rsidRPr="000A0EA1">
        <w:rPr>
          <w:rStyle w:val="Appelnotedebasdep"/>
          <w:lang w:val="en-CA"/>
        </w:rPr>
        <w:footnoteReference w:id="203"/>
      </w:r>
      <w:r w:rsidR="00B02E00" w:rsidRPr="000A0EA1">
        <w:rPr>
          <w:lang w:val="en-CA"/>
        </w:rPr>
        <w:t xml:space="preserve"> and (2)</w:t>
      </w:r>
      <w:r w:rsidR="001416DD">
        <w:rPr>
          <w:lang w:val="en-CA"/>
        </w:rPr>
        <w:t> </w:t>
      </w:r>
      <w:r w:rsidR="00B02E00" w:rsidRPr="000A0EA1">
        <w:rPr>
          <w:lang w:val="en-CA"/>
        </w:rPr>
        <w:t>sit as a parent representative on the governing board of a school or of a vocational training centre that is under the jurisdiction of the school service centre.</w:t>
      </w:r>
      <w:r w:rsidR="00B02E00" w:rsidRPr="000A0EA1">
        <w:rPr>
          <w:rStyle w:val="Appelnotedebasdep"/>
          <w:lang w:val="en-CA"/>
        </w:rPr>
        <w:footnoteReference w:id="204"/>
      </w:r>
    </w:p>
    <w:p w14:paraId="17F5F324" w14:textId="1EFBDA30" w:rsidR="00F75613" w:rsidRPr="00EA63BE" w:rsidRDefault="00B02E00" w:rsidP="00B255B8">
      <w:pPr>
        <w:pStyle w:val="Paragraphe"/>
        <w:spacing w:line="240" w:lineRule="auto"/>
        <w:rPr>
          <w:lang w:val="en-CA"/>
        </w:rPr>
      </w:pPr>
      <w:r w:rsidRPr="000A0EA1">
        <w:rPr>
          <w:lang w:val="en-CA"/>
        </w:rPr>
        <w:t xml:space="preserve">The judge </w:t>
      </w:r>
      <w:r w:rsidR="00981829">
        <w:rPr>
          <w:lang w:val="en-CA"/>
        </w:rPr>
        <w:t>is</w:t>
      </w:r>
      <w:r w:rsidRPr="000A0EA1">
        <w:rPr>
          <w:lang w:val="en-CA"/>
        </w:rPr>
        <w:t xml:space="preserve"> of the view that these two requirements combined have the effect of </w:t>
      </w:r>
      <w:r w:rsidRPr="00EA63BE">
        <w:rPr>
          <w:lang w:val="en-CA"/>
        </w:rPr>
        <w:t>drastically</w:t>
      </w:r>
      <w:r w:rsidRPr="000A0EA1">
        <w:rPr>
          <w:lang w:val="en-CA"/>
        </w:rPr>
        <w:t xml:space="preserve"> reducing the pool of potential candidates for these positions. More specifically, he conclude</w:t>
      </w:r>
      <w:r w:rsidR="00981829">
        <w:rPr>
          <w:lang w:val="en-CA"/>
        </w:rPr>
        <w:t>s</w:t>
      </w:r>
      <w:r w:rsidRPr="000A0EA1">
        <w:rPr>
          <w:lang w:val="en-CA"/>
        </w:rPr>
        <w:t xml:space="preserve"> from the evidence that these new rules have the effect of disqualifying nearly 99% of voters currently registered on the electoral lists of the </w:t>
      </w:r>
      <w:r w:rsidR="00AE3408">
        <w:rPr>
          <w:lang w:val="en-CA"/>
        </w:rPr>
        <w:t>English</w:t>
      </w:r>
      <w:r w:rsidR="00AE3408">
        <w:rPr>
          <w:lang w:val="en-CA"/>
        </w:rPr>
        <w:noBreakHyphen/>
        <w:t>language</w:t>
      </w:r>
      <w:r w:rsidRPr="000A0EA1">
        <w:rPr>
          <w:lang w:val="en-CA"/>
        </w:rPr>
        <w:t xml:space="preserve"> </w:t>
      </w:r>
      <w:r w:rsidRPr="000A0EA1">
        <w:rPr>
          <w:lang w:val="en-CA"/>
        </w:rPr>
        <w:lastRenderedPageBreak/>
        <w:t>school boards.</w:t>
      </w:r>
      <w:r w:rsidRPr="000A0EA1">
        <w:rPr>
          <w:rStyle w:val="Appelnotedebasdep"/>
          <w:lang w:val="en-CA"/>
        </w:rPr>
        <w:footnoteReference w:id="205"/>
      </w:r>
      <w:r w:rsidRPr="000A0EA1">
        <w:rPr>
          <w:lang w:val="en-CA"/>
        </w:rPr>
        <w:t xml:space="preserve"> This conclusion is supported by Professor Loewen</w:t>
      </w:r>
      <w:r w:rsidR="00E46AFD">
        <w:rPr>
          <w:lang w:val="en-CA"/>
        </w:rPr>
        <w:t>’</w:t>
      </w:r>
      <w:r w:rsidRPr="000A0EA1">
        <w:rPr>
          <w:lang w:val="en-CA"/>
        </w:rPr>
        <w:t xml:space="preserve">s expert report, which clearly demonstrates the </w:t>
      </w:r>
      <w:r w:rsidR="00E46AFD">
        <w:rPr>
          <w:lang w:val="en-CA"/>
        </w:rPr>
        <w:t>“</w:t>
      </w:r>
      <w:r w:rsidRPr="000A0EA1">
        <w:rPr>
          <w:lang w:val="en-CA"/>
        </w:rPr>
        <w:t>mechanical effect</w:t>
      </w:r>
      <w:r w:rsidR="00E46AFD">
        <w:rPr>
          <w:lang w:val="en-CA"/>
        </w:rPr>
        <w:t>”</w:t>
      </w:r>
      <w:r w:rsidRPr="000A0EA1">
        <w:rPr>
          <w:lang w:val="en-CA"/>
        </w:rPr>
        <w:t xml:space="preserve"> of the new rules on the pool of potential candidates.</w:t>
      </w:r>
      <w:r w:rsidRPr="000A0EA1">
        <w:rPr>
          <w:rStyle w:val="Appelnotedebasdep"/>
          <w:lang w:val="en-CA"/>
        </w:rPr>
        <w:footnoteReference w:id="206"/>
      </w:r>
      <w:r w:rsidRPr="000A0EA1">
        <w:rPr>
          <w:lang w:val="en-CA"/>
        </w:rPr>
        <w:t xml:space="preserve"> The AGQ</w:t>
      </w:r>
      <w:r w:rsidR="00E46AFD">
        <w:rPr>
          <w:lang w:val="en-CA"/>
        </w:rPr>
        <w:t>’</w:t>
      </w:r>
      <w:r w:rsidRPr="000A0EA1">
        <w:rPr>
          <w:lang w:val="en-CA"/>
        </w:rPr>
        <w:t>s expert, Professor Olivier Lemieux, conceded that Professor Loewen</w:t>
      </w:r>
      <w:r w:rsidR="00E46AFD">
        <w:rPr>
          <w:lang w:val="en-CA"/>
        </w:rPr>
        <w:t>’</w:t>
      </w:r>
      <w:r w:rsidRPr="000A0EA1">
        <w:rPr>
          <w:lang w:val="en-CA"/>
        </w:rPr>
        <w:t>s demonstration was very convincing in this respect</w:t>
      </w:r>
      <w:r w:rsidR="00EA63BE">
        <w:rPr>
          <w:lang w:val="en-CA"/>
        </w:rPr>
        <w:t>.</w:t>
      </w:r>
      <w:r w:rsidRPr="000A0EA1">
        <w:rPr>
          <w:rStyle w:val="Appelnotedebasdep"/>
          <w:sz w:val="22"/>
          <w:szCs w:val="18"/>
          <w:lang w:val="en-CA"/>
        </w:rPr>
        <w:footnoteReference w:id="207"/>
      </w:r>
    </w:p>
    <w:p w14:paraId="17F5F325" w14:textId="198F653B" w:rsidR="00F75613" w:rsidRPr="000A0EA1" w:rsidRDefault="00B02E00" w:rsidP="00B255B8">
      <w:pPr>
        <w:pStyle w:val="Paragraphe"/>
        <w:spacing w:line="240" w:lineRule="auto"/>
        <w:rPr>
          <w:lang w:val="en-CA"/>
        </w:rPr>
      </w:pPr>
      <w:r w:rsidRPr="000A0EA1">
        <w:rPr>
          <w:lang w:val="en-CA"/>
        </w:rPr>
        <w:t>The judge point</w:t>
      </w:r>
      <w:r w:rsidR="00613DDA">
        <w:rPr>
          <w:lang w:val="en-CA"/>
        </w:rPr>
        <w:t>s</w:t>
      </w:r>
      <w:r w:rsidRPr="000A0EA1">
        <w:rPr>
          <w:lang w:val="en-CA"/>
        </w:rPr>
        <w:t xml:space="preserve"> this out in his reasons</w:t>
      </w:r>
      <w:r w:rsidR="00CA58AA">
        <w:rPr>
          <w:lang w:val="en-CA"/>
        </w:rPr>
        <w:t>,</w:t>
      </w:r>
      <w:r w:rsidRPr="000A0EA1">
        <w:rPr>
          <w:rStyle w:val="Appelnotedebasdep"/>
          <w:lang w:val="en-CA"/>
        </w:rPr>
        <w:footnoteReference w:id="208"/>
      </w:r>
      <w:r w:rsidRPr="000A0EA1">
        <w:rPr>
          <w:lang w:val="en-CA"/>
        </w:rPr>
        <w:t xml:space="preserve"> and the AGQ has not put forward any convincing reasons to set aside this evidence and the factual conclusions the judge drew therefrom.</w:t>
      </w:r>
    </w:p>
    <w:p w14:paraId="17F5F326" w14:textId="4CC410BD" w:rsidR="00F75613" w:rsidRPr="000A0EA1" w:rsidRDefault="00B02E00" w:rsidP="00B255B8">
      <w:pPr>
        <w:pStyle w:val="Paragraphe"/>
        <w:spacing w:line="240" w:lineRule="auto"/>
        <w:rPr>
          <w:lang w:val="en-CA"/>
        </w:rPr>
      </w:pPr>
      <w:r w:rsidRPr="000A0EA1">
        <w:rPr>
          <w:lang w:val="en-CA"/>
        </w:rPr>
        <w:t>Professor Loewen</w:t>
      </w:r>
      <w:r w:rsidR="00E46AFD">
        <w:rPr>
          <w:lang w:val="en-CA"/>
        </w:rPr>
        <w:t>’</w:t>
      </w:r>
      <w:r w:rsidRPr="000A0EA1">
        <w:rPr>
          <w:lang w:val="en-CA"/>
        </w:rPr>
        <w:t>s expert report also shows that the eligibility requirements for board of directors members, combined with the drastic reduction in their compensation through the abolition of their remuneration (replaced by an attendance allowance),</w:t>
      </w:r>
      <w:r w:rsidRPr="000A0EA1">
        <w:rPr>
          <w:rStyle w:val="Appelnotedebasdep"/>
          <w:lang w:val="en-CA"/>
        </w:rPr>
        <w:footnoteReference w:id="209"/>
      </w:r>
      <w:r w:rsidRPr="000A0EA1">
        <w:rPr>
          <w:lang w:val="en-CA"/>
        </w:rPr>
        <w:t xml:space="preserve"> are likely to discourage many potential candidates from taking part in school elections. The evidence he gathered – through a survey of members of the language minority, parents on the governing boards, and sitting commissioners – establishes that these individuals are less likely to stand as candidates in school elections held under the system instituted by </w:t>
      </w:r>
      <w:r w:rsidR="00C33BBC">
        <w:rPr>
          <w:i/>
          <w:iCs/>
          <w:lang w:val="en-CA"/>
        </w:rPr>
        <w:t>Bill 40</w:t>
      </w:r>
      <w:r w:rsidRPr="000A0EA1">
        <w:rPr>
          <w:lang w:val="en-CA"/>
        </w:rPr>
        <w:t>.</w:t>
      </w:r>
      <w:r w:rsidRPr="000A0EA1">
        <w:rPr>
          <w:rStyle w:val="Appelnotedebasdep"/>
          <w:rFonts w:cs="Arial"/>
          <w:color w:val="000000"/>
          <w:lang w:val="en-CA"/>
        </w:rPr>
        <w:footnoteReference w:id="210"/>
      </w:r>
      <w:r w:rsidRPr="000A0EA1">
        <w:rPr>
          <w:lang w:val="en-CA"/>
        </w:rPr>
        <w:t xml:space="preserve"> In his expert report, he explain</w:t>
      </w:r>
      <w:r w:rsidR="00A033C0">
        <w:rPr>
          <w:lang w:val="en-CA"/>
        </w:rPr>
        <w:t>s</w:t>
      </w:r>
      <w:r w:rsidRPr="000A0EA1">
        <w:rPr>
          <w:lang w:val="en-CA"/>
        </w:rPr>
        <w:t xml:space="preserve"> why </w:t>
      </w:r>
      <w:r w:rsidR="00C33BBC">
        <w:rPr>
          <w:i/>
          <w:iCs/>
          <w:lang w:val="en-CA"/>
        </w:rPr>
        <w:t>Bill 40</w:t>
      </w:r>
      <w:r w:rsidRPr="000A0EA1">
        <w:rPr>
          <w:lang w:val="en-CA"/>
        </w:rPr>
        <w:t xml:space="preserve"> has such an effect on potential candidates:</w:t>
      </w:r>
      <w:r w:rsidRPr="000A0EA1">
        <w:rPr>
          <w:rStyle w:val="Appelnotedebasdep"/>
          <w:lang w:val="en-CA"/>
        </w:rPr>
        <w:footnoteReference w:id="211"/>
      </w:r>
      <w:r w:rsidRPr="000A0EA1">
        <w:rPr>
          <w:lang w:val="en-CA"/>
        </w:rPr>
        <w:t xml:space="preserve"> </w:t>
      </w:r>
    </w:p>
    <w:p w14:paraId="17F5F327" w14:textId="77777777"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[20]</w:t>
      </w:r>
      <w:r w:rsidRPr="000A0EA1">
        <w:rPr>
          <w:rFonts w:cs="Arial"/>
          <w:sz w:val="22"/>
          <w:szCs w:val="22"/>
          <w:lang w:val="en-CA" w:eastAsia="fr-CA"/>
        </w:rPr>
        <w:tab/>
        <w:t xml:space="preserve">In addition to these mechanical effects, the legislation […] introduces substantial psychological costs for those considering running for office. As outlined in detail in Part IV of this report, </w:t>
      </w:r>
      <w:r w:rsidRPr="000A0EA1">
        <w:rPr>
          <w:rFonts w:cs="Arial"/>
          <w:sz w:val="22"/>
          <w:szCs w:val="22"/>
          <w:u w:val="single"/>
          <w:lang w:val="en-CA" w:eastAsia="fr-CA"/>
        </w:rPr>
        <w:t>I find that across all categories of people surveyed (rightsholders, parents on governing boards and commissioners), there is less willingness to run under this new system in comparison to the old system</w:t>
      </w:r>
      <w:r w:rsidRPr="000A0EA1">
        <w:rPr>
          <w:rFonts w:cs="Arial"/>
          <w:sz w:val="22"/>
          <w:szCs w:val="22"/>
          <w:lang w:val="en-CA" w:eastAsia="fr-CA"/>
        </w:rPr>
        <w:t xml:space="preserve">. Indeed, depending on the treatment, net 18 to 26 rightsholders out of 100 are less willing to run (net - 18 percent to net - 26 percent), net 32 to 62 parents on governing boards out of 100 are less willing to run (net - 32 percent to net - 62 percent), and net 54 to 77 commissioners out of 100 are less willing to run (net - 54 percent to net - 77 percent) (Table G.1, Appendix G). Importantly, </w:t>
      </w:r>
      <w:r w:rsidRPr="000A0EA1">
        <w:rPr>
          <w:rFonts w:cs="Arial"/>
          <w:sz w:val="22"/>
          <w:szCs w:val="22"/>
          <w:u w:val="single"/>
          <w:lang w:val="en-CA" w:eastAsia="fr-CA"/>
        </w:rPr>
        <w:t>the reduced willingness to run is more pronounced among parents on governing boards and even more among commissioners.</w:t>
      </w:r>
      <w:r w:rsidRPr="000A0EA1">
        <w:rPr>
          <w:rFonts w:cs="Arial"/>
          <w:sz w:val="22"/>
          <w:szCs w:val="22"/>
          <w:lang w:val="en-CA" w:eastAsia="fr-CA"/>
        </w:rPr>
        <w:t xml:space="preserve"> These psychological effects, then, appear most pronounced among those who have already demonstrated a willingness to serve their communities as representatives and who understand the challenges of acting as representatives.</w:t>
      </w:r>
    </w:p>
    <w:p w14:paraId="17F5F328" w14:textId="3AC236A5"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lastRenderedPageBreak/>
        <w:t>[21]</w:t>
      </w:r>
      <w:r w:rsidRPr="000A0EA1">
        <w:rPr>
          <w:rFonts w:cs="Arial"/>
          <w:sz w:val="22"/>
          <w:szCs w:val="22"/>
          <w:lang w:val="en-CA" w:eastAsia="fr-CA"/>
        </w:rPr>
        <w:tab/>
      </w:r>
      <w:r w:rsidRPr="000A0EA1">
        <w:rPr>
          <w:rFonts w:cs="Arial"/>
          <w:sz w:val="22"/>
          <w:szCs w:val="22"/>
          <w:u w:val="single"/>
          <w:lang w:val="en-CA" w:eastAsia="fr-CA"/>
        </w:rPr>
        <w:t xml:space="preserve">There are at least two psychological effects that explain why individuals are less willing to run under the </w:t>
      </w:r>
      <w:r w:rsidR="00C33BBC">
        <w:rPr>
          <w:rFonts w:cs="Arial"/>
          <w:sz w:val="22"/>
          <w:szCs w:val="22"/>
          <w:u w:val="single"/>
          <w:lang w:val="en-CA" w:eastAsia="fr-CA"/>
        </w:rPr>
        <w:t>Bill 40</w:t>
      </w:r>
      <w:r w:rsidRPr="000A0EA1">
        <w:rPr>
          <w:rFonts w:cs="Arial"/>
          <w:sz w:val="22"/>
          <w:szCs w:val="22"/>
          <w:u w:val="single"/>
          <w:lang w:val="en-CA" w:eastAsia="fr-CA"/>
        </w:rPr>
        <w:t xml:space="preserve"> system. One is the effect of uncertainty over candidacies. The second is the effect of increasing the difficulty of the job – especially via requiring dual mandates for parent representatives and requiring that community representatives run and serve in the entire territory of service centres – while changing compensation</w:t>
      </w:r>
      <w:r w:rsidRPr="000A0EA1">
        <w:rPr>
          <w:rFonts w:cs="Arial"/>
          <w:sz w:val="22"/>
          <w:szCs w:val="22"/>
          <w:lang w:val="en-CA" w:eastAsia="fr-CA"/>
        </w:rPr>
        <w:t>.</w:t>
      </w:r>
    </w:p>
    <w:p w14:paraId="17F5F329" w14:textId="77777777"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w:t>
      </w:r>
    </w:p>
    <w:p w14:paraId="17F5F32A" w14:textId="16B29A43"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[26]</w:t>
      </w:r>
      <w:r w:rsidRPr="000A0EA1">
        <w:rPr>
          <w:rFonts w:cs="Arial"/>
          <w:sz w:val="22"/>
          <w:szCs w:val="22"/>
          <w:lang w:val="en-CA" w:eastAsia="fr-CA"/>
        </w:rPr>
        <w:tab/>
        <w:t xml:space="preserve">Similarly, </w:t>
      </w:r>
      <w:r w:rsidRPr="000A0EA1">
        <w:rPr>
          <w:rFonts w:cs="Arial"/>
          <w:sz w:val="22"/>
          <w:szCs w:val="22"/>
          <w:u w:val="single"/>
          <w:lang w:val="en-CA" w:eastAsia="fr-CA"/>
        </w:rPr>
        <w:t>the requirement that parent representatives have children in school and serve both on the governing board of a local school and on the service centre has dissuasive effects, as confirmed by my survey results</w:t>
      </w:r>
      <w:r w:rsidRPr="000A0EA1">
        <w:rPr>
          <w:rFonts w:cs="Arial"/>
          <w:sz w:val="22"/>
          <w:szCs w:val="22"/>
          <w:lang w:val="en-CA" w:eastAsia="fr-CA"/>
        </w:rPr>
        <w:t xml:space="preserve">. When told about the dual mandate for parent representatives, net 24 rightsholders out of 100 are less willing to run (net - 24 %). Net 32 parents on governing boards out of 100 are less willing to run (net - 32 %). Finally, net 54 commissioners out of 100 are less willing to run (net - 54 %). As I show throughout the detailed survey results, these negative effects hold when discussing various aspects of the new legislation and across a large number of demographic subgroups […]. </w:t>
      </w:r>
      <w:r w:rsidRPr="000A0EA1">
        <w:rPr>
          <w:rFonts w:cs="Arial"/>
          <w:sz w:val="22"/>
          <w:szCs w:val="22"/>
          <w:u w:val="single"/>
          <w:lang w:val="en-CA" w:eastAsia="fr-CA"/>
        </w:rPr>
        <w:t>These results are unsurprising as, for many representatives, meaningfully engaging on the school board is already a substantial time commitment</w:t>
      </w:r>
      <w:r w:rsidR="00BD3602" w:rsidRPr="00BD3602">
        <w:rPr>
          <w:rFonts w:cs="Arial"/>
          <w:sz w:val="22"/>
          <w:szCs w:val="22"/>
          <w:lang w:val="en-CA" w:eastAsia="fr-CA"/>
        </w:rPr>
        <w:t>.</w:t>
      </w:r>
      <w:r w:rsidRPr="000A0EA1">
        <w:rPr>
          <w:rStyle w:val="Appelnotedebasdep"/>
          <w:rFonts w:cs="Arial"/>
          <w:sz w:val="22"/>
          <w:szCs w:val="22"/>
          <w:lang w:val="en-CA" w:eastAsia="fr-CA"/>
        </w:rPr>
        <w:footnoteReference w:id="212"/>
      </w:r>
      <w:r w:rsidRPr="000A0EA1">
        <w:rPr>
          <w:rFonts w:cs="Arial"/>
          <w:sz w:val="22"/>
          <w:szCs w:val="22"/>
          <w:lang w:val="en-CA" w:eastAsia="fr-CA"/>
        </w:rPr>
        <w:t xml:space="preserve"> For example, in the survey of commissioners, more than 54% report spending 10 or more hours a week on their duties as commissioners (Figure K.1, Appendix K). Fifty percent of commissioners in fact indicate that they would not have time to fulfil their duties both as a commissioner and on a governing board (Figure K.4, Appendix K). […]</w:t>
      </w:r>
    </w:p>
    <w:p w14:paraId="17F5F32B" w14:textId="3E18E791"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[27]</w:t>
      </w:r>
      <w:r w:rsidRPr="000A0EA1">
        <w:rPr>
          <w:rFonts w:cs="Arial"/>
          <w:sz w:val="22"/>
          <w:szCs w:val="22"/>
          <w:lang w:val="en-CA" w:eastAsia="fr-CA"/>
        </w:rPr>
        <w:tab/>
      </w:r>
      <w:r w:rsidRPr="000A0EA1">
        <w:rPr>
          <w:rFonts w:cs="Arial"/>
          <w:sz w:val="22"/>
          <w:szCs w:val="22"/>
          <w:u w:val="single"/>
          <w:lang w:val="en-CA" w:eastAsia="fr-CA"/>
        </w:rPr>
        <w:t xml:space="preserve">Finally, by changing remuneration – even modest remuneration – for members of boards of directors of the new service centres, </w:t>
      </w:r>
      <w:r w:rsidR="00C33BBC">
        <w:rPr>
          <w:rFonts w:cs="Arial"/>
          <w:sz w:val="22"/>
          <w:szCs w:val="22"/>
          <w:u w:val="single"/>
          <w:lang w:val="en-CA" w:eastAsia="fr-CA"/>
        </w:rPr>
        <w:t>Bill 40</w:t>
      </w:r>
      <w:r w:rsidRPr="000A0EA1">
        <w:rPr>
          <w:rFonts w:cs="Arial"/>
          <w:sz w:val="22"/>
          <w:szCs w:val="22"/>
          <w:u w:val="single"/>
          <w:lang w:val="en-CA" w:eastAsia="fr-CA"/>
        </w:rPr>
        <w:t xml:space="preserve"> both removes incentives to running, and erects barriers to doing so for those at the bottom end of income distribution</w:t>
      </w:r>
      <w:r w:rsidRPr="000A0EA1">
        <w:rPr>
          <w:rFonts w:cs="Arial"/>
          <w:sz w:val="22"/>
          <w:szCs w:val="22"/>
          <w:lang w:val="en-CA" w:eastAsia="fr-CA"/>
        </w:rPr>
        <w:t xml:space="preserve"> (Carnes 2018). This is supported by my survey data. First, I find that when respondents of all types – rightsholders, parents on governing boards, and commissioners – are told about changes to the compensation scheme, they report substantially reduced likelihoods of running, or belief in others</w:t>
      </w:r>
      <w:r w:rsidR="00E46AFD">
        <w:rPr>
          <w:rFonts w:cs="Arial"/>
          <w:sz w:val="22"/>
          <w:szCs w:val="22"/>
          <w:lang w:val="en-CA" w:eastAsia="fr-CA"/>
        </w:rPr>
        <w:t>’</w:t>
      </w:r>
      <w:r w:rsidRPr="000A0EA1">
        <w:rPr>
          <w:rFonts w:cs="Arial"/>
          <w:sz w:val="22"/>
          <w:szCs w:val="22"/>
          <w:lang w:val="en-CA" w:eastAsia="fr-CA"/>
        </w:rPr>
        <w:t xml:space="preserve"> willingness to run (see Table G.1, in Appendix G). Results indicate that net 26 rightsholders out of 100 are less willing to run (net - 26 %), net 62 parents on governing boards out of 100 are less willing to run (net - 62 %), and net 77 commissioners out of 100 are less willing to run (net - 77%). </w:t>
      </w:r>
      <w:r w:rsidRPr="000A0EA1">
        <w:rPr>
          <w:rFonts w:cs="Arial"/>
          <w:sz w:val="22"/>
          <w:szCs w:val="22"/>
          <w:u w:val="single"/>
          <w:lang w:val="en-CA" w:eastAsia="fr-CA"/>
        </w:rPr>
        <w:t>The combination of a dual role and the lack of remuneration may explain why parents in particular are dissuaded from running</w:t>
      </w:r>
      <w:r w:rsidRPr="000A0EA1">
        <w:rPr>
          <w:rFonts w:cs="Arial"/>
          <w:sz w:val="22"/>
          <w:szCs w:val="22"/>
          <w:lang w:val="en-CA" w:eastAsia="fr-CA"/>
        </w:rPr>
        <w:t>.</w:t>
      </w:r>
    </w:p>
    <w:p w14:paraId="17F5F32C" w14:textId="1FDAB5D6" w:rsidR="00F75613" w:rsidRPr="000A0EA1" w:rsidRDefault="00403CE7" w:rsidP="00B255B8">
      <w:pPr>
        <w:autoSpaceDE w:val="0"/>
        <w:autoSpaceDN w:val="0"/>
        <w:adjustRightInd w:val="0"/>
        <w:spacing w:before="120" w:after="120" w:line="240" w:lineRule="auto"/>
        <w:ind w:left="720" w:right="720"/>
        <w:jc w:val="right"/>
        <w:rPr>
          <w:sz w:val="22"/>
          <w:szCs w:val="22"/>
          <w:lang w:val="en-CA"/>
        </w:rPr>
      </w:pPr>
      <w:r>
        <w:rPr>
          <w:sz w:val="22"/>
          <w:szCs w:val="22"/>
          <w:lang w:val="en-CA"/>
        </w:rPr>
        <w:t>(</w:t>
      </w:r>
      <w:r w:rsidR="00B02E00" w:rsidRPr="000A0EA1">
        <w:rPr>
          <w:sz w:val="22"/>
          <w:szCs w:val="22"/>
          <w:lang w:val="en-CA"/>
        </w:rPr>
        <w:t>References and boldface omitted; underlining added</w:t>
      </w:r>
      <w:r>
        <w:rPr>
          <w:sz w:val="22"/>
          <w:szCs w:val="22"/>
          <w:lang w:val="en-CA"/>
        </w:rPr>
        <w:t>)</w:t>
      </w:r>
    </w:p>
    <w:p w14:paraId="17F5F32D" w14:textId="6762B6B0" w:rsidR="00F75613" w:rsidRPr="000A0EA1" w:rsidRDefault="00B02E00" w:rsidP="00B255B8">
      <w:pPr>
        <w:pStyle w:val="Paragraphe"/>
        <w:spacing w:line="240" w:lineRule="auto"/>
        <w:rPr>
          <w:lang w:val="en-CA"/>
        </w:rPr>
      </w:pPr>
      <w:r w:rsidRPr="000A0EA1">
        <w:rPr>
          <w:lang w:val="en-CA"/>
        </w:rPr>
        <w:t>The judge conclude</w:t>
      </w:r>
      <w:r w:rsidR="00A250F9">
        <w:rPr>
          <w:lang w:val="en-CA"/>
        </w:rPr>
        <w:t>s</w:t>
      </w:r>
      <w:r w:rsidRPr="000A0EA1">
        <w:rPr>
          <w:lang w:val="en-CA"/>
        </w:rPr>
        <w:t xml:space="preserve"> that this evidence is reliable and that the methodology on which it is based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 xml:space="preserve">is an adequate reflection of the reaction of currently </w:t>
      </w:r>
      <w:r w:rsidRPr="000A0EA1">
        <w:rPr>
          <w:lang w:val="en-CA"/>
        </w:rPr>
        <w:lastRenderedPageBreak/>
        <w:t>elected representatives</w:t>
      </w:r>
      <w:r w:rsidR="00E46AFD">
        <w:rPr>
          <w:lang w:val="en-CA"/>
        </w:rPr>
        <w:t>”</w:t>
      </w:r>
      <w:r w:rsidRPr="000A0EA1">
        <w:rPr>
          <w:lang w:val="en-CA"/>
        </w:rPr>
        <w:t>.</w:t>
      </w:r>
      <w:r w:rsidRPr="000A0EA1">
        <w:rPr>
          <w:rStyle w:val="Appelnotedebasdep"/>
          <w:lang w:val="en-CA"/>
        </w:rPr>
        <w:footnoteReference w:id="213"/>
      </w:r>
      <w:r w:rsidRPr="000A0EA1">
        <w:rPr>
          <w:lang w:val="en-CA"/>
        </w:rPr>
        <w:t xml:space="preserve"> He therefore reject</w:t>
      </w:r>
      <w:r w:rsidR="00CB2231">
        <w:rPr>
          <w:lang w:val="en-CA"/>
        </w:rPr>
        <w:t>s</w:t>
      </w:r>
      <w:r w:rsidRPr="000A0EA1">
        <w:rPr>
          <w:lang w:val="en-CA"/>
        </w:rPr>
        <w:t xml:space="preserve"> Professor Lemieux</w:t>
      </w:r>
      <w:r w:rsidR="00E46AFD">
        <w:rPr>
          <w:lang w:val="en-CA"/>
        </w:rPr>
        <w:t>’</w:t>
      </w:r>
      <w:r w:rsidRPr="000A0EA1">
        <w:rPr>
          <w:lang w:val="en-CA"/>
        </w:rPr>
        <w:t xml:space="preserve">s criticisms </w:t>
      </w:r>
      <w:r w:rsidR="00CB2231">
        <w:rPr>
          <w:lang w:val="en-CA"/>
        </w:rPr>
        <w:t>of this evidence</w:t>
      </w:r>
      <w:r w:rsidRPr="000A0EA1">
        <w:rPr>
          <w:lang w:val="en-CA"/>
        </w:rPr>
        <w:t xml:space="preserve">. </w:t>
      </w:r>
    </w:p>
    <w:p w14:paraId="17F5F32E" w14:textId="6D35D6E1" w:rsidR="00F75613" w:rsidRPr="000A0EA1" w:rsidRDefault="00B02E00" w:rsidP="00B255B8">
      <w:pPr>
        <w:pStyle w:val="Paragraphe"/>
        <w:spacing w:line="240" w:lineRule="auto"/>
        <w:rPr>
          <w:lang w:val="en-CA"/>
        </w:rPr>
      </w:pPr>
      <w:r w:rsidRPr="000A0EA1">
        <w:rPr>
          <w:lang w:val="en-CA"/>
        </w:rPr>
        <w:t>The AGQ has offered no valid reason for rejecting this finding of fact by the trial judge. Instead, he simply refers to his own expert</w:t>
      </w:r>
      <w:r w:rsidR="00E46AFD">
        <w:rPr>
          <w:lang w:val="en-CA"/>
        </w:rPr>
        <w:t>’</w:t>
      </w:r>
      <w:r w:rsidRPr="000A0EA1">
        <w:rPr>
          <w:lang w:val="en-CA"/>
        </w:rPr>
        <w:t>s evidence that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[o]n the French side, although parents are required to perform three functions, this requirement has not had the effect of reducing their participation</w:t>
      </w:r>
      <w:r w:rsidR="00E46AFD">
        <w:rPr>
          <w:lang w:val="en-CA"/>
        </w:rPr>
        <w:t>”</w:t>
      </w:r>
      <w:r w:rsidRPr="000A0EA1">
        <w:rPr>
          <w:lang w:val="en-CA"/>
        </w:rPr>
        <w:t>.</w:t>
      </w:r>
      <w:r w:rsidRPr="000A0EA1">
        <w:rPr>
          <w:rStyle w:val="Appelnotedebasdep"/>
          <w:lang w:val="en-CA"/>
        </w:rPr>
        <w:footnoteReference w:id="214"/>
      </w:r>
      <w:r w:rsidRPr="000A0EA1">
        <w:rPr>
          <w:lang w:val="en-CA"/>
        </w:rPr>
        <w:t xml:space="preserve"> The judge clearly did not accept this evidence, and the AGQ has not shown how he committed a palpable and overriding error in so deciding. As the respondents point out, the rules governing the eligibility and designation of members of the boards of directors of </w:t>
      </w:r>
      <w:r w:rsidR="00AE3408">
        <w:rPr>
          <w:lang w:val="en-CA"/>
        </w:rPr>
        <w:t>French</w:t>
      </w:r>
      <w:r w:rsidR="00AE3408">
        <w:rPr>
          <w:lang w:val="en-CA"/>
        </w:rPr>
        <w:noBreakHyphen/>
        <w:t>language</w:t>
      </w:r>
      <w:r w:rsidRPr="000A0EA1">
        <w:rPr>
          <w:lang w:val="en-CA"/>
        </w:rPr>
        <w:t xml:space="preserve"> school service centres differ considerably from those applicable on the English side, starting with the fact that </w:t>
      </w:r>
      <w:r w:rsidR="00AE3408">
        <w:rPr>
          <w:lang w:val="en-CA"/>
        </w:rPr>
        <w:t>French</w:t>
      </w:r>
      <w:r w:rsidR="00AE3408">
        <w:rPr>
          <w:lang w:val="en-CA"/>
        </w:rPr>
        <w:noBreakHyphen/>
        <w:t>language</w:t>
      </w:r>
      <w:r w:rsidRPr="000A0EA1">
        <w:rPr>
          <w:lang w:val="en-CA"/>
        </w:rPr>
        <w:t xml:space="preserve"> </w:t>
      </w:r>
      <w:r w:rsidR="00CB2231">
        <w:rPr>
          <w:lang w:val="en-CA"/>
        </w:rPr>
        <w:t xml:space="preserve">members of the </w:t>
      </w:r>
      <w:r w:rsidRPr="000A0EA1">
        <w:rPr>
          <w:lang w:val="en-CA"/>
        </w:rPr>
        <w:t>board of director</w:t>
      </w:r>
      <w:r w:rsidR="00772B57">
        <w:rPr>
          <w:lang w:val="en-CA"/>
        </w:rPr>
        <w:t>s</w:t>
      </w:r>
      <w:r w:rsidRPr="000A0EA1">
        <w:rPr>
          <w:lang w:val="en-CA"/>
        </w:rPr>
        <w:t xml:space="preserve"> do not have to be elected and that the legislation requires a much smaller number of them, particularly among parents. Professor Loewen expressly addressed this issue in his reply to the criticisms formulated by expert Olivier Lemieux:</w:t>
      </w:r>
      <w:r w:rsidRPr="000A0EA1">
        <w:rPr>
          <w:rStyle w:val="Appelnotedebasdep"/>
          <w:szCs w:val="24"/>
          <w:lang w:val="en-CA"/>
        </w:rPr>
        <w:footnoteReference w:id="215"/>
      </w:r>
      <w:r w:rsidRPr="000A0EA1">
        <w:rPr>
          <w:lang w:val="en-CA"/>
        </w:rPr>
        <w:t xml:space="preserve"> </w:t>
      </w:r>
    </w:p>
    <w:p w14:paraId="17F5F32F" w14:textId="2FB3934B" w:rsidR="00F75613" w:rsidRPr="000A0EA1" w:rsidRDefault="00B02E00" w:rsidP="00B255B8">
      <w:pPr>
        <w:pStyle w:val="Style1"/>
        <w:tabs>
          <w:tab w:val="clear" w:pos="360"/>
        </w:tabs>
        <w:spacing w:before="120" w:after="120" w:line="240" w:lineRule="auto"/>
        <w:ind w:left="720" w:right="720"/>
        <w:rPr>
          <w:sz w:val="22"/>
          <w:szCs w:val="18"/>
          <w:lang w:val="en-CA"/>
        </w:rPr>
      </w:pPr>
      <w:r w:rsidRPr="000A0EA1">
        <w:rPr>
          <w:sz w:val="22"/>
          <w:szCs w:val="18"/>
          <w:lang w:val="en-CA"/>
        </w:rPr>
        <w:t>[20]</w:t>
      </w:r>
      <w:r w:rsidRPr="000A0EA1">
        <w:rPr>
          <w:sz w:val="22"/>
          <w:szCs w:val="18"/>
          <w:lang w:val="en-CA"/>
        </w:rPr>
        <w:tab/>
        <w:t xml:space="preserve">[…] Prof. Lemieux does just that in parts of his report, when he relies on data from </w:t>
      </w:r>
      <w:r w:rsidR="00AE3408">
        <w:rPr>
          <w:sz w:val="22"/>
          <w:szCs w:val="18"/>
          <w:lang w:val="en-CA"/>
        </w:rPr>
        <w:t>French</w:t>
      </w:r>
      <w:r w:rsidR="00AE3408">
        <w:rPr>
          <w:sz w:val="22"/>
          <w:szCs w:val="18"/>
          <w:lang w:val="en-CA"/>
        </w:rPr>
        <w:noBreakHyphen/>
        <w:t>language</w:t>
      </w:r>
      <w:r w:rsidRPr="000A0EA1">
        <w:rPr>
          <w:sz w:val="22"/>
          <w:szCs w:val="18"/>
          <w:lang w:val="en-CA"/>
        </w:rPr>
        <w:t xml:space="preserve"> school service centres following the implementation of </w:t>
      </w:r>
      <w:r w:rsidR="00C33BBC">
        <w:rPr>
          <w:sz w:val="22"/>
          <w:szCs w:val="18"/>
          <w:lang w:val="en-CA"/>
        </w:rPr>
        <w:t>Bill 40</w:t>
      </w:r>
      <w:r w:rsidRPr="000A0EA1">
        <w:rPr>
          <w:sz w:val="22"/>
          <w:szCs w:val="18"/>
          <w:lang w:val="en-CA"/>
        </w:rPr>
        <w:t xml:space="preserve"> to draw inferences regarding what might happen in the English sector […]. Prof. Lemieux</w:t>
      </w:r>
      <w:r w:rsidR="00E46AFD">
        <w:rPr>
          <w:sz w:val="22"/>
          <w:szCs w:val="18"/>
          <w:lang w:val="en-CA"/>
        </w:rPr>
        <w:t>’</w:t>
      </w:r>
      <w:r w:rsidRPr="000A0EA1">
        <w:rPr>
          <w:sz w:val="22"/>
          <w:szCs w:val="18"/>
          <w:lang w:val="en-CA"/>
        </w:rPr>
        <w:t xml:space="preserve">s inferences here are, however, quite problematic given the major differences that exist in both sectors, including the fact that: </w:t>
      </w:r>
      <w:r w:rsidRPr="000A0EA1">
        <w:rPr>
          <w:sz w:val="22"/>
          <w:szCs w:val="18"/>
          <w:u w:val="single"/>
          <w:lang w:val="en-CA"/>
        </w:rPr>
        <w:t xml:space="preserve">(a) there are </w:t>
      </w:r>
      <w:r w:rsidRPr="000A0EA1">
        <w:rPr>
          <w:i/>
          <w:iCs/>
          <w:sz w:val="22"/>
          <w:szCs w:val="18"/>
          <w:u w:val="single"/>
          <w:lang w:val="en-CA"/>
        </w:rPr>
        <w:t>no general elections</w:t>
      </w:r>
      <w:r w:rsidRPr="000A0EA1">
        <w:rPr>
          <w:sz w:val="22"/>
          <w:szCs w:val="18"/>
          <w:u w:val="single"/>
          <w:lang w:val="en-CA"/>
        </w:rPr>
        <w:t xml:space="preserve"> in the French sector, unlike in the English sector, and (b) there are two to three more times the amount of parent representatives on the English sector than on the French side (8 to 17 vs 5)</w:t>
      </w:r>
      <w:r w:rsidRPr="000A0EA1">
        <w:rPr>
          <w:sz w:val="22"/>
          <w:szCs w:val="18"/>
          <w:lang w:val="en-CA"/>
        </w:rPr>
        <w:t xml:space="preserve"> […]. </w:t>
      </w:r>
      <w:r w:rsidRPr="000A0EA1">
        <w:rPr>
          <w:sz w:val="22"/>
          <w:szCs w:val="18"/>
          <w:u w:val="single"/>
          <w:lang w:val="en-CA"/>
        </w:rPr>
        <w:t>These differences will affect individuals</w:t>
      </w:r>
      <w:r w:rsidR="00E46AFD">
        <w:rPr>
          <w:sz w:val="22"/>
          <w:szCs w:val="18"/>
          <w:u w:val="single"/>
          <w:lang w:val="en-CA"/>
        </w:rPr>
        <w:t>’</w:t>
      </w:r>
      <w:r w:rsidRPr="000A0EA1">
        <w:rPr>
          <w:sz w:val="22"/>
          <w:szCs w:val="18"/>
          <w:u w:val="single"/>
          <w:lang w:val="en-CA"/>
        </w:rPr>
        <w:t xml:space="preserve"> willingness to participate on the boards of directors and the likelihood of seats being filled</w:t>
      </w:r>
      <w:r w:rsidRPr="000A0EA1">
        <w:rPr>
          <w:sz w:val="22"/>
          <w:szCs w:val="18"/>
          <w:lang w:val="en-CA"/>
        </w:rPr>
        <w:t>. Indeed, on the French side representatives can have greater individual impact (as they are one of 5, versus one of 8 to 17 members) and they do not need to go through the difficulty of elections. Election aversion is an important barrier to participation, especially among women (</w:t>
      </w:r>
      <w:proofErr w:type="spellStart"/>
      <w:r w:rsidRPr="000A0EA1">
        <w:rPr>
          <w:sz w:val="22"/>
          <w:szCs w:val="18"/>
          <w:lang w:val="en-CA"/>
        </w:rPr>
        <w:t>Kanthak</w:t>
      </w:r>
      <w:proofErr w:type="spellEnd"/>
      <w:r w:rsidRPr="000A0EA1">
        <w:rPr>
          <w:sz w:val="22"/>
          <w:szCs w:val="18"/>
          <w:lang w:val="en-CA"/>
        </w:rPr>
        <w:t xml:space="preserve"> and </w:t>
      </w:r>
      <w:proofErr w:type="spellStart"/>
      <w:r w:rsidRPr="000A0EA1">
        <w:rPr>
          <w:sz w:val="22"/>
          <w:szCs w:val="18"/>
          <w:lang w:val="en-CA"/>
        </w:rPr>
        <w:t>Woon</w:t>
      </w:r>
      <w:proofErr w:type="spellEnd"/>
      <w:r w:rsidRPr="000A0EA1">
        <w:rPr>
          <w:sz w:val="22"/>
          <w:szCs w:val="18"/>
          <w:lang w:val="en-CA"/>
        </w:rPr>
        <w:t> 2015). There is thus little to learn from this particular comparison.</w:t>
      </w:r>
    </w:p>
    <w:p w14:paraId="17F5F330" w14:textId="1D7A1926" w:rsidR="00F75613" w:rsidRPr="000A0EA1" w:rsidRDefault="00403CE7" w:rsidP="00B255B8">
      <w:pPr>
        <w:pStyle w:val="Style1"/>
        <w:tabs>
          <w:tab w:val="clear" w:pos="360"/>
        </w:tabs>
        <w:spacing w:before="120" w:after="120" w:line="240" w:lineRule="auto"/>
        <w:ind w:left="720" w:right="720"/>
        <w:jc w:val="right"/>
        <w:rPr>
          <w:sz w:val="22"/>
          <w:szCs w:val="18"/>
          <w:lang w:val="en-CA"/>
        </w:rPr>
      </w:pPr>
      <w:r>
        <w:rPr>
          <w:sz w:val="22"/>
          <w:szCs w:val="18"/>
          <w:lang w:val="en-CA"/>
        </w:rPr>
        <w:t>(</w:t>
      </w:r>
      <w:r w:rsidR="00B02E00" w:rsidRPr="000A0EA1">
        <w:rPr>
          <w:sz w:val="22"/>
          <w:szCs w:val="18"/>
          <w:lang w:val="en-CA"/>
        </w:rPr>
        <w:t>Underlining added</w:t>
      </w:r>
      <w:r>
        <w:rPr>
          <w:sz w:val="22"/>
          <w:szCs w:val="18"/>
          <w:lang w:val="en-CA"/>
        </w:rPr>
        <w:t>)</w:t>
      </w:r>
    </w:p>
    <w:p w14:paraId="17F5F331" w14:textId="09D4E0C4" w:rsidR="00F75613" w:rsidRPr="000A0EA1" w:rsidRDefault="00B02E00" w:rsidP="00B255B8">
      <w:pPr>
        <w:pStyle w:val="Paragraphe"/>
        <w:spacing w:line="240" w:lineRule="auto"/>
        <w:rPr>
          <w:lang w:val="en-CA"/>
        </w:rPr>
      </w:pPr>
      <w:r w:rsidRPr="000A0EA1">
        <w:rPr>
          <w:lang w:val="en-CA"/>
        </w:rPr>
        <w:t xml:space="preserve">In short, based on the evidence, the judge could conclude that </w:t>
      </w:r>
      <w:r w:rsidR="00C33BBC">
        <w:rPr>
          <w:i/>
          <w:iCs/>
          <w:lang w:val="en-CA"/>
        </w:rPr>
        <w:t>Bill 40</w:t>
      </w:r>
      <w:r w:rsidRPr="000A0EA1">
        <w:rPr>
          <w:lang w:val="en-CA"/>
        </w:rPr>
        <w:t xml:space="preserve"> unduly limits the number of potential candidates for the position of parent representative and that, moreover,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 xml:space="preserve">[t]he difficulty of recruiting candidates is exacerbated in outlying school boards, where the number of eligible </w:t>
      </w:r>
      <w:r w:rsidR="00A250F9">
        <w:rPr>
          <w:lang w:val="en-CA"/>
        </w:rPr>
        <w:t>rights-holders</w:t>
      </w:r>
      <w:r w:rsidRPr="000A0EA1">
        <w:rPr>
          <w:lang w:val="en-CA"/>
        </w:rPr>
        <w:t xml:space="preserve"> is decreasing and distances are increasing</w:t>
      </w:r>
      <w:r w:rsidR="00E46AFD">
        <w:rPr>
          <w:lang w:val="en-CA"/>
        </w:rPr>
        <w:t>”</w:t>
      </w:r>
      <w:r w:rsidRPr="000A0EA1">
        <w:rPr>
          <w:lang w:val="en-CA"/>
        </w:rPr>
        <w:t>.</w:t>
      </w:r>
      <w:r w:rsidRPr="000A0EA1">
        <w:rPr>
          <w:rStyle w:val="Appelnotedebasdep"/>
          <w:rFonts w:cs="Arial"/>
          <w:color w:val="000000"/>
          <w:lang w:val="en-CA"/>
        </w:rPr>
        <w:footnoteReference w:id="216"/>
      </w:r>
    </w:p>
    <w:p w14:paraId="17F5F332" w14:textId="02CA0812" w:rsidR="00F75613" w:rsidRPr="000A0EA1" w:rsidRDefault="00B02E00" w:rsidP="00B255B8">
      <w:pPr>
        <w:pStyle w:val="Paragraphe"/>
        <w:spacing w:line="240" w:lineRule="auto"/>
        <w:rPr>
          <w:lang w:val="en-CA"/>
        </w:rPr>
      </w:pPr>
      <w:r w:rsidRPr="000A0EA1">
        <w:rPr>
          <w:lang w:val="en-CA"/>
        </w:rPr>
        <w:lastRenderedPageBreak/>
        <w:t xml:space="preserve">This significant restriction on the pool of potential candidates for parent representative positions on boards of directors infringes </w:t>
      </w:r>
      <w:r w:rsidR="0062160E">
        <w:rPr>
          <w:lang w:val="en-CA"/>
        </w:rPr>
        <w:t>s. 2</w:t>
      </w:r>
      <w:r w:rsidRPr="000A0EA1">
        <w:rPr>
          <w:lang w:val="en-CA"/>
        </w:rPr>
        <w:t xml:space="preserve">3 of the </w:t>
      </w:r>
      <w:r w:rsidRPr="000A0EA1">
        <w:rPr>
          <w:i/>
          <w:iCs/>
          <w:lang w:val="en-CA"/>
        </w:rPr>
        <w:t>Charter</w:t>
      </w:r>
      <w:r w:rsidRPr="000A0EA1">
        <w:rPr>
          <w:lang w:val="en-CA"/>
        </w:rPr>
        <w:t xml:space="preserve">. As </w:t>
      </w:r>
      <w:r w:rsidR="0026193F">
        <w:rPr>
          <w:lang w:val="en-CA"/>
        </w:rPr>
        <w:t>the Court</w:t>
      </w:r>
      <w:r w:rsidRPr="000A0EA1">
        <w:rPr>
          <w:lang w:val="en-CA"/>
        </w:rPr>
        <w:t xml:space="preserve"> concluded above, the rights of management and control over minority</w:t>
      </w:r>
      <w:r w:rsidR="006932D8">
        <w:rPr>
          <w:lang w:val="en-CA"/>
        </w:rPr>
        <w:t xml:space="preserve"> </w:t>
      </w:r>
      <w:r w:rsidRPr="000A0EA1">
        <w:rPr>
          <w:lang w:val="en-CA"/>
        </w:rPr>
        <w:t xml:space="preserve">language educational facilities arising under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are for the benefit of the linguistic minority as a whole. These rights must therefore actually be exercised by representatives chosen from and by members of the linguistic minority as a whole. By </w:t>
      </w:r>
      <w:r w:rsidR="0061694E">
        <w:rPr>
          <w:lang w:val="en-CA"/>
        </w:rPr>
        <w:t xml:space="preserve">drastically </w:t>
      </w:r>
      <w:r w:rsidRPr="000A0EA1">
        <w:rPr>
          <w:lang w:val="en-CA"/>
        </w:rPr>
        <w:t xml:space="preserve">reducing the pool of eligible candidates for parent representative positions, </w:t>
      </w:r>
      <w:r w:rsidR="00C33BBC">
        <w:rPr>
          <w:i/>
          <w:iCs/>
          <w:lang w:val="en-CA"/>
        </w:rPr>
        <w:t>Bill 40</w:t>
      </w:r>
      <w:r w:rsidRPr="000A0EA1">
        <w:rPr>
          <w:lang w:val="en-CA"/>
        </w:rPr>
        <w:t xml:space="preserve"> severely limits the ability of members of the linguistic minority to choose the individuals who will act as its representatives on the boards of directors of </w:t>
      </w:r>
      <w:r w:rsidR="00AE3408">
        <w:rPr>
          <w:lang w:val="en-CA"/>
        </w:rPr>
        <w:t>English</w:t>
      </w:r>
      <w:r w:rsidR="00AE3408">
        <w:rPr>
          <w:lang w:val="en-CA"/>
        </w:rPr>
        <w:noBreakHyphen/>
        <w:t>language</w:t>
      </w:r>
      <w:r w:rsidRPr="000A0EA1">
        <w:rPr>
          <w:lang w:val="en-CA"/>
        </w:rPr>
        <w:t xml:space="preserve"> school service centres. In a way, it neutralizes their right to choose their representatives and stand as candidates.</w:t>
      </w:r>
    </w:p>
    <w:p w14:paraId="17F5F333" w14:textId="77777777" w:rsidR="00F75613" w:rsidRPr="000A0EA1" w:rsidRDefault="00B02E00" w:rsidP="00B255B8">
      <w:pPr>
        <w:pStyle w:val="Style1"/>
        <w:tabs>
          <w:tab w:val="clear" w:pos="360"/>
        </w:tabs>
        <w:spacing w:line="240" w:lineRule="auto"/>
        <w:ind w:left="1440" w:firstLine="720"/>
        <w:rPr>
          <w:u w:val="single"/>
          <w:lang w:val="en-CA"/>
        </w:rPr>
      </w:pPr>
      <w:r w:rsidRPr="000A0EA1">
        <w:rPr>
          <w:u w:val="single"/>
          <w:lang w:val="en-CA"/>
        </w:rPr>
        <w:t>Eligibility criteria for community representatives</w:t>
      </w:r>
    </w:p>
    <w:p w14:paraId="17F5F334" w14:textId="1BEBA48F" w:rsidR="00F75613" w:rsidRPr="000A0EA1" w:rsidRDefault="00B02E00" w:rsidP="00B255B8">
      <w:pPr>
        <w:pStyle w:val="Paragraphe"/>
        <w:spacing w:line="240" w:lineRule="auto"/>
        <w:rPr>
          <w:lang w:val="en-CA"/>
        </w:rPr>
      </w:pPr>
      <w:r w:rsidRPr="000A0EA1">
        <w:rPr>
          <w:lang w:val="en-CA"/>
        </w:rPr>
        <w:t xml:space="preserve">Under the new scheme, community representatives are granted between 4 and 13 of the 16 to 34 positions on the board of directors of an </w:t>
      </w:r>
      <w:r w:rsidR="00AE3408">
        <w:rPr>
          <w:lang w:val="en-CA"/>
        </w:rPr>
        <w:t>English</w:t>
      </w:r>
      <w:r w:rsidR="00AE3408">
        <w:rPr>
          <w:lang w:val="en-CA"/>
        </w:rPr>
        <w:noBreakHyphen/>
        <w:t>language</w:t>
      </w:r>
      <w:r w:rsidRPr="000A0EA1">
        <w:rPr>
          <w:lang w:val="en-CA"/>
        </w:rPr>
        <w:t xml:space="preserve"> school service centre.</w:t>
      </w:r>
      <w:r w:rsidRPr="000A0EA1">
        <w:rPr>
          <w:rStyle w:val="Appelnotedebasdep"/>
          <w:lang w:val="en-CA"/>
        </w:rPr>
        <w:footnoteReference w:id="217"/>
      </w:r>
      <w:r w:rsidRPr="000A0EA1">
        <w:rPr>
          <w:lang w:val="en-CA"/>
        </w:rPr>
        <w:t xml:space="preserve"> Their number varies according to the number of electoral divisions established in the school service centre</w:t>
      </w:r>
      <w:r w:rsidR="00E46AFD">
        <w:rPr>
          <w:lang w:val="en-CA"/>
        </w:rPr>
        <w:t>’</w:t>
      </w:r>
      <w:r w:rsidRPr="000A0EA1">
        <w:rPr>
          <w:lang w:val="en-CA"/>
        </w:rPr>
        <w:t>s territory, from which the four positions reserved for centre staff members are subtracted.</w:t>
      </w:r>
      <w:r w:rsidRPr="000A0EA1">
        <w:rPr>
          <w:rStyle w:val="Appelnotedebasdep"/>
          <w:lang w:val="en-CA"/>
        </w:rPr>
        <w:footnoteReference w:id="218"/>
      </w:r>
      <w:r w:rsidRPr="000A0EA1">
        <w:rPr>
          <w:lang w:val="en-CA"/>
        </w:rPr>
        <w:t xml:space="preserve"> </w:t>
      </w:r>
    </w:p>
    <w:p w14:paraId="17F5F335" w14:textId="77777777" w:rsidR="00F75613" w:rsidRPr="000A0EA1" w:rsidRDefault="00B02E00" w:rsidP="00B255B8">
      <w:pPr>
        <w:pStyle w:val="Paragraphe"/>
        <w:spacing w:line="240" w:lineRule="auto"/>
        <w:rPr>
          <w:lang w:val="en-CA"/>
        </w:rPr>
      </w:pPr>
      <w:r w:rsidRPr="000A0EA1">
        <w:rPr>
          <w:lang w:val="en-CA"/>
        </w:rPr>
        <w:t>Unlike parent representatives, community representatives are elected by suffrage of the electors in the entire territory of the school service centre.</w:t>
      </w:r>
      <w:r w:rsidRPr="000A0EA1">
        <w:rPr>
          <w:rStyle w:val="Appelnotedebasdep"/>
          <w:lang w:val="en-CA"/>
        </w:rPr>
        <w:footnoteReference w:id="219"/>
      </w:r>
      <w:r w:rsidRPr="000A0EA1">
        <w:rPr>
          <w:lang w:val="en-CA"/>
        </w:rPr>
        <w:t xml:space="preserve"> Moreover, in order to run as candidates, community representatives must now satisfy certain expertise profiles dictated by the government, namely:</w:t>
      </w:r>
      <w:r w:rsidRPr="000A0EA1">
        <w:rPr>
          <w:rStyle w:val="Appelnotedebasdep"/>
          <w:lang w:val="en-CA"/>
        </w:rPr>
        <w:footnoteReference w:id="220"/>
      </w:r>
      <w:r w:rsidRPr="000A0EA1">
        <w:rPr>
          <w:lang w:val="en-CA"/>
        </w:rPr>
        <w:t xml:space="preserve"> </w:t>
      </w:r>
    </w:p>
    <w:p w14:paraId="17F5F336" w14:textId="77777777" w:rsidR="00F75613" w:rsidRPr="000A0EA1" w:rsidRDefault="00B02E00" w:rsidP="00B255B8">
      <w:pPr>
        <w:pStyle w:val="Paragraphe"/>
        <w:numPr>
          <w:ilvl w:val="0"/>
          <w:numId w:val="10"/>
        </w:numPr>
        <w:spacing w:line="240" w:lineRule="auto"/>
        <w:ind w:left="714" w:hanging="357"/>
        <w:rPr>
          <w:lang w:val="en-CA"/>
        </w:rPr>
      </w:pPr>
      <w:r w:rsidRPr="000A0EA1">
        <w:rPr>
          <w:lang w:val="en-CA"/>
        </w:rPr>
        <w:t xml:space="preserve">at least one person with expertise in governance, in ethics, in risk management or in human resources management; </w:t>
      </w:r>
    </w:p>
    <w:p w14:paraId="17F5F337" w14:textId="77777777" w:rsidR="00F75613" w:rsidRPr="000A0EA1" w:rsidRDefault="00B02E00" w:rsidP="00B255B8">
      <w:pPr>
        <w:pStyle w:val="Paragraphe"/>
        <w:numPr>
          <w:ilvl w:val="0"/>
          <w:numId w:val="10"/>
        </w:numPr>
        <w:spacing w:line="240" w:lineRule="auto"/>
        <w:ind w:left="714" w:hanging="357"/>
        <w:rPr>
          <w:lang w:val="en-CA"/>
        </w:rPr>
      </w:pPr>
      <w:r w:rsidRPr="000A0EA1">
        <w:rPr>
          <w:lang w:val="en-CA"/>
        </w:rPr>
        <w:t xml:space="preserve">at least one person with expertise in finance or accounting or in financial or physical resources management; </w:t>
      </w:r>
    </w:p>
    <w:p w14:paraId="17F5F338" w14:textId="77777777" w:rsidR="00F75613" w:rsidRPr="000A0EA1" w:rsidRDefault="00B02E00" w:rsidP="00B255B8">
      <w:pPr>
        <w:pStyle w:val="Paragraphe"/>
        <w:numPr>
          <w:ilvl w:val="0"/>
          <w:numId w:val="10"/>
        </w:numPr>
        <w:spacing w:line="240" w:lineRule="auto"/>
        <w:ind w:left="714" w:hanging="357"/>
        <w:rPr>
          <w:lang w:val="en-CA"/>
        </w:rPr>
      </w:pPr>
      <w:r w:rsidRPr="000A0EA1">
        <w:rPr>
          <w:lang w:val="en-CA"/>
        </w:rPr>
        <w:t>at least one person from the community, municipal, sport, cultural, health, social services or business sector; and</w:t>
      </w:r>
    </w:p>
    <w:p w14:paraId="17F5F339" w14:textId="77777777" w:rsidR="00F75613" w:rsidRPr="000A0EA1" w:rsidRDefault="00B02E00" w:rsidP="00B255B8">
      <w:pPr>
        <w:pStyle w:val="Paragraphe"/>
        <w:numPr>
          <w:ilvl w:val="0"/>
          <w:numId w:val="10"/>
        </w:numPr>
        <w:spacing w:line="240" w:lineRule="auto"/>
        <w:rPr>
          <w:lang w:val="en-CA"/>
        </w:rPr>
      </w:pPr>
      <w:r w:rsidRPr="000A0EA1">
        <w:rPr>
          <w:lang w:val="en-CA"/>
        </w:rPr>
        <w:t>at least one person aged 18 to 35.</w:t>
      </w:r>
    </w:p>
    <w:p w14:paraId="17F5F33A" w14:textId="1D03EAA5" w:rsidR="00F75613" w:rsidRPr="000A0EA1" w:rsidRDefault="00B02E00" w:rsidP="00B255B8">
      <w:pPr>
        <w:pStyle w:val="Paragraphe"/>
        <w:spacing w:line="240" w:lineRule="auto"/>
        <w:rPr>
          <w:lang w:val="en-CA"/>
        </w:rPr>
      </w:pPr>
      <w:r w:rsidRPr="000A0EA1">
        <w:rPr>
          <w:lang w:val="en-CA"/>
        </w:rPr>
        <w:t>The expertise profiles are attributed to the community representative positions in the order set out above</w:t>
      </w:r>
      <w:r w:rsidR="00942EF9">
        <w:rPr>
          <w:lang w:val="en-CA"/>
        </w:rPr>
        <w:t>.</w:t>
      </w:r>
      <w:r w:rsidRPr="000A0EA1">
        <w:rPr>
          <w:lang w:val="en-CA"/>
        </w:rPr>
        <w:t xml:space="preserve"> </w:t>
      </w:r>
      <w:r w:rsidR="00942EF9">
        <w:rPr>
          <w:lang w:val="en-CA"/>
        </w:rPr>
        <w:t>If</w:t>
      </w:r>
      <w:r w:rsidRPr="000A0EA1">
        <w:rPr>
          <w:lang w:val="en-CA"/>
        </w:rPr>
        <w:t xml:space="preserve"> the number of community representative positions is greater </w:t>
      </w:r>
      <w:r w:rsidRPr="000A0EA1">
        <w:rPr>
          <w:lang w:val="en-CA"/>
        </w:rPr>
        <w:lastRenderedPageBreak/>
        <w:t>than four, the profiles are attributed to the additional positions according to the same order, and this is repeated until a profile has been attributed to each of the positions.</w:t>
      </w:r>
      <w:r w:rsidRPr="000A0EA1">
        <w:rPr>
          <w:rStyle w:val="Appelnotedebasdep"/>
          <w:lang w:val="en-CA"/>
        </w:rPr>
        <w:footnoteReference w:id="221"/>
      </w:r>
    </w:p>
    <w:p w14:paraId="17F5F33B" w14:textId="21F82144" w:rsidR="00F75613" w:rsidRPr="000A0EA1" w:rsidRDefault="00B02E00" w:rsidP="00B255B8">
      <w:pPr>
        <w:pStyle w:val="Paragraphe"/>
        <w:spacing w:line="240" w:lineRule="auto"/>
        <w:rPr>
          <w:lang w:val="en-CA"/>
        </w:rPr>
      </w:pPr>
      <w:r w:rsidRPr="000A0EA1">
        <w:rPr>
          <w:lang w:val="en-CA"/>
        </w:rPr>
        <w:t>Based on Professor Loewen</w:t>
      </w:r>
      <w:r w:rsidR="00E46AFD">
        <w:rPr>
          <w:lang w:val="en-CA"/>
        </w:rPr>
        <w:t>’</w:t>
      </w:r>
      <w:r w:rsidRPr="000A0EA1">
        <w:rPr>
          <w:lang w:val="en-CA"/>
        </w:rPr>
        <w:t>s expert report, the judge concluded that these new requirements reduce the pool of eligible candidates for these positions by about 50%</w:t>
      </w:r>
      <w:r w:rsidR="00BD3602">
        <w:rPr>
          <w:lang w:val="en-CA"/>
        </w:rPr>
        <w:t>.</w:t>
      </w:r>
      <w:r w:rsidRPr="000A0EA1">
        <w:rPr>
          <w:rStyle w:val="Appelnotedebasdep"/>
          <w:lang w:val="en-CA"/>
        </w:rPr>
        <w:footnoteReference w:id="222"/>
      </w:r>
      <w:r w:rsidRPr="000A0EA1">
        <w:rPr>
          <w:lang w:val="en-CA"/>
        </w:rPr>
        <w:t xml:space="preserve"> Professor Loewen stated the following:</w:t>
      </w:r>
      <w:r w:rsidRPr="000A0EA1">
        <w:rPr>
          <w:rStyle w:val="Appelnotedebasdep"/>
          <w:rFonts w:cs="Arial"/>
          <w:szCs w:val="24"/>
          <w:lang w:val="en-CA" w:eastAsia="fr-CA"/>
        </w:rPr>
        <w:footnoteReference w:id="223"/>
      </w:r>
      <w:r w:rsidRPr="000A0EA1">
        <w:rPr>
          <w:lang w:val="en-CA"/>
        </w:rPr>
        <w:t xml:space="preserve"> </w:t>
      </w:r>
    </w:p>
    <w:p w14:paraId="17F5F33C" w14:textId="31F5EE11" w:rsidR="00F75613" w:rsidRPr="000A0EA1" w:rsidRDefault="00B02E00" w:rsidP="00406B00">
      <w:pPr>
        <w:autoSpaceDE w:val="0"/>
        <w:autoSpaceDN w:val="0"/>
        <w:adjustRightInd w:val="0"/>
        <w:spacing w:before="120" w:line="240" w:lineRule="auto"/>
        <w:ind w:left="720" w:right="720"/>
        <w:jc w:val="both"/>
        <w:rPr>
          <w:rFonts w:cs="Arial"/>
          <w:sz w:val="22"/>
          <w:szCs w:val="22"/>
          <w:lang w:val="en-CA" w:eastAsia="fr-CA"/>
        </w:rPr>
      </w:pPr>
      <w:r w:rsidRPr="000A0EA1">
        <w:rPr>
          <w:rFonts w:cs="Arial"/>
          <w:sz w:val="22"/>
          <w:szCs w:val="22"/>
          <w:lang w:val="en-CA" w:eastAsia="fr-CA"/>
        </w:rPr>
        <w:t>[17]</w:t>
      </w:r>
      <w:r w:rsidRPr="000A0EA1">
        <w:rPr>
          <w:rFonts w:cs="Arial"/>
          <w:sz w:val="22"/>
          <w:szCs w:val="22"/>
          <w:lang w:val="en-CA" w:eastAsia="fr-CA"/>
        </w:rPr>
        <w:tab/>
        <w:t xml:space="preserve">Recall that in the previous legislative scheme, there were 2,440 potential eligible individuals for each commissioner position (as set out above). In the </w:t>
      </w:r>
      <w:r w:rsidR="00C33BBC">
        <w:rPr>
          <w:rFonts w:cs="Arial"/>
          <w:sz w:val="22"/>
          <w:szCs w:val="22"/>
          <w:lang w:val="en-CA" w:eastAsia="fr-CA"/>
        </w:rPr>
        <w:t>Bill 40</w:t>
      </w:r>
      <w:r w:rsidRPr="000A0EA1">
        <w:rPr>
          <w:rFonts w:cs="Arial"/>
          <w:sz w:val="22"/>
          <w:szCs w:val="22"/>
          <w:lang w:val="en-CA" w:eastAsia="fr-CA"/>
        </w:rPr>
        <w:t xml:space="preserve"> scheme, assuming that the positions reserved for persons </w:t>
      </w:r>
      <w:r w:rsidR="00E46AFD">
        <w:rPr>
          <w:rFonts w:cs="Arial"/>
          <w:sz w:val="22"/>
          <w:szCs w:val="22"/>
          <w:lang w:val="en-CA" w:eastAsia="fr-CA"/>
        </w:rPr>
        <w:t>“</w:t>
      </w:r>
      <w:r w:rsidRPr="000A0EA1">
        <w:rPr>
          <w:rFonts w:cs="Arial"/>
          <w:sz w:val="22"/>
          <w:szCs w:val="22"/>
          <w:lang w:val="en-CA" w:eastAsia="fr-CA"/>
        </w:rPr>
        <w:t>with expertise in governance, in ethics, in risk management or in human resources management</w:t>
      </w:r>
      <w:r w:rsidR="00E46AFD">
        <w:rPr>
          <w:rFonts w:cs="Arial"/>
          <w:sz w:val="22"/>
          <w:szCs w:val="22"/>
          <w:lang w:val="en-CA" w:eastAsia="fr-CA"/>
        </w:rPr>
        <w:t>”</w:t>
      </w:r>
      <w:r w:rsidRPr="000A0EA1">
        <w:rPr>
          <w:rFonts w:cs="Arial"/>
          <w:sz w:val="22"/>
          <w:szCs w:val="22"/>
          <w:lang w:val="en-CA" w:eastAsia="fr-CA"/>
        </w:rPr>
        <w:t xml:space="preserve"> or </w:t>
      </w:r>
      <w:r w:rsidR="00E46AFD">
        <w:rPr>
          <w:rFonts w:cs="Arial"/>
          <w:sz w:val="22"/>
          <w:szCs w:val="22"/>
          <w:lang w:val="en-CA" w:eastAsia="fr-CA"/>
        </w:rPr>
        <w:t>“</w:t>
      </w:r>
      <w:r w:rsidRPr="000A0EA1">
        <w:rPr>
          <w:rFonts w:cs="Arial"/>
          <w:sz w:val="22"/>
          <w:szCs w:val="22"/>
          <w:lang w:val="en-CA" w:eastAsia="fr-CA"/>
        </w:rPr>
        <w:t>with expertise in finance or accounting, or in financial or physical resources management</w:t>
      </w:r>
      <w:r w:rsidR="00E46AFD">
        <w:rPr>
          <w:rFonts w:cs="Arial"/>
          <w:sz w:val="22"/>
          <w:szCs w:val="22"/>
          <w:lang w:val="en-CA" w:eastAsia="fr-CA"/>
        </w:rPr>
        <w:t>”</w:t>
      </w:r>
      <w:r w:rsidRPr="000A0EA1">
        <w:rPr>
          <w:rFonts w:cs="Arial"/>
          <w:sz w:val="22"/>
          <w:szCs w:val="22"/>
          <w:lang w:val="en-CA" w:eastAsia="fr-CA"/>
        </w:rPr>
        <w:t xml:space="preserve"> (the first two profiles listed at section 50 of </w:t>
      </w:r>
      <w:r w:rsidR="00C33BBC">
        <w:rPr>
          <w:rFonts w:cs="Arial"/>
          <w:sz w:val="22"/>
          <w:szCs w:val="22"/>
          <w:lang w:val="en-CA" w:eastAsia="fr-CA"/>
        </w:rPr>
        <w:t>Bill 40</w:t>
      </w:r>
      <w:r w:rsidRPr="000A0EA1">
        <w:rPr>
          <w:rFonts w:cs="Arial"/>
          <w:sz w:val="22"/>
          <w:szCs w:val="22"/>
          <w:lang w:val="en-CA" w:eastAsia="fr-CA"/>
        </w:rPr>
        <w:t xml:space="preserve"> or new section 143.1 of the </w:t>
      </w:r>
      <w:r w:rsidRPr="000A0EA1">
        <w:rPr>
          <w:rFonts w:cs="Arial"/>
          <w:i/>
          <w:iCs/>
          <w:sz w:val="22"/>
          <w:szCs w:val="22"/>
          <w:lang w:val="en-CA" w:eastAsia="fr-CA"/>
        </w:rPr>
        <w:t>Education Act</w:t>
      </w:r>
      <w:r w:rsidRPr="000A0EA1">
        <w:rPr>
          <w:rFonts w:cs="Arial"/>
          <w:sz w:val="22"/>
          <w:szCs w:val="22"/>
          <w:lang w:val="en-CA" w:eastAsia="fr-CA"/>
        </w:rPr>
        <w:t>)</w:t>
      </w:r>
      <w:r w:rsidRPr="000A0EA1">
        <w:rPr>
          <w:rFonts w:cs="Arial"/>
          <w:i/>
          <w:iCs/>
          <w:sz w:val="22"/>
          <w:szCs w:val="22"/>
          <w:lang w:val="en-CA" w:eastAsia="fr-CA"/>
        </w:rPr>
        <w:t xml:space="preserve"> </w:t>
      </w:r>
      <w:r w:rsidRPr="000A0EA1">
        <w:rPr>
          <w:rFonts w:cs="Arial"/>
          <w:sz w:val="22"/>
          <w:szCs w:val="22"/>
          <w:lang w:val="en-CA" w:eastAsia="fr-CA"/>
        </w:rPr>
        <w:t xml:space="preserve">correspond to the </w:t>
      </w:r>
      <w:r w:rsidR="00E46AFD">
        <w:rPr>
          <w:rFonts w:cs="Arial"/>
          <w:sz w:val="22"/>
          <w:szCs w:val="22"/>
          <w:lang w:val="en-CA" w:eastAsia="fr-CA"/>
        </w:rPr>
        <w:t>“</w:t>
      </w:r>
      <w:r w:rsidRPr="000A0EA1">
        <w:rPr>
          <w:rFonts w:cs="Arial"/>
          <w:sz w:val="22"/>
          <w:szCs w:val="22"/>
          <w:lang w:val="en-CA" w:eastAsia="fr-CA"/>
        </w:rPr>
        <w:t>management occupation</w:t>
      </w:r>
      <w:r w:rsidR="00E46AFD">
        <w:rPr>
          <w:rFonts w:cs="Arial"/>
          <w:sz w:val="22"/>
          <w:szCs w:val="22"/>
          <w:lang w:val="en-CA" w:eastAsia="fr-CA"/>
        </w:rPr>
        <w:t>”</w:t>
      </w:r>
      <w:r w:rsidRPr="000A0EA1">
        <w:rPr>
          <w:rFonts w:cs="Arial"/>
          <w:sz w:val="22"/>
          <w:szCs w:val="22"/>
          <w:lang w:val="en-CA" w:eastAsia="fr-CA"/>
        </w:rPr>
        <w:t xml:space="preserve"> or </w:t>
      </w:r>
      <w:r w:rsidR="00E46AFD">
        <w:rPr>
          <w:rFonts w:cs="Arial"/>
          <w:sz w:val="22"/>
          <w:szCs w:val="22"/>
          <w:lang w:val="en-CA" w:eastAsia="fr-CA"/>
        </w:rPr>
        <w:t>“</w:t>
      </w:r>
      <w:r w:rsidRPr="000A0EA1">
        <w:rPr>
          <w:rFonts w:cs="Arial"/>
          <w:sz w:val="22"/>
          <w:szCs w:val="22"/>
          <w:lang w:val="en-CA" w:eastAsia="fr-CA"/>
        </w:rPr>
        <w:t>business, finance, and administration occupation</w:t>
      </w:r>
      <w:r w:rsidR="00E46AFD">
        <w:rPr>
          <w:rFonts w:cs="Arial"/>
          <w:sz w:val="22"/>
          <w:szCs w:val="22"/>
          <w:lang w:val="en-CA" w:eastAsia="fr-CA"/>
        </w:rPr>
        <w:t>”</w:t>
      </w:r>
      <w:r w:rsidRPr="000A0EA1">
        <w:rPr>
          <w:rFonts w:cs="Arial"/>
          <w:sz w:val="22"/>
          <w:szCs w:val="22"/>
          <w:lang w:val="en-CA" w:eastAsia="fr-CA"/>
        </w:rPr>
        <w:t xml:space="preserve"> categories of Statistics Canada, there would be just 4,892 (or 16.7% of 29,295 adults) available to run for four positions, implying just 1,223 adults per position. </w:t>
      </w:r>
      <w:r w:rsidRPr="000A0EA1">
        <w:rPr>
          <w:rFonts w:cs="Arial"/>
          <w:sz w:val="22"/>
          <w:szCs w:val="22"/>
          <w:u w:val="single"/>
          <w:lang w:val="en-CA" w:eastAsia="fr-CA"/>
        </w:rPr>
        <w:t>This represents approximately 50% as many individuals eligible to run per seat as compared to the pre-</w:t>
      </w:r>
      <w:r w:rsidR="00C33BBC">
        <w:rPr>
          <w:rFonts w:cs="Arial"/>
          <w:sz w:val="22"/>
          <w:szCs w:val="22"/>
          <w:u w:val="single"/>
          <w:lang w:val="en-CA" w:eastAsia="fr-CA"/>
        </w:rPr>
        <w:t>Bill 40</w:t>
      </w:r>
      <w:r w:rsidRPr="000A0EA1">
        <w:rPr>
          <w:rFonts w:cs="Arial"/>
          <w:sz w:val="22"/>
          <w:szCs w:val="22"/>
          <w:u w:val="single"/>
          <w:lang w:val="en-CA" w:eastAsia="fr-CA"/>
        </w:rPr>
        <w:t xml:space="preserve"> regime</w:t>
      </w:r>
      <w:r w:rsidRPr="000A0EA1">
        <w:rPr>
          <w:rFonts w:cs="Arial"/>
          <w:sz w:val="22"/>
          <w:szCs w:val="22"/>
          <w:lang w:val="en-CA" w:eastAsia="fr-CA"/>
        </w:rPr>
        <w:t>.</w:t>
      </w:r>
    </w:p>
    <w:p w14:paraId="17F5F33D" w14:textId="469E440F" w:rsidR="00F75613" w:rsidRPr="000A0EA1" w:rsidRDefault="00403CE7" w:rsidP="00B255B8">
      <w:pPr>
        <w:pStyle w:val="Style1"/>
        <w:tabs>
          <w:tab w:val="clear" w:pos="360"/>
        </w:tabs>
        <w:spacing w:before="120" w:after="120" w:line="240" w:lineRule="auto"/>
        <w:ind w:left="720" w:right="720"/>
        <w:jc w:val="right"/>
        <w:rPr>
          <w:sz w:val="22"/>
          <w:szCs w:val="18"/>
          <w:lang w:val="en-CA"/>
        </w:rPr>
      </w:pPr>
      <w:r>
        <w:rPr>
          <w:sz w:val="22"/>
          <w:szCs w:val="18"/>
          <w:lang w:val="en-CA"/>
        </w:rPr>
        <w:t>(</w:t>
      </w:r>
      <w:r w:rsidR="00B02E00" w:rsidRPr="000A0EA1">
        <w:rPr>
          <w:sz w:val="22"/>
          <w:szCs w:val="18"/>
          <w:lang w:val="en-CA"/>
        </w:rPr>
        <w:t>References omitted; underlining added</w:t>
      </w:r>
      <w:r>
        <w:rPr>
          <w:sz w:val="22"/>
          <w:szCs w:val="18"/>
          <w:lang w:val="en-CA"/>
        </w:rPr>
        <w:t>)</w:t>
      </w:r>
    </w:p>
    <w:p w14:paraId="17F5F33E" w14:textId="58D2152D" w:rsidR="00F75613" w:rsidRPr="000A0EA1" w:rsidRDefault="00B02E00" w:rsidP="00B255B8">
      <w:pPr>
        <w:pStyle w:val="Paragraphe"/>
        <w:spacing w:line="240" w:lineRule="auto"/>
        <w:rPr>
          <w:lang w:val="en-CA"/>
        </w:rPr>
      </w:pPr>
      <w:r w:rsidRPr="000A0EA1">
        <w:rPr>
          <w:lang w:val="en-CA"/>
        </w:rPr>
        <w:t>The judge determined that these new requirements, combined with the new electoral system applicable to community representatives (i.e., their election by all electors in the school service centre</w:t>
      </w:r>
      <w:r w:rsidR="00E46AFD">
        <w:rPr>
          <w:lang w:val="en-CA"/>
        </w:rPr>
        <w:t>’</w:t>
      </w:r>
      <w:r w:rsidRPr="000A0EA1">
        <w:rPr>
          <w:lang w:val="en-CA"/>
        </w:rPr>
        <w:t>s territory, rather than by electoral division), with the abolition of the remuneration of directors</w:t>
      </w:r>
      <w:r w:rsidRPr="000A0EA1">
        <w:rPr>
          <w:rStyle w:val="Appelnotedebasdep"/>
          <w:lang w:val="en-CA"/>
        </w:rPr>
        <w:footnoteReference w:id="224"/>
      </w:r>
      <w:r w:rsidRPr="000A0EA1">
        <w:rPr>
          <w:lang w:val="en-CA"/>
        </w:rPr>
        <w:t xml:space="preserve"> and with the fact that community representatives cannot hold the positions of chair and vice-chair of the board of directors,</w:t>
      </w:r>
      <w:r w:rsidRPr="000A0EA1">
        <w:rPr>
          <w:rStyle w:val="Appelnotedebasdep"/>
          <w:lang w:val="en-CA"/>
        </w:rPr>
        <w:footnoteReference w:id="225"/>
      </w:r>
      <w:r w:rsidRPr="000A0EA1">
        <w:rPr>
          <w:lang w:val="en-CA"/>
        </w:rPr>
        <w:t xml:space="preserve"> will discourage many potential candidates from running for these positions. </w:t>
      </w:r>
    </w:p>
    <w:p w14:paraId="17F5F33F" w14:textId="3B60F629" w:rsidR="00F75613" w:rsidRPr="000A0EA1" w:rsidRDefault="00B02E00" w:rsidP="00B255B8">
      <w:pPr>
        <w:pStyle w:val="Paragraphe"/>
        <w:spacing w:line="240" w:lineRule="auto"/>
        <w:rPr>
          <w:lang w:val="en-CA"/>
        </w:rPr>
      </w:pPr>
      <w:r w:rsidRPr="000A0EA1">
        <w:rPr>
          <w:lang w:val="en-CA"/>
        </w:rPr>
        <w:t xml:space="preserve">The evidence filed by the respondents supports this conclusion. For example, in her affidavit, Joy </w:t>
      </w:r>
      <w:proofErr w:type="spellStart"/>
      <w:r w:rsidRPr="000A0EA1">
        <w:rPr>
          <w:lang w:val="en-CA"/>
        </w:rPr>
        <w:t>Humeniuk</w:t>
      </w:r>
      <w:proofErr w:type="spellEnd"/>
      <w:r w:rsidRPr="000A0EA1">
        <w:rPr>
          <w:lang w:val="en-CA"/>
        </w:rPr>
        <w:t>, commissioner and vice-chair of the Eastern Townships School Board, state</w:t>
      </w:r>
      <w:r w:rsidR="008B614C">
        <w:rPr>
          <w:lang w:val="en-CA"/>
        </w:rPr>
        <w:t>s</w:t>
      </w:r>
      <w:r w:rsidRPr="000A0EA1">
        <w:rPr>
          <w:lang w:val="en-CA"/>
        </w:rPr>
        <w:t>:</w:t>
      </w:r>
      <w:r w:rsidRPr="000A0EA1">
        <w:rPr>
          <w:rStyle w:val="Appelnotedebasdep"/>
          <w:szCs w:val="24"/>
          <w:lang w:val="en-CA"/>
        </w:rPr>
        <w:footnoteReference w:id="226"/>
      </w:r>
      <w:r w:rsidRPr="000A0EA1">
        <w:rPr>
          <w:lang w:val="en-CA"/>
        </w:rPr>
        <w:t xml:space="preserve"> </w:t>
      </w:r>
    </w:p>
    <w:p w14:paraId="17F5F340" w14:textId="4B2FBDDA" w:rsidR="00F75613" w:rsidRPr="000A0EA1" w:rsidRDefault="00B02E00" w:rsidP="00B255B8">
      <w:pPr>
        <w:pStyle w:val="Style1"/>
        <w:tabs>
          <w:tab w:val="clear" w:pos="360"/>
        </w:tabs>
        <w:spacing w:before="120" w:after="120" w:line="240" w:lineRule="auto"/>
        <w:ind w:left="720" w:right="720"/>
        <w:rPr>
          <w:sz w:val="22"/>
          <w:szCs w:val="18"/>
          <w:lang w:val="en-CA"/>
        </w:rPr>
      </w:pPr>
      <w:r w:rsidRPr="000A0EA1">
        <w:rPr>
          <w:sz w:val="22"/>
          <w:szCs w:val="18"/>
          <w:lang w:val="en-CA"/>
        </w:rPr>
        <w:t>11.</w:t>
      </w:r>
      <w:r w:rsidRPr="000A0EA1">
        <w:rPr>
          <w:sz w:val="22"/>
          <w:szCs w:val="18"/>
          <w:lang w:val="en-CA"/>
        </w:rPr>
        <w:tab/>
        <w:t xml:space="preserve">Because I no longer have children in school, the only positions I am eligible to run for now on the Board of directors of the </w:t>
      </w:r>
      <w:r w:rsidR="00AE3408">
        <w:rPr>
          <w:sz w:val="22"/>
          <w:szCs w:val="18"/>
          <w:lang w:val="en-CA"/>
        </w:rPr>
        <w:t>English</w:t>
      </w:r>
      <w:r w:rsidR="00AE3408">
        <w:rPr>
          <w:sz w:val="22"/>
          <w:szCs w:val="18"/>
          <w:lang w:val="en-CA"/>
        </w:rPr>
        <w:noBreakHyphen/>
        <w:t>language</w:t>
      </w:r>
      <w:r w:rsidRPr="000A0EA1">
        <w:rPr>
          <w:sz w:val="22"/>
          <w:szCs w:val="18"/>
          <w:lang w:val="en-CA"/>
        </w:rPr>
        <w:t xml:space="preserve"> school service centre are the community representative positions. </w:t>
      </w:r>
      <w:r w:rsidRPr="000A0EA1">
        <w:rPr>
          <w:sz w:val="22"/>
          <w:szCs w:val="18"/>
          <w:u w:val="single"/>
          <w:lang w:val="en-CA"/>
        </w:rPr>
        <w:t>I would never consider running across the entire territory of the ETSB [Eastern Townships School Board] for such positions. The ETSB covers 13 provincial ridings, in part or in full. It would take me hours by car to simply cover the territory</w:t>
      </w:r>
      <w:r w:rsidRPr="000A0EA1">
        <w:rPr>
          <w:sz w:val="22"/>
          <w:szCs w:val="18"/>
          <w:lang w:val="en-CA"/>
        </w:rPr>
        <w:t xml:space="preserve">. I have always run at the ward (electoral division) level where I know the people, community and schools, and my position </w:t>
      </w:r>
      <w:r w:rsidRPr="000A0EA1">
        <w:rPr>
          <w:sz w:val="22"/>
          <w:szCs w:val="18"/>
          <w:lang w:val="en-CA"/>
        </w:rPr>
        <w:lastRenderedPageBreak/>
        <w:t>as Commissioner has always involved regular visits of the community and the four schools associated with my ward (made up of around 600 or 700 students).</w:t>
      </w:r>
    </w:p>
    <w:p w14:paraId="17F5F341" w14:textId="77777777" w:rsidR="00F75613" w:rsidRPr="000A0EA1" w:rsidRDefault="00B02E00" w:rsidP="00B255B8">
      <w:pPr>
        <w:pStyle w:val="Style1"/>
        <w:tabs>
          <w:tab w:val="clear" w:pos="360"/>
        </w:tabs>
        <w:spacing w:before="120" w:after="120" w:line="240" w:lineRule="auto"/>
        <w:ind w:left="720" w:right="720"/>
        <w:rPr>
          <w:rFonts w:cs="Arial"/>
          <w:color w:val="000000"/>
          <w:sz w:val="22"/>
          <w:szCs w:val="22"/>
          <w:lang w:val="en-CA" w:eastAsia="fr-CA"/>
        </w:rPr>
      </w:pPr>
      <w:r w:rsidRPr="000A0EA1">
        <w:rPr>
          <w:rFonts w:cs="Arial"/>
          <w:color w:val="000000"/>
          <w:sz w:val="22"/>
          <w:szCs w:val="22"/>
          <w:lang w:val="en-CA" w:eastAsia="fr-CA"/>
        </w:rPr>
        <w:t>12.</w:t>
      </w:r>
      <w:r w:rsidRPr="000A0EA1">
        <w:rPr>
          <w:rFonts w:cs="Arial"/>
          <w:color w:val="000000"/>
          <w:sz w:val="22"/>
          <w:szCs w:val="22"/>
          <w:lang w:val="en-CA" w:eastAsia="fr-CA"/>
        </w:rPr>
        <w:tab/>
        <w:t xml:space="preserve">There are 20 elementary schools in the ETSB and three high schools (made up of around 5000 students) which are all very far apart. </w:t>
      </w:r>
      <w:r w:rsidRPr="000A0EA1">
        <w:rPr>
          <w:rFonts w:cs="Arial"/>
          <w:color w:val="000000"/>
          <w:sz w:val="22"/>
          <w:szCs w:val="22"/>
          <w:u w:val="single"/>
          <w:lang w:val="en-CA" w:eastAsia="fr-CA"/>
        </w:rPr>
        <w:t>The level of investment of time and energy it would take to meet the communities, visit the schools and be aware of and respond to the issues in the entire territory would be prohibitive to me, especially with no remuneration</w:t>
      </w:r>
      <w:r w:rsidRPr="000A0EA1">
        <w:rPr>
          <w:rFonts w:cs="Arial"/>
          <w:color w:val="000000"/>
          <w:sz w:val="22"/>
          <w:szCs w:val="22"/>
          <w:lang w:val="en-CA" w:eastAsia="fr-CA"/>
        </w:rPr>
        <w:t>. While I have never served as Commissioner because of the remuneration, it represents an acknowledgement of the work and investment that goes into these elected positions.</w:t>
      </w:r>
    </w:p>
    <w:p w14:paraId="17F5F342" w14:textId="5D0A4307" w:rsidR="00F75613" w:rsidRPr="000A0EA1" w:rsidRDefault="00B02E00" w:rsidP="00B255B8">
      <w:pPr>
        <w:pStyle w:val="Style1"/>
        <w:tabs>
          <w:tab w:val="clear" w:pos="360"/>
        </w:tabs>
        <w:spacing w:before="120" w:after="120" w:line="240" w:lineRule="auto"/>
        <w:ind w:left="720" w:right="720"/>
        <w:rPr>
          <w:sz w:val="22"/>
          <w:szCs w:val="18"/>
          <w:lang w:val="en-CA"/>
        </w:rPr>
      </w:pPr>
      <w:r w:rsidRPr="000A0EA1">
        <w:rPr>
          <w:color w:val="000000"/>
          <w:sz w:val="22"/>
          <w:szCs w:val="18"/>
          <w:lang w:val="en-CA"/>
        </w:rPr>
        <w:t>13.</w:t>
      </w:r>
      <w:r w:rsidRPr="000A0EA1">
        <w:rPr>
          <w:color w:val="000000"/>
          <w:sz w:val="22"/>
          <w:szCs w:val="18"/>
          <w:lang w:val="en-CA"/>
        </w:rPr>
        <w:tab/>
      </w:r>
      <w:r w:rsidRPr="000A0EA1">
        <w:rPr>
          <w:color w:val="000000"/>
          <w:sz w:val="22"/>
          <w:szCs w:val="18"/>
          <w:u w:val="single"/>
          <w:lang w:val="en-CA"/>
        </w:rPr>
        <w:t>What</w:t>
      </w:r>
      <w:r w:rsidR="00E46AFD">
        <w:rPr>
          <w:color w:val="000000"/>
          <w:sz w:val="22"/>
          <w:szCs w:val="18"/>
          <w:u w:val="single"/>
          <w:lang w:val="en-CA"/>
        </w:rPr>
        <w:t>’</w:t>
      </w:r>
      <w:r w:rsidRPr="000A0EA1">
        <w:rPr>
          <w:color w:val="000000"/>
          <w:sz w:val="22"/>
          <w:szCs w:val="18"/>
          <w:u w:val="single"/>
          <w:lang w:val="en-CA"/>
        </w:rPr>
        <w:t>s more, community representatives are not eligible for vice chair-ship and I would not be interested in not exercising the leadership role I have now exercised for more than five years. I would not overcome the important challenges of running territory-wide with no prospect of a leadership role, where those leading the board would have the least experience</w:t>
      </w:r>
      <w:r w:rsidRPr="000A0EA1">
        <w:rPr>
          <w:color w:val="000000"/>
          <w:sz w:val="22"/>
          <w:szCs w:val="18"/>
          <w:lang w:val="en-CA"/>
        </w:rPr>
        <w:t>.</w:t>
      </w:r>
    </w:p>
    <w:p w14:paraId="17F5F343" w14:textId="363EDD62" w:rsidR="00F75613" w:rsidRPr="000A0EA1" w:rsidRDefault="00403CE7" w:rsidP="00406B00">
      <w:pPr>
        <w:pStyle w:val="Style1"/>
        <w:tabs>
          <w:tab w:val="clear" w:pos="360"/>
        </w:tabs>
        <w:spacing w:before="0" w:after="120" w:line="240" w:lineRule="auto"/>
        <w:ind w:left="720" w:right="720"/>
        <w:jc w:val="right"/>
        <w:rPr>
          <w:sz w:val="22"/>
          <w:szCs w:val="18"/>
          <w:lang w:val="en-CA"/>
        </w:rPr>
      </w:pPr>
      <w:r>
        <w:rPr>
          <w:sz w:val="22"/>
          <w:szCs w:val="18"/>
          <w:lang w:val="en-CA"/>
        </w:rPr>
        <w:t>(</w:t>
      </w:r>
      <w:r w:rsidR="00B02E00" w:rsidRPr="000A0EA1">
        <w:rPr>
          <w:sz w:val="22"/>
          <w:szCs w:val="18"/>
          <w:lang w:val="en-CA"/>
        </w:rPr>
        <w:t>Underlining added</w:t>
      </w:r>
      <w:r>
        <w:rPr>
          <w:sz w:val="22"/>
          <w:szCs w:val="18"/>
          <w:lang w:val="en-CA"/>
        </w:rPr>
        <w:t>)</w:t>
      </w:r>
    </w:p>
    <w:p w14:paraId="17F5F344" w14:textId="513BE339" w:rsidR="00F75613" w:rsidRPr="000A0EA1" w:rsidRDefault="00B02E00" w:rsidP="00B255B8">
      <w:pPr>
        <w:pStyle w:val="Paragraphe"/>
        <w:spacing w:line="240" w:lineRule="auto"/>
        <w:rPr>
          <w:lang w:val="en-CA"/>
        </w:rPr>
      </w:pPr>
      <w:r w:rsidRPr="000A0EA1">
        <w:rPr>
          <w:lang w:val="en-CA"/>
        </w:rPr>
        <w:t>Mary Ellen Beaulieu, commissioner of the Eastern Shores School Board, who lives in the North Shore region (Baie-Comeau), also state</w:t>
      </w:r>
      <w:r w:rsidR="008B614C">
        <w:rPr>
          <w:lang w:val="en-CA"/>
        </w:rPr>
        <w:t>s</w:t>
      </w:r>
      <w:r w:rsidRPr="000A0EA1">
        <w:rPr>
          <w:lang w:val="en-CA"/>
        </w:rPr>
        <w:t xml:space="preserve"> that she would not run for the position of director under the new scheme, particularly given the vastness of the election territory to be covered, which includes, among others, the North Shore and </w:t>
      </w:r>
      <w:proofErr w:type="spellStart"/>
      <w:r w:rsidRPr="000A0EA1">
        <w:rPr>
          <w:lang w:val="en-CA"/>
        </w:rPr>
        <w:t>Gaspé</w:t>
      </w:r>
      <w:proofErr w:type="spellEnd"/>
      <w:r w:rsidRPr="000A0EA1">
        <w:rPr>
          <w:lang w:val="en-CA"/>
        </w:rPr>
        <w:t xml:space="preserve"> regions:</w:t>
      </w:r>
      <w:r w:rsidRPr="000A0EA1">
        <w:rPr>
          <w:rStyle w:val="Appelnotedebasdep"/>
          <w:rFonts w:cs="Arial"/>
          <w:szCs w:val="24"/>
          <w:lang w:val="en-CA" w:eastAsia="fr-CA"/>
        </w:rPr>
        <w:footnoteReference w:id="227"/>
      </w:r>
      <w:r w:rsidRPr="000A0EA1">
        <w:rPr>
          <w:lang w:val="en-CA"/>
        </w:rPr>
        <w:t xml:space="preserve"> </w:t>
      </w:r>
    </w:p>
    <w:p w14:paraId="17F5F345" w14:textId="7231BD01" w:rsidR="00F75613" w:rsidRPr="000A0EA1" w:rsidRDefault="00B02E00" w:rsidP="00B255B8">
      <w:pPr>
        <w:autoSpaceDE w:val="0"/>
        <w:autoSpaceDN w:val="0"/>
        <w:adjustRightInd w:val="0"/>
        <w:spacing w:before="120" w:after="120" w:line="240" w:lineRule="auto"/>
        <w:ind w:left="720" w:right="720"/>
        <w:jc w:val="both"/>
        <w:rPr>
          <w:sz w:val="28"/>
          <w:szCs w:val="22"/>
          <w:lang w:val="en-CA"/>
        </w:rPr>
      </w:pPr>
      <w:r w:rsidRPr="000A0EA1">
        <w:rPr>
          <w:rFonts w:cs="Arial"/>
          <w:sz w:val="22"/>
          <w:szCs w:val="22"/>
          <w:lang w:val="en-CA" w:eastAsia="fr-CA"/>
        </w:rPr>
        <w:t>9.</w:t>
      </w:r>
      <w:r w:rsidRPr="000A0EA1">
        <w:rPr>
          <w:rFonts w:cs="Arial"/>
          <w:sz w:val="22"/>
          <w:szCs w:val="22"/>
          <w:lang w:val="en-CA" w:eastAsia="fr-CA"/>
        </w:rPr>
        <w:tab/>
        <w:t xml:space="preserve">I would not run to be a commissioner under the </w:t>
      </w:r>
      <w:r w:rsidR="00C33BBC">
        <w:rPr>
          <w:rFonts w:cs="Arial"/>
          <w:sz w:val="22"/>
          <w:szCs w:val="22"/>
          <w:lang w:val="en-CA" w:eastAsia="fr-CA"/>
        </w:rPr>
        <w:t>Bill 40</w:t>
      </w:r>
      <w:r w:rsidRPr="000A0EA1">
        <w:rPr>
          <w:rFonts w:cs="Arial"/>
          <w:sz w:val="22"/>
          <w:szCs w:val="22"/>
          <w:lang w:val="en-CA" w:eastAsia="fr-CA"/>
        </w:rPr>
        <w:t xml:space="preserve"> model. My children are no longer in school and I cannot run as a parent representative. I would never run in and seek to serve the entire territory of ESSB [Eastern Shores School Board] as a community representative. First, people from the </w:t>
      </w:r>
      <w:proofErr w:type="spellStart"/>
      <w:r w:rsidRPr="000A0EA1">
        <w:rPr>
          <w:rFonts w:cs="Arial"/>
          <w:sz w:val="22"/>
          <w:szCs w:val="22"/>
          <w:lang w:val="en-CA" w:eastAsia="fr-CA"/>
        </w:rPr>
        <w:t>Gaspé</w:t>
      </w:r>
      <w:proofErr w:type="spellEnd"/>
      <w:r w:rsidRPr="000A0EA1">
        <w:rPr>
          <w:rFonts w:cs="Arial"/>
          <w:sz w:val="22"/>
          <w:szCs w:val="22"/>
          <w:lang w:val="en-CA" w:eastAsia="fr-CA"/>
        </w:rPr>
        <w:t xml:space="preserve"> do not know me and I don</w:t>
      </w:r>
      <w:r w:rsidR="00E46AFD">
        <w:rPr>
          <w:rFonts w:cs="Arial"/>
          <w:sz w:val="22"/>
          <w:szCs w:val="22"/>
          <w:lang w:val="en-CA" w:eastAsia="fr-CA"/>
        </w:rPr>
        <w:t>’</w:t>
      </w:r>
      <w:r w:rsidRPr="000A0EA1">
        <w:rPr>
          <w:rFonts w:cs="Arial"/>
          <w:sz w:val="22"/>
          <w:szCs w:val="22"/>
          <w:lang w:val="en-CA" w:eastAsia="fr-CA"/>
        </w:rPr>
        <w:t xml:space="preserve">t know why they would vote for me. Moreover, I would not have the time, energy or money to cover the entire ESSB territory and manage it effectively and I do not think a person from another region could either. </w:t>
      </w:r>
      <w:r w:rsidR="00403CE7">
        <w:rPr>
          <w:rFonts w:cs="Arial"/>
          <w:sz w:val="22"/>
          <w:szCs w:val="22"/>
          <w:lang w:val="en-CA" w:eastAsia="fr-CA"/>
        </w:rPr>
        <w:t>(</w:t>
      </w:r>
      <w:r w:rsidRPr="000A0EA1">
        <w:rPr>
          <w:rFonts w:cs="Arial"/>
          <w:sz w:val="22"/>
          <w:szCs w:val="22"/>
          <w:lang w:val="en-CA" w:eastAsia="fr-CA"/>
        </w:rPr>
        <w:t>…</w:t>
      </w:r>
      <w:r w:rsidR="00403CE7">
        <w:rPr>
          <w:rFonts w:cs="Arial"/>
          <w:sz w:val="22"/>
          <w:szCs w:val="22"/>
          <w:lang w:val="en-CA" w:eastAsia="fr-CA"/>
        </w:rPr>
        <w:t>)</w:t>
      </w:r>
    </w:p>
    <w:p w14:paraId="17F5F346" w14:textId="7D69385A" w:rsidR="00F75613" w:rsidRPr="000A0EA1" w:rsidRDefault="00B02E00" w:rsidP="00B255B8">
      <w:pPr>
        <w:pStyle w:val="Paragraphe"/>
        <w:spacing w:line="240" w:lineRule="auto"/>
        <w:rPr>
          <w:lang w:val="en-CA"/>
        </w:rPr>
      </w:pPr>
      <w:r w:rsidRPr="000A0EA1">
        <w:rPr>
          <w:lang w:val="en-CA"/>
        </w:rPr>
        <w:t>For similar reasons, Olivia Landry, commissioner of the Sir Wilfrid Laurier School Board, declare</w:t>
      </w:r>
      <w:r w:rsidR="008B614C">
        <w:rPr>
          <w:lang w:val="en-CA"/>
        </w:rPr>
        <w:t>s</w:t>
      </w:r>
      <w:r w:rsidRPr="000A0EA1">
        <w:rPr>
          <w:lang w:val="en-CA"/>
        </w:rPr>
        <w:t xml:space="preserve"> that she would not run in school elections under the new scheme.</w:t>
      </w:r>
      <w:r w:rsidRPr="000A0EA1">
        <w:rPr>
          <w:rStyle w:val="Appelnotedebasdep"/>
          <w:lang w:val="en-CA"/>
        </w:rPr>
        <w:footnoteReference w:id="228"/>
      </w:r>
    </w:p>
    <w:p w14:paraId="17F5F347" w14:textId="76F59D1D" w:rsidR="00F75613" w:rsidRPr="000A0EA1" w:rsidRDefault="00B02E00" w:rsidP="00B255B8">
      <w:pPr>
        <w:pStyle w:val="Paragraphe"/>
        <w:spacing w:line="240" w:lineRule="auto"/>
        <w:rPr>
          <w:lang w:val="en-CA"/>
        </w:rPr>
      </w:pPr>
      <w:r w:rsidRPr="000A0EA1">
        <w:rPr>
          <w:lang w:val="en-CA"/>
        </w:rPr>
        <w:t>Professor Loewen</w:t>
      </w:r>
      <w:r w:rsidR="00E46AFD">
        <w:rPr>
          <w:lang w:val="en-CA"/>
        </w:rPr>
        <w:t>’</w:t>
      </w:r>
      <w:r w:rsidRPr="000A0EA1">
        <w:rPr>
          <w:lang w:val="en-CA"/>
        </w:rPr>
        <w:t xml:space="preserve">s expert report is also to the same effect. It shows that the new requirements set out in </w:t>
      </w:r>
      <w:r w:rsidR="00C33BBC">
        <w:rPr>
          <w:i/>
          <w:iCs/>
          <w:lang w:val="en-CA"/>
        </w:rPr>
        <w:t>Bill 40</w:t>
      </w:r>
      <w:r w:rsidRPr="000A0EA1">
        <w:rPr>
          <w:i/>
          <w:iCs/>
          <w:lang w:val="en-CA"/>
        </w:rPr>
        <w:t xml:space="preserve"> </w:t>
      </w:r>
      <w:r w:rsidRPr="000A0EA1">
        <w:rPr>
          <w:lang w:val="en-CA"/>
        </w:rPr>
        <w:t>will lead to a decrease in the number of individuals wishing to stand for election as community representatives:</w:t>
      </w:r>
      <w:r w:rsidRPr="000A0EA1">
        <w:rPr>
          <w:rStyle w:val="Appelnotedebasdep"/>
          <w:szCs w:val="24"/>
          <w:lang w:val="en-CA"/>
        </w:rPr>
        <w:footnoteReference w:id="229"/>
      </w:r>
      <w:r w:rsidRPr="000A0EA1">
        <w:rPr>
          <w:lang w:val="en-CA"/>
        </w:rPr>
        <w:t xml:space="preserve"> </w:t>
      </w:r>
    </w:p>
    <w:p w14:paraId="17F5F348" w14:textId="1FA11904" w:rsidR="00F75613" w:rsidRPr="000A0EA1" w:rsidRDefault="00B02E00" w:rsidP="00B255B8">
      <w:pPr>
        <w:autoSpaceDE w:val="0"/>
        <w:autoSpaceDN w:val="0"/>
        <w:adjustRightInd w:val="0"/>
        <w:spacing w:before="120" w:after="120" w:line="240" w:lineRule="auto"/>
        <w:ind w:left="720" w:right="720"/>
        <w:jc w:val="both"/>
        <w:rPr>
          <w:sz w:val="22"/>
          <w:szCs w:val="22"/>
          <w:lang w:val="en-CA"/>
        </w:rPr>
      </w:pPr>
      <w:r w:rsidRPr="000A0EA1">
        <w:rPr>
          <w:sz w:val="22"/>
          <w:szCs w:val="22"/>
          <w:lang w:val="en-CA"/>
        </w:rPr>
        <w:lastRenderedPageBreak/>
        <w:t>[25]</w:t>
      </w:r>
      <w:r w:rsidRPr="000A0EA1">
        <w:rPr>
          <w:sz w:val="22"/>
          <w:szCs w:val="22"/>
          <w:lang w:val="en-CA"/>
        </w:rPr>
        <w:tab/>
        <w:t xml:space="preserve">Further, </w:t>
      </w:r>
      <w:r w:rsidRPr="000A0EA1">
        <w:rPr>
          <w:sz w:val="22"/>
          <w:szCs w:val="22"/>
          <w:u w:val="single"/>
          <w:lang w:val="en-CA"/>
        </w:rPr>
        <w:t>those interested in community representative positions face the increased difficulty of having to run and serve in the entire territories of school boards, which are extremely vast (unlike the current system where all commissioners with the exception of the chair run in their local wards).</w:t>
      </w:r>
      <w:r w:rsidRPr="000A0EA1">
        <w:rPr>
          <w:sz w:val="22"/>
          <w:szCs w:val="22"/>
          <w:lang w:val="en-CA"/>
        </w:rPr>
        <w:t xml:space="preserve"> The Central Québec School Board for example spans 31 provincial ridings and 13 federal ridings. Its territory of approximately 391,755 km</w:t>
      </w:r>
      <w:r w:rsidRPr="000A0EA1">
        <w:rPr>
          <w:sz w:val="22"/>
          <w:szCs w:val="22"/>
          <w:vertAlign w:val="superscript"/>
          <w:lang w:val="en-CA"/>
        </w:rPr>
        <w:t xml:space="preserve">2 </w:t>
      </w:r>
      <w:r w:rsidRPr="000A0EA1">
        <w:rPr>
          <w:sz w:val="22"/>
          <w:szCs w:val="22"/>
          <w:lang w:val="en-CA"/>
        </w:rPr>
        <w:t xml:space="preserve">is around 788 times the area of the island of Montreal and larger than Germany. </w:t>
      </w:r>
      <w:r w:rsidRPr="000A0EA1">
        <w:rPr>
          <w:sz w:val="22"/>
          <w:szCs w:val="22"/>
          <w:u w:val="single"/>
          <w:lang w:val="en-CA"/>
        </w:rPr>
        <w:t>In addition to the uncertainty that the community profiles generate, the new requirements for community representatives (having to run and serve in the entire territory of the boards and fit the community profiles) decreases individuals</w:t>
      </w:r>
      <w:r w:rsidR="00E46AFD">
        <w:rPr>
          <w:sz w:val="22"/>
          <w:szCs w:val="22"/>
          <w:u w:val="single"/>
          <w:lang w:val="en-CA"/>
        </w:rPr>
        <w:t>’</w:t>
      </w:r>
      <w:r w:rsidRPr="000A0EA1">
        <w:rPr>
          <w:sz w:val="22"/>
          <w:szCs w:val="22"/>
          <w:u w:val="single"/>
          <w:lang w:val="en-CA"/>
        </w:rPr>
        <w:t xml:space="preserve"> willingness to run in school board elections, as my survey demonstrates.</w:t>
      </w:r>
      <w:r w:rsidRPr="000A0EA1">
        <w:rPr>
          <w:sz w:val="22"/>
          <w:szCs w:val="22"/>
          <w:lang w:val="en-CA"/>
        </w:rPr>
        <w:t xml:space="preserve"> I find that all three types of survey respondents (rightsholders, current parent representatives on governing boards, and current or former commissioners) indicate that they are less willing to run under the new community representative positions than they are under the current system. Net 18 rightsholders out of 100 are less willing to run (net - 18 %), net 53 parents on governing boards out of 100 are less willing to run (net - 53 %), and net 77 commissioners out of 100 are less willing to run (net - 77%). Respondents also express a belief that others would be less willing to run for the community representative positions than under the new system as well (see Table G.1 in Appendix G).</w:t>
      </w:r>
      <w:r w:rsidRPr="000A0EA1">
        <w:rPr>
          <w:rStyle w:val="Appelnotedebasdep"/>
          <w:sz w:val="22"/>
          <w:szCs w:val="22"/>
          <w:lang w:val="en-CA"/>
        </w:rPr>
        <w:t xml:space="preserve"> </w:t>
      </w:r>
    </w:p>
    <w:p w14:paraId="17F5F349" w14:textId="6ACB923B" w:rsidR="00F75613" w:rsidRPr="000A0EA1" w:rsidRDefault="00403CE7" w:rsidP="00406B00">
      <w:pPr>
        <w:autoSpaceDE w:val="0"/>
        <w:autoSpaceDN w:val="0"/>
        <w:adjustRightInd w:val="0"/>
        <w:spacing w:after="120" w:line="240" w:lineRule="auto"/>
        <w:ind w:left="720" w:right="720"/>
        <w:jc w:val="right"/>
        <w:rPr>
          <w:sz w:val="22"/>
          <w:szCs w:val="22"/>
          <w:lang w:val="en-CA"/>
        </w:rPr>
      </w:pPr>
      <w:r>
        <w:rPr>
          <w:sz w:val="22"/>
          <w:szCs w:val="22"/>
          <w:lang w:val="en-CA"/>
        </w:rPr>
        <w:t>(</w:t>
      </w:r>
      <w:r w:rsidR="00B02E00" w:rsidRPr="000A0EA1">
        <w:rPr>
          <w:sz w:val="22"/>
          <w:szCs w:val="22"/>
          <w:lang w:val="en-CA"/>
        </w:rPr>
        <w:t>Underlining added; boldface omitted</w:t>
      </w:r>
      <w:r>
        <w:rPr>
          <w:sz w:val="22"/>
          <w:szCs w:val="22"/>
          <w:lang w:val="en-CA"/>
        </w:rPr>
        <w:t>)</w:t>
      </w:r>
    </w:p>
    <w:p w14:paraId="17F5F34A" w14:textId="1E55F24D" w:rsidR="00F75613" w:rsidRPr="000A0EA1" w:rsidRDefault="00B02E00" w:rsidP="00B255B8">
      <w:pPr>
        <w:pStyle w:val="Paragraphe"/>
        <w:spacing w:line="240" w:lineRule="auto"/>
        <w:rPr>
          <w:lang w:val="en-CA"/>
        </w:rPr>
      </w:pPr>
      <w:r w:rsidRPr="000A0EA1">
        <w:rPr>
          <w:lang w:val="en-CA"/>
        </w:rPr>
        <w:t>The judge accepted this testimonial and expert evidence. The AGQ has not shown how this finding of fact is tainted by a palpable and overriding error. Rather, he faults the judge for failing to take into account the legislature</w:t>
      </w:r>
      <w:r w:rsidR="00E46AFD">
        <w:rPr>
          <w:lang w:val="en-CA"/>
        </w:rPr>
        <w:t>’</w:t>
      </w:r>
      <w:r w:rsidRPr="000A0EA1">
        <w:rPr>
          <w:lang w:val="en-CA"/>
        </w:rPr>
        <w:t xml:space="preserve">s objectives and for accepting the expert evidence of Professor Loewen rather than the evidence relating to the effects of </w:t>
      </w:r>
      <w:r w:rsidR="00C33BBC">
        <w:rPr>
          <w:i/>
          <w:iCs/>
          <w:lang w:val="en-CA"/>
        </w:rPr>
        <w:t>Bill 40</w:t>
      </w:r>
      <w:r w:rsidRPr="000A0EA1">
        <w:rPr>
          <w:i/>
          <w:iCs/>
          <w:lang w:val="en-CA"/>
        </w:rPr>
        <w:t xml:space="preserve"> </w:t>
      </w:r>
      <w:r w:rsidRPr="000A0EA1">
        <w:rPr>
          <w:lang w:val="en-CA"/>
        </w:rPr>
        <w:t xml:space="preserve">on school governance participation in the </w:t>
      </w:r>
      <w:r w:rsidR="00AE3408">
        <w:rPr>
          <w:lang w:val="en-CA"/>
        </w:rPr>
        <w:t>French</w:t>
      </w:r>
      <w:r w:rsidR="00AE3408">
        <w:rPr>
          <w:lang w:val="en-CA"/>
        </w:rPr>
        <w:noBreakHyphen/>
        <w:t>language</w:t>
      </w:r>
      <w:r w:rsidRPr="000A0EA1">
        <w:rPr>
          <w:lang w:val="en-CA"/>
        </w:rPr>
        <w:t xml:space="preserve"> sector. These two complaints are unfounded, for the reasons </w:t>
      </w:r>
      <w:r w:rsidR="002A52A4">
        <w:rPr>
          <w:lang w:val="en-CA"/>
        </w:rPr>
        <w:t>already provided</w:t>
      </w:r>
      <w:r w:rsidRPr="000A0EA1">
        <w:rPr>
          <w:lang w:val="en-CA"/>
        </w:rPr>
        <w:t xml:space="preserve"> above. </w:t>
      </w:r>
    </w:p>
    <w:p w14:paraId="17F5F34B" w14:textId="1C12AE87" w:rsidR="00F75613" w:rsidRPr="000A0EA1" w:rsidRDefault="00B02E00" w:rsidP="00B255B8">
      <w:pPr>
        <w:pStyle w:val="Paragraphe"/>
        <w:spacing w:line="240" w:lineRule="auto"/>
        <w:rPr>
          <w:szCs w:val="24"/>
          <w:lang w:val="en-CA"/>
        </w:rPr>
      </w:pPr>
      <w:r w:rsidRPr="000A0EA1">
        <w:rPr>
          <w:szCs w:val="24"/>
          <w:lang w:val="en-CA"/>
        </w:rPr>
        <w:t xml:space="preserve">By significantly restricting the pool of potential candidates for the positions of community representative, the impugned provisions encroach on the ability of members of the linguistic minority to choose their representatives and run for these positions. In so doing, they infringe </w:t>
      </w:r>
      <w:r w:rsidR="0062160E">
        <w:rPr>
          <w:szCs w:val="24"/>
          <w:lang w:val="en-CA"/>
        </w:rPr>
        <w:t>s. 2</w:t>
      </w:r>
      <w:r w:rsidRPr="000A0EA1">
        <w:rPr>
          <w:szCs w:val="24"/>
          <w:lang w:val="en-CA"/>
        </w:rPr>
        <w:t>3(3)(</w:t>
      </w:r>
      <w:r w:rsidRPr="000A0EA1">
        <w:rPr>
          <w:i/>
          <w:iCs/>
          <w:szCs w:val="24"/>
          <w:lang w:val="en-CA"/>
        </w:rPr>
        <w:t>b</w:t>
      </w:r>
      <w:r w:rsidRPr="000A0EA1">
        <w:rPr>
          <w:szCs w:val="24"/>
          <w:lang w:val="en-CA"/>
        </w:rPr>
        <w:t xml:space="preserve">) of the </w:t>
      </w:r>
      <w:r w:rsidRPr="000A0EA1">
        <w:rPr>
          <w:i/>
          <w:iCs/>
          <w:szCs w:val="24"/>
          <w:lang w:val="en-CA"/>
        </w:rPr>
        <w:t>Charter</w:t>
      </w:r>
      <w:r w:rsidRPr="000A0EA1">
        <w:rPr>
          <w:szCs w:val="24"/>
          <w:lang w:val="en-CA"/>
        </w:rPr>
        <w:t>.</w:t>
      </w:r>
    </w:p>
    <w:p w14:paraId="17F5F34C" w14:textId="77777777" w:rsidR="00F75613" w:rsidRPr="000A0EA1" w:rsidRDefault="00B02E00" w:rsidP="00B255B8">
      <w:pPr>
        <w:pStyle w:val="Style1"/>
        <w:tabs>
          <w:tab w:val="clear" w:pos="360"/>
        </w:tabs>
        <w:spacing w:line="240" w:lineRule="auto"/>
        <w:ind w:left="3240"/>
        <w:rPr>
          <w:u w:val="single"/>
          <w:lang w:val="en-CA"/>
        </w:rPr>
      </w:pPr>
      <w:r w:rsidRPr="000A0EA1">
        <w:rPr>
          <w:u w:val="single"/>
          <w:lang w:val="en-CA"/>
        </w:rPr>
        <w:t>Eligibility of staff members</w:t>
      </w:r>
    </w:p>
    <w:p w14:paraId="17F5F34D" w14:textId="7F2607EE" w:rsidR="00F75613" w:rsidRPr="000A0EA1" w:rsidRDefault="00B02E00" w:rsidP="00B255B8">
      <w:pPr>
        <w:pStyle w:val="Paragraphe"/>
        <w:spacing w:line="240" w:lineRule="auto"/>
        <w:rPr>
          <w:lang w:val="en-CA"/>
        </w:rPr>
      </w:pPr>
      <w:r w:rsidRPr="000A0EA1">
        <w:rPr>
          <w:lang w:val="en-CA"/>
        </w:rPr>
        <w:t xml:space="preserve">Under </w:t>
      </w:r>
      <w:r w:rsidR="0062160E">
        <w:rPr>
          <w:lang w:val="en-CA"/>
        </w:rPr>
        <w:t>s. 5</w:t>
      </w:r>
      <w:r w:rsidRPr="000A0EA1">
        <w:rPr>
          <w:lang w:val="en-CA"/>
        </w:rPr>
        <w:t xml:space="preserve">0 of </w:t>
      </w:r>
      <w:r w:rsidR="00C33BBC">
        <w:rPr>
          <w:i/>
          <w:iCs/>
          <w:lang w:val="en-CA"/>
        </w:rPr>
        <w:t>Bill 40</w:t>
      </w:r>
      <w:r w:rsidRPr="000A0EA1">
        <w:rPr>
          <w:lang w:val="en-CA"/>
        </w:rPr>
        <w:t xml:space="preserve"> (</w:t>
      </w:r>
      <w:r w:rsidR="0062160E">
        <w:rPr>
          <w:lang w:val="en-CA"/>
        </w:rPr>
        <w:t>s. 1</w:t>
      </w:r>
      <w:r w:rsidRPr="000A0EA1">
        <w:rPr>
          <w:lang w:val="en-CA"/>
        </w:rPr>
        <w:t xml:space="preserve">43.1 </w:t>
      </w:r>
      <w:r w:rsidR="0062160E">
        <w:rPr>
          <w:lang w:val="en-CA"/>
        </w:rPr>
        <w:t>para. 1</w:t>
      </w:r>
      <w:r w:rsidRPr="000A0EA1">
        <w:rPr>
          <w:lang w:val="en-CA"/>
        </w:rPr>
        <w:t xml:space="preserve">(3) of the </w:t>
      </w:r>
      <w:r w:rsidRPr="000A0EA1">
        <w:rPr>
          <w:i/>
          <w:iCs/>
          <w:lang w:val="en-CA"/>
        </w:rPr>
        <w:t>EA</w:t>
      </w:r>
      <w:r w:rsidRPr="000A0EA1">
        <w:rPr>
          <w:lang w:val="en-CA"/>
        </w:rPr>
        <w:t xml:space="preserve">), staff members of an </w:t>
      </w:r>
      <w:r w:rsidR="00AE3408">
        <w:rPr>
          <w:lang w:val="en-CA"/>
        </w:rPr>
        <w:t>English</w:t>
      </w:r>
      <w:r w:rsidR="00AE3408">
        <w:rPr>
          <w:lang w:val="en-CA"/>
        </w:rPr>
        <w:noBreakHyphen/>
        <w:t>language</w:t>
      </w:r>
      <w:r w:rsidRPr="000A0EA1">
        <w:rPr>
          <w:lang w:val="en-CA"/>
        </w:rPr>
        <w:t xml:space="preserve"> school service centre are now granted a fixed number of positions on the board of directors – i.e., four positions, which must be filled by one teacher, one non</w:t>
      </w:r>
      <w:r w:rsidR="002111C1">
        <w:rPr>
          <w:lang w:val="en-CA"/>
        </w:rPr>
        <w:noBreakHyphen/>
      </w:r>
      <w:r w:rsidRPr="000A0EA1">
        <w:rPr>
          <w:lang w:val="en-CA"/>
        </w:rPr>
        <w:t>teaching professional staff member, one support staff member and one principal of an educational institution. Unlike parent representatives and community representatives, staff representatives are not elected; instead, they are designated by their peers.</w:t>
      </w:r>
      <w:r w:rsidRPr="000A0EA1">
        <w:rPr>
          <w:rStyle w:val="Appelnotedebasdep"/>
          <w:lang w:val="en-CA"/>
        </w:rPr>
        <w:footnoteReference w:id="230"/>
      </w:r>
    </w:p>
    <w:p w14:paraId="17F5F34E" w14:textId="0D856AA3" w:rsidR="00F75613" w:rsidRPr="000A0EA1" w:rsidRDefault="00B02E00" w:rsidP="00B255B8">
      <w:pPr>
        <w:pStyle w:val="Paragraphe"/>
        <w:spacing w:line="240" w:lineRule="auto"/>
        <w:rPr>
          <w:lang w:val="en-CA"/>
        </w:rPr>
      </w:pPr>
      <w:r w:rsidRPr="000A0EA1">
        <w:rPr>
          <w:lang w:val="en-CA"/>
        </w:rPr>
        <w:lastRenderedPageBreak/>
        <w:t xml:space="preserve">Like the judge, </w:t>
      </w:r>
      <w:r w:rsidR="002A52A4">
        <w:rPr>
          <w:lang w:val="en-CA"/>
        </w:rPr>
        <w:t>the Court</w:t>
      </w:r>
      <w:r w:rsidRPr="000A0EA1">
        <w:rPr>
          <w:lang w:val="en-CA"/>
        </w:rPr>
        <w:t xml:space="preserve"> </w:t>
      </w:r>
      <w:r w:rsidR="002A52A4">
        <w:rPr>
          <w:lang w:val="en-CA"/>
        </w:rPr>
        <w:t>concludes that</w:t>
      </w:r>
      <w:r w:rsidRPr="000A0EA1">
        <w:rPr>
          <w:lang w:val="en-CA"/>
        </w:rPr>
        <w:t xml:space="preserve"> this </w:t>
      </w:r>
      <w:r w:rsidR="00665F10">
        <w:rPr>
          <w:lang w:val="en-CA"/>
        </w:rPr>
        <w:t>provision</w:t>
      </w:r>
      <w:r w:rsidRPr="000A0EA1">
        <w:rPr>
          <w:lang w:val="en-CA"/>
        </w:rPr>
        <w:t xml:space="preserve"> infringes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w:t>
      </w:r>
    </w:p>
    <w:p w14:paraId="17F5F34F" w14:textId="727953A7" w:rsidR="00F75613" w:rsidRPr="000A0EA1" w:rsidRDefault="00B02E00" w:rsidP="00B255B8">
      <w:pPr>
        <w:pStyle w:val="Paragraphe"/>
        <w:spacing w:line="240" w:lineRule="auto"/>
        <w:rPr>
          <w:lang w:val="en-CA"/>
        </w:rPr>
      </w:pPr>
      <w:r w:rsidRPr="000A0EA1">
        <w:rPr>
          <w:lang w:val="en-CA"/>
        </w:rPr>
        <w:t xml:space="preserve">In </w:t>
      </w:r>
      <w:proofErr w:type="spellStart"/>
      <w:r w:rsidRPr="000A0EA1">
        <w:rPr>
          <w:i/>
          <w:iCs/>
          <w:lang w:val="en-CA"/>
        </w:rPr>
        <w:t>Mahe</w:t>
      </w:r>
      <w:proofErr w:type="spellEnd"/>
      <w:r w:rsidRPr="000A0EA1">
        <w:rPr>
          <w:lang w:val="en-CA"/>
        </w:rPr>
        <w:t xml:space="preserve">, the Supreme Court established that when the number of children who are to receive instruction in the language of the minority is sufficiently large, the linguistic minority is entitled to the creation of an </w:t>
      </w:r>
      <w:r w:rsidR="00E46AFD">
        <w:rPr>
          <w:lang w:val="en-CA"/>
        </w:rPr>
        <w:t>“</w:t>
      </w:r>
      <w:r w:rsidRPr="000A0EA1">
        <w:rPr>
          <w:lang w:val="en-CA"/>
        </w:rPr>
        <w:t>independent school board</w:t>
      </w:r>
      <w:r w:rsidR="00E46AFD">
        <w:rPr>
          <w:lang w:val="en-CA"/>
        </w:rPr>
        <w:t>”</w:t>
      </w:r>
      <w:r w:rsidRPr="000A0EA1">
        <w:rPr>
          <w:lang w:val="en-CA"/>
        </w:rPr>
        <w:t>.</w:t>
      </w:r>
      <w:r w:rsidRPr="000A0EA1">
        <w:rPr>
          <w:rStyle w:val="Appelnotedebasdep"/>
          <w:lang w:val="en-CA"/>
        </w:rPr>
        <w:footnoteReference w:id="231"/>
      </w:r>
      <w:r w:rsidRPr="000A0EA1">
        <w:rPr>
          <w:lang w:val="en-CA"/>
        </w:rPr>
        <w:t xml:space="preserve"> In the present matter, it is undisputed that this is the case for Quebec</w:t>
      </w:r>
      <w:r w:rsidR="00E46AFD">
        <w:rPr>
          <w:lang w:val="en-CA"/>
        </w:rPr>
        <w:t>’</w:t>
      </w:r>
      <w:r w:rsidRPr="000A0EA1">
        <w:rPr>
          <w:lang w:val="en-CA"/>
        </w:rPr>
        <w:t xml:space="preserve">s </w:t>
      </w:r>
      <w:r w:rsidR="00312FD9">
        <w:rPr>
          <w:lang w:val="en-CA"/>
        </w:rPr>
        <w:t>English</w:t>
      </w:r>
      <w:r w:rsidR="00312FD9">
        <w:rPr>
          <w:lang w:val="en-CA"/>
        </w:rPr>
        <w:noBreakHyphen/>
        <w:t>speaking</w:t>
      </w:r>
      <w:r w:rsidRPr="000A0EA1">
        <w:rPr>
          <w:lang w:val="en-CA"/>
        </w:rPr>
        <w:t xml:space="preserve"> minority, which is entitled to </w:t>
      </w:r>
      <w:r w:rsidR="00E46AFD">
        <w:rPr>
          <w:lang w:val="en-CA"/>
        </w:rPr>
        <w:t>“</w:t>
      </w:r>
      <w:r w:rsidRPr="000A0EA1">
        <w:rPr>
          <w:lang w:val="en-CA"/>
        </w:rPr>
        <w:t>independent school boards</w:t>
      </w:r>
      <w:r w:rsidR="00E46AFD">
        <w:rPr>
          <w:lang w:val="en-CA"/>
        </w:rPr>
        <w:t>”</w:t>
      </w:r>
      <w:r w:rsidRPr="000A0EA1">
        <w:rPr>
          <w:lang w:val="en-CA"/>
        </w:rPr>
        <w:t xml:space="preserve"> that must, at a minimum, allow </w:t>
      </w:r>
      <w:r w:rsidR="00E46AFD">
        <w:rPr>
          <w:lang w:val="en-CA"/>
        </w:rPr>
        <w:t>“</w:t>
      </w:r>
      <w:r w:rsidRPr="000A0EA1">
        <w:rPr>
          <w:lang w:val="en-CA"/>
        </w:rPr>
        <w:t>minority language representatives</w:t>
      </w:r>
      <w:r w:rsidR="00E46AFD">
        <w:rPr>
          <w:lang w:val="en-CA"/>
        </w:rPr>
        <w:t>”</w:t>
      </w:r>
      <w:r w:rsidRPr="000A0EA1">
        <w:rPr>
          <w:lang w:val="en-CA"/>
        </w:rPr>
        <w:t xml:space="preserve"> to exercise </w:t>
      </w:r>
      <w:r w:rsidR="00E46AFD">
        <w:rPr>
          <w:lang w:val="en-CA"/>
        </w:rPr>
        <w:t>“</w:t>
      </w:r>
      <w:r w:rsidRPr="000A0EA1">
        <w:rPr>
          <w:lang w:val="en-CA"/>
        </w:rPr>
        <w:t>exclusive authority to make decisions relating to the minority language instruction and facilities</w:t>
      </w:r>
      <w:r w:rsidR="00E46AFD">
        <w:rPr>
          <w:lang w:val="en-CA"/>
        </w:rPr>
        <w:t>”</w:t>
      </w:r>
      <w:r w:rsidRPr="000A0EA1">
        <w:rPr>
          <w:lang w:val="en-CA"/>
        </w:rPr>
        <w:t>.</w:t>
      </w:r>
      <w:r w:rsidRPr="000A0EA1">
        <w:rPr>
          <w:rStyle w:val="Appelnotedebasdep"/>
          <w:lang w:val="en-CA"/>
        </w:rPr>
        <w:footnoteReference w:id="232"/>
      </w:r>
      <w:r w:rsidRPr="000A0EA1">
        <w:rPr>
          <w:lang w:val="en-CA"/>
        </w:rPr>
        <w:t xml:space="preserve"> </w:t>
      </w:r>
    </w:p>
    <w:p w14:paraId="17F5F350" w14:textId="04E34A46" w:rsidR="00F75613" w:rsidRPr="000A0EA1" w:rsidRDefault="00B02E00" w:rsidP="00B255B8">
      <w:pPr>
        <w:pStyle w:val="Paragraphe"/>
        <w:spacing w:line="240" w:lineRule="auto"/>
        <w:rPr>
          <w:szCs w:val="24"/>
          <w:lang w:val="en-CA"/>
        </w:rPr>
      </w:pPr>
      <w:r w:rsidRPr="000A0EA1">
        <w:rPr>
          <w:szCs w:val="24"/>
          <w:lang w:val="en-CA"/>
        </w:rPr>
        <w:t>By imposing the mandatory presence on the board of directors of a certain number of non</w:t>
      </w:r>
      <w:r w:rsidR="00951473">
        <w:rPr>
          <w:szCs w:val="24"/>
          <w:lang w:val="en-CA"/>
        </w:rPr>
        <w:noBreakHyphen/>
      </w:r>
      <w:r w:rsidRPr="000A0EA1">
        <w:rPr>
          <w:szCs w:val="24"/>
          <w:lang w:val="en-CA"/>
        </w:rPr>
        <w:t xml:space="preserve">elected employees who, moreover, are not </w:t>
      </w:r>
      <w:r w:rsidR="00E67963">
        <w:rPr>
          <w:szCs w:val="24"/>
          <w:lang w:val="en-CA"/>
        </w:rPr>
        <w:t xml:space="preserve">necessarily </w:t>
      </w:r>
      <w:r w:rsidRPr="000A0EA1">
        <w:rPr>
          <w:szCs w:val="24"/>
          <w:lang w:val="en-CA"/>
        </w:rPr>
        <w:t xml:space="preserve">part of the linguistic minority, </w:t>
      </w:r>
      <w:r w:rsidR="00C33BBC">
        <w:rPr>
          <w:i/>
          <w:iCs/>
          <w:szCs w:val="24"/>
          <w:lang w:val="en-CA"/>
        </w:rPr>
        <w:t>Bill 40</w:t>
      </w:r>
      <w:r w:rsidRPr="000A0EA1">
        <w:rPr>
          <w:i/>
          <w:iCs/>
          <w:szCs w:val="24"/>
          <w:lang w:val="en-CA"/>
        </w:rPr>
        <w:t xml:space="preserve"> </w:t>
      </w:r>
      <w:r w:rsidRPr="000A0EA1">
        <w:rPr>
          <w:szCs w:val="24"/>
          <w:lang w:val="en-CA"/>
        </w:rPr>
        <w:t xml:space="preserve">directly infringes the </w:t>
      </w:r>
      <w:r w:rsidR="00E46AFD">
        <w:rPr>
          <w:szCs w:val="24"/>
          <w:lang w:val="en-CA"/>
        </w:rPr>
        <w:t>“</w:t>
      </w:r>
      <w:r w:rsidRPr="000A0EA1">
        <w:rPr>
          <w:szCs w:val="24"/>
          <w:lang w:val="en-CA"/>
        </w:rPr>
        <w:t>full rights of management and control</w:t>
      </w:r>
      <w:r w:rsidR="00E46AFD">
        <w:rPr>
          <w:szCs w:val="24"/>
          <w:lang w:val="en-CA"/>
        </w:rPr>
        <w:t>”</w:t>
      </w:r>
      <w:r w:rsidRPr="000A0EA1">
        <w:rPr>
          <w:rStyle w:val="Appelnotedebasdep"/>
          <w:lang w:val="en-CA"/>
        </w:rPr>
        <w:footnoteReference w:id="233"/>
      </w:r>
      <w:r w:rsidRPr="000A0EA1">
        <w:rPr>
          <w:szCs w:val="24"/>
          <w:lang w:val="en-CA"/>
        </w:rPr>
        <w:t xml:space="preserve"> that representatives of the linguistic minority must enjoy under </w:t>
      </w:r>
      <w:r w:rsidR="0062160E">
        <w:rPr>
          <w:szCs w:val="24"/>
          <w:lang w:val="en-CA"/>
        </w:rPr>
        <w:t>s. 2</w:t>
      </w:r>
      <w:r w:rsidRPr="000A0EA1">
        <w:rPr>
          <w:szCs w:val="24"/>
          <w:lang w:val="en-CA"/>
        </w:rPr>
        <w:t>3(3)(</w:t>
      </w:r>
      <w:r w:rsidRPr="000A0EA1">
        <w:rPr>
          <w:i/>
          <w:iCs/>
          <w:szCs w:val="24"/>
          <w:lang w:val="en-CA"/>
        </w:rPr>
        <w:t>b</w:t>
      </w:r>
      <w:r w:rsidRPr="000A0EA1">
        <w:rPr>
          <w:szCs w:val="24"/>
          <w:lang w:val="en-CA"/>
        </w:rPr>
        <w:t xml:space="preserve">) of the </w:t>
      </w:r>
      <w:r w:rsidRPr="000A0EA1">
        <w:rPr>
          <w:i/>
          <w:iCs/>
          <w:szCs w:val="24"/>
          <w:lang w:val="en-CA"/>
        </w:rPr>
        <w:t>Charter</w:t>
      </w:r>
      <w:r w:rsidRPr="000A0EA1">
        <w:rPr>
          <w:szCs w:val="24"/>
          <w:lang w:val="en-CA"/>
        </w:rPr>
        <w:t>. Contrary to the AGQ</w:t>
      </w:r>
      <w:r w:rsidR="00E46AFD">
        <w:rPr>
          <w:szCs w:val="24"/>
          <w:lang w:val="en-CA"/>
        </w:rPr>
        <w:t>’</w:t>
      </w:r>
      <w:r w:rsidRPr="000A0EA1">
        <w:rPr>
          <w:szCs w:val="24"/>
          <w:lang w:val="en-CA"/>
        </w:rPr>
        <w:t xml:space="preserve">s argument, the fact that these staff members are initially hired by the school service centres is irrelevant, as their function as employees cannot dictate or even establish their legitimacy on a board of directors </w:t>
      </w:r>
      <w:r w:rsidR="00924F28">
        <w:rPr>
          <w:szCs w:val="24"/>
          <w:lang w:val="en-CA"/>
        </w:rPr>
        <w:t xml:space="preserve">for the purpose of </w:t>
      </w:r>
      <w:r w:rsidRPr="000A0EA1">
        <w:rPr>
          <w:szCs w:val="24"/>
          <w:lang w:val="en-CA"/>
        </w:rPr>
        <w:t>represent</w:t>
      </w:r>
      <w:r w:rsidR="00924F28">
        <w:rPr>
          <w:szCs w:val="24"/>
          <w:lang w:val="en-CA"/>
        </w:rPr>
        <w:t>ing</w:t>
      </w:r>
      <w:r w:rsidRPr="000A0EA1">
        <w:rPr>
          <w:szCs w:val="24"/>
          <w:lang w:val="en-CA"/>
        </w:rPr>
        <w:t xml:space="preserve"> the linguistic minority. A linguistic minority</w:t>
      </w:r>
      <w:r w:rsidR="00E46AFD">
        <w:rPr>
          <w:szCs w:val="24"/>
          <w:lang w:val="en-CA"/>
        </w:rPr>
        <w:t>’</w:t>
      </w:r>
      <w:r w:rsidRPr="000A0EA1">
        <w:rPr>
          <w:szCs w:val="24"/>
          <w:lang w:val="en-CA"/>
        </w:rPr>
        <w:t xml:space="preserve">s choice of representatives to manage and control </w:t>
      </w:r>
      <w:r w:rsidR="007B36F0">
        <w:rPr>
          <w:szCs w:val="24"/>
          <w:lang w:val="en-CA"/>
        </w:rPr>
        <w:t>its educational institutions</w:t>
      </w:r>
      <w:r w:rsidRPr="000A0EA1">
        <w:rPr>
          <w:szCs w:val="24"/>
          <w:lang w:val="en-CA"/>
        </w:rPr>
        <w:t xml:space="preserve"> is altogether different from the hiring of school service centre staff, whose role is entirely </w:t>
      </w:r>
      <w:r w:rsidR="00354119">
        <w:rPr>
          <w:szCs w:val="24"/>
          <w:lang w:val="en-CA"/>
        </w:rPr>
        <w:t xml:space="preserve">distinct </w:t>
      </w:r>
      <w:r w:rsidRPr="000A0EA1">
        <w:rPr>
          <w:szCs w:val="24"/>
          <w:lang w:val="en-CA"/>
        </w:rPr>
        <w:t xml:space="preserve">from the protective role that entails specifically preserving and encouraging linguistic and cultural vitality in the minority language community. </w:t>
      </w:r>
      <w:r w:rsidR="002A52A4">
        <w:rPr>
          <w:szCs w:val="24"/>
          <w:lang w:val="en-CA"/>
        </w:rPr>
        <w:t xml:space="preserve">The Court </w:t>
      </w:r>
      <w:r w:rsidRPr="000A0EA1">
        <w:rPr>
          <w:szCs w:val="24"/>
          <w:lang w:val="en-CA"/>
        </w:rPr>
        <w:t>cannot accept the argument that the linguistic minority is represented through the staff hired by a school service centre.</w:t>
      </w:r>
    </w:p>
    <w:p w14:paraId="17F5F351" w14:textId="2BE80CA6" w:rsidR="00F75613" w:rsidRPr="000A0EA1" w:rsidRDefault="00B02E00" w:rsidP="003D6559">
      <w:pPr>
        <w:pStyle w:val="Style1"/>
        <w:numPr>
          <w:ilvl w:val="0"/>
          <w:numId w:val="12"/>
        </w:numPr>
        <w:spacing w:before="240" w:after="120" w:line="240" w:lineRule="auto"/>
        <w:ind w:left="714" w:hanging="357"/>
        <w:rPr>
          <w:i/>
          <w:iCs/>
          <w:szCs w:val="24"/>
          <w:lang w:val="en-CA"/>
        </w:rPr>
      </w:pPr>
      <w:r w:rsidRPr="000A0EA1">
        <w:rPr>
          <w:i/>
          <w:iCs/>
          <w:szCs w:val="24"/>
          <w:lang w:val="en-CA"/>
        </w:rPr>
        <w:t>Abolition of the remuneration for members of boards of directors (</w:t>
      </w:r>
      <w:r w:rsidR="0062160E">
        <w:rPr>
          <w:i/>
          <w:iCs/>
          <w:szCs w:val="24"/>
          <w:lang w:val="en-CA"/>
        </w:rPr>
        <w:t>s. 6</w:t>
      </w:r>
      <w:r w:rsidRPr="000A0EA1">
        <w:rPr>
          <w:i/>
          <w:iCs/>
          <w:szCs w:val="24"/>
          <w:lang w:val="en-CA"/>
        </w:rPr>
        <w:t xml:space="preserve">6 of </w:t>
      </w:r>
      <w:r w:rsidR="00C33BBC">
        <w:rPr>
          <w:i/>
          <w:iCs/>
          <w:szCs w:val="24"/>
          <w:lang w:val="en-CA"/>
        </w:rPr>
        <w:t>Bill 40</w:t>
      </w:r>
      <w:r w:rsidRPr="000A0EA1">
        <w:rPr>
          <w:i/>
          <w:iCs/>
          <w:szCs w:val="24"/>
          <w:lang w:val="en-CA"/>
        </w:rPr>
        <w:t>)</w:t>
      </w:r>
    </w:p>
    <w:p w14:paraId="17F5F352" w14:textId="77777777" w:rsidR="00F75613" w:rsidRPr="000A0EA1" w:rsidRDefault="00B02E00" w:rsidP="003D6559">
      <w:pPr>
        <w:pStyle w:val="Paragraphe"/>
        <w:spacing w:line="240" w:lineRule="auto"/>
        <w:rPr>
          <w:lang w:val="en-CA"/>
        </w:rPr>
      </w:pPr>
      <w:r w:rsidRPr="000A0EA1">
        <w:rPr>
          <w:lang w:val="en-CA"/>
        </w:rPr>
        <w:t>The judge concluded, as a finding of fact, that under the old scheme, the chair of a school board was paid an annual remuneration ranging from $15,000 to $20,000, while the commissioners received about half that amount.</w:t>
      </w:r>
      <w:r w:rsidRPr="000A0EA1">
        <w:rPr>
          <w:rStyle w:val="Appelnotedebasdep"/>
          <w:szCs w:val="24"/>
          <w:lang w:val="en-CA"/>
        </w:rPr>
        <w:footnoteReference w:id="234"/>
      </w:r>
    </w:p>
    <w:p w14:paraId="17F5F353" w14:textId="4D4873F1" w:rsidR="00F75613" w:rsidRDefault="00B02E00" w:rsidP="003D6559">
      <w:pPr>
        <w:pStyle w:val="Paragraphe"/>
        <w:spacing w:line="240" w:lineRule="auto"/>
        <w:rPr>
          <w:lang w:val="en-CA"/>
        </w:rPr>
      </w:pPr>
      <w:r w:rsidRPr="000A0EA1">
        <w:rPr>
          <w:lang w:val="en-CA"/>
        </w:rPr>
        <w:t xml:space="preserve">Section 66 of </w:t>
      </w:r>
      <w:r w:rsidR="00C33BBC">
        <w:rPr>
          <w:i/>
          <w:iCs/>
          <w:lang w:val="en-CA"/>
        </w:rPr>
        <w:t>Bill 40</w:t>
      </w:r>
      <w:r w:rsidRPr="000A0EA1">
        <w:rPr>
          <w:lang w:val="en-CA"/>
        </w:rPr>
        <w:t xml:space="preserve"> amends </w:t>
      </w:r>
      <w:r w:rsidR="0062160E">
        <w:rPr>
          <w:lang w:val="en-CA"/>
        </w:rPr>
        <w:t>s. 1</w:t>
      </w:r>
      <w:r w:rsidRPr="000A0EA1">
        <w:rPr>
          <w:lang w:val="en-CA"/>
        </w:rPr>
        <w:t xml:space="preserve">75 of the </w:t>
      </w:r>
      <w:r w:rsidRPr="000A0EA1">
        <w:rPr>
          <w:i/>
          <w:iCs/>
          <w:lang w:val="en-CA"/>
        </w:rPr>
        <w:t>EA</w:t>
      </w:r>
      <w:r w:rsidRPr="000A0EA1">
        <w:rPr>
          <w:lang w:val="en-CA"/>
        </w:rPr>
        <w:t xml:space="preserve"> to provide that members of the boards of directors of school service centres will no longer be remunerated, but will, instead, receive an attendance allowance. The standards for the payment of this attendance allowance were established by order in council dated October 7, 2020:</w:t>
      </w:r>
      <w:r w:rsidRPr="000A0EA1">
        <w:rPr>
          <w:rStyle w:val="Appelnotedebasdep"/>
          <w:szCs w:val="24"/>
          <w:lang w:val="en-CA"/>
        </w:rPr>
        <w:footnoteReference w:id="235"/>
      </w:r>
      <w:r w:rsidRPr="000A0EA1">
        <w:rPr>
          <w:lang w:val="en-CA"/>
        </w:rPr>
        <w:t xml:space="preserve"> </w:t>
      </w:r>
    </w:p>
    <w:p w14:paraId="74E5C871" w14:textId="77777777" w:rsidR="003D6559" w:rsidRPr="000A0EA1" w:rsidRDefault="003D6559" w:rsidP="003D6559">
      <w:pPr>
        <w:pStyle w:val="Paragraphe"/>
        <w:numPr>
          <w:ilvl w:val="0"/>
          <w:numId w:val="0"/>
        </w:numPr>
        <w:spacing w:line="240" w:lineRule="auto"/>
        <w:rPr>
          <w:lang w:val="en-CA"/>
        </w:rPr>
      </w:pPr>
    </w:p>
    <w:tbl>
      <w:tblPr>
        <w:tblStyle w:val="Grilledutablea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5241"/>
      </w:tblGrid>
      <w:tr w:rsidR="004936F2" w:rsidRPr="00403CE7" w14:paraId="17F5F356" w14:textId="77777777" w:rsidTr="00297CDF">
        <w:tc>
          <w:tcPr>
            <w:tcW w:w="2198" w:type="pct"/>
          </w:tcPr>
          <w:p w14:paraId="17F5F354" w14:textId="77777777"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lastRenderedPageBreak/>
              <w:t>Chair of the board of directors:</w:t>
            </w:r>
          </w:p>
        </w:tc>
        <w:tc>
          <w:tcPr>
            <w:tcW w:w="2802" w:type="pct"/>
          </w:tcPr>
          <w:p w14:paraId="17F5F355" w14:textId="1E4B1E14"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t>$200 per board meeting (maximum of $4,000</w:t>
            </w:r>
            <w:r w:rsidR="003E2892">
              <w:rPr>
                <w:sz w:val="22"/>
                <w:szCs w:val="22"/>
                <w:lang w:val="en-CA"/>
              </w:rPr>
              <w:t> </w:t>
            </w:r>
            <w:r w:rsidRPr="000A0EA1">
              <w:rPr>
                <w:sz w:val="22"/>
                <w:szCs w:val="22"/>
                <w:lang w:val="en-CA"/>
              </w:rPr>
              <w:t>/</w:t>
            </w:r>
            <w:r w:rsidR="003E2892">
              <w:rPr>
                <w:sz w:val="22"/>
                <w:szCs w:val="22"/>
                <w:lang w:val="en-CA"/>
              </w:rPr>
              <w:t> </w:t>
            </w:r>
            <w:r w:rsidRPr="000A0EA1">
              <w:rPr>
                <w:sz w:val="22"/>
                <w:szCs w:val="22"/>
                <w:lang w:val="en-CA"/>
              </w:rPr>
              <w:t>year)</w:t>
            </w:r>
          </w:p>
        </w:tc>
      </w:tr>
      <w:tr w:rsidR="004936F2" w:rsidRPr="00403CE7" w14:paraId="17F5F359" w14:textId="77777777" w:rsidTr="00297CDF">
        <w:tc>
          <w:tcPr>
            <w:tcW w:w="2198" w:type="pct"/>
          </w:tcPr>
          <w:p w14:paraId="17F5F357" w14:textId="77777777"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t>Vice-chair of the board of directors:</w:t>
            </w:r>
          </w:p>
        </w:tc>
        <w:tc>
          <w:tcPr>
            <w:tcW w:w="2802" w:type="pct"/>
          </w:tcPr>
          <w:p w14:paraId="17F5F358" w14:textId="0B67AEA2"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t>$150 per board meeting (maximum of $3,000</w:t>
            </w:r>
            <w:r w:rsidR="003E2892">
              <w:rPr>
                <w:sz w:val="22"/>
                <w:szCs w:val="22"/>
                <w:lang w:val="en-CA"/>
              </w:rPr>
              <w:t> </w:t>
            </w:r>
            <w:r w:rsidRPr="000A0EA1">
              <w:rPr>
                <w:sz w:val="22"/>
                <w:szCs w:val="22"/>
                <w:lang w:val="en-CA"/>
              </w:rPr>
              <w:t>/</w:t>
            </w:r>
            <w:r w:rsidR="003E2892">
              <w:rPr>
                <w:sz w:val="22"/>
                <w:szCs w:val="22"/>
                <w:lang w:val="en-CA"/>
              </w:rPr>
              <w:t> </w:t>
            </w:r>
            <w:r w:rsidRPr="000A0EA1">
              <w:rPr>
                <w:sz w:val="22"/>
                <w:szCs w:val="22"/>
                <w:lang w:val="en-CA"/>
              </w:rPr>
              <w:t>year)</w:t>
            </w:r>
          </w:p>
        </w:tc>
      </w:tr>
      <w:tr w:rsidR="004936F2" w:rsidRPr="00403CE7" w14:paraId="17F5F35C" w14:textId="77777777" w:rsidTr="00297CDF">
        <w:tc>
          <w:tcPr>
            <w:tcW w:w="2198" w:type="pct"/>
          </w:tcPr>
          <w:p w14:paraId="17F5F35A" w14:textId="77777777"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t>Other members:</w:t>
            </w:r>
          </w:p>
        </w:tc>
        <w:tc>
          <w:tcPr>
            <w:tcW w:w="2802" w:type="pct"/>
          </w:tcPr>
          <w:p w14:paraId="17F5F35B" w14:textId="4BFB0526" w:rsidR="00F75613" w:rsidRPr="000A0EA1" w:rsidRDefault="00B02E00" w:rsidP="00B255B8">
            <w:pPr>
              <w:pStyle w:val="Style1"/>
              <w:tabs>
                <w:tab w:val="clear" w:pos="360"/>
              </w:tabs>
              <w:spacing w:before="120" w:after="120" w:line="240" w:lineRule="auto"/>
              <w:rPr>
                <w:sz w:val="22"/>
                <w:szCs w:val="22"/>
                <w:lang w:val="en-CA"/>
              </w:rPr>
            </w:pPr>
            <w:r w:rsidRPr="000A0EA1">
              <w:rPr>
                <w:sz w:val="22"/>
                <w:szCs w:val="22"/>
                <w:lang w:val="en-CA"/>
              </w:rPr>
              <w:t>$100 per board meeting (maximum of $2,000</w:t>
            </w:r>
            <w:r w:rsidR="003E2892">
              <w:rPr>
                <w:sz w:val="22"/>
                <w:szCs w:val="22"/>
                <w:lang w:val="en-CA"/>
              </w:rPr>
              <w:t> </w:t>
            </w:r>
            <w:r w:rsidRPr="000A0EA1">
              <w:rPr>
                <w:sz w:val="22"/>
                <w:szCs w:val="22"/>
                <w:lang w:val="en-CA"/>
              </w:rPr>
              <w:t>/</w:t>
            </w:r>
            <w:r w:rsidR="003E2892">
              <w:rPr>
                <w:sz w:val="22"/>
                <w:szCs w:val="22"/>
                <w:lang w:val="en-CA"/>
              </w:rPr>
              <w:t> </w:t>
            </w:r>
            <w:r w:rsidRPr="000A0EA1">
              <w:rPr>
                <w:sz w:val="22"/>
                <w:szCs w:val="22"/>
                <w:lang w:val="en-CA"/>
              </w:rPr>
              <w:t>year)</w:t>
            </w:r>
          </w:p>
        </w:tc>
      </w:tr>
    </w:tbl>
    <w:p w14:paraId="17F5F35D" w14:textId="65BC417B" w:rsidR="00F75613" w:rsidRPr="000A0EA1" w:rsidRDefault="00B02E00" w:rsidP="00406B00">
      <w:pPr>
        <w:pStyle w:val="Paragraphe"/>
        <w:spacing w:before="240" w:line="240" w:lineRule="auto"/>
        <w:rPr>
          <w:lang w:val="en-CA"/>
        </w:rPr>
      </w:pPr>
      <w:r w:rsidRPr="000A0EA1">
        <w:rPr>
          <w:lang w:val="en-CA"/>
        </w:rPr>
        <w:t>Based on the evidence, the judge conclude</w:t>
      </w:r>
      <w:r w:rsidR="00220157">
        <w:rPr>
          <w:lang w:val="en-CA"/>
        </w:rPr>
        <w:t>s</w:t>
      </w:r>
      <w:r w:rsidRPr="000A0EA1">
        <w:rPr>
          <w:lang w:val="en-CA"/>
        </w:rPr>
        <w:t xml:space="preserve"> that, henceforth, a chair would receive approximately $1,000 per year, while other board members would receive around $500 per year – i.e., compensation approximately 15 times less than before.</w:t>
      </w:r>
      <w:r w:rsidRPr="000A0EA1">
        <w:rPr>
          <w:rStyle w:val="Appelnotedebasdep"/>
          <w:szCs w:val="24"/>
          <w:lang w:val="en-CA"/>
        </w:rPr>
        <w:footnoteReference w:id="236"/>
      </w:r>
      <w:r w:rsidRPr="000A0EA1">
        <w:rPr>
          <w:lang w:val="en-CA"/>
        </w:rPr>
        <w:t xml:space="preserve"> He </w:t>
      </w:r>
      <w:r w:rsidR="00220157">
        <w:rPr>
          <w:lang w:val="en-CA"/>
        </w:rPr>
        <w:t xml:space="preserve">is </w:t>
      </w:r>
      <w:r w:rsidRPr="000A0EA1">
        <w:rPr>
          <w:lang w:val="en-CA"/>
        </w:rPr>
        <w:t xml:space="preserve">also of the view that this measure contributes to reducing the pool of potential candidates for the positions of parent representative and community representative on the boards of directors of </w:t>
      </w:r>
      <w:r w:rsidR="00AE3408">
        <w:rPr>
          <w:lang w:val="en-CA"/>
        </w:rPr>
        <w:t>English</w:t>
      </w:r>
      <w:r w:rsidR="00AE3408">
        <w:rPr>
          <w:lang w:val="en-CA"/>
        </w:rPr>
        <w:noBreakHyphen/>
        <w:t>language</w:t>
      </w:r>
      <w:r w:rsidRPr="000A0EA1">
        <w:rPr>
          <w:lang w:val="en-CA"/>
        </w:rPr>
        <w:t xml:space="preserve"> school service centres.</w:t>
      </w:r>
      <w:r w:rsidRPr="000A0EA1">
        <w:rPr>
          <w:rStyle w:val="Appelnotedebasdep"/>
          <w:lang w:val="en-CA"/>
        </w:rPr>
        <w:footnoteReference w:id="237"/>
      </w:r>
    </w:p>
    <w:p w14:paraId="17F5F35E" w14:textId="1703D13A" w:rsidR="00F75613" w:rsidRPr="000A0EA1" w:rsidRDefault="00B02E00" w:rsidP="00B255B8">
      <w:pPr>
        <w:pStyle w:val="Paragraphe"/>
        <w:spacing w:line="240" w:lineRule="auto"/>
        <w:rPr>
          <w:lang w:val="en-CA"/>
        </w:rPr>
      </w:pPr>
      <w:r w:rsidRPr="000A0EA1">
        <w:rPr>
          <w:lang w:val="en-CA"/>
        </w:rPr>
        <w:t>Abolishing the remuneration and replacing it with attendance allowances, resulting in a very significant reduction in the annual amounts paid to board members, reflects the latter</w:t>
      </w:r>
      <w:r w:rsidR="00E46AFD">
        <w:rPr>
          <w:lang w:val="en-CA"/>
        </w:rPr>
        <w:t>’</w:t>
      </w:r>
      <w:r w:rsidRPr="000A0EA1">
        <w:rPr>
          <w:lang w:val="en-CA"/>
        </w:rPr>
        <w:t>s diminished functions in relation to the school commissioners they are replacing, as well as the limited time the legislature considers they must devote to these functions.</w:t>
      </w:r>
    </w:p>
    <w:p w14:paraId="17F5F35F" w14:textId="704CBEE7" w:rsidR="00F75613" w:rsidRPr="000A0EA1" w:rsidRDefault="00220157" w:rsidP="00B255B8">
      <w:pPr>
        <w:pStyle w:val="Paragraphe"/>
        <w:spacing w:line="240" w:lineRule="auto"/>
        <w:rPr>
          <w:lang w:val="en-CA"/>
        </w:rPr>
      </w:pPr>
      <w:r>
        <w:rPr>
          <w:lang w:val="en-CA"/>
        </w:rPr>
        <w:t xml:space="preserve">The Court </w:t>
      </w:r>
      <w:r w:rsidR="00B02E00" w:rsidRPr="000A0EA1">
        <w:rPr>
          <w:lang w:val="en-CA"/>
        </w:rPr>
        <w:t>agree</w:t>
      </w:r>
      <w:r>
        <w:rPr>
          <w:lang w:val="en-CA"/>
        </w:rPr>
        <w:t>s</w:t>
      </w:r>
      <w:r w:rsidR="00B02E00" w:rsidRPr="000A0EA1">
        <w:rPr>
          <w:lang w:val="en-CA"/>
        </w:rPr>
        <w:t xml:space="preserve"> with the judge that this paradigm shift, when considered in conjunction with the other eligibility requirements for parent representatives and community representatives, contributes to significantly reducing the pool of potential candidates for these positions. In other words, the cumulative effect of these measures will necessarily drastically restrict not only the </w:t>
      </w:r>
      <w:r w:rsidR="00C1258F">
        <w:rPr>
          <w:lang w:val="en-CA"/>
        </w:rPr>
        <w:t xml:space="preserve">pool of </w:t>
      </w:r>
      <w:r w:rsidR="00B02E00" w:rsidRPr="000A0EA1">
        <w:rPr>
          <w:lang w:val="en-CA"/>
        </w:rPr>
        <w:t xml:space="preserve">members of the linguistic minority who will stand as candidates, but also the ability of the linguistic minority to choose its representatives who will actually exercise the management and control rights arising under </w:t>
      </w:r>
      <w:r w:rsidR="0062160E">
        <w:rPr>
          <w:lang w:val="en-CA"/>
        </w:rPr>
        <w:t>s. 2</w:t>
      </w:r>
      <w:r w:rsidR="00B02E00" w:rsidRPr="000A0EA1">
        <w:rPr>
          <w:lang w:val="en-CA"/>
        </w:rPr>
        <w:t>3(3)(</w:t>
      </w:r>
      <w:r w:rsidR="00B02E00" w:rsidRPr="000A0EA1">
        <w:rPr>
          <w:i/>
          <w:iCs/>
          <w:lang w:val="en-CA"/>
        </w:rPr>
        <w:t>b</w:t>
      </w:r>
      <w:r w:rsidR="00B02E00" w:rsidRPr="000A0EA1">
        <w:rPr>
          <w:lang w:val="en-CA"/>
        </w:rPr>
        <w:t xml:space="preserve">) of the </w:t>
      </w:r>
      <w:r w:rsidR="00B02E00" w:rsidRPr="000A0EA1">
        <w:rPr>
          <w:i/>
          <w:iCs/>
          <w:lang w:val="en-CA"/>
        </w:rPr>
        <w:t>Charter</w:t>
      </w:r>
      <w:r w:rsidR="00B02E00" w:rsidRPr="000A0EA1">
        <w:rPr>
          <w:lang w:val="en-CA"/>
        </w:rPr>
        <w:t xml:space="preserve">. </w:t>
      </w:r>
    </w:p>
    <w:p w14:paraId="17F5F360" w14:textId="3BDF79C7" w:rsidR="00F75613" w:rsidRPr="000A0EA1" w:rsidRDefault="00B02E00" w:rsidP="00B255B8">
      <w:pPr>
        <w:pStyle w:val="Style1"/>
        <w:numPr>
          <w:ilvl w:val="0"/>
          <w:numId w:val="12"/>
        </w:numPr>
        <w:spacing w:line="240" w:lineRule="auto"/>
        <w:rPr>
          <w:i/>
          <w:iCs/>
          <w:lang w:val="en-CA"/>
        </w:rPr>
      </w:pPr>
      <w:r w:rsidRPr="000A0EA1">
        <w:rPr>
          <w:i/>
          <w:iCs/>
          <w:lang w:val="en-CA"/>
        </w:rPr>
        <w:t>Eligibility restrictions for the positions of chair and vice-chair (</w:t>
      </w:r>
      <w:r w:rsidR="0062160E">
        <w:rPr>
          <w:i/>
          <w:iCs/>
          <w:lang w:val="en-CA"/>
        </w:rPr>
        <w:t>s. 5</w:t>
      </w:r>
      <w:r w:rsidRPr="000A0EA1">
        <w:rPr>
          <w:i/>
          <w:iCs/>
          <w:lang w:val="en-CA"/>
        </w:rPr>
        <w:t xml:space="preserve">2 of </w:t>
      </w:r>
      <w:r w:rsidR="00C33BBC">
        <w:rPr>
          <w:i/>
          <w:iCs/>
          <w:lang w:val="en-CA"/>
        </w:rPr>
        <w:t>Bill 40</w:t>
      </w:r>
      <w:r w:rsidRPr="000A0EA1">
        <w:rPr>
          <w:i/>
          <w:iCs/>
          <w:lang w:val="en-CA"/>
        </w:rPr>
        <w:t>)</w:t>
      </w:r>
    </w:p>
    <w:p w14:paraId="17F5F361" w14:textId="535CE931" w:rsidR="00F75613" w:rsidRPr="000A0EA1" w:rsidRDefault="00B02E00" w:rsidP="00B255B8">
      <w:pPr>
        <w:pStyle w:val="Paragraphe"/>
        <w:spacing w:line="240" w:lineRule="auto"/>
        <w:rPr>
          <w:lang w:val="en-CA"/>
        </w:rPr>
      </w:pPr>
      <w:r w:rsidRPr="000A0EA1">
        <w:rPr>
          <w:lang w:val="en-CA"/>
        </w:rPr>
        <w:t xml:space="preserve">Section 52 of </w:t>
      </w:r>
      <w:r w:rsidR="00C33BBC">
        <w:rPr>
          <w:i/>
          <w:iCs/>
          <w:lang w:val="en-CA"/>
        </w:rPr>
        <w:t>Bill 40</w:t>
      </w:r>
      <w:r w:rsidRPr="000A0EA1">
        <w:rPr>
          <w:lang w:val="en-CA"/>
        </w:rPr>
        <w:t xml:space="preserve"> amends </w:t>
      </w:r>
      <w:r w:rsidR="0062160E">
        <w:rPr>
          <w:lang w:val="en-CA"/>
        </w:rPr>
        <w:t>s. 1</w:t>
      </w:r>
      <w:r w:rsidRPr="000A0EA1">
        <w:rPr>
          <w:lang w:val="en-CA"/>
        </w:rPr>
        <w:t xml:space="preserve">55 of the </w:t>
      </w:r>
      <w:r w:rsidRPr="000A0EA1">
        <w:rPr>
          <w:i/>
          <w:iCs/>
          <w:lang w:val="en-CA"/>
        </w:rPr>
        <w:t>EA</w:t>
      </w:r>
      <w:r w:rsidRPr="000A0EA1">
        <w:rPr>
          <w:lang w:val="en-CA"/>
        </w:rPr>
        <w:t xml:space="preserve"> to provide that, henceforth, the chair and vice-chair of the board of directors of a school service centre are to be appointed from among the parent representatives. Prior to </w:t>
      </w:r>
      <w:r w:rsidR="00C33BBC">
        <w:rPr>
          <w:i/>
          <w:iCs/>
          <w:lang w:val="en-CA"/>
        </w:rPr>
        <w:t>Bill 40</w:t>
      </w:r>
      <w:r w:rsidRPr="000A0EA1">
        <w:rPr>
          <w:lang w:val="en-CA"/>
        </w:rPr>
        <w:t xml:space="preserve">, the chair was elected by universal suffrage of </w:t>
      </w:r>
      <w:r w:rsidR="007B36F0">
        <w:rPr>
          <w:lang w:val="en-CA"/>
        </w:rPr>
        <w:t xml:space="preserve">a </w:t>
      </w:r>
      <w:r w:rsidRPr="000A0EA1">
        <w:rPr>
          <w:lang w:val="en-CA"/>
        </w:rPr>
        <w:t>school board</w:t>
      </w:r>
      <w:r w:rsidR="00E46AFD">
        <w:rPr>
          <w:lang w:val="en-CA"/>
        </w:rPr>
        <w:t>’</w:t>
      </w:r>
      <w:r w:rsidRPr="000A0EA1">
        <w:rPr>
          <w:lang w:val="en-CA"/>
        </w:rPr>
        <w:t xml:space="preserve">s electors. The judge </w:t>
      </w:r>
      <w:r w:rsidR="00FE0166">
        <w:rPr>
          <w:lang w:val="en-CA"/>
        </w:rPr>
        <w:t>is</w:t>
      </w:r>
      <w:r w:rsidRPr="000A0EA1">
        <w:rPr>
          <w:lang w:val="en-CA"/>
        </w:rPr>
        <w:t xml:space="preserve"> of the opinion that this measure violates </w:t>
      </w:r>
      <w:r w:rsidR="0062160E">
        <w:rPr>
          <w:lang w:val="en-CA"/>
        </w:rPr>
        <w:t>s. 2</w:t>
      </w:r>
      <w:r w:rsidRPr="000A0EA1">
        <w:rPr>
          <w:lang w:val="en-CA"/>
        </w:rPr>
        <w:t xml:space="preserve">3 of the </w:t>
      </w:r>
      <w:r w:rsidRPr="000A0EA1">
        <w:rPr>
          <w:i/>
          <w:iCs/>
          <w:lang w:val="en-CA"/>
        </w:rPr>
        <w:t>Charter</w:t>
      </w:r>
      <w:r w:rsidRPr="000A0EA1">
        <w:rPr>
          <w:lang w:val="en-CA"/>
        </w:rPr>
        <w:t>, as it contravenes the minority</w:t>
      </w:r>
      <w:r w:rsidR="00E46AFD">
        <w:rPr>
          <w:lang w:val="en-CA"/>
        </w:rPr>
        <w:t>’</w:t>
      </w:r>
      <w:r w:rsidRPr="000A0EA1">
        <w:rPr>
          <w:lang w:val="en-CA"/>
        </w:rPr>
        <w:t>s management and control rights by preventing members elected by the community from holding these leadership positions. There is no basis for intervening with respect to this conclusion.</w:t>
      </w:r>
    </w:p>
    <w:p w14:paraId="17F5F362" w14:textId="67A23C01" w:rsidR="00F75613" w:rsidRPr="000A0EA1" w:rsidRDefault="00B02E00" w:rsidP="00B255B8">
      <w:pPr>
        <w:pStyle w:val="Paragraphe"/>
        <w:spacing w:line="240" w:lineRule="auto"/>
        <w:rPr>
          <w:lang w:val="en-CA"/>
        </w:rPr>
      </w:pPr>
      <w:r w:rsidRPr="000A0EA1">
        <w:rPr>
          <w:lang w:val="en-CA"/>
        </w:rPr>
        <w:t xml:space="preserve">As mentioned above, due to the eligibility requirements </w:t>
      </w:r>
      <w:r w:rsidR="00C33BBC">
        <w:rPr>
          <w:i/>
          <w:iCs/>
          <w:lang w:val="en-CA"/>
        </w:rPr>
        <w:t>Bill 40</w:t>
      </w:r>
      <w:r w:rsidRPr="000A0EA1">
        <w:rPr>
          <w:lang w:val="en-CA"/>
        </w:rPr>
        <w:t xml:space="preserve"> imposes, it considerably reduces the pool of potential candidates for the positions of parent representative. As a result, it also necessarily restricts the pool of candidates who can be chosen to act as chair or vice-chair of the board of directors of an </w:t>
      </w:r>
      <w:r w:rsidR="00AE3408">
        <w:rPr>
          <w:lang w:val="en-CA"/>
        </w:rPr>
        <w:t>English</w:t>
      </w:r>
      <w:r w:rsidR="00AE3408">
        <w:rPr>
          <w:lang w:val="en-CA"/>
        </w:rPr>
        <w:noBreakHyphen/>
        <w:t>language</w:t>
      </w:r>
      <w:r w:rsidRPr="000A0EA1">
        <w:rPr>
          <w:lang w:val="en-CA"/>
        </w:rPr>
        <w:t xml:space="preserve"> school </w:t>
      </w:r>
      <w:r w:rsidRPr="000A0EA1">
        <w:rPr>
          <w:lang w:val="en-CA"/>
        </w:rPr>
        <w:lastRenderedPageBreak/>
        <w:t xml:space="preserve">service centre. This is a demonstration of the </w:t>
      </w:r>
      <w:r w:rsidR="00E46AFD">
        <w:rPr>
          <w:lang w:val="en-CA"/>
        </w:rPr>
        <w:t>“</w:t>
      </w:r>
      <w:r w:rsidRPr="000A0EA1">
        <w:rPr>
          <w:lang w:val="en-CA"/>
        </w:rPr>
        <w:t>mechanical effect</w:t>
      </w:r>
      <w:r w:rsidR="00E46AFD">
        <w:rPr>
          <w:lang w:val="en-CA"/>
        </w:rPr>
        <w:t>”</w:t>
      </w:r>
      <w:r w:rsidRPr="000A0EA1">
        <w:rPr>
          <w:lang w:val="en-CA"/>
        </w:rPr>
        <w:t xml:space="preserve"> of </w:t>
      </w:r>
      <w:r w:rsidR="00C33BBC">
        <w:rPr>
          <w:i/>
          <w:iCs/>
          <w:lang w:val="en-CA"/>
        </w:rPr>
        <w:t>Bill 40</w:t>
      </w:r>
      <w:r w:rsidRPr="000A0EA1">
        <w:rPr>
          <w:lang w:val="en-CA"/>
        </w:rPr>
        <w:t xml:space="preserve"> referred to in Professor Loewen</w:t>
      </w:r>
      <w:r w:rsidR="00E46AFD">
        <w:rPr>
          <w:lang w:val="en-CA"/>
        </w:rPr>
        <w:t>’</w:t>
      </w:r>
      <w:r w:rsidRPr="000A0EA1">
        <w:rPr>
          <w:lang w:val="en-CA"/>
        </w:rPr>
        <w:t>s expert report.</w:t>
      </w:r>
    </w:p>
    <w:p w14:paraId="17F5F363" w14:textId="10152E02" w:rsidR="00F75613" w:rsidRPr="000A0EA1" w:rsidRDefault="00B02E00" w:rsidP="00B255B8">
      <w:pPr>
        <w:pStyle w:val="Paragraphe"/>
        <w:spacing w:line="240" w:lineRule="auto"/>
        <w:rPr>
          <w:lang w:val="en-CA"/>
        </w:rPr>
      </w:pPr>
      <w:r w:rsidRPr="000A0EA1">
        <w:rPr>
          <w:lang w:val="en-CA"/>
        </w:rPr>
        <w:t xml:space="preserve">Joy </w:t>
      </w:r>
      <w:proofErr w:type="spellStart"/>
      <w:r w:rsidRPr="000A0EA1">
        <w:rPr>
          <w:lang w:val="en-CA"/>
        </w:rPr>
        <w:t>Humeniuk</w:t>
      </w:r>
      <w:r w:rsidR="00E46AFD">
        <w:rPr>
          <w:lang w:val="en-CA"/>
        </w:rPr>
        <w:t>’</w:t>
      </w:r>
      <w:r w:rsidRPr="000A0EA1">
        <w:rPr>
          <w:lang w:val="en-CA"/>
        </w:rPr>
        <w:t>s</w:t>
      </w:r>
      <w:proofErr w:type="spellEnd"/>
      <w:r w:rsidRPr="000A0EA1">
        <w:rPr>
          <w:lang w:val="en-CA"/>
        </w:rPr>
        <w:t xml:space="preserve"> affidavit further shows that the inability of community representatives to hold the positions of chair and vice-chair, combined with the other measures provided for in </w:t>
      </w:r>
      <w:r w:rsidR="00C33BBC">
        <w:rPr>
          <w:i/>
          <w:iCs/>
          <w:lang w:val="en-CA"/>
        </w:rPr>
        <w:t>Bill 40</w:t>
      </w:r>
      <w:r w:rsidRPr="000A0EA1">
        <w:rPr>
          <w:lang w:val="en-CA"/>
        </w:rPr>
        <w:t>, is a disincentive to participation in school governance.</w:t>
      </w:r>
      <w:r w:rsidRPr="000A0EA1">
        <w:rPr>
          <w:rStyle w:val="Appelnotedebasdep"/>
          <w:lang w:val="en-CA"/>
        </w:rPr>
        <w:footnoteReference w:id="238"/>
      </w:r>
      <w:r w:rsidRPr="000A0EA1">
        <w:rPr>
          <w:lang w:val="en-CA"/>
        </w:rPr>
        <w:t xml:space="preserve"> In this regard, </w:t>
      </w:r>
      <w:r w:rsidR="00862E2C">
        <w:rPr>
          <w:lang w:val="en-CA"/>
        </w:rPr>
        <w:t>the Court notes</w:t>
      </w:r>
      <w:r w:rsidRPr="000A0EA1">
        <w:rPr>
          <w:lang w:val="en-CA"/>
        </w:rPr>
        <w:t xml:space="preserve"> the respondents</w:t>
      </w:r>
      <w:r w:rsidR="00E46AFD">
        <w:rPr>
          <w:lang w:val="en-CA"/>
        </w:rPr>
        <w:t>’</w:t>
      </w:r>
      <w:r w:rsidRPr="000A0EA1">
        <w:rPr>
          <w:lang w:val="en-CA"/>
        </w:rPr>
        <w:t xml:space="preserve"> argument, based on the expert evidence of Professor Loewen, that </w:t>
      </w:r>
      <w:r w:rsidR="00E46AFD">
        <w:rPr>
          <w:lang w:val="en-CA"/>
        </w:rPr>
        <w:t>“</w:t>
      </w:r>
      <w:r w:rsidRPr="000A0EA1">
        <w:rPr>
          <w:lang w:val="en-CA"/>
        </w:rPr>
        <w:t>[l]</w:t>
      </w:r>
      <w:proofErr w:type="spellStart"/>
      <w:r w:rsidRPr="000A0EA1">
        <w:rPr>
          <w:lang w:val="en-CA"/>
        </w:rPr>
        <w:t>imiting</w:t>
      </w:r>
      <w:proofErr w:type="spellEnd"/>
      <w:r w:rsidRPr="000A0EA1">
        <w:rPr>
          <w:lang w:val="en-CA"/>
        </w:rPr>
        <w:t xml:space="preserve"> leadership positions to parents with children in school and who sit on a governing board creates a term limit, reducing the ability of the chair and vice-chair to acquire valuable experience and expertise as elected officials and reducing their effectiveness</w:t>
      </w:r>
      <w:r w:rsidR="00E46AFD">
        <w:rPr>
          <w:lang w:val="en-CA"/>
        </w:rPr>
        <w:t>”</w:t>
      </w:r>
      <w:r w:rsidRPr="000A0EA1">
        <w:rPr>
          <w:lang w:val="en-CA"/>
        </w:rPr>
        <w:t>.</w:t>
      </w:r>
      <w:r w:rsidRPr="000A0EA1">
        <w:rPr>
          <w:rStyle w:val="Appelnotedebasdep"/>
          <w:lang w:val="en-CA"/>
        </w:rPr>
        <w:footnoteReference w:id="239"/>
      </w:r>
    </w:p>
    <w:p w14:paraId="17F5F364" w14:textId="45B58BBB" w:rsidR="00F75613" w:rsidRPr="000A0EA1" w:rsidRDefault="00B02E00" w:rsidP="00B255B8">
      <w:pPr>
        <w:pStyle w:val="Paragraphe"/>
        <w:numPr>
          <w:ilvl w:val="0"/>
          <w:numId w:val="12"/>
        </w:numPr>
        <w:spacing w:line="240" w:lineRule="auto"/>
        <w:rPr>
          <w:i/>
          <w:iCs/>
          <w:lang w:val="en-CA"/>
        </w:rPr>
      </w:pPr>
      <w:r w:rsidRPr="000A0EA1">
        <w:rPr>
          <w:i/>
          <w:iCs/>
          <w:lang w:val="en-CA"/>
        </w:rPr>
        <w:t>Role of spokesperson entrusted to the director general (</w:t>
      </w:r>
      <w:r w:rsidR="0062160E">
        <w:rPr>
          <w:i/>
          <w:iCs/>
          <w:lang w:val="en-CA"/>
        </w:rPr>
        <w:t>s. 9</w:t>
      </w:r>
      <w:r w:rsidRPr="000A0EA1">
        <w:rPr>
          <w:i/>
          <w:iCs/>
          <w:lang w:val="en-CA"/>
        </w:rPr>
        <w:t xml:space="preserve">3 of </w:t>
      </w:r>
      <w:r w:rsidR="00C33BBC">
        <w:rPr>
          <w:i/>
          <w:iCs/>
          <w:lang w:val="en-CA"/>
        </w:rPr>
        <w:t>Bill 40</w:t>
      </w:r>
      <w:r w:rsidRPr="000A0EA1">
        <w:rPr>
          <w:i/>
          <w:iCs/>
          <w:lang w:val="en-CA"/>
        </w:rPr>
        <w:t xml:space="preserve"> and amendment to </w:t>
      </w:r>
      <w:r w:rsidR="0062160E">
        <w:rPr>
          <w:i/>
          <w:iCs/>
          <w:lang w:val="en-CA"/>
        </w:rPr>
        <w:t>s. 1</w:t>
      </w:r>
      <w:r w:rsidRPr="000A0EA1">
        <w:rPr>
          <w:i/>
          <w:iCs/>
          <w:lang w:val="en-CA"/>
        </w:rPr>
        <w:t>55 of the EA)</w:t>
      </w:r>
    </w:p>
    <w:p w14:paraId="17F5F365" w14:textId="77777777" w:rsidR="00F75613" w:rsidRPr="000A0EA1" w:rsidRDefault="00B02E00" w:rsidP="00B255B8">
      <w:pPr>
        <w:pStyle w:val="Paragraphe"/>
        <w:spacing w:line="240" w:lineRule="auto"/>
        <w:rPr>
          <w:lang w:val="en-CA"/>
        </w:rPr>
      </w:pPr>
      <w:bookmarkStart w:id="65" w:name="_Hlk189315968"/>
      <w:r w:rsidRPr="000A0EA1">
        <w:rPr>
          <w:lang w:val="en-CA"/>
        </w:rPr>
        <w:t>The role of spokesperson of a school service centre is now entrusted exclusively to the director general of the centre,</w:t>
      </w:r>
      <w:r w:rsidRPr="000A0EA1">
        <w:rPr>
          <w:rStyle w:val="Appelnotedebasdep"/>
          <w:lang w:val="en-CA"/>
        </w:rPr>
        <w:footnoteReference w:id="240"/>
      </w:r>
      <w:r w:rsidRPr="000A0EA1">
        <w:rPr>
          <w:lang w:val="en-CA"/>
        </w:rPr>
        <w:t xml:space="preserve"> whereas this role was previously entrusted to a representative elected by and from among the members of the linguistic minority, namely the chair of the school board.</w:t>
      </w:r>
      <w:r w:rsidRPr="000A0EA1">
        <w:rPr>
          <w:vertAlign w:val="superscript"/>
          <w:lang w:val="en-CA"/>
        </w:rPr>
        <w:footnoteReference w:id="241"/>
      </w:r>
      <w:r w:rsidRPr="000A0EA1">
        <w:rPr>
          <w:lang w:val="en-CA"/>
        </w:rPr>
        <w:t xml:space="preserve"> </w:t>
      </w:r>
    </w:p>
    <w:p w14:paraId="17F5F366" w14:textId="77777777" w:rsidR="00F75613" w:rsidRPr="000A0EA1" w:rsidRDefault="00B02E00" w:rsidP="00B255B8">
      <w:pPr>
        <w:pStyle w:val="Paragraphe"/>
        <w:spacing w:line="240" w:lineRule="auto"/>
        <w:rPr>
          <w:lang w:val="en-CA"/>
        </w:rPr>
      </w:pPr>
      <w:r w:rsidRPr="000A0EA1">
        <w:rPr>
          <w:lang w:val="en-CA"/>
        </w:rPr>
        <w:t>The evidence demonstrates the vital and leading role of a school board spokesperson in expressing the needs and concerns of the linguistic minority regarding educational matters. Stephen Burke, chair of the Central Québec School Board, explained the importance of this role in defending the educational interests of the linguistic minority vis-à-vis the provincial authorities and the public, indicating that he did not hesitate to be critical of the government when necessary:</w:t>
      </w:r>
      <w:r w:rsidRPr="000A0EA1">
        <w:rPr>
          <w:vertAlign w:val="superscript"/>
          <w:lang w:val="en-CA"/>
        </w:rPr>
        <w:footnoteReference w:id="242"/>
      </w:r>
      <w:r w:rsidRPr="000A0EA1">
        <w:rPr>
          <w:lang w:val="en-CA"/>
        </w:rPr>
        <w:t xml:space="preserve"> </w:t>
      </w:r>
    </w:p>
    <w:p w14:paraId="17F5F367" w14:textId="77777777"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6.</w:t>
      </w:r>
      <w:r w:rsidRPr="000A0EA1">
        <w:rPr>
          <w:rFonts w:cs="Arial"/>
          <w:sz w:val="22"/>
          <w:szCs w:val="22"/>
          <w:lang w:val="en-CA" w:eastAsia="fr-CA"/>
        </w:rPr>
        <w:tab/>
        <w:t>I believe that one of the most important roles that the chair of a school board plays is to act as spokesperson for the school board. I take this responsibility very seriously.</w:t>
      </w:r>
    </w:p>
    <w:p w14:paraId="17F5F368" w14:textId="3C154D65"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7.</w:t>
      </w:r>
      <w:r w:rsidRPr="000A0EA1">
        <w:rPr>
          <w:rFonts w:cs="Arial"/>
          <w:sz w:val="22"/>
          <w:szCs w:val="22"/>
          <w:lang w:val="en-CA" w:eastAsia="fr-CA"/>
        </w:rPr>
        <w:tab/>
        <w:t xml:space="preserve">Because I am elected by the </w:t>
      </w:r>
      <w:r w:rsidR="00AE3408">
        <w:rPr>
          <w:rFonts w:cs="Arial"/>
          <w:sz w:val="22"/>
          <w:szCs w:val="22"/>
          <w:lang w:val="en-CA" w:eastAsia="fr-CA"/>
        </w:rPr>
        <w:t>English</w:t>
      </w:r>
      <w:r w:rsidR="00AE3408">
        <w:rPr>
          <w:rFonts w:cs="Arial"/>
          <w:sz w:val="22"/>
          <w:szCs w:val="22"/>
          <w:lang w:val="en-CA" w:eastAsia="fr-CA"/>
        </w:rPr>
        <w:noBreakHyphen/>
        <w:t>language</w:t>
      </w:r>
      <w:r w:rsidRPr="000A0EA1">
        <w:rPr>
          <w:rFonts w:cs="Arial"/>
          <w:sz w:val="22"/>
          <w:szCs w:val="22"/>
          <w:lang w:val="en-CA" w:eastAsia="fr-CA"/>
        </w:rPr>
        <w:t xml:space="preserve"> minority, I can speak for the school board and the community it represents with legitimacy and authority, in a way that a staff (non-elected) member of the school board cannot. I can fulfill this role independently and can be critical of the government if needed, as I know that my position only depends on the support of my electors.</w:t>
      </w:r>
    </w:p>
    <w:p w14:paraId="17F5F369" w14:textId="0CD9E570"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lastRenderedPageBreak/>
        <w:t>8.</w:t>
      </w:r>
      <w:r w:rsidRPr="000A0EA1">
        <w:rPr>
          <w:rFonts w:cs="Arial"/>
          <w:sz w:val="22"/>
          <w:szCs w:val="22"/>
          <w:lang w:val="en-CA" w:eastAsia="fr-CA"/>
        </w:rPr>
        <w:tab/>
        <w:t>As chair, I handle relations with political leaders and government officials and give voice to the community</w:t>
      </w:r>
      <w:r w:rsidR="00E46AFD">
        <w:rPr>
          <w:rFonts w:cs="Arial"/>
          <w:sz w:val="22"/>
          <w:szCs w:val="22"/>
          <w:lang w:val="en-CA" w:eastAsia="fr-CA"/>
        </w:rPr>
        <w:t>’</w:t>
      </w:r>
      <w:r w:rsidRPr="000A0EA1">
        <w:rPr>
          <w:rFonts w:cs="Arial"/>
          <w:sz w:val="22"/>
          <w:szCs w:val="22"/>
          <w:lang w:val="en-CA" w:eastAsia="fr-CA"/>
        </w:rPr>
        <w:t>s concerns. At times, I must also voice the community</w:t>
      </w:r>
      <w:r w:rsidR="00E46AFD">
        <w:rPr>
          <w:rFonts w:cs="Arial"/>
          <w:sz w:val="22"/>
          <w:szCs w:val="22"/>
          <w:lang w:val="en-CA" w:eastAsia="fr-CA"/>
        </w:rPr>
        <w:t>’</w:t>
      </w:r>
      <w:r w:rsidRPr="000A0EA1">
        <w:rPr>
          <w:rFonts w:cs="Arial"/>
          <w:sz w:val="22"/>
          <w:szCs w:val="22"/>
          <w:lang w:val="en-CA" w:eastAsia="fr-CA"/>
        </w:rPr>
        <w:t>s opposition to measures proposed by the provincial government. Despite this, I strive to maintain a good working relationship with the government.</w:t>
      </w:r>
      <w:r w:rsidRPr="000A0EA1">
        <w:rPr>
          <w:lang w:val="en-CA"/>
        </w:rPr>
        <w:t xml:space="preserve"> </w:t>
      </w:r>
    </w:p>
    <w:p w14:paraId="17F5F36A" w14:textId="77777777" w:rsidR="00F75613" w:rsidRPr="000A0EA1" w:rsidRDefault="00B02E00" w:rsidP="00406B00">
      <w:pPr>
        <w:pStyle w:val="Paragraphe"/>
        <w:spacing w:before="240" w:line="240" w:lineRule="auto"/>
        <w:rPr>
          <w:lang w:val="en-CA"/>
        </w:rPr>
      </w:pPr>
      <w:r w:rsidRPr="000A0EA1">
        <w:rPr>
          <w:lang w:val="en-CA"/>
        </w:rPr>
        <w:t>The affidavits of John Ryan, chair of the New Frontiers School Board,</w:t>
      </w:r>
      <w:r w:rsidRPr="000A0EA1">
        <w:rPr>
          <w:vertAlign w:val="superscript"/>
          <w:lang w:val="en-CA"/>
        </w:rPr>
        <w:footnoteReference w:id="243"/>
      </w:r>
      <w:r w:rsidRPr="000A0EA1">
        <w:rPr>
          <w:lang w:val="en-CA"/>
        </w:rPr>
        <w:t xml:space="preserve"> and Michael Murray, chair of the Eastern Townships School Board,</w:t>
      </w:r>
      <w:r w:rsidRPr="000A0EA1">
        <w:rPr>
          <w:vertAlign w:val="superscript"/>
          <w:lang w:val="en-CA"/>
        </w:rPr>
        <w:footnoteReference w:id="244"/>
      </w:r>
      <w:r w:rsidRPr="000A0EA1">
        <w:rPr>
          <w:lang w:val="en-CA"/>
        </w:rPr>
        <w:t xml:space="preserve"> are to the same effect.</w:t>
      </w:r>
    </w:p>
    <w:p w14:paraId="17F5F36B" w14:textId="376258B2" w:rsidR="00F75613" w:rsidRPr="000A0EA1" w:rsidRDefault="00B02E00" w:rsidP="00B255B8">
      <w:pPr>
        <w:pStyle w:val="Paragraphe"/>
        <w:spacing w:line="240" w:lineRule="auto"/>
        <w:rPr>
          <w:lang w:val="en-CA"/>
        </w:rPr>
      </w:pPr>
      <w:r w:rsidRPr="000A0EA1">
        <w:rPr>
          <w:lang w:val="en-CA"/>
        </w:rPr>
        <w:t>The judge was right to conclude that the director general of a school service centre, in his capacity as an employee of the centre, clearly does not have the same role as spokesperson or the same freedom to act as a school board chair who is elected by the linguistic minority to represent it. The fact that the director general of a school service centre is appointed by the centre</w:t>
      </w:r>
      <w:r w:rsidR="00E46AFD">
        <w:rPr>
          <w:lang w:val="en-CA"/>
        </w:rPr>
        <w:t>’</w:t>
      </w:r>
      <w:r w:rsidRPr="000A0EA1">
        <w:rPr>
          <w:lang w:val="en-CA"/>
        </w:rPr>
        <w:t>s board of directors and has the obligation to ensure that the board</w:t>
      </w:r>
      <w:r w:rsidR="00E46AFD">
        <w:rPr>
          <w:lang w:val="en-CA"/>
        </w:rPr>
        <w:t>’</w:t>
      </w:r>
      <w:r w:rsidRPr="000A0EA1">
        <w:rPr>
          <w:lang w:val="en-CA"/>
        </w:rPr>
        <w:t>s decisions are carried out,</w:t>
      </w:r>
      <w:r w:rsidRPr="000A0EA1">
        <w:rPr>
          <w:rStyle w:val="Appelnotedebasdep"/>
          <w:lang w:val="en-CA"/>
        </w:rPr>
        <w:footnoteReference w:id="245"/>
      </w:r>
      <w:r w:rsidRPr="000A0EA1">
        <w:rPr>
          <w:lang w:val="en-CA"/>
        </w:rPr>
        <w:t xml:space="preserve"> does not change this finding. The director general is not chosen by the linguistic minority – of which he or she is not necessarily a member – to represent it.</w:t>
      </w:r>
    </w:p>
    <w:p w14:paraId="09FDAD6B" w14:textId="33803801" w:rsidR="00406B00" w:rsidRPr="003D6559" w:rsidRDefault="00B02E00" w:rsidP="003D6559">
      <w:pPr>
        <w:pStyle w:val="Paragraphe"/>
        <w:spacing w:line="240" w:lineRule="auto"/>
        <w:rPr>
          <w:lang w:val="en-CA"/>
        </w:rPr>
      </w:pPr>
      <w:r w:rsidRPr="000A0EA1">
        <w:rPr>
          <w:lang w:val="en-CA"/>
        </w:rPr>
        <w:t>By withdrawing the role of spokesperson from a linguistic minority representative and entrusting it to an employee hired for a specific function, without regard to the employee</w:t>
      </w:r>
      <w:r w:rsidR="00E46AFD">
        <w:rPr>
          <w:lang w:val="en-CA"/>
        </w:rPr>
        <w:t>’</w:t>
      </w:r>
      <w:r w:rsidRPr="000A0EA1">
        <w:rPr>
          <w:lang w:val="en-CA"/>
        </w:rPr>
        <w:t>s relationship of trust with th</w:t>
      </w:r>
      <w:r w:rsidR="008A3E32">
        <w:rPr>
          <w:lang w:val="en-CA"/>
        </w:rPr>
        <w:t>is</w:t>
      </w:r>
      <w:r w:rsidRPr="000A0EA1">
        <w:rPr>
          <w:lang w:val="en-CA"/>
        </w:rPr>
        <w:t xml:space="preserve"> community or his or her qualifications as a spokesperson, </w:t>
      </w:r>
      <w:r w:rsidR="00C33BBC">
        <w:rPr>
          <w:i/>
          <w:iCs/>
          <w:lang w:val="en-CA"/>
        </w:rPr>
        <w:t>Bill 40</w:t>
      </w:r>
      <w:r w:rsidRPr="000A0EA1">
        <w:rPr>
          <w:lang w:val="en-CA"/>
        </w:rPr>
        <w:t xml:space="preserve"> infringes on the management and control rights conferred on linguistic minority representatives and arising under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w:t>
      </w:r>
      <w:bookmarkEnd w:id="65"/>
    </w:p>
    <w:p w14:paraId="17F5F36D" w14:textId="7BFD8F37" w:rsidR="00F75613" w:rsidRPr="000A0EA1" w:rsidRDefault="00B02E00" w:rsidP="00B255B8">
      <w:pPr>
        <w:pStyle w:val="Paragraphe"/>
        <w:numPr>
          <w:ilvl w:val="0"/>
          <w:numId w:val="12"/>
        </w:numPr>
        <w:spacing w:line="240" w:lineRule="auto"/>
        <w:rPr>
          <w:i/>
          <w:iCs/>
          <w:lang w:val="en-CA"/>
        </w:rPr>
      </w:pPr>
      <w:r w:rsidRPr="000A0EA1">
        <w:rPr>
          <w:i/>
          <w:iCs/>
          <w:lang w:val="en-CA"/>
        </w:rPr>
        <w:t>Commitment-to-student-success committee (</w:t>
      </w:r>
      <w:r w:rsidR="0062160E">
        <w:rPr>
          <w:i/>
          <w:iCs/>
          <w:lang w:val="en-CA"/>
        </w:rPr>
        <w:t>s. 9</w:t>
      </w:r>
      <w:r w:rsidRPr="000A0EA1">
        <w:rPr>
          <w:i/>
          <w:iCs/>
          <w:lang w:val="en-CA"/>
        </w:rPr>
        <w:t xml:space="preserve">1 of </w:t>
      </w:r>
      <w:r w:rsidR="00C33BBC">
        <w:rPr>
          <w:i/>
          <w:iCs/>
          <w:lang w:val="en-CA"/>
        </w:rPr>
        <w:t>Bill 40</w:t>
      </w:r>
      <w:r w:rsidRPr="000A0EA1">
        <w:rPr>
          <w:i/>
          <w:iCs/>
          <w:lang w:val="en-CA"/>
        </w:rPr>
        <w:t>)</w:t>
      </w:r>
    </w:p>
    <w:p w14:paraId="17F5F36E" w14:textId="26C0B25A" w:rsidR="00F75613" w:rsidRPr="000A0EA1" w:rsidRDefault="00B02E00" w:rsidP="00B255B8">
      <w:pPr>
        <w:pStyle w:val="Paragraphe"/>
        <w:spacing w:line="240" w:lineRule="auto"/>
        <w:rPr>
          <w:lang w:val="en-CA"/>
        </w:rPr>
      </w:pPr>
      <w:r w:rsidRPr="000A0EA1">
        <w:rPr>
          <w:lang w:val="en-CA"/>
        </w:rPr>
        <w:t xml:space="preserve">Before the </w:t>
      </w:r>
      <w:r w:rsidR="00C33BBC">
        <w:rPr>
          <w:i/>
          <w:iCs/>
          <w:lang w:val="en-CA"/>
        </w:rPr>
        <w:t>Bill 40</w:t>
      </w:r>
      <w:r w:rsidRPr="000A0EA1">
        <w:rPr>
          <w:lang w:val="en-CA"/>
        </w:rPr>
        <w:t xml:space="preserve"> amendments, the </w:t>
      </w:r>
      <w:r w:rsidRPr="000A0EA1">
        <w:rPr>
          <w:i/>
          <w:iCs/>
          <w:lang w:val="en-CA"/>
        </w:rPr>
        <w:t xml:space="preserve">EA </w:t>
      </w:r>
      <w:r w:rsidRPr="000A0EA1">
        <w:rPr>
          <w:lang w:val="en-CA"/>
        </w:rPr>
        <w:t>provided that the development of the commitment</w:t>
      </w:r>
      <w:r w:rsidR="00313649">
        <w:rPr>
          <w:lang w:val="en-CA"/>
        </w:rPr>
        <w:noBreakHyphen/>
      </w:r>
      <w:r w:rsidRPr="000A0EA1">
        <w:rPr>
          <w:lang w:val="en-CA"/>
        </w:rPr>
        <w:t>to</w:t>
      </w:r>
      <w:r w:rsidR="00313649">
        <w:rPr>
          <w:lang w:val="en-CA"/>
        </w:rPr>
        <w:noBreakHyphen/>
      </w:r>
      <w:r w:rsidRPr="000A0EA1">
        <w:rPr>
          <w:lang w:val="en-CA"/>
        </w:rPr>
        <w:t>success plan was the direct and exclusive responsibility of the council of commissioners.</w:t>
      </w:r>
      <w:r w:rsidRPr="000A0EA1">
        <w:rPr>
          <w:vertAlign w:val="superscript"/>
          <w:lang w:val="en-CA"/>
        </w:rPr>
        <w:footnoteReference w:id="246"/>
      </w:r>
      <w:r w:rsidRPr="000A0EA1">
        <w:rPr>
          <w:lang w:val="en-CA"/>
        </w:rPr>
        <w:t xml:space="preserve"> The </w:t>
      </w:r>
      <w:r w:rsidRPr="000A0EA1">
        <w:rPr>
          <w:i/>
          <w:iCs/>
          <w:lang w:val="en-CA"/>
        </w:rPr>
        <w:t xml:space="preserve">EA </w:t>
      </w:r>
      <w:r w:rsidRPr="000A0EA1">
        <w:rPr>
          <w:lang w:val="en-CA"/>
        </w:rPr>
        <w:t>also provided that, as part of the commissioners</w:t>
      </w:r>
      <w:r w:rsidR="00E46AFD">
        <w:rPr>
          <w:lang w:val="en-CA"/>
        </w:rPr>
        <w:t>’</w:t>
      </w:r>
      <w:r w:rsidRPr="000A0EA1">
        <w:rPr>
          <w:lang w:val="en-CA"/>
        </w:rPr>
        <w:t xml:space="preserve"> contribution to defining the school board</w:t>
      </w:r>
      <w:r w:rsidR="00E46AFD">
        <w:rPr>
          <w:lang w:val="en-CA"/>
        </w:rPr>
        <w:t>’</w:t>
      </w:r>
      <w:r w:rsidRPr="000A0EA1">
        <w:rPr>
          <w:lang w:val="en-CA"/>
        </w:rPr>
        <w:t>s directions and priorities, their role included informing the council of commissioners of the needs and expectations of the population of their electoral division or their sector.</w:t>
      </w:r>
      <w:r w:rsidRPr="000A0EA1">
        <w:rPr>
          <w:rStyle w:val="Appelnotedebasdep"/>
          <w:lang w:val="en-CA"/>
        </w:rPr>
        <w:footnoteReference w:id="247"/>
      </w:r>
    </w:p>
    <w:p w14:paraId="17F5F36F" w14:textId="5221D046" w:rsidR="00F75613" w:rsidRPr="000A0EA1" w:rsidRDefault="00B02E00" w:rsidP="00B255B8">
      <w:pPr>
        <w:pStyle w:val="Paragraphe"/>
        <w:spacing w:line="240" w:lineRule="auto"/>
        <w:rPr>
          <w:lang w:val="en-CA"/>
        </w:rPr>
      </w:pPr>
      <w:r w:rsidRPr="000A0EA1">
        <w:rPr>
          <w:lang w:val="en-CA"/>
        </w:rPr>
        <w:t>Henceforth, the members of the board of directors of a school service centre do not participate in defining and implementing the centre</w:t>
      </w:r>
      <w:r w:rsidR="00E46AFD">
        <w:rPr>
          <w:lang w:val="en-CA"/>
        </w:rPr>
        <w:t>’</w:t>
      </w:r>
      <w:r w:rsidRPr="000A0EA1">
        <w:rPr>
          <w:lang w:val="en-CA"/>
        </w:rPr>
        <w:t>s directions and priorities, and they no longer have the obligation or responsibility of informing the board of the population</w:t>
      </w:r>
      <w:r w:rsidR="00E46AFD">
        <w:rPr>
          <w:lang w:val="en-CA"/>
        </w:rPr>
        <w:t>’</w:t>
      </w:r>
      <w:r w:rsidRPr="000A0EA1">
        <w:rPr>
          <w:lang w:val="en-CA"/>
        </w:rPr>
        <w:t>s needs and expectations.</w:t>
      </w:r>
      <w:r w:rsidRPr="000A0EA1">
        <w:rPr>
          <w:rStyle w:val="Appelnotedebasdep"/>
          <w:lang w:val="en-CA"/>
        </w:rPr>
        <w:footnoteReference w:id="248"/>
      </w:r>
      <w:r w:rsidRPr="000A0EA1">
        <w:rPr>
          <w:lang w:val="en-CA"/>
        </w:rPr>
        <w:t xml:space="preserve"> Pursuant to the changes introduced by </w:t>
      </w:r>
      <w:r w:rsidR="00C33BBC">
        <w:rPr>
          <w:i/>
          <w:iCs/>
          <w:lang w:val="en-CA"/>
        </w:rPr>
        <w:t>Bill 40</w:t>
      </w:r>
      <w:r w:rsidRPr="000A0EA1">
        <w:rPr>
          <w:lang w:val="en-CA"/>
        </w:rPr>
        <w:t>, the commitment</w:t>
      </w:r>
      <w:r w:rsidR="00CE48D2">
        <w:rPr>
          <w:lang w:val="en-CA"/>
        </w:rPr>
        <w:noBreakHyphen/>
      </w:r>
      <w:r w:rsidRPr="000A0EA1">
        <w:rPr>
          <w:lang w:val="en-CA"/>
        </w:rPr>
        <w:t>to</w:t>
      </w:r>
      <w:r w:rsidR="00CE48D2">
        <w:rPr>
          <w:lang w:val="en-CA"/>
        </w:rPr>
        <w:noBreakHyphen/>
      </w:r>
      <w:r w:rsidRPr="000A0EA1">
        <w:rPr>
          <w:lang w:val="en-CA"/>
        </w:rPr>
        <w:t>success plan is, instead, developed, prepared and proposed by a committee made up exclusively of school service centre staff – i.e., the commitment-to-</w:t>
      </w:r>
      <w:r w:rsidRPr="000A0EA1">
        <w:rPr>
          <w:lang w:val="en-CA"/>
        </w:rPr>
        <w:lastRenderedPageBreak/>
        <w:t>student-success committee.</w:t>
      </w:r>
      <w:r w:rsidRPr="000A0EA1">
        <w:rPr>
          <w:vertAlign w:val="superscript"/>
          <w:lang w:val="en-CA"/>
        </w:rPr>
        <w:footnoteReference w:id="249"/>
      </w:r>
      <w:r w:rsidRPr="000A0EA1">
        <w:rPr>
          <w:lang w:val="en-CA"/>
        </w:rPr>
        <w:t xml:space="preserve"> The board of directors</w:t>
      </w:r>
      <w:r w:rsidR="00E46AFD">
        <w:rPr>
          <w:lang w:val="en-CA"/>
        </w:rPr>
        <w:t>’</w:t>
      </w:r>
      <w:r w:rsidRPr="000A0EA1">
        <w:rPr>
          <w:lang w:val="en-CA"/>
        </w:rPr>
        <w:t xml:space="preserve"> role is now limited to approving the proposed plan, without any direct involvement in its development, preparation or content, and the board must formally justify any refusal to approve the plan.</w:t>
      </w:r>
      <w:r w:rsidRPr="000A0EA1">
        <w:rPr>
          <w:vertAlign w:val="superscript"/>
          <w:lang w:val="en-CA"/>
        </w:rPr>
        <w:footnoteReference w:id="250"/>
      </w:r>
      <w:r w:rsidRPr="000A0EA1">
        <w:rPr>
          <w:lang w:val="en-CA"/>
        </w:rPr>
        <w:t xml:space="preserve"> </w:t>
      </w:r>
    </w:p>
    <w:p w14:paraId="17F5F370" w14:textId="475B8A62" w:rsidR="00F75613" w:rsidRPr="000A0EA1" w:rsidRDefault="00B02E00" w:rsidP="00B255B8">
      <w:pPr>
        <w:pStyle w:val="Paragraphe"/>
        <w:spacing w:line="240" w:lineRule="auto"/>
        <w:rPr>
          <w:lang w:val="en-CA"/>
        </w:rPr>
      </w:pPr>
      <w:r w:rsidRPr="000A0EA1">
        <w:rPr>
          <w:lang w:val="en-CA"/>
        </w:rPr>
        <w:t>This plan sets out the very essence of the directions and activities of the school service centre, including:</w:t>
      </w:r>
      <w:r w:rsidRPr="000A0EA1">
        <w:rPr>
          <w:vertAlign w:val="superscript"/>
          <w:lang w:val="en-CA"/>
        </w:rPr>
        <w:footnoteReference w:id="251"/>
      </w:r>
      <w:bookmarkStart w:id="66" w:name="_Hlk189315094"/>
    </w:p>
    <w:bookmarkEnd w:id="66"/>
    <w:p w14:paraId="17F5F371" w14:textId="77777777" w:rsidR="00F75613" w:rsidRPr="000A0EA1" w:rsidRDefault="00B02E00" w:rsidP="00B255B8">
      <w:pPr>
        <w:numPr>
          <w:ilvl w:val="0"/>
          <w:numId w:val="3"/>
        </w:numPr>
        <w:spacing w:before="120" w:after="120" w:line="240" w:lineRule="auto"/>
        <w:ind w:left="1077" w:hanging="357"/>
        <w:jc w:val="both"/>
        <w:rPr>
          <w:kern w:val="28"/>
          <w:lang w:val="en-CA"/>
        </w:rPr>
      </w:pPr>
      <w:r w:rsidRPr="000A0EA1">
        <w:rPr>
          <w:kern w:val="28"/>
          <w:lang w:val="en-CA"/>
        </w:rPr>
        <w:t>a description of the context in which the school service centre acts, particularly the needs of its schools, the main challenges it faces, and the characteristics and expectations of the community it serves;</w:t>
      </w:r>
    </w:p>
    <w:p w14:paraId="17F5F372" w14:textId="68DE54CA" w:rsidR="00F75613" w:rsidRPr="000A0EA1" w:rsidRDefault="00B02E00" w:rsidP="00B255B8">
      <w:pPr>
        <w:numPr>
          <w:ilvl w:val="0"/>
          <w:numId w:val="3"/>
        </w:numPr>
        <w:spacing w:before="120" w:after="120" w:line="240" w:lineRule="auto"/>
        <w:ind w:left="1077" w:hanging="357"/>
        <w:jc w:val="both"/>
        <w:rPr>
          <w:kern w:val="28"/>
          <w:lang w:val="en-CA"/>
        </w:rPr>
      </w:pPr>
      <w:r w:rsidRPr="000A0EA1">
        <w:rPr>
          <w:kern w:val="28"/>
          <w:lang w:val="en-CA"/>
        </w:rPr>
        <w:t>the directions and objectives selected</w:t>
      </w:r>
      <w:r w:rsidR="00664EE2">
        <w:rPr>
          <w:kern w:val="28"/>
          <w:lang w:val="en-CA"/>
        </w:rPr>
        <w:t>;</w:t>
      </w:r>
    </w:p>
    <w:p w14:paraId="17F5F373" w14:textId="77777777" w:rsidR="00F75613" w:rsidRPr="000A0EA1" w:rsidRDefault="00B02E00" w:rsidP="00B255B8">
      <w:pPr>
        <w:numPr>
          <w:ilvl w:val="0"/>
          <w:numId w:val="3"/>
        </w:numPr>
        <w:spacing w:before="120" w:after="120" w:line="240" w:lineRule="auto"/>
        <w:ind w:left="1077" w:hanging="357"/>
        <w:jc w:val="both"/>
        <w:rPr>
          <w:kern w:val="28"/>
          <w:lang w:val="en-CA"/>
        </w:rPr>
      </w:pPr>
      <w:r w:rsidRPr="000A0EA1">
        <w:rPr>
          <w:kern w:val="28"/>
          <w:lang w:val="en-CA"/>
        </w:rPr>
        <w:t>the targets for the period covered by the plan;</w:t>
      </w:r>
    </w:p>
    <w:p w14:paraId="17F5F374" w14:textId="246A4E35" w:rsidR="00F75613" w:rsidRPr="000A0EA1" w:rsidRDefault="00B02E00" w:rsidP="00B255B8">
      <w:pPr>
        <w:numPr>
          <w:ilvl w:val="0"/>
          <w:numId w:val="3"/>
        </w:numPr>
        <w:spacing w:before="120" w:after="120" w:line="240" w:lineRule="auto"/>
        <w:ind w:left="1077" w:hanging="357"/>
        <w:jc w:val="both"/>
        <w:rPr>
          <w:kern w:val="28"/>
          <w:lang w:val="en-CA"/>
        </w:rPr>
      </w:pPr>
      <w:r w:rsidRPr="000A0EA1">
        <w:rPr>
          <w:kern w:val="28"/>
          <w:lang w:val="en-CA"/>
        </w:rPr>
        <w:t>the indicators, particularly Quebec-wide indicators, to be used to measure achievement of those objectives and targets; and</w:t>
      </w:r>
    </w:p>
    <w:p w14:paraId="17F5F375" w14:textId="56129826" w:rsidR="00F75613" w:rsidRPr="000A0EA1" w:rsidRDefault="00B02E00" w:rsidP="00B255B8">
      <w:pPr>
        <w:numPr>
          <w:ilvl w:val="0"/>
          <w:numId w:val="3"/>
        </w:numPr>
        <w:spacing w:before="120" w:after="120" w:line="240" w:lineRule="auto"/>
        <w:ind w:left="1077" w:hanging="357"/>
        <w:jc w:val="both"/>
        <w:rPr>
          <w:kern w:val="28"/>
          <w:lang w:val="en-CA"/>
        </w:rPr>
      </w:pPr>
      <w:r w:rsidRPr="000A0EA1">
        <w:rPr>
          <w:kern w:val="28"/>
          <w:lang w:val="en-CA"/>
        </w:rPr>
        <w:t>the centre</w:t>
      </w:r>
      <w:r w:rsidR="00E46AFD">
        <w:rPr>
          <w:kern w:val="28"/>
          <w:lang w:val="en-CA"/>
        </w:rPr>
        <w:t>’</w:t>
      </w:r>
      <w:r w:rsidRPr="000A0EA1">
        <w:rPr>
          <w:kern w:val="28"/>
          <w:lang w:val="en-CA"/>
        </w:rPr>
        <w:t>s objectives with regard to the level and quality of the services it provides.</w:t>
      </w:r>
    </w:p>
    <w:p w14:paraId="17F5F376" w14:textId="63B01A0D" w:rsidR="00F75613" w:rsidRPr="000A0EA1" w:rsidRDefault="00B02E00" w:rsidP="00B255B8">
      <w:pPr>
        <w:pStyle w:val="Paragraphe"/>
        <w:spacing w:line="240" w:lineRule="auto"/>
        <w:rPr>
          <w:lang w:val="en-CA"/>
        </w:rPr>
      </w:pPr>
      <w:r w:rsidRPr="000A0EA1">
        <w:rPr>
          <w:lang w:val="en-CA"/>
        </w:rPr>
        <w:t xml:space="preserve">These matters are at the core of the management and control rights guaranteed to the linguistic minority under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Minority language representatives, however, are excluded from the commitment-to-student-success committee. </w:t>
      </w:r>
      <w:r w:rsidR="000B3AA8">
        <w:rPr>
          <w:lang w:val="en-CA"/>
        </w:rPr>
        <w:t>The Court</w:t>
      </w:r>
      <w:r w:rsidRPr="000A0EA1">
        <w:rPr>
          <w:lang w:val="en-CA"/>
        </w:rPr>
        <w:t xml:space="preserve"> </w:t>
      </w:r>
      <w:r w:rsidR="000B3AA8">
        <w:rPr>
          <w:lang w:val="en-CA"/>
        </w:rPr>
        <w:t xml:space="preserve">fully </w:t>
      </w:r>
      <w:r w:rsidRPr="000A0EA1">
        <w:rPr>
          <w:lang w:val="en-CA"/>
        </w:rPr>
        <w:t>agree</w:t>
      </w:r>
      <w:r w:rsidR="000B3AA8">
        <w:rPr>
          <w:lang w:val="en-CA"/>
        </w:rPr>
        <w:t>s</w:t>
      </w:r>
      <w:r w:rsidRPr="000A0EA1">
        <w:rPr>
          <w:lang w:val="en-CA"/>
        </w:rPr>
        <w:t xml:space="preserve"> with the trial judge</w:t>
      </w:r>
      <w:r w:rsidR="00E46AFD">
        <w:rPr>
          <w:lang w:val="en-CA"/>
        </w:rPr>
        <w:t>’</w:t>
      </w:r>
      <w:r w:rsidRPr="000A0EA1">
        <w:rPr>
          <w:lang w:val="en-CA"/>
        </w:rPr>
        <w:t>s conclusion that it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is inconceivable for a plan as fundamental as the commitment-to-success plan not to be the responsibility of the minority</w:t>
      </w:r>
      <w:r w:rsidR="00E46AFD">
        <w:rPr>
          <w:lang w:val="en-CA"/>
        </w:rPr>
        <w:t>’</w:t>
      </w:r>
      <w:r w:rsidRPr="000A0EA1">
        <w:rPr>
          <w:lang w:val="en-CA"/>
        </w:rPr>
        <w:t>s elected representatives</w:t>
      </w:r>
      <w:r w:rsidR="00E46AFD">
        <w:rPr>
          <w:lang w:val="en-CA"/>
        </w:rPr>
        <w:t>”</w:t>
      </w:r>
      <w:r w:rsidRPr="000A0EA1">
        <w:rPr>
          <w:lang w:val="en-CA"/>
        </w:rPr>
        <w:t>.</w:t>
      </w:r>
      <w:r w:rsidRPr="000A0EA1">
        <w:rPr>
          <w:vertAlign w:val="superscript"/>
          <w:lang w:val="en-CA"/>
        </w:rPr>
        <w:footnoteReference w:id="252"/>
      </w:r>
    </w:p>
    <w:p w14:paraId="17F5F377" w14:textId="2166791D" w:rsidR="00F75613" w:rsidRPr="000A0EA1" w:rsidRDefault="00B02E00" w:rsidP="00B255B8">
      <w:pPr>
        <w:pStyle w:val="Paragraphe"/>
        <w:spacing w:line="240" w:lineRule="auto"/>
        <w:rPr>
          <w:lang w:val="en-CA"/>
        </w:rPr>
      </w:pPr>
      <w:r w:rsidRPr="000A0EA1">
        <w:rPr>
          <w:lang w:val="en-CA"/>
        </w:rPr>
        <w:t xml:space="preserve">We note, again, that </w:t>
      </w:r>
      <w:proofErr w:type="spellStart"/>
      <w:r w:rsidRPr="000A0EA1">
        <w:rPr>
          <w:i/>
          <w:iCs/>
          <w:lang w:val="en-CA"/>
        </w:rPr>
        <w:t>Mahe</w:t>
      </w:r>
      <w:proofErr w:type="spellEnd"/>
      <w:r w:rsidRPr="000A0EA1">
        <w:rPr>
          <w:lang w:val="en-CA"/>
        </w:rPr>
        <w:t xml:space="preserve"> expressly recognizes that minority language representatives must have </w:t>
      </w:r>
      <w:r w:rsidRPr="000A0EA1">
        <w:rPr>
          <w:u w:val="single"/>
          <w:lang w:val="en-CA"/>
        </w:rPr>
        <w:t>exclusive</w:t>
      </w:r>
      <w:r w:rsidRPr="000A0EA1">
        <w:rPr>
          <w:lang w:val="en-CA"/>
        </w:rPr>
        <w:t xml:space="preserve"> authority to make decisions relating to the minority language instruction and facilities.</w:t>
      </w:r>
      <w:r w:rsidRPr="000A0EA1">
        <w:rPr>
          <w:vertAlign w:val="superscript"/>
          <w:lang w:val="en-CA"/>
        </w:rPr>
        <w:footnoteReference w:id="253"/>
      </w:r>
      <w:r w:rsidRPr="000A0EA1">
        <w:rPr>
          <w:lang w:val="en-CA"/>
        </w:rPr>
        <w:t xml:space="preserve"> In this case, the development of the commitment</w:t>
      </w:r>
      <w:r w:rsidR="000A679F">
        <w:rPr>
          <w:lang w:val="en-CA"/>
        </w:rPr>
        <w:noBreakHyphen/>
      </w:r>
      <w:r w:rsidRPr="000A0EA1">
        <w:rPr>
          <w:lang w:val="en-CA"/>
        </w:rPr>
        <w:t>to</w:t>
      </w:r>
      <w:r w:rsidR="000A679F">
        <w:rPr>
          <w:lang w:val="en-CA"/>
        </w:rPr>
        <w:noBreakHyphen/>
      </w:r>
      <w:r w:rsidRPr="000A0EA1">
        <w:rPr>
          <w:lang w:val="en-CA"/>
        </w:rPr>
        <w:t>success plan is directly linked to this power. The commitment</w:t>
      </w:r>
      <w:r w:rsidR="0069437E">
        <w:rPr>
          <w:lang w:val="en-CA"/>
        </w:rPr>
        <w:noBreakHyphen/>
      </w:r>
      <w:r w:rsidRPr="000A0EA1">
        <w:rPr>
          <w:lang w:val="en-CA"/>
        </w:rPr>
        <w:t>to</w:t>
      </w:r>
      <w:r w:rsidR="0069437E">
        <w:rPr>
          <w:lang w:val="en-CA"/>
        </w:rPr>
        <w:noBreakHyphen/>
      </w:r>
      <w:r w:rsidRPr="000A0EA1">
        <w:rPr>
          <w:lang w:val="en-CA"/>
        </w:rPr>
        <w:t>success plan must also be considered within the context of the school</w:t>
      </w:r>
      <w:r w:rsidR="00E46AFD">
        <w:rPr>
          <w:lang w:val="en-CA"/>
        </w:rPr>
        <w:t>’</w:t>
      </w:r>
      <w:r w:rsidRPr="000A0EA1">
        <w:rPr>
          <w:lang w:val="en-CA"/>
        </w:rPr>
        <w:t>s educational project.</w:t>
      </w:r>
      <w:r w:rsidRPr="000A0EA1">
        <w:rPr>
          <w:vertAlign w:val="superscript"/>
          <w:lang w:val="en-CA"/>
        </w:rPr>
        <w:footnoteReference w:id="254"/>
      </w:r>
      <w:r w:rsidRPr="000A0EA1">
        <w:rPr>
          <w:lang w:val="en-CA"/>
        </w:rPr>
        <w:t xml:space="preserve"> The evidence filed by the respondents, which the trial judge accepted, demonstrates the importance of this tool in determining the educational needs, objectives and targets of the minority language community.</w:t>
      </w:r>
      <w:r w:rsidRPr="000A0EA1">
        <w:rPr>
          <w:vertAlign w:val="superscript"/>
          <w:lang w:val="en-CA"/>
        </w:rPr>
        <w:footnoteReference w:id="255"/>
      </w:r>
    </w:p>
    <w:p w14:paraId="17F5F378" w14:textId="1567B4A3" w:rsidR="00F75613" w:rsidRPr="000A0EA1" w:rsidRDefault="00B02E00" w:rsidP="00B255B8">
      <w:pPr>
        <w:pStyle w:val="Paragraphe"/>
        <w:spacing w:line="240" w:lineRule="auto"/>
        <w:rPr>
          <w:lang w:val="en-CA"/>
        </w:rPr>
      </w:pPr>
      <w:r w:rsidRPr="000A0EA1">
        <w:rPr>
          <w:lang w:val="en-CA"/>
        </w:rPr>
        <w:lastRenderedPageBreak/>
        <w:t xml:space="preserve">As the trial judge pointed out, </w:t>
      </w:r>
      <w:r w:rsidR="00C33BBC">
        <w:rPr>
          <w:i/>
          <w:iCs/>
          <w:lang w:val="en-CA"/>
        </w:rPr>
        <w:t>Bill 40</w:t>
      </w:r>
      <w:r w:rsidRPr="000A0EA1">
        <w:rPr>
          <w:i/>
          <w:iCs/>
          <w:lang w:val="en-CA"/>
        </w:rPr>
        <w:t xml:space="preserve"> </w:t>
      </w:r>
      <w:r w:rsidRPr="000A0EA1">
        <w:rPr>
          <w:lang w:val="en-CA"/>
        </w:rPr>
        <w:t>contains no requirement that the members of the commitment</w:t>
      </w:r>
      <w:r w:rsidR="00C04178">
        <w:rPr>
          <w:lang w:val="en-CA"/>
        </w:rPr>
        <w:noBreakHyphen/>
      </w:r>
      <w:r w:rsidRPr="000A0EA1">
        <w:rPr>
          <w:lang w:val="en-CA"/>
        </w:rPr>
        <w:t>to</w:t>
      </w:r>
      <w:r w:rsidR="00C04178">
        <w:rPr>
          <w:lang w:val="en-CA"/>
        </w:rPr>
        <w:noBreakHyphen/>
      </w:r>
      <w:r w:rsidRPr="000A0EA1">
        <w:rPr>
          <w:lang w:val="en-CA"/>
        </w:rPr>
        <w:t>student</w:t>
      </w:r>
      <w:r w:rsidR="00C04178">
        <w:rPr>
          <w:lang w:val="en-CA"/>
        </w:rPr>
        <w:noBreakHyphen/>
      </w:r>
      <w:r w:rsidRPr="000A0EA1">
        <w:rPr>
          <w:lang w:val="en-CA"/>
        </w:rPr>
        <w:t>success committee be elected officials or even</w:t>
      </w:r>
      <w:r w:rsidR="000B3AA8">
        <w:rPr>
          <w:lang w:val="en-CA"/>
        </w:rPr>
        <w:t xml:space="preserve"> part</w:t>
      </w:r>
      <w:r w:rsidRPr="000A0EA1">
        <w:rPr>
          <w:lang w:val="en-CA"/>
        </w:rPr>
        <w:t xml:space="preserve"> of the linguistic minority.</w:t>
      </w:r>
      <w:r w:rsidRPr="000A0EA1">
        <w:rPr>
          <w:rFonts w:cs="Arial"/>
          <w:color w:val="000000"/>
          <w:vertAlign w:val="superscript"/>
          <w:lang w:val="en-CA"/>
        </w:rPr>
        <w:footnoteReference w:id="256"/>
      </w:r>
      <w:r w:rsidRPr="000A0EA1">
        <w:rPr>
          <w:lang w:val="en-CA"/>
        </w:rPr>
        <w:t xml:space="preserve"> Nor is the requirement that the commitment</w:t>
      </w:r>
      <w:r w:rsidR="00C04178">
        <w:rPr>
          <w:lang w:val="en-CA"/>
        </w:rPr>
        <w:noBreakHyphen/>
      </w:r>
      <w:r w:rsidRPr="000A0EA1">
        <w:rPr>
          <w:lang w:val="en-CA"/>
        </w:rPr>
        <w:t>to</w:t>
      </w:r>
      <w:r w:rsidR="00C04178">
        <w:rPr>
          <w:lang w:val="en-CA"/>
        </w:rPr>
        <w:noBreakHyphen/>
      </w:r>
      <w:r w:rsidRPr="000A0EA1">
        <w:rPr>
          <w:lang w:val="en-CA"/>
        </w:rPr>
        <w:t xml:space="preserve">success plan be approved by the board of directors of the school service centre sufficient in and of itself to conclude that the board has effective control over the plan. As </w:t>
      </w:r>
      <w:r w:rsidR="006F3C4C">
        <w:rPr>
          <w:lang w:val="en-CA"/>
        </w:rPr>
        <w:t>the Court already noted</w:t>
      </w:r>
      <w:r w:rsidRPr="000A0EA1">
        <w:rPr>
          <w:lang w:val="en-CA"/>
        </w:rPr>
        <w:t xml:space="preserve"> above, while the board of directors has the power to reject the plan, it must nonetheless justify its rejection and return the plan it to the commitment</w:t>
      </w:r>
      <w:r w:rsidR="00C04178">
        <w:rPr>
          <w:lang w:val="en-CA"/>
        </w:rPr>
        <w:noBreakHyphen/>
      </w:r>
      <w:r w:rsidRPr="000A0EA1">
        <w:rPr>
          <w:lang w:val="en-CA"/>
        </w:rPr>
        <w:t>to</w:t>
      </w:r>
      <w:r w:rsidR="00C04178">
        <w:rPr>
          <w:lang w:val="en-CA"/>
        </w:rPr>
        <w:noBreakHyphen/>
      </w:r>
      <w:r w:rsidRPr="000A0EA1">
        <w:rPr>
          <w:lang w:val="en-CA"/>
        </w:rPr>
        <w:t>student</w:t>
      </w:r>
      <w:r w:rsidR="00C04178">
        <w:rPr>
          <w:lang w:val="en-CA"/>
        </w:rPr>
        <w:noBreakHyphen/>
      </w:r>
      <w:r w:rsidRPr="000A0EA1">
        <w:rPr>
          <w:lang w:val="en-CA"/>
        </w:rPr>
        <w:t xml:space="preserve">success committee, which is responsible for making </w:t>
      </w:r>
      <w:r w:rsidR="006F3C4C">
        <w:rPr>
          <w:lang w:val="en-CA"/>
        </w:rPr>
        <w:t xml:space="preserve">any </w:t>
      </w:r>
      <w:r w:rsidRPr="000A0EA1">
        <w:rPr>
          <w:lang w:val="en-CA"/>
        </w:rPr>
        <w:t>adjustments.</w:t>
      </w:r>
      <w:r w:rsidRPr="000A0EA1">
        <w:rPr>
          <w:vertAlign w:val="superscript"/>
          <w:lang w:val="en-CA"/>
        </w:rPr>
        <w:footnoteReference w:id="257"/>
      </w:r>
      <w:r w:rsidRPr="000A0EA1">
        <w:rPr>
          <w:lang w:val="en-CA"/>
        </w:rPr>
        <w:t xml:space="preserve"> </w:t>
      </w:r>
    </w:p>
    <w:p w14:paraId="17F5F379" w14:textId="3582D05D" w:rsidR="00F75613" w:rsidRPr="00406B00" w:rsidRDefault="00B02E00" w:rsidP="00B255B8">
      <w:pPr>
        <w:pStyle w:val="Paragraphe"/>
        <w:spacing w:line="240" w:lineRule="auto"/>
        <w:rPr>
          <w:lang w:val="en-CA"/>
        </w:rPr>
      </w:pPr>
      <w:r w:rsidRPr="000A0EA1">
        <w:rPr>
          <w:color w:val="000000"/>
          <w:lang w:val="en-CA"/>
        </w:rPr>
        <w:t xml:space="preserve">Thus, the primary responsibility for defining the needs, directions, targets and objectives to be achieved remains with a committee made up of employees who are not representatives of the linguistic minority, nor even necessarily members of that minority, thereby infringing </w:t>
      </w:r>
      <w:r w:rsidR="0062160E">
        <w:rPr>
          <w:color w:val="000000"/>
          <w:lang w:val="en-CA"/>
        </w:rPr>
        <w:t>s. 2</w:t>
      </w:r>
      <w:r w:rsidRPr="000A0EA1">
        <w:rPr>
          <w:color w:val="000000"/>
          <w:lang w:val="en-CA"/>
        </w:rPr>
        <w:t xml:space="preserve">3 of the </w:t>
      </w:r>
      <w:r w:rsidRPr="000A0EA1">
        <w:rPr>
          <w:i/>
          <w:iCs/>
          <w:color w:val="000000"/>
          <w:lang w:val="en-CA"/>
        </w:rPr>
        <w:t>Charter</w:t>
      </w:r>
      <w:r w:rsidRPr="000A0EA1">
        <w:rPr>
          <w:color w:val="000000"/>
          <w:lang w:val="en-CA"/>
        </w:rPr>
        <w:t>.</w:t>
      </w:r>
      <w:r w:rsidR="00B216B2">
        <w:rPr>
          <w:color w:val="000000"/>
          <w:lang w:val="en-CA"/>
        </w:rPr>
        <w:t xml:space="preserve"> </w:t>
      </w:r>
      <w:r w:rsidR="00FC1F0F">
        <w:rPr>
          <w:color w:val="000000"/>
          <w:lang w:val="en-CA"/>
        </w:rPr>
        <w:t>Indeed, t</w:t>
      </w:r>
      <w:r w:rsidR="00B216B2">
        <w:rPr>
          <w:color w:val="000000"/>
          <w:lang w:val="en-CA"/>
        </w:rPr>
        <w:t xml:space="preserve">hese matters rather </w:t>
      </w:r>
      <w:r w:rsidR="00FC1F0F">
        <w:rPr>
          <w:color w:val="000000"/>
          <w:lang w:val="en-CA"/>
        </w:rPr>
        <w:t xml:space="preserve">fall </w:t>
      </w:r>
      <w:r w:rsidR="00B216B2">
        <w:rPr>
          <w:color w:val="000000"/>
          <w:lang w:val="en-CA"/>
        </w:rPr>
        <w:t xml:space="preserve">under the responsibility of the representatives of the linguistic minority. That </w:t>
      </w:r>
      <w:r w:rsidR="00FC1F0F">
        <w:rPr>
          <w:color w:val="000000"/>
          <w:lang w:val="en-CA"/>
        </w:rPr>
        <w:t>said</w:t>
      </w:r>
      <w:r w:rsidR="00B216B2">
        <w:rPr>
          <w:color w:val="000000"/>
          <w:lang w:val="en-CA"/>
        </w:rPr>
        <w:t xml:space="preserve">, it is useful to point out again that the </w:t>
      </w:r>
      <w:r w:rsidR="00CE3C47">
        <w:rPr>
          <w:color w:val="000000"/>
          <w:lang w:val="en-CA"/>
        </w:rPr>
        <w:t xml:space="preserve">rights of </w:t>
      </w:r>
      <w:r w:rsidR="00B216B2">
        <w:rPr>
          <w:color w:val="000000"/>
          <w:lang w:val="en-CA"/>
        </w:rPr>
        <w:t xml:space="preserve">management and control accorded </w:t>
      </w:r>
      <w:r w:rsidR="00CE3C47">
        <w:rPr>
          <w:color w:val="000000"/>
          <w:lang w:val="en-CA"/>
        </w:rPr>
        <w:t xml:space="preserve">to the representatives of the linguistic minority </w:t>
      </w:r>
      <w:r w:rsidR="00B216B2">
        <w:rPr>
          <w:color w:val="000000"/>
          <w:lang w:val="en-CA"/>
        </w:rPr>
        <w:t xml:space="preserve">under s. 23 of the </w:t>
      </w:r>
      <w:r w:rsidR="00B216B2">
        <w:rPr>
          <w:i/>
          <w:iCs/>
          <w:color w:val="000000"/>
          <w:lang w:val="en-CA"/>
        </w:rPr>
        <w:t xml:space="preserve">Charter </w:t>
      </w:r>
      <w:r w:rsidR="00B216B2">
        <w:rPr>
          <w:color w:val="000000"/>
          <w:lang w:val="en-CA"/>
        </w:rPr>
        <w:t>do not preclude provincial regulation.</w:t>
      </w:r>
      <w:r w:rsidR="00B216B2">
        <w:rPr>
          <w:rStyle w:val="Appelnotedebasdep"/>
          <w:color w:val="000000"/>
        </w:rPr>
        <w:footnoteReference w:id="258"/>
      </w:r>
      <w:r w:rsidR="00B216B2">
        <w:rPr>
          <w:color w:val="000000"/>
          <w:lang w:val="en-CA"/>
        </w:rPr>
        <w:t xml:space="preserve"> </w:t>
      </w:r>
      <w:r w:rsidR="00FC1F0F">
        <w:rPr>
          <w:color w:val="000000"/>
          <w:lang w:val="en-CA"/>
        </w:rPr>
        <w:t>T</w:t>
      </w:r>
      <w:r w:rsidR="00B216B2">
        <w:rPr>
          <w:color w:val="000000"/>
          <w:lang w:val="en-CA"/>
        </w:rPr>
        <w:t>he government</w:t>
      </w:r>
      <w:r w:rsidR="00FC1F0F">
        <w:rPr>
          <w:color w:val="000000"/>
          <w:lang w:val="en-CA"/>
        </w:rPr>
        <w:t>, however,</w:t>
      </w:r>
      <w:r w:rsidR="00B216B2">
        <w:rPr>
          <w:color w:val="000000"/>
          <w:lang w:val="en-CA"/>
        </w:rPr>
        <w:t xml:space="preserve"> cannot</w:t>
      </w:r>
      <w:r w:rsidR="00F47606">
        <w:rPr>
          <w:color w:val="000000"/>
          <w:lang w:val="en-CA"/>
        </w:rPr>
        <w:t xml:space="preserve"> use pedagogical or other</w:t>
      </w:r>
      <w:r w:rsidR="00FC1F0F">
        <w:rPr>
          <w:color w:val="000000"/>
          <w:lang w:val="en-CA"/>
        </w:rPr>
        <w:t xml:space="preserve"> requirements</w:t>
      </w:r>
      <w:r w:rsidR="00F47606">
        <w:rPr>
          <w:color w:val="000000"/>
          <w:lang w:val="en-CA"/>
        </w:rPr>
        <w:t xml:space="preserve"> established to address the needs of the majority language students to trump cultural and linguistic concerns appropriate for the minority language students.</w:t>
      </w:r>
      <w:r w:rsidR="00F47606">
        <w:rPr>
          <w:rStyle w:val="Appelnotedebasdep"/>
          <w:color w:val="000000"/>
        </w:rPr>
        <w:footnoteReference w:id="259"/>
      </w:r>
    </w:p>
    <w:p w14:paraId="17F5F37A" w14:textId="2841DC40" w:rsidR="00F75613" w:rsidRPr="000A0EA1" w:rsidRDefault="00B02E00" w:rsidP="00B255B8">
      <w:pPr>
        <w:pStyle w:val="Paragraphe"/>
        <w:numPr>
          <w:ilvl w:val="0"/>
          <w:numId w:val="12"/>
        </w:numPr>
        <w:spacing w:line="240" w:lineRule="auto"/>
        <w:rPr>
          <w:i/>
          <w:iCs/>
          <w:lang w:val="en-CA"/>
        </w:rPr>
      </w:pPr>
      <w:r w:rsidRPr="000A0EA1">
        <w:rPr>
          <w:i/>
          <w:iCs/>
          <w:lang w:val="en-CA"/>
        </w:rPr>
        <w:t xml:space="preserve">Dedicated or protected funding measures under </w:t>
      </w:r>
      <w:r w:rsidR="0062160E">
        <w:rPr>
          <w:i/>
          <w:iCs/>
          <w:lang w:val="en-CA"/>
        </w:rPr>
        <w:t>s. 4</w:t>
      </w:r>
      <w:r w:rsidRPr="000A0EA1">
        <w:rPr>
          <w:i/>
          <w:iCs/>
          <w:lang w:val="en-CA"/>
        </w:rPr>
        <w:t>73.1 of the EA</w:t>
      </w:r>
    </w:p>
    <w:p w14:paraId="17F5F37B" w14:textId="597DA752" w:rsidR="00F75613" w:rsidRPr="000A0EA1" w:rsidRDefault="00EA11AA" w:rsidP="00B255B8">
      <w:pPr>
        <w:pStyle w:val="Paragraphe"/>
        <w:spacing w:line="240" w:lineRule="auto"/>
        <w:rPr>
          <w:lang w:val="en-CA"/>
        </w:rPr>
      </w:pPr>
      <w:r>
        <w:rPr>
          <w:lang w:val="en-CA"/>
        </w:rPr>
        <w:t>The Court</w:t>
      </w:r>
      <w:r w:rsidR="00B02E00" w:rsidRPr="000A0EA1">
        <w:rPr>
          <w:lang w:val="en-CA"/>
        </w:rPr>
        <w:t xml:space="preserve"> agree</w:t>
      </w:r>
      <w:r>
        <w:rPr>
          <w:lang w:val="en-CA"/>
        </w:rPr>
        <w:t>s</w:t>
      </w:r>
      <w:r w:rsidR="00B02E00" w:rsidRPr="000A0EA1">
        <w:rPr>
          <w:lang w:val="en-CA"/>
        </w:rPr>
        <w:t xml:space="preserve"> with the AGQ that the government has broad discretion in allocating public funding for minority language education. That said, funding for the minority language school system must, at a minimum, align with two imperatives in order to respect the rights guaranteed by </w:t>
      </w:r>
      <w:r w:rsidR="0062160E">
        <w:rPr>
          <w:lang w:val="en-CA"/>
        </w:rPr>
        <w:t>s. 2</w:t>
      </w:r>
      <w:r w:rsidR="00B02E00" w:rsidRPr="000A0EA1">
        <w:rPr>
          <w:lang w:val="en-CA"/>
        </w:rPr>
        <w:t xml:space="preserve">3 of the </w:t>
      </w:r>
      <w:r w:rsidR="00B02E00" w:rsidRPr="000A0EA1">
        <w:rPr>
          <w:i/>
          <w:iCs/>
          <w:lang w:val="en-CA"/>
        </w:rPr>
        <w:t>Charter</w:t>
      </w:r>
      <w:r w:rsidR="00B02E00" w:rsidRPr="000A0EA1">
        <w:rPr>
          <w:lang w:val="en-CA"/>
        </w:rPr>
        <w:t xml:space="preserve">. </w:t>
      </w:r>
    </w:p>
    <w:p w14:paraId="17F5F37C" w14:textId="039F5614" w:rsidR="00F75613" w:rsidRPr="000A0EA1" w:rsidRDefault="00B02E00" w:rsidP="00B255B8">
      <w:pPr>
        <w:pStyle w:val="Paragraphe"/>
        <w:spacing w:line="240" w:lineRule="auto"/>
        <w:rPr>
          <w:lang w:val="en-CA"/>
        </w:rPr>
      </w:pPr>
      <w:r w:rsidRPr="000A0EA1">
        <w:rPr>
          <w:lang w:val="en-CA"/>
        </w:rPr>
        <w:t>The first imperative is that the level of funding provided from public funds for minority language students and educational facilities must be at least equivalent, in proportion to the number of students, to that provided for majority language students and educational facilities, taking into account the specific characteristics of each linguistic community.</w:t>
      </w:r>
      <w:r w:rsidRPr="000A0EA1">
        <w:rPr>
          <w:vertAlign w:val="superscript"/>
          <w:lang w:val="en-CA"/>
        </w:rPr>
        <w:footnoteReference w:id="260"/>
      </w:r>
      <w:r w:rsidRPr="000A0EA1">
        <w:rPr>
          <w:lang w:val="en-CA"/>
        </w:rPr>
        <w:t xml:space="preserve"> It is undisputed that this first imperative </w:t>
      </w:r>
      <w:r w:rsidR="00EA11AA">
        <w:rPr>
          <w:lang w:val="en-CA"/>
        </w:rPr>
        <w:t>is</w:t>
      </w:r>
      <w:r w:rsidRPr="000A0EA1">
        <w:rPr>
          <w:lang w:val="en-CA"/>
        </w:rPr>
        <w:t xml:space="preserve"> satisfied in this case.</w:t>
      </w:r>
    </w:p>
    <w:p w14:paraId="17F5F37D" w14:textId="77777777" w:rsidR="00F75613" w:rsidRPr="000A0EA1" w:rsidRDefault="00B02E00" w:rsidP="00B255B8">
      <w:pPr>
        <w:pStyle w:val="Paragraphe"/>
        <w:spacing w:line="240" w:lineRule="auto"/>
        <w:rPr>
          <w:lang w:val="en-CA"/>
        </w:rPr>
      </w:pPr>
      <w:r w:rsidRPr="000A0EA1">
        <w:rPr>
          <w:lang w:val="en-CA"/>
        </w:rPr>
        <w:t xml:space="preserve">The second is that the management and control of this funding must be the responsibility of minority language representatives, who are nonetheless obliged to use it to reasonably meet the educational objectives established by the government for all </w:t>
      </w:r>
      <w:r w:rsidRPr="000A0EA1">
        <w:rPr>
          <w:lang w:val="en-CA"/>
        </w:rPr>
        <w:lastRenderedPageBreak/>
        <w:t xml:space="preserve">students in the province. This second component excludes government micromanagement of funding provided for minority language students and educational facilities. It does not preclude budgetary rules to provide for the required funding for these students and facilities, but it does impose certain limits so as to prevent the government from taking the place of minority language representatives in managing and controlling the facilities in question. </w:t>
      </w:r>
    </w:p>
    <w:p w14:paraId="17F5F37E" w14:textId="310CA8F0" w:rsidR="00F75613" w:rsidRPr="000A0EA1" w:rsidRDefault="00B02E00" w:rsidP="00B255B8">
      <w:pPr>
        <w:pStyle w:val="Paragraphe"/>
        <w:spacing w:line="240" w:lineRule="auto"/>
        <w:rPr>
          <w:lang w:val="en-CA"/>
        </w:rPr>
      </w:pPr>
      <w:r w:rsidRPr="000A0EA1">
        <w:rPr>
          <w:lang w:val="en-CA"/>
        </w:rPr>
        <w:t>At this point, it is important to reiterate the words of Dickson,</w:t>
      </w:r>
      <w:r w:rsidR="008C3489">
        <w:rPr>
          <w:lang w:val="en-CA"/>
        </w:rPr>
        <w:t> </w:t>
      </w:r>
      <w:r w:rsidRPr="000A0EA1">
        <w:rPr>
          <w:lang w:val="en-CA"/>
        </w:rPr>
        <w:t xml:space="preserve">C.J. in </w:t>
      </w:r>
      <w:proofErr w:type="spellStart"/>
      <w:r w:rsidRPr="000A0EA1">
        <w:rPr>
          <w:i/>
          <w:iCs/>
          <w:lang w:val="en-CA"/>
        </w:rPr>
        <w:t>Mahe</w:t>
      </w:r>
      <w:proofErr w:type="spellEnd"/>
      <w:r w:rsidRPr="000A0EA1">
        <w:rPr>
          <w:lang w:val="en-CA"/>
        </w:rPr>
        <w:t xml:space="preserve">, where he pointed out that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guarantees, at a minimum, that </w:t>
      </w:r>
      <w:r w:rsidR="00E46AFD">
        <w:rPr>
          <w:lang w:val="en-CA"/>
        </w:rPr>
        <w:t>“</w:t>
      </w:r>
      <w:r w:rsidRPr="000A0EA1">
        <w:rPr>
          <w:lang w:val="en-CA"/>
        </w:rPr>
        <w:t>minority language representatives</w:t>
      </w:r>
      <w:r w:rsidR="00E46AFD">
        <w:rPr>
          <w:lang w:val="en-CA"/>
        </w:rPr>
        <w:t>”</w:t>
      </w:r>
      <w:r w:rsidRPr="000A0EA1">
        <w:rPr>
          <w:lang w:val="en-CA"/>
        </w:rPr>
        <w:t xml:space="preserve"> will have </w:t>
      </w:r>
      <w:r w:rsidR="00E46AFD">
        <w:rPr>
          <w:lang w:val="en-CA"/>
        </w:rPr>
        <w:t>“</w:t>
      </w:r>
      <w:r w:rsidRPr="000A0EA1">
        <w:rPr>
          <w:lang w:val="en-CA"/>
        </w:rPr>
        <w:t>exclusive authority to make decisions relating to the minority language instruction and facilities</w:t>
      </w:r>
      <w:r w:rsidR="00E46AFD">
        <w:rPr>
          <w:lang w:val="en-CA"/>
        </w:rPr>
        <w:t>”</w:t>
      </w:r>
      <w:r w:rsidRPr="000A0EA1">
        <w:rPr>
          <w:lang w:val="en-CA"/>
        </w:rPr>
        <w:t xml:space="preserve">, including with respect to </w:t>
      </w:r>
      <w:r w:rsidR="00E46AFD">
        <w:rPr>
          <w:lang w:val="en-CA"/>
        </w:rPr>
        <w:t>“</w:t>
      </w:r>
      <w:r w:rsidRPr="000A0EA1">
        <w:rPr>
          <w:lang w:val="en-CA"/>
        </w:rPr>
        <w:t>expenditures of funds provided for such instruction and facilities</w:t>
      </w:r>
      <w:r w:rsidR="00E46AFD">
        <w:rPr>
          <w:lang w:val="en-CA"/>
        </w:rPr>
        <w:t>”</w:t>
      </w:r>
      <w:r w:rsidRPr="000A0EA1">
        <w:rPr>
          <w:lang w:val="en-CA"/>
        </w:rPr>
        <w:t>.</w:t>
      </w:r>
      <w:r w:rsidRPr="000A0EA1">
        <w:rPr>
          <w:vertAlign w:val="superscript"/>
          <w:lang w:val="en-CA"/>
        </w:rPr>
        <w:footnoteReference w:id="261"/>
      </w:r>
      <w:r w:rsidRPr="000A0EA1">
        <w:rPr>
          <w:lang w:val="en-CA"/>
        </w:rPr>
        <w:t xml:space="preserve"> This right would be illusory if a government could prescribe and dictate in minute detail how allocations of funds are to be used. </w:t>
      </w:r>
    </w:p>
    <w:p w14:paraId="17F5F37F" w14:textId="1A8435C0" w:rsidR="00F75613" w:rsidRPr="000A0EA1" w:rsidRDefault="00B02E00" w:rsidP="00B255B8">
      <w:pPr>
        <w:pStyle w:val="Paragraphe"/>
        <w:spacing w:line="240" w:lineRule="auto"/>
        <w:rPr>
          <w:lang w:val="en-CA"/>
        </w:rPr>
      </w:pPr>
      <w:r w:rsidRPr="000A0EA1">
        <w:rPr>
          <w:lang w:val="en-CA"/>
        </w:rPr>
        <w:t xml:space="preserve">Yet this is precisely what </w:t>
      </w:r>
      <w:r w:rsidR="0062160E">
        <w:rPr>
          <w:lang w:val="en-CA"/>
        </w:rPr>
        <w:t>s. 4</w:t>
      </w:r>
      <w:r w:rsidRPr="000A0EA1">
        <w:rPr>
          <w:lang w:val="en-CA"/>
        </w:rPr>
        <w:t xml:space="preserve">73.1 of the </w:t>
      </w:r>
      <w:r w:rsidRPr="000A0EA1">
        <w:rPr>
          <w:i/>
          <w:iCs/>
          <w:lang w:val="en-CA"/>
        </w:rPr>
        <w:t xml:space="preserve">EA </w:t>
      </w:r>
      <w:r w:rsidRPr="000A0EA1">
        <w:rPr>
          <w:lang w:val="en-CA"/>
        </w:rPr>
        <w:t xml:space="preserve">allows when it authorizes, without any limit, the implementation of budgetary rules that </w:t>
      </w:r>
      <w:r w:rsidR="00A47A11">
        <w:rPr>
          <w:lang w:val="en-CA"/>
        </w:rPr>
        <w:t>“</w:t>
      </w:r>
      <w:r w:rsidRPr="000A0EA1">
        <w:rPr>
          <w:lang w:val="en-CA"/>
        </w:rPr>
        <w:t>may</w:t>
      </w:r>
      <w:r w:rsidR="00B17DF3">
        <w:rPr>
          <w:lang w:val="en-CA"/>
        </w:rPr>
        <w:t>,</w:t>
      </w:r>
      <w:r w:rsidRPr="000A0EA1">
        <w:rPr>
          <w:lang w:val="en-CA"/>
        </w:rPr>
        <w:t xml:space="preserve"> subject to the conditions or in accordance with the criteria prescribed in them or determined by the Minister, stipulate that certain budgetary measures are intended for a transfer to the budget of educational institutions</w:t>
      </w:r>
      <w:r w:rsidR="00E46AFD">
        <w:rPr>
          <w:lang w:val="en-CA"/>
        </w:rPr>
        <w:t>”</w:t>
      </w:r>
      <w:r w:rsidRPr="000A0EA1">
        <w:rPr>
          <w:lang w:val="en-CA"/>
        </w:rPr>
        <w:t>. We turn to this now in greater detail.</w:t>
      </w:r>
    </w:p>
    <w:p w14:paraId="17F5F380" w14:textId="15358324" w:rsidR="00F75613" w:rsidRPr="000A0EA1" w:rsidRDefault="00B02E00" w:rsidP="00B255B8">
      <w:pPr>
        <w:pStyle w:val="Paragraphe"/>
        <w:spacing w:line="240" w:lineRule="auto"/>
        <w:rPr>
          <w:lang w:val="en-CA"/>
        </w:rPr>
      </w:pPr>
      <w:r w:rsidRPr="000A0EA1">
        <w:rPr>
          <w:lang w:val="en-CA"/>
        </w:rPr>
        <w:t xml:space="preserve">Government subsidies for operating expenses are allocated to each </w:t>
      </w:r>
      <w:r w:rsidR="00AE3408">
        <w:rPr>
          <w:lang w:val="en-CA"/>
        </w:rPr>
        <w:t>English</w:t>
      </w:r>
      <w:r w:rsidR="00AE3408">
        <w:rPr>
          <w:lang w:val="en-CA"/>
        </w:rPr>
        <w:noBreakHyphen/>
        <w:t>language</w:t>
      </w:r>
      <w:r w:rsidRPr="000A0EA1">
        <w:rPr>
          <w:lang w:val="en-CA"/>
        </w:rPr>
        <w:t xml:space="preserve"> school board through operating budgetary rules,</w:t>
      </w:r>
      <w:r w:rsidRPr="000A0EA1">
        <w:rPr>
          <w:vertAlign w:val="superscript"/>
          <w:lang w:val="en-CA" w:eastAsia="fr-CA"/>
        </w:rPr>
        <w:footnoteReference w:id="262"/>
      </w:r>
      <w:r w:rsidRPr="000A0EA1">
        <w:rPr>
          <w:lang w:val="en-CA"/>
        </w:rPr>
        <w:t xml:space="preserve"> which prescribe how financial resources are to be allocated. These budgetary rules make it possible to calculate the amounts of subsidies to be paid,</w:t>
      </w:r>
      <w:r w:rsidRPr="000A0EA1">
        <w:rPr>
          <w:rStyle w:val="Appelnotedebasdep"/>
          <w:rFonts w:cs="Arial"/>
          <w:szCs w:val="24"/>
          <w:lang w:val="en-CA" w:eastAsia="fr-CA"/>
        </w:rPr>
        <w:footnoteReference w:id="263"/>
      </w:r>
      <w:r w:rsidRPr="000A0EA1">
        <w:rPr>
          <w:lang w:val="en-CA"/>
        </w:rPr>
        <w:t xml:space="preserve"> while preserving a certain degree of autonomy for school boards in organizing services and choosing the means for implementing them.</w:t>
      </w:r>
      <w:r w:rsidRPr="000A0EA1">
        <w:rPr>
          <w:vertAlign w:val="superscript"/>
          <w:lang w:val="en-CA" w:eastAsia="fr-CA"/>
        </w:rPr>
        <w:footnoteReference w:id="264"/>
      </w:r>
      <w:r w:rsidRPr="000A0EA1">
        <w:rPr>
          <w:lang w:val="en-CA"/>
        </w:rPr>
        <w:t xml:space="preserve"> These subsidies mainly take the form of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basic allocations for educational services</w:t>
      </w:r>
      <w:r w:rsidR="00E46AFD">
        <w:rPr>
          <w:lang w:val="en-CA"/>
        </w:rPr>
        <w:t>”</w:t>
      </w:r>
      <w:r w:rsidRPr="000A0EA1">
        <w:rPr>
          <w:lang w:val="en-CA"/>
        </w:rPr>
        <w:t>,</w:t>
      </w:r>
      <w:r w:rsidRPr="000A0EA1">
        <w:rPr>
          <w:vertAlign w:val="superscript"/>
          <w:lang w:val="en-CA" w:eastAsia="fr-CA"/>
        </w:rPr>
        <w:footnoteReference w:id="265"/>
      </w:r>
      <w:r w:rsidRPr="000A0EA1">
        <w:rPr>
          <w:lang w:val="en-CA"/>
        </w:rPr>
        <w:t xml:space="preserve"> which are largely determined in light of the school population. These allocations are made to enable school boards to meet their obligations related to educational activities (i.e., teaching, teaching support, complementary services and professional development).</w:t>
      </w:r>
      <w:r w:rsidRPr="000A0EA1">
        <w:rPr>
          <w:vertAlign w:val="superscript"/>
          <w:lang w:val="en-CA" w:eastAsia="fr-CA"/>
        </w:rPr>
        <w:footnoteReference w:id="266"/>
      </w:r>
      <w:r w:rsidRPr="000A0EA1">
        <w:rPr>
          <w:lang w:val="en-CA"/>
        </w:rPr>
        <w:t xml:space="preserve"> These basic allocations are supplemented by additional sums for other areas of activity, such as additional support for students and </w:t>
      </w:r>
      <w:r w:rsidRPr="000A0EA1">
        <w:rPr>
          <w:lang w:val="en-CA"/>
        </w:rPr>
        <w:lastRenderedPageBreak/>
        <w:t>teachers, special education, and support for schools in remote areas and small communities.</w:t>
      </w:r>
      <w:r w:rsidRPr="000A0EA1">
        <w:rPr>
          <w:vertAlign w:val="superscript"/>
          <w:lang w:val="en-CA" w:eastAsia="fr-CA"/>
        </w:rPr>
        <w:footnoteReference w:id="267"/>
      </w:r>
      <w:r w:rsidRPr="000A0EA1">
        <w:rPr>
          <w:lang w:val="en-CA"/>
        </w:rPr>
        <w:t xml:space="preserve"> </w:t>
      </w:r>
    </w:p>
    <w:p w14:paraId="17F5F381" w14:textId="2662BE17" w:rsidR="00F75613" w:rsidRPr="000A0EA1" w:rsidRDefault="00B02E00" w:rsidP="00B255B8">
      <w:pPr>
        <w:pStyle w:val="Paragraphe"/>
        <w:spacing w:line="240" w:lineRule="auto"/>
        <w:rPr>
          <w:lang w:val="en-CA"/>
        </w:rPr>
      </w:pPr>
      <w:r w:rsidRPr="000A0EA1">
        <w:rPr>
          <w:lang w:val="en-CA"/>
        </w:rPr>
        <w:t>The operating budgetary rules categorize the various amounts allocated to school boards under separate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families</w:t>
      </w:r>
      <w:r w:rsidR="00E46AFD">
        <w:rPr>
          <w:lang w:val="en-CA"/>
        </w:rPr>
        <w:t>”</w:t>
      </w:r>
      <w:r w:rsidRPr="000A0EA1">
        <w:rPr>
          <w:lang w:val="en-CA"/>
        </w:rPr>
        <w:t xml:space="preserve"> and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groups</w:t>
      </w:r>
      <w:r w:rsidR="00E46AFD">
        <w:rPr>
          <w:lang w:val="en-CA"/>
        </w:rPr>
        <w:t>”</w:t>
      </w:r>
      <w:r w:rsidRPr="000A0EA1">
        <w:rPr>
          <w:lang w:val="en-CA"/>
        </w:rPr>
        <w:t xml:space="preserve"> of budgetary measures.</w:t>
      </w:r>
      <w:r w:rsidRPr="000A0EA1">
        <w:rPr>
          <w:vertAlign w:val="superscript"/>
          <w:lang w:val="en-CA" w:eastAsia="fr-CA"/>
        </w:rPr>
        <w:footnoteReference w:id="268"/>
      </w:r>
      <w:r w:rsidRPr="000A0EA1">
        <w:rPr>
          <w:lang w:val="en-CA"/>
        </w:rPr>
        <w:t xml:space="preserve"> This is where </w:t>
      </w:r>
      <w:r w:rsidR="0062160E">
        <w:rPr>
          <w:lang w:val="en-CA"/>
        </w:rPr>
        <w:t>s. 4</w:t>
      </w:r>
      <w:r w:rsidRPr="000A0EA1">
        <w:rPr>
          <w:lang w:val="en-CA"/>
        </w:rPr>
        <w:t xml:space="preserve">73.1 of the </w:t>
      </w:r>
      <w:r w:rsidRPr="000A0EA1">
        <w:rPr>
          <w:i/>
          <w:iCs/>
          <w:lang w:val="en-CA"/>
        </w:rPr>
        <w:t>EA</w:t>
      </w:r>
      <w:r w:rsidRPr="000A0EA1">
        <w:rPr>
          <w:lang w:val="en-CA"/>
        </w:rPr>
        <w:t xml:space="preserve"> comes into play, by allowing the Minister, since the 2016-2017 school year, to prescribe that certain funds must be allocated by school boards to educational institutions to be used solely for the purposes determined by the Minister.</w:t>
      </w:r>
      <w:r w:rsidRPr="000A0EA1">
        <w:rPr>
          <w:vertAlign w:val="superscript"/>
          <w:lang w:val="en-CA" w:eastAsia="fr-CA"/>
        </w:rPr>
        <w:footnoteReference w:id="269"/>
      </w:r>
      <w:r w:rsidRPr="000A0EA1">
        <w:rPr>
          <w:lang w:val="en-CA"/>
        </w:rPr>
        <w:t xml:space="preserve"> </w:t>
      </w:r>
    </w:p>
    <w:p w14:paraId="17F5F382" w14:textId="4415BB99" w:rsidR="00F75613" w:rsidRPr="000A0EA1" w:rsidRDefault="00B02E00" w:rsidP="00B255B8">
      <w:pPr>
        <w:pStyle w:val="Paragraphe"/>
        <w:spacing w:line="240" w:lineRule="auto"/>
        <w:rPr>
          <w:lang w:val="en-CA"/>
        </w:rPr>
      </w:pPr>
      <w:r w:rsidRPr="000A0EA1">
        <w:rPr>
          <w:lang w:val="en-CA"/>
        </w:rPr>
        <w:t>These measures are identified in the operating budgetary rules as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dedicated</w:t>
      </w:r>
      <w:r w:rsidR="00E46AFD">
        <w:rPr>
          <w:lang w:val="en-CA"/>
        </w:rPr>
        <w:t>”</w:t>
      </w:r>
      <w:r w:rsidRPr="000A0EA1">
        <w:rPr>
          <w:lang w:val="en-CA"/>
        </w:rPr>
        <w:t xml:space="preserve"> or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protected</w:t>
      </w:r>
      <w:r w:rsidR="00E46AFD">
        <w:rPr>
          <w:lang w:val="en-CA"/>
        </w:rPr>
        <w:t>”</w:t>
      </w:r>
      <w:r w:rsidRPr="000A0EA1">
        <w:rPr>
          <w:lang w:val="en-CA"/>
        </w:rPr>
        <w:t>.</w:t>
      </w:r>
      <w:r w:rsidRPr="000A0EA1">
        <w:rPr>
          <w:vertAlign w:val="superscript"/>
          <w:lang w:val="en-CA" w:eastAsia="fr-CA"/>
        </w:rPr>
        <w:footnoteReference w:id="270"/>
      </w:r>
      <w:r w:rsidRPr="000A0EA1">
        <w:rPr>
          <w:lang w:val="en-CA"/>
        </w:rPr>
        <w:t xml:space="preserve"> Dedicated measures are generally transferable to other measures within the group of measures of which they are a part.</w:t>
      </w:r>
      <w:r w:rsidRPr="000A0EA1">
        <w:rPr>
          <w:vertAlign w:val="superscript"/>
          <w:lang w:val="en-CA" w:eastAsia="fr-CA"/>
        </w:rPr>
        <w:footnoteReference w:id="271"/>
      </w:r>
      <w:r w:rsidRPr="000A0EA1">
        <w:rPr>
          <w:lang w:val="en-CA"/>
        </w:rPr>
        <w:t xml:space="preserve"> Protected measures are not transferable: they must be used for the purposes for which they are expressly intended by the Minister.</w:t>
      </w:r>
      <w:r w:rsidRPr="000A0EA1">
        <w:rPr>
          <w:vertAlign w:val="superscript"/>
          <w:lang w:val="en-CA" w:eastAsia="fr-CA"/>
        </w:rPr>
        <w:footnoteReference w:id="272"/>
      </w:r>
      <w:r w:rsidRPr="000A0EA1">
        <w:rPr>
          <w:lang w:val="en-CA"/>
        </w:rPr>
        <w:t xml:space="preserve"> </w:t>
      </w:r>
    </w:p>
    <w:p w14:paraId="17F5F383" w14:textId="69BCACA8" w:rsidR="00F75613" w:rsidRPr="000A0EA1" w:rsidRDefault="00B02E00" w:rsidP="00B255B8">
      <w:pPr>
        <w:pStyle w:val="Paragraphe"/>
        <w:spacing w:line="240" w:lineRule="auto"/>
        <w:rPr>
          <w:lang w:val="en-CA"/>
        </w:rPr>
      </w:pPr>
      <w:r w:rsidRPr="000A0EA1">
        <w:rPr>
          <w:lang w:val="en-CA"/>
        </w:rPr>
        <w:t xml:space="preserve">In his affidavit, Pierre-Luc Pouliot, director general of network support and funding at the Ministère de </w:t>
      </w:r>
      <w:proofErr w:type="spellStart"/>
      <w:r w:rsidRPr="000A0EA1">
        <w:rPr>
          <w:lang w:val="en-CA"/>
        </w:rPr>
        <w:t>l</w:t>
      </w:r>
      <w:r w:rsidR="00E46AFD">
        <w:rPr>
          <w:lang w:val="en-CA"/>
        </w:rPr>
        <w:t>’</w:t>
      </w:r>
      <w:r w:rsidRPr="000A0EA1">
        <w:rPr>
          <w:lang w:val="en-CA"/>
        </w:rPr>
        <w:t>Éducation</w:t>
      </w:r>
      <w:proofErr w:type="spellEnd"/>
      <w:r w:rsidRPr="000A0EA1">
        <w:rPr>
          <w:lang w:val="en-CA"/>
        </w:rPr>
        <w:t>, explain</w:t>
      </w:r>
      <w:r w:rsidR="00005860">
        <w:rPr>
          <w:lang w:val="en-CA"/>
        </w:rPr>
        <w:t>s</w:t>
      </w:r>
      <w:r w:rsidRPr="000A0EA1">
        <w:rPr>
          <w:lang w:val="en-CA"/>
        </w:rPr>
        <w:t xml:space="preserve"> that the purpose of protected measures is to ensure that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 xml:space="preserve">all students in all public school bodies can benefit from the elements provided under each of these measures, regardless of the governance of the school (senior school staff, governing board, SSC [school service centre] and SB [school board] committees and governance, etc.), </w:t>
      </w:r>
      <w:r w:rsidR="00CE62C1">
        <w:rPr>
          <w:lang w:val="en-CA"/>
        </w:rPr>
        <w:t xml:space="preserve">so </w:t>
      </w:r>
      <w:r w:rsidR="008B61BC">
        <w:rPr>
          <w:lang w:val="en-CA"/>
        </w:rPr>
        <w:t xml:space="preserve">that </w:t>
      </w:r>
      <w:r w:rsidRPr="000A0EA1">
        <w:rPr>
          <w:lang w:val="en-CA"/>
        </w:rPr>
        <w:t xml:space="preserve">the importance of these direct services </w:t>
      </w:r>
      <w:r w:rsidR="00C407E1">
        <w:rPr>
          <w:lang w:val="en-CA"/>
        </w:rPr>
        <w:t>to</w:t>
      </w:r>
      <w:r w:rsidRPr="000A0EA1">
        <w:rPr>
          <w:lang w:val="en-CA"/>
        </w:rPr>
        <w:t xml:space="preserve"> students </w:t>
      </w:r>
      <w:r w:rsidR="004800FB">
        <w:rPr>
          <w:lang w:val="en-CA"/>
        </w:rPr>
        <w:t xml:space="preserve">is protected </w:t>
      </w:r>
      <w:r w:rsidRPr="000A0EA1">
        <w:rPr>
          <w:lang w:val="en-CA"/>
        </w:rPr>
        <w:t xml:space="preserve">and </w:t>
      </w:r>
      <w:r w:rsidR="008B61BC">
        <w:rPr>
          <w:lang w:val="en-CA"/>
        </w:rPr>
        <w:t xml:space="preserve">so as </w:t>
      </w:r>
      <w:r w:rsidRPr="000A0EA1">
        <w:rPr>
          <w:lang w:val="en-CA"/>
        </w:rPr>
        <w:t xml:space="preserve">to avoid jeopardizing </w:t>
      </w:r>
      <w:r w:rsidR="00E72440">
        <w:rPr>
          <w:lang w:val="en-CA"/>
        </w:rPr>
        <w:t>students’</w:t>
      </w:r>
      <w:r w:rsidRPr="000A0EA1">
        <w:rPr>
          <w:lang w:val="en-CA"/>
        </w:rPr>
        <w:t xml:space="preserve"> educational success</w:t>
      </w:r>
      <w:r w:rsidR="00E46AFD">
        <w:rPr>
          <w:lang w:val="en-CA"/>
        </w:rPr>
        <w:t>”</w:t>
      </w:r>
      <w:r w:rsidRPr="000A0EA1">
        <w:rPr>
          <w:lang w:val="en-CA"/>
        </w:rPr>
        <w:t>.</w:t>
      </w:r>
      <w:r w:rsidRPr="000A0EA1">
        <w:rPr>
          <w:vertAlign w:val="superscript"/>
          <w:lang w:val="en-CA" w:eastAsia="fr-CA"/>
        </w:rPr>
        <w:footnoteReference w:id="273"/>
      </w:r>
      <w:r w:rsidRPr="000A0EA1">
        <w:rPr>
          <w:lang w:val="en-CA"/>
        </w:rPr>
        <w:t xml:space="preserve"> As examples of protected measures, he mentioned the measure aimed at ensuring [</w:t>
      </w:r>
      <w:r w:rsidR="00F16205" w:rsidRPr="00F16205">
        <w:rPr>
          <w:smallCaps/>
          <w:lang w:val="en-CA"/>
        </w:rPr>
        <w:t>translation</w:t>
      </w:r>
      <w:r w:rsidRPr="000A0EA1">
        <w:rPr>
          <w:lang w:val="en-CA"/>
        </w:rPr>
        <w:t>]</w:t>
      </w:r>
      <w:r w:rsidR="0095135B">
        <w:rPr>
          <w:lang w:val="en-CA"/>
        </w:rPr>
        <w:t> </w:t>
      </w:r>
      <w:r w:rsidR="00E46AFD">
        <w:rPr>
          <w:lang w:val="en-CA"/>
        </w:rPr>
        <w:t>“</w:t>
      </w:r>
      <w:r w:rsidRPr="000A0EA1">
        <w:rPr>
          <w:lang w:val="en-CA"/>
        </w:rPr>
        <w:t>a basic level of complementary services in each school offering direct services to students […] by qualified resources in order to meet their needs in terms of learning support, guidance and follow-up</w:t>
      </w:r>
      <w:r w:rsidR="00E46AFD">
        <w:rPr>
          <w:lang w:val="en-CA"/>
        </w:rPr>
        <w:t>”</w:t>
      </w:r>
      <w:r w:rsidRPr="000A0EA1">
        <w:rPr>
          <w:lang w:val="en-CA"/>
        </w:rPr>
        <w:t>,</w:t>
      </w:r>
      <w:r w:rsidRPr="000A0EA1">
        <w:rPr>
          <w:vertAlign w:val="superscript"/>
          <w:lang w:val="en-CA" w:eastAsia="fr-CA"/>
        </w:rPr>
        <w:footnoteReference w:id="274"/>
      </w:r>
      <w:r w:rsidRPr="000A0EA1">
        <w:rPr>
          <w:lang w:val="en-CA"/>
        </w:rPr>
        <w:t xml:space="preserve"> as well as the measure aimed at introducing full-time kindergarten classes for four-year-olds.</w:t>
      </w:r>
      <w:r w:rsidRPr="000A0EA1">
        <w:rPr>
          <w:vertAlign w:val="superscript"/>
          <w:lang w:val="en-CA" w:eastAsia="fr-CA"/>
        </w:rPr>
        <w:footnoteReference w:id="275"/>
      </w:r>
    </w:p>
    <w:p w14:paraId="17F5F384" w14:textId="79D9AE69" w:rsidR="00F75613" w:rsidRPr="000A0EA1" w:rsidRDefault="00B02E00" w:rsidP="00B255B8">
      <w:pPr>
        <w:pStyle w:val="Paragraphe"/>
        <w:spacing w:line="240" w:lineRule="auto"/>
        <w:rPr>
          <w:lang w:val="en-CA"/>
        </w:rPr>
      </w:pPr>
      <w:r w:rsidRPr="000A0EA1">
        <w:rPr>
          <w:lang w:val="en-CA"/>
        </w:rPr>
        <w:lastRenderedPageBreak/>
        <w:t xml:space="preserve">The trial judge </w:t>
      </w:r>
      <w:r w:rsidR="006A360A">
        <w:rPr>
          <w:lang w:val="en-CA"/>
        </w:rPr>
        <w:t xml:space="preserve">found </w:t>
      </w:r>
      <w:r w:rsidRPr="000A0EA1">
        <w:rPr>
          <w:lang w:val="en-CA"/>
        </w:rPr>
        <w:t xml:space="preserve">that </w:t>
      </w:r>
      <w:r w:rsidR="0062160E">
        <w:rPr>
          <w:lang w:val="en-CA"/>
        </w:rPr>
        <w:t>s. 4</w:t>
      </w:r>
      <w:r w:rsidRPr="000A0EA1">
        <w:rPr>
          <w:lang w:val="en-CA"/>
        </w:rPr>
        <w:t xml:space="preserve">73.1 of the </w:t>
      </w:r>
      <w:r w:rsidRPr="000A0EA1">
        <w:rPr>
          <w:i/>
          <w:iCs/>
          <w:lang w:val="en-CA"/>
        </w:rPr>
        <w:t>EA</w:t>
      </w:r>
      <w:r w:rsidRPr="000A0EA1">
        <w:rPr>
          <w:lang w:val="en-CA"/>
        </w:rPr>
        <w:t xml:space="preserve"> infringes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in that it runs directly counter to the exclusive authority of the minority language representatives to make decisions concerning the expenditure of funds provided for minority language instruction and facilities.</w:t>
      </w:r>
      <w:r w:rsidRPr="000A0EA1">
        <w:rPr>
          <w:rFonts w:cs="Arial"/>
          <w:color w:val="000000"/>
          <w:vertAlign w:val="superscript"/>
          <w:lang w:val="en-CA"/>
        </w:rPr>
        <w:footnoteReference w:id="276"/>
      </w:r>
      <w:r w:rsidRPr="000A0EA1">
        <w:rPr>
          <w:lang w:val="en-CA"/>
        </w:rPr>
        <w:t xml:space="preserve"> This conclusion is well founded.</w:t>
      </w:r>
    </w:p>
    <w:p w14:paraId="17F5F385" w14:textId="598E865B" w:rsidR="00F75613" w:rsidRPr="000A0EA1" w:rsidRDefault="00B02E00" w:rsidP="00B255B8">
      <w:pPr>
        <w:pStyle w:val="Paragraphe"/>
        <w:spacing w:line="240" w:lineRule="auto"/>
        <w:rPr>
          <w:lang w:val="en-CA"/>
        </w:rPr>
      </w:pPr>
      <w:r w:rsidRPr="000A0EA1">
        <w:rPr>
          <w:lang w:val="en-CA"/>
        </w:rPr>
        <w:t xml:space="preserve">By allowing the Minister to dictate the transfer of subsidies to educational institutions to be used for specific purposes that he alone determines, whether as </w:t>
      </w:r>
      <w:r w:rsidR="00E46AFD">
        <w:rPr>
          <w:lang w:val="en-CA"/>
        </w:rPr>
        <w:t>“</w:t>
      </w:r>
      <w:r w:rsidRPr="000A0EA1">
        <w:rPr>
          <w:lang w:val="en-CA"/>
        </w:rPr>
        <w:t>dedicated measures</w:t>
      </w:r>
      <w:r w:rsidR="00E46AFD">
        <w:rPr>
          <w:lang w:val="en-CA"/>
        </w:rPr>
        <w:t>”</w:t>
      </w:r>
      <w:r w:rsidRPr="000A0EA1">
        <w:rPr>
          <w:lang w:val="en-CA"/>
        </w:rPr>
        <w:t xml:space="preserve"> or </w:t>
      </w:r>
      <w:r w:rsidR="00E46AFD">
        <w:rPr>
          <w:lang w:val="en-CA"/>
        </w:rPr>
        <w:t>“</w:t>
      </w:r>
      <w:r w:rsidRPr="000A0EA1">
        <w:rPr>
          <w:lang w:val="en-CA"/>
        </w:rPr>
        <w:t>protected measures</w:t>
      </w:r>
      <w:r w:rsidR="00E46AFD">
        <w:rPr>
          <w:lang w:val="en-CA"/>
        </w:rPr>
        <w:t>”</w:t>
      </w:r>
      <w:r w:rsidRPr="000A0EA1">
        <w:rPr>
          <w:lang w:val="en-CA"/>
        </w:rPr>
        <w:t xml:space="preserve">, </w:t>
      </w:r>
      <w:r w:rsidR="0062160E">
        <w:rPr>
          <w:lang w:val="en-CA"/>
        </w:rPr>
        <w:t>s. 4</w:t>
      </w:r>
      <w:r w:rsidRPr="000A0EA1">
        <w:rPr>
          <w:lang w:val="en-CA"/>
        </w:rPr>
        <w:t xml:space="preserve">73.1 of the </w:t>
      </w:r>
      <w:r w:rsidRPr="000A0EA1">
        <w:rPr>
          <w:i/>
          <w:iCs/>
          <w:lang w:val="en-CA"/>
        </w:rPr>
        <w:t>EA</w:t>
      </w:r>
      <w:r w:rsidRPr="000A0EA1">
        <w:rPr>
          <w:lang w:val="en-CA"/>
        </w:rPr>
        <w:t xml:space="preserve"> cuts into the</w:t>
      </w:r>
      <w:r w:rsidR="00005860">
        <w:rPr>
          <w:lang w:val="en-CA"/>
        </w:rPr>
        <w:t xml:space="preserve"> exclusive</w:t>
      </w:r>
      <w:r w:rsidRPr="000A0EA1">
        <w:rPr>
          <w:lang w:val="en-CA"/>
        </w:rPr>
        <w:t xml:space="preserve"> powers of management and control of minority language representatives over the expenditure of funds. In both cases, minority representatives lose control over these subsidies, since they must be used for specific purposes that do not necessarily correspond to the minority</w:t>
      </w:r>
      <w:r w:rsidR="00E46AFD">
        <w:rPr>
          <w:lang w:val="en-CA"/>
        </w:rPr>
        <w:t>’</w:t>
      </w:r>
      <w:r w:rsidRPr="000A0EA1">
        <w:rPr>
          <w:lang w:val="en-CA"/>
        </w:rPr>
        <w:t xml:space="preserve">s needs, objectives or linguistic and cultural interests. </w:t>
      </w:r>
    </w:p>
    <w:p w14:paraId="17F5F386" w14:textId="0F929392" w:rsidR="00F75613" w:rsidRPr="000A0EA1" w:rsidRDefault="00B02E00" w:rsidP="00B255B8">
      <w:pPr>
        <w:pStyle w:val="Paragraphe"/>
        <w:spacing w:line="240" w:lineRule="auto"/>
        <w:rPr>
          <w:lang w:val="en-CA"/>
        </w:rPr>
      </w:pPr>
      <w:r w:rsidRPr="000A0EA1">
        <w:rPr>
          <w:lang w:val="en-CA"/>
        </w:rPr>
        <w:t xml:space="preserve">The affidavit of Livia </w:t>
      </w:r>
      <w:proofErr w:type="spellStart"/>
      <w:r w:rsidRPr="000A0EA1">
        <w:rPr>
          <w:lang w:val="en-CA"/>
        </w:rPr>
        <w:t>Nassivera</w:t>
      </w:r>
      <w:proofErr w:type="spellEnd"/>
      <w:r w:rsidRPr="000A0EA1">
        <w:rPr>
          <w:lang w:val="en-CA"/>
        </w:rPr>
        <w:t>, the English Montreal School Board</w:t>
      </w:r>
      <w:r w:rsidR="00E46AFD">
        <w:rPr>
          <w:lang w:val="en-CA"/>
        </w:rPr>
        <w:t>’</w:t>
      </w:r>
      <w:r w:rsidRPr="000A0EA1">
        <w:rPr>
          <w:lang w:val="en-CA"/>
        </w:rPr>
        <w:t>s Director of Financial Services, which affidavit the judge accepted, illustrates this well:</w:t>
      </w:r>
      <w:r w:rsidRPr="000A0EA1">
        <w:rPr>
          <w:szCs w:val="24"/>
          <w:vertAlign w:val="superscript"/>
          <w:lang w:val="en-CA" w:eastAsia="fr-CA"/>
        </w:rPr>
        <w:footnoteReference w:id="277"/>
      </w:r>
      <w:r w:rsidRPr="000A0EA1">
        <w:rPr>
          <w:lang w:val="en-CA"/>
        </w:rPr>
        <w:t xml:space="preserve"> </w:t>
      </w:r>
    </w:p>
    <w:p w14:paraId="17F5F387" w14:textId="77777777"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7.</w:t>
      </w:r>
      <w:r w:rsidRPr="000A0EA1">
        <w:rPr>
          <w:rFonts w:cs="Arial"/>
          <w:sz w:val="22"/>
          <w:szCs w:val="22"/>
          <w:lang w:val="en-CA" w:eastAsia="fr-CA"/>
        </w:rPr>
        <w:tab/>
        <w:t>As explained in exhibits LN-1 to LN-5, the funds obtained under a protected measure must be transferred to schools and adult education and vocational training centres and must be used solely for the purpose identified by the Ministry for that measure (see for instance LN-5, p. XVII). The school board may decide the proportion of the subsidy that is allocated to each school but cannot decide to use any of the funds for any other purpose.</w:t>
      </w:r>
    </w:p>
    <w:p w14:paraId="17F5F388" w14:textId="17B9A463"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8.</w:t>
      </w:r>
      <w:r w:rsidRPr="000A0EA1">
        <w:rPr>
          <w:rFonts w:cs="Arial"/>
          <w:sz w:val="22"/>
          <w:szCs w:val="22"/>
          <w:lang w:val="en-CA" w:eastAsia="fr-CA"/>
        </w:rPr>
        <w:tab/>
        <w:t xml:space="preserve">For example, measure 15026 </w:t>
      </w:r>
      <w:r w:rsidRPr="000A0EA1">
        <w:rPr>
          <w:rFonts w:cs="Arial"/>
          <w:i/>
          <w:iCs/>
          <w:sz w:val="22"/>
          <w:szCs w:val="22"/>
          <w:lang w:val="en-CA" w:eastAsia="fr-CA"/>
        </w:rPr>
        <w:t>(</w:t>
      </w:r>
      <w:proofErr w:type="spellStart"/>
      <w:r w:rsidRPr="000A0EA1">
        <w:rPr>
          <w:rFonts w:cs="Arial"/>
          <w:i/>
          <w:iCs/>
          <w:sz w:val="22"/>
          <w:szCs w:val="22"/>
          <w:lang w:val="en-CA" w:eastAsia="fr-CA"/>
        </w:rPr>
        <w:t>Ajout</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d</w:t>
      </w:r>
      <w:r w:rsidR="00E46AFD">
        <w:rPr>
          <w:rFonts w:cs="Arial"/>
          <w:i/>
          <w:iCs/>
          <w:sz w:val="22"/>
          <w:szCs w:val="22"/>
          <w:lang w:val="en-CA" w:eastAsia="fr-CA"/>
        </w:rPr>
        <w:t>’</w:t>
      </w:r>
      <w:r w:rsidRPr="000A0EA1">
        <w:rPr>
          <w:rFonts w:cs="Arial"/>
          <w:i/>
          <w:iCs/>
          <w:sz w:val="22"/>
          <w:szCs w:val="22"/>
          <w:lang w:val="en-CA" w:eastAsia="fr-CA"/>
        </w:rPr>
        <w:t>enseignants</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spécialistes</w:t>
      </w:r>
      <w:proofErr w:type="spellEnd"/>
      <w:r w:rsidRPr="000A0EA1">
        <w:rPr>
          <w:rFonts w:cs="Arial"/>
          <w:i/>
          <w:iCs/>
          <w:sz w:val="22"/>
          <w:szCs w:val="22"/>
          <w:lang w:val="en-CA" w:eastAsia="fr-CA"/>
        </w:rPr>
        <w:t xml:space="preserve"> au </w:t>
      </w:r>
      <w:proofErr w:type="spellStart"/>
      <w:r w:rsidRPr="000A0EA1">
        <w:rPr>
          <w:rFonts w:cs="Arial"/>
          <w:i/>
          <w:iCs/>
          <w:sz w:val="22"/>
          <w:szCs w:val="22"/>
          <w:lang w:val="en-CA" w:eastAsia="fr-CA"/>
        </w:rPr>
        <w:t>préscolaire</w:t>
      </w:r>
      <w:proofErr w:type="spellEnd"/>
      <w:r w:rsidRPr="000A0EA1">
        <w:rPr>
          <w:rFonts w:cs="Arial"/>
          <w:i/>
          <w:iCs/>
          <w:sz w:val="22"/>
          <w:szCs w:val="22"/>
          <w:lang w:val="en-CA" w:eastAsia="fr-CA"/>
        </w:rPr>
        <w:t xml:space="preserve">)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Adding specialized preschool teachers] in the budgetary rules of 2020-2021 is a protected measure that may only be used for the purpose of providing preschoolers with a 30-minute segment per week with a teacher specialized in physical education, health or arts, as appears from exhibit LN-5 (at p. 79).</w:t>
      </w:r>
    </w:p>
    <w:p w14:paraId="17F5F389" w14:textId="77777777" w:rsidR="00F75613" w:rsidRPr="000A0EA1" w:rsidRDefault="00B02E00" w:rsidP="00B255B8">
      <w:pPr>
        <w:autoSpaceDE w:val="0"/>
        <w:autoSpaceDN w:val="0"/>
        <w:adjustRightInd w:val="0"/>
        <w:spacing w:before="120" w:after="120" w:line="240" w:lineRule="auto"/>
        <w:ind w:left="720" w:right="720"/>
        <w:jc w:val="both"/>
        <w:rPr>
          <w:rFonts w:cs="Arial"/>
          <w:sz w:val="22"/>
          <w:szCs w:val="22"/>
          <w:lang w:val="en-CA" w:eastAsia="fr-CA"/>
        </w:rPr>
      </w:pPr>
      <w:r w:rsidRPr="000A0EA1">
        <w:rPr>
          <w:rFonts w:cs="Arial"/>
          <w:sz w:val="22"/>
          <w:szCs w:val="22"/>
          <w:lang w:val="en-CA" w:eastAsia="fr-CA"/>
        </w:rPr>
        <w:t>9.</w:t>
      </w:r>
      <w:r w:rsidRPr="000A0EA1">
        <w:rPr>
          <w:rFonts w:cs="Arial"/>
          <w:sz w:val="22"/>
          <w:szCs w:val="22"/>
          <w:lang w:val="en-CA" w:eastAsia="fr-CA"/>
        </w:rPr>
        <w:tab/>
        <w:t>The funds obtained under a dedicated measure must be transferred to schools and adult education and vocational training centres; the school board or the school can transfer the funds to another measure but only within the same grouping of budgetary measure (see for instance exhibit LN-5, at p. XVII).</w:t>
      </w:r>
    </w:p>
    <w:p w14:paraId="17F5F38A" w14:textId="2E38A355" w:rsidR="00F75613" w:rsidRPr="000A0EA1" w:rsidRDefault="00B02E00" w:rsidP="00B255B8">
      <w:pPr>
        <w:autoSpaceDE w:val="0"/>
        <w:autoSpaceDN w:val="0"/>
        <w:adjustRightInd w:val="0"/>
        <w:spacing w:before="120" w:after="120" w:line="240" w:lineRule="auto"/>
        <w:ind w:left="720" w:right="720"/>
        <w:jc w:val="both"/>
        <w:rPr>
          <w:sz w:val="22"/>
          <w:szCs w:val="22"/>
          <w:lang w:val="en-CA"/>
        </w:rPr>
      </w:pPr>
      <w:r w:rsidRPr="000A0EA1">
        <w:rPr>
          <w:sz w:val="22"/>
          <w:szCs w:val="22"/>
          <w:lang w:val="en-CA"/>
        </w:rPr>
        <w:t>10.</w:t>
      </w:r>
      <w:r w:rsidRPr="000A0EA1">
        <w:rPr>
          <w:sz w:val="22"/>
          <w:szCs w:val="22"/>
          <w:lang w:val="en-CA"/>
        </w:rPr>
        <w:tab/>
        <w:t xml:space="preserve">For example, measure 15023 </w:t>
      </w:r>
      <w:r w:rsidRPr="000A0EA1">
        <w:rPr>
          <w:i/>
          <w:iCs/>
          <w:sz w:val="22"/>
          <w:szCs w:val="22"/>
          <w:lang w:val="en-CA"/>
        </w:rPr>
        <w:t xml:space="preserve">(À </w:t>
      </w:r>
      <w:proofErr w:type="spellStart"/>
      <w:r w:rsidRPr="000A0EA1">
        <w:rPr>
          <w:i/>
          <w:iCs/>
          <w:sz w:val="22"/>
          <w:szCs w:val="22"/>
          <w:lang w:val="en-CA"/>
        </w:rPr>
        <w:t>l</w:t>
      </w:r>
      <w:r w:rsidR="00E46AFD">
        <w:rPr>
          <w:i/>
          <w:iCs/>
          <w:sz w:val="22"/>
          <w:szCs w:val="22"/>
          <w:lang w:val="en-CA"/>
        </w:rPr>
        <w:t>’</w:t>
      </w:r>
      <w:r w:rsidRPr="000A0EA1">
        <w:rPr>
          <w:i/>
          <w:iCs/>
          <w:sz w:val="22"/>
          <w:szCs w:val="22"/>
          <w:lang w:val="en-CA"/>
        </w:rPr>
        <w:t>école</w:t>
      </w:r>
      <w:proofErr w:type="spellEnd"/>
      <w:r w:rsidRPr="000A0EA1">
        <w:rPr>
          <w:i/>
          <w:iCs/>
          <w:sz w:val="22"/>
          <w:szCs w:val="22"/>
          <w:lang w:val="en-CA"/>
        </w:rPr>
        <w:t xml:space="preserve">, on </w:t>
      </w:r>
      <w:proofErr w:type="spellStart"/>
      <w:r w:rsidRPr="000A0EA1">
        <w:rPr>
          <w:i/>
          <w:iCs/>
          <w:sz w:val="22"/>
          <w:szCs w:val="22"/>
          <w:lang w:val="en-CA"/>
        </w:rPr>
        <w:t>bouge</w:t>
      </w:r>
      <w:proofErr w:type="spellEnd"/>
      <w:r w:rsidRPr="000A0EA1">
        <w:rPr>
          <w:i/>
          <w:iCs/>
          <w:sz w:val="22"/>
          <w:szCs w:val="22"/>
          <w:lang w:val="en-CA"/>
        </w:rPr>
        <w:t>!)</w:t>
      </w:r>
      <w:r w:rsidRPr="000A0EA1">
        <w:rPr>
          <w:sz w:val="22"/>
          <w:szCs w:val="22"/>
          <w:lang w:val="en-CA"/>
        </w:rPr>
        <w:t xml:space="preserve"> [</w:t>
      </w:r>
      <w:r w:rsidR="00F16205" w:rsidRPr="00F16205">
        <w:rPr>
          <w:smallCaps/>
          <w:sz w:val="22"/>
          <w:szCs w:val="22"/>
          <w:lang w:val="en-CA"/>
        </w:rPr>
        <w:t>translation</w:t>
      </w:r>
      <w:r w:rsidRPr="000A0EA1">
        <w:rPr>
          <w:sz w:val="22"/>
          <w:szCs w:val="22"/>
          <w:lang w:val="en-CA"/>
        </w:rPr>
        <w:t>:</w:t>
      </w:r>
      <w:r w:rsidR="0051064F">
        <w:rPr>
          <w:sz w:val="22"/>
          <w:szCs w:val="22"/>
          <w:lang w:val="en-CA"/>
        </w:rPr>
        <w:t> </w:t>
      </w:r>
      <w:r w:rsidRPr="000A0EA1">
        <w:rPr>
          <w:sz w:val="22"/>
          <w:szCs w:val="22"/>
          <w:lang w:val="en-CA"/>
        </w:rPr>
        <w:t xml:space="preserve">Get </w:t>
      </w:r>
      <w:r w:rsidR="00522BAD">
        <w:rPr>
          <w:sz w:val="22"/>
          <w:szCs w:val="22"/>
          <w:lang w:val="en-CA"/>
        </w:rPr>
        <w:t xml:space="preserve">moving </w:t>
      </w:r>
      <w:r w:rsidRPr="000A0EA1">
        <w:rPr>
          <w:sz w:val="22"/>
          <w:szCs w:val="22"/>
          <w:lang w:val="en-CA"/>
        </w:rPr>
        <w:t xml:space="preserve">at school!] in the budgetary rules of 2020-2021 may be used for physical education projects that meet the criteria of measure 15023, or it may be transferred to any of the following seven measures that are part of the 15020 grouping of measures </w:t>
      </w:r>
      <w:r w:rsidRPr="000A0EA1">
        <w:rPr>
          <w:i/>
          <w:iCs/>
          <w:sz w:val="22"/>
          <w:szCs w:val="22"/>
          <w:lang w:val="en-CA"/>
        </w:rPr>
        <w:t>(</w:t>
      </w:r>
      <w:r w:rsidR="00E46AFD">
        <w:rPr>
          <w:i/>
          <w:iCs/>
          <w:sz w:val="22"/>
          <w:szCs w:val="22"/>
          <w:lang w:val="en-CA"/>
        </w:rPr>
        <w:t>“</w:t>
      </w:r>
      <w:proofErr w:type="spellStart"/>
      <w:r w:rsidRPr="000A0EA1">
        <w:rPr>
          <w:i/>
          <w:iCs/>
          <w:sz w:val="22"/>
          <w:szCs w:val="22"/>
          <w:lang w:val="en-CA"/>
        </w:rPr>
        <w:t>Soutien</w:t>
      </w:r>
      <w:proofErr w:type="spellEnd"/>
      <w:r w:rsidRPr="000A0EA1">
        <w:rPr>
          <w:i/>
          <w:iCs/>
          <w:sz w:val="22"/>
          <w:szCs w:val="22"/>
          <w:lang w:val="en-CA"/>
        </w:rPr>
        <w:t xml:space="preserve"> à</w:t>
      </w:r>
      <w:r w:rsidRPr="000A0EA1">
        <w:rPr>
          <w:sz w:val="22"/>
          <w:szCs w:val="22"/>
          <w:lang w:val="en-CA"/>
        </w:rPr>
        <w:t xml:space="preserve"> </w:t>
      </w:r>
      <w:r w:rsidRPr="000A0EA1">
        <w:rPr>
          <w:i/>
          <w:iCs/>
          <w:sz w:val="22"/>
          <w:szCs w:val="22"/>
          <w:lang w:val="en-CA"/>
        </w:rPr>
        <w:t xml:space="preserve">la </w:t>
      </w:r>
      <w:proofErr w:type="spellStart"/>
      <w:r w:rsidRPr="000A0EA1">
        <w:rPr>
          <w:i/>
          <w:iCs/>
          <w:sz w:val="22"/>
          <w:szCs w:val="22"/>
          <w:lang w:val="en-CA"/>
        </w:rPr>
        <w:t>persévérance</w:t>
      </w:r>
      <w:proofErr w:type="spellEnd"/>
      <w:r w:rsidR="00E46AFD">
        <w:rPr>
          <w:i/>
          <w:iCs/>
          <w:sz w:val="22"/>
          <w:szCs w:val="22"/>
          <w:lang w:val="en-CA"/>
        </w:rPr>
        <w:t>”</w:t>
      </w:r>
      <w:r w:rsidRPr="000A0EA1">
        <w:rPr>
          <w:i/>
          <w:iCs/>
          <w:sz w:val="22"/>
          <w:szCs w:val="22"/>
          <w:lang w:val="en-CA"/>
        </w:rPr>
        <w:t>)</w:t>
      </w:r>
      <w:r w:rsidRPr="000A0EA1">
        <w:rPr>
          <w:sz w:val="22"/>
          <w:szCs w:val="22"/>
          <w:lang w:val="en-CA"/>
        </w:rPr>
        <w:t xml:space="preserve"> [</w:t>
      </w:r>
      <w:r w:rsidR="00F16205" w:rsidRPr="00F16205">
        <w:rPr>
          <w:smallCaps/>
          <w:sz w:val="22"/>
          <w:szCs w:val="22"/>
          <w:lang w:val="en-CA"/>
        </w:rPr>
        <w:t>translation</w:t>
      </w:r>
      <w:r w:rsidRPr="000A0EA1">
        <w:rPr>
          <w:sz w:val="22"/>
          <w:szCs w:val="22"/>
          <w:lang w:val="en-CA"/>
        </w:rPr>
        <w:t>: Supporting perseverance],</w:t>
      </w:r>
      <w:r w:rsidRPr="000A0EA1">
        <w:rPr>
          <w:i/>
          <w:iCs/>
          <w:sz w:val="22"/>
          <w:szCs w:val="22"/>
          <w:lang w:val="en-CA"/>
        </w:rPr>
        <w:t xml:space="preserve"> </w:t>
      </w:r>
      <w:r w:rsidRPr="000A0EA1">
        <w:rPr>
          <w:sz w:val="22"/>
          <w:szCs w:val="22"/>
          <w:lang w:val="en-CA"/>
        </w:rPr>
        <w:t>all of which are themselves protected or dedicated measures, as appears from exhibit LN-5 (see pp 70-85):</w:t>
      </w:r>
    </w:p>
    <w:p w14:paraId="17F5F38B" w14:textId="58157EAD" w:rsidR="00F75613" w:rsidRPr="000A0EA1" w:rsidRDefault="00B02E00" w:rsidP="00B255B8">
      <w:pPr>
        <w:autoSpaceDE w:val="0"/>
        <w:autoSpaceDN w:val="0"/>
        <w:adjustRightInd w:val="0"/>
        <w:spacing w:before="120" w:after="120" w:line="240" w:lineRule="auto"/>
        <w:ind w:left="1440" w:right="720"/>
        <w:jc w:val="both"/>
        <w:rPr>
          <w:rFonts w:cs="Arial"/>
          <w:sz w:val="22"/>
          <w:szCs w:val="22"/>
          <w:lang w:val="en-CA" w:eastAsia="fr-CA"/>
        </w:rPr>
      </w:pPr>
      <w:r w:rsidRPr="000A0EA1">
        <w:rPr>
          <w:rFonts w:cs="Arial"/>
          <w:sz w:val="22"/>
          <w:szCs w:val="22"/>
          <w:lang w:val="en-CA" w:eastAsia="fr-CA"/>
        </w:rPr>
        <w:lastRenderedPageBreak/>
        <w:t xml:space="preserve">15021 - </w:t>
      </w:r>
      <w:proofErr w:type="spellStart"/>
      <w:r w:rsidRPr="000A0EA1">
        <w:rPr>
          <w:rFonts w:cs="Arial"/>
          <w:i/>
          <w:iCs/>
          <w:sz w:val="22"/>
          <w:szCs w:val="22"/>
          <w:lang w:val="en-CA" w:eastAsia="fr-CA"/>
        </w:rPr>
        <w:t>Soutien</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additionnel</w:t>
      </w:r>
      <w:proofErr w:type="spellEnd"/>
      <w:r w:rsidRPr="000A0EA1">
        <w:rPr>
          <w:rFonts w:cs="Arial"/>
          <w:i/>
          <w:iCs/>
          <w:sz w:val="22"/>
          <w:szCs w:val="22"/>
          <w:lang w:val="en-CA" w:eastAsia="fr-CA"/>
        </w:rPr>
        <w:t xml:space="preserve"> à</w:t>
      </w:r>
      <w:r w:rsidRPr="000A0EA1">
        <w:rPr>
          <w:rFonts w:cs="Arial"/>
          <w:sz w:val="22"/>
          <w:szCs w:val="22"/>
          <w:lang w:val="en-CA" w:eastAsia="fr-CA"/>
        </w:rPr>
        <w:t xml:space="preserve"> </w:t>
      </w:r>
      <w:r w:rsidRPr="000A0EA1">
        <w:rPr>
          <w:rFonts w:cs="Arial"/>
          <w:i/>
          <w:iCs/>
          <w:sz w:val="22"/>
          <w:szCs w:val="22"/>
          <w:lang w:val="en-CA" w:eastAsia="fr-CA"/>
        </w:rPr>
        <w:t xml:space="preserve">la consolidation des </w:t>
      </w:r>
      <w:proofErr w:type="spellStart"/>
      <w:r w:rsidRPr="000A0EA1">
        <w:rPr>
          <w:rFonts w:cs="Arial"/>
          <w:i/>
          <w:iCs/>
          <w:sz w:val="22"/>
          <w:szCs w:val="22"/>
          <w:lang w:val="en-CA" w:eastAsia="fr-CA"/>
        </w:rPr>
        <w:t>apprentissages</w:t>
      </w:r>
      <w:proofErr w:type="spellEnd"/>
      <w:r w:rsidRPr="000A0EA1">
        <w:rPr>
          <w:rFonts w:cs="Arial"/>
          <w:i/>
          <w:iCs/>
          <w:sz w:val="22"/>
          <w:szCs w:val="22"/>
          <w:lang w:val="en-CA" w:eastAsia="fr-CA"/>
        </w:rPr>
        <w:t xml:space="preserve"> et à</w:t>
      </w:r>
      <w:r w:rsidRPr="000A0EA1">
        <w:rPr>
          <w:rFonts w:cs="Arial"/>
          <w:sz w:val="22"/>
          <w:szCs w:val="22"/>
          <w:lang w:val="en-CA" w:eastAsia="fr-CA"/>
        </w:rPr>
        <w:t xml:space="preserve"> </w:t>
      </w:r>
      <w:proofErr w:type="spellStart"/>
      <w:r w:rsidRPr="000A0EA1">
        <w:rPr>
          <w:rFonts w:cs="Arial"/>
          <w:i/>
          <w:iCs/>
          <w:sz w:val="22"/>
          <w:szCs w:val="22"/>
          <w:lang w:val="en-CA" w:eastAsia="fr-CA"/>
        </w:rPr>
        <w:t>l</w:t>
      </w:r>
      <w:r w:rsidR="00E46AFD">
        <w:rPr>
          <w:rFonts w:cs="Arial"/>
          <w:i/>
          <w:iCs/>
          <w:sz w:val="22"/>
          <w:szCs w:val="22"/>
          <w:lang w:val="en-CA" w:eastAsia="fr-CA"/>
        </w:rPr>
        <w:t>’</w:t>
      </w:r>
      <w:r w:rsidRPr="000A0EA1">
        <w:rPr>
          <w:rFonts w:cs="Arial"/>
          <w:i/>
          <w:iCs/>
          <w:sz w:val="22"/>
          <w:szCs w:val="22"/>
          <w:lang w:val="en-CA" w:eastAsia="fr-CA"/>
        </w:rPr>
        <w:t>engagement</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scolaire</w:t>
      </w:r>
      <w:proofErr w:type="spellEnd"/>
      <w:r w:rsidRPr="000A0EA1">
        <w:rPr>
          <w:rFonts w:cs="Arial"/>
          <w:i/>
          <w:iCs/>
          <w:sz w:val="22"/>
          <w:szCs w:val="22"/>
          <w:lang w:val="en-CA" w:eastAsia="fr-CA"/>
        </w:rPr>
        <w:t xml:space="preserve"> des </w:t>
      </w:r>
      <w:proofErr w:type="spellStart"/>
      <w:r w:rsidRPr="000A0EA1">
        <w:rPr>
          <w:rFonts w:cs="Arial"/>
          <w:i/>
          <w:iCs/>
          <w:sz w:val="22"/>
          <w:szCs w:val="22"/>
          <w:lang w:val="en-CA" w:eastAsia="fr-CA"/>
        </w:rPr>
        <w:t>élèves</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en</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contexte</w:t>
      </w:r>
      <w:proofErr w:type="spellEnd"/>
      <w:r w:rsidRPr="000A0EA1">
        <w:rPr>
          <w:rFonts w:cs="Arial"/>
          <w:i/>
          <w:iCs/>
          <w:sz w:val="22"/>
          <w:szCs w:val="22"/>
          <w:lang w:val="en-CA" w:eastAsia="fr-CA"/>
        </w:rPr>
        <w:t xml:space="preserve"> COVID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Additional support for consolidating learning and engaging students in school in a COVID context] (dedicated measure);</w:t>
      </w:r>
    </w:p>
    <w:p w14:paraId="17F5F38C" w14:textId="43EE5D72" w:rsidR="00F75613" w:rsidRPr="000A0EA1" w:rsidRDefault="00B02E00" w:rsidP="00B255B8">
      <w:pPr>
        <w:autoSpaceDE w:val="0"/>
        <w:autoSpaceDN w:val="0"/>
        <w:adjustRightInd w:val="0"/>
        <w:spacing w:before="120" w:after="120" w:line="240" w:lineRule="auto"/>
        <w:ind w:left="1440" w:right="720"/>
        <w:jc w:val="both"/>
        <w:rPr>
          <w:rFonts w:cs="Arial"/>
          <w:sz w:val="22"/>
          <w:szCs w:val="22"/>
          <w:lang w:val="en-CA" w:eastAsia="fr-CA"/>
        </w:rPr>
      </w:pPr>
      <w:r w:rsidRPr="000A0EA1">
        <w:rPr>
          <w:rFonts w:cs="Arial"/>
          <w:sz w:val="22"/>
          <w:szCs w:val="22"/>
          <w:lang w:val="en-CA" w:eastAsia="fr-CA"/>
        </w:rPr>
        <w:t xml:space="preserve">15024 - </w:t>
      </w:r>
      <w:r w:rsidRPr="000A0EA1">
        <w:rPr>
          <w:rFonts w:cs="Arial"/>
          <w:i/>
          <w:iCs/>
          <w:sz w:val="22"/>
          <w:szCs w:val="22"/>
          <w:lang w:val="en-CA" w:eastAsia="fr-CA"/>
        </w:rPr>
        <w:t xml:space="preserve">Aide aux parents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Assistance to parents] (dedicated measure);</w:t>
      </w:r>
    </w:p>
    <w:p w14:paraId="17F5F38D" w14:textId="4A22DBFE" w:rsidR="00F75613" w:rsidRPr="00406B00" w:rsidRDefault="00B02E00" w:rsidP="00B255B8">
      <w:pPr>
        <w:autoSpaceDE w:val="0"/>
        <w:autoSpaceDN w:val="0"/>
        <w:adjustRightInd w:val="0"/>
        <w:spacing w:before="120" w:after="120" w:line="240" w:lineRule="auto"/>
        <w:ind w:left="1440" w:right="720"/>
        <w:jc w:val="both"/>
        <w:rPr>
          <w:rFonts w:cs="Arial"/>
          <w:sz w:val="22"/>
          <w:szCs w:val="22"/>
          <w:lang w:eastAsia="fr-CA"/>
        </w:rPr>
      </w:pPr>
      <w:r w:rsidRPr="00406B00">
        <w:rPr>
          <w:rFonts w:cs="Arial"/>
          <w:sz w:val="22"/>
          <w:szCs w:val="22"/>
          <w:lang w:eastAsia="fr-CA"/>
        </w:rPr>
        <w:t xml:space="preserve">15025 </w:t>
      </w:r>
      <w:r w:rsidR="00406B00">
        <w:rPr>
          <w:rFonts w:cs="Arial"/>
          <w:sz w:val="22"/>
          <w:szCs w:val="22"/>
          <w:lang w:eastAsia="fr-CA"/>
        </w:rPr>
        <w:t>–</w:t>
      </w:r>
      <w:r w:rsidRPr="00406B00">
        <w:rPr>
          <w:rFonts w:cs="Arial"/>
          <w:sz w:val="22"/>
          <w:szCs w:val="22"/>
          <w:lang w:eastAsia="fr-CA"/>
        </w:rPr>
        <w:t xml:space="preserve"> </w:t>
      </w:r>
      <w:r w:rsidRPr="00406B00">
        <w:rPr>
          <w:rFonts w:cs="Arial"/>
          <w:i/>
          <w:iCs/>
          <w:sz w:val="22"/>
          <w:szCs w:val="22"/>
          <w:lang w:eastAsia="fr-CA"/>
        </w:rPr>
        <w:t xml:space="preserve">Seuil minimal de services pour les écoles </w:t>
      </w:r>
      <w:r w:rsidRPr="00406B00">
        <w:rPr>
          <w:rFonts w:cs="Arial"/>
          <w:sz w:val="22"/>
          <w:szCs w:val="22"/>
          <w:lang w:eastAsia="fr-CA"/>
        </w:rPr>
        <w:t>[</w:t>
      </w:r>
      <w:r w:rsidR="00F16205" w:rsidRPr="00406B00">
        <w:rPr>
          <w:rFonts w:cs="Arial"/>
          <w:smallCaps/>
          <w:sz w:val="22"/>
          <w:szCs w:val="22"/>
          <w:lang w:eastAsia="fr-CA"/>
        </w:rPr>
        <w:t>translation</w:t>
      </w:r>
      <w:r w:rsidRPr="00406B00">
        <w:rPr>
          <w:rFonts w:cs="Arial"/>
          <w:sz w:val="22"/>
          <w:szCs w:val="22"/>
          <w:lang w:eastAsia="fr-CA"/>
        </w:rPr>
        <w:t>:</w:t>
      </w:r>
      <w:r w:rsidR="0051064F" w:rsidRPr="00406B00">
        <w:rPr>
          <w:rFonts w:cs="Arial"/>
          <w:sz w:val="22"/>
          <w:szCs w:val="22"/>
          <w:lang w:eastAsia="fr-CA"/>
        </w:rPr>
        <w:t> </w:t>
      </w:r>
      <w:r w:rsidRPr="00406B00">
        <w:rPr>
          <w:rFonts w:cs="Arial"/>
          <w:sz w:val="22"/>
          <w:szCs w:val="22"/>
          <w:lang w:eastAsia="fr-CA"/>
        </w:rPr>
        <w:t xml:space="preserve">Minimum service </w:t>
      </w:r>
      <w:proofErr w:type="spellStart"/>
      <w:r w:rsidRPr="00406B00">
        <w:rPr>
          <w:rFonts w:cs="Arial"/>
          <w:sz w:val="22"/>
          <w:szCs w:val="22"/>
          <w:lang w:eastAsia="fr-CA"/>
        </w:rPr>
        <w:t>threshold</w:t>
      </w:r>
      <w:proofErr w:type="spellEnd"/>
      <w:r w:rsidRPr="00406B00">
        <w:rPr>
          <w:rFonts w:cs="Arial"/>
          <w:sz w:val="22"/>
          <w:szCs w:val="22"/>
          <w:lang w:eastAsia="fr-CA"/>
        </w:rPr>
        <w:t xml:space="preserve"> for </w:t>
      </w:r>
      <w:proofErr w:type="spellStart"/>
      <w:r w:rsidRPr="00406B00">
        <w:rPr>
          <w:rFonts w:cs="Arial"/>
          <w:sz w:val="22"/>
          <w:szCs w:val="22"/>
          <w:lang w:eastAsia="fr-CA"/>
        </w:rPr>
        <w:t>schools</w:t>
      </w:r>
      <w:proofErr w:type="spellEnd"/>
      <w:r w:rsidRPr="00406B00">
        <w:rPr>
          <w:rFonts w:cs="Arial"/>
          <w:sz w:val="22"/>
          <w:szCs w:val="22"/>
          <w:lang w:eastAsia="fr-CA"/>
        </w:rPr>
        <w:t xml:space="preserve">] </w:t>
      </w:r>
      <w:proofErr w:type="spellStart"/>
      <w:r w:rsidRPr="00406B00">
        <w:rPr>
          <w:rFonts w:cs="Arial"/>
          <w:sz w:val="22"/>
          <w:szCs w:val="22"/>
          <w:lang w:eastAsia="fr-CA"/>
        </w:rPr>
        <w:t>dedicated</w:t>
      </w:r>
      <w:proofErr w:type="spellEnd"/>
      <w:r w:rsidRPr="00406B00">
        <w:rPr>
          <w:rFonts w:cs="Arial"/>
          <w:sz w:val="22"/>
          <w:szCs w:val="22"/>
          <w:lang w:eastAsia="fr-CA"/>
        </w:rPr>
        <w:t xml:space="preserve"> </w:t>
      </w:r>
      <w:proofErr w:type="spellStart"/>
      <w:r w:rsidRPr="00406B00">
        <w:rPr>
          <w:rFonts w:cs="Arial"/>
          <w:sz w:val="22"/>
          <w:szCs w:val="22"/>
          <w:lang w:eastAsia="fr-CA"/>
        </w:rPr>
        <w:t>measure</w:t>
      </w:r>
      <w:proofErr w:type="spellEnd"/>
      <w:r w:rsidRPr="00406B00">
        <w:rPr>
          <w:rFonts w:cs="Arial"/>
          <w:sz w:val="22"/>
          <w:szCs w:val="22"/>
          <w:lang w:eastAsia="fr-CA"/>
        </w:rPr>
        <w:t>);</w:t>
      </w:r>
    </w:p>
    <w:p w14:paraId="7E7D3B58" w14:textId="5FE09026" w:rsidR="00406B00" w:rsidRPr="00406B00" w:rsidRDefault="00B02E00" w:rsidP="00406B00">
      <w:pPr>
        <w:autoSpaceDE w:val="0"/>
        <w:autoSpaceDN w:val="0"/>
        <w:adjustRightInd w:val="0"/>
        <w:spacing w:line="240" w:lineRule="auto"/>
        <w:ind w:left="1440" w:right="720"/>
        <w:jc w:val="both"/>
        <w:rPr>
          <w:rFonts w:cs="Arial"/>
          <w:i/>
          <w:iCs/>
          <w:sz w:val="22"/>
          <w:szCs w:val="22"/>
          <w:lang w:eastAsia="fr-CA"/>
        </w:rPr>
      </w:pPr>
      <w:r w:rsidRPr="00406B00">
        <w:rPr>
          <w:rFonts w:cs="Arial"/>
          <w:sz w:val="22"/>
          <w:szCs w:val="22"/>
          <w:lang w:eastAsia="fr-CA"/>
        </w:rPr>
        <w:t>15026</w:t>
      </w:r>
      <w:r w:rsidR="00406B00" w:rsidRPr="00406B00">
        <w:rPr>
          <w:rFonts w:cs="Arial"/>
          <w:sz w:val="22"/>
          <w:szCs w:val="22"/>
          <w:lang w:eastAsia="fr-CA"/>
        </w:rPr>
        <w:t>–- </w:t>
      </w:r>
      <w:r w:rsidRPr="00406B00">
        <w:rPr>
          <w:rFonts w:cs="Arial"/>
          <w:i/>
          <w:iCs/>
          <w:sz w:val="22"/>
          <w:szCs w:val="22"/>
          <w:lang w:eastAsia="fr-CA"/>
        </w:rPr>
        <w:t>Ajout</w:t>
      </w:r>
      <w:r w:rsidR="00406B00" w:rsidRPr="00406B00">
        <w:rPr>
          <w:rFonts w:cs="Arial"/>
          <w:i/>
          <w:iCs/>
          <w:sz w:val="22"/>
          <w:szCs w:val="22"/>
          <w:lang w:eastAsia="fr-CA"/>
        </w:rPr>
        <w:t> </w:t>
      </w:r>
      <w:r w:rsidRPr="00406B00">
        <w:rPr>
          <w:rFonts w:cs="Arial"/>
          <w:i/>
          <w:iCs/>
          <w:sz w:val="22"/>
          <w:szCs w:val="22"/>
          <w:lang w:eastAsia="fr-CA"/>
        </w:rPr>
        <w:t>d</w:t>
      </w:r>
      <w:r w:rsidR="00E46AFD" w:rsidRPr="00406B00">
        <w:rPr>
          <w:rFonts w:cs="Arial"/>
          <w:i/>
          <w:iCs/>
          <w:sz w:val="22"/>
          <w:szCs w:val="22"/>
          <w:lang w:eastAsia="fr-CA"/>
        </w:rPr>
        <w:t>’</w:t>
      </w:r>
      <w:r w:rsidRPr="00406B00">
        <w:rPr>
          <w:rFonts w:cs="Arial"/>
          <w:i/>
          <w:iCs/>
          <w:sz w:val="22"/>
          <w:szCs w:val="22"/>
          <w:lang w:eastAsia="fr-CA"/>
        </w:rPr>
        <w:t>enseignants</w:t>
      </w:r>
      <w:r w:rsidR="00406B00" w:rsidRPr="00406B00">
        <w:rPr>
          <w:rFonts w:cs="Arial"/>
          <w:i/>
          <w:iCs/>
          <w:sz w:val="22"/>
          <w:szCs w:val="22"/>
          <w:lang w:eastAsia="fr-CA"/>
        </w:rPr>
        <w:t> </w:t>
      </w:r>
      <w:r w:rsidRPr="00406B00">
        <w:rPr>
          <w:rFonts w:cs="Arial"/>
          <w:i/>
          <w:iCs/>
          <w:sz w:val="22"/>
          <w:szCs w:val="22"/>
          <w:lang w:eastAsia="fr-CA"/>
        </w:rPr>
        <w:t>spécialistes</w:t>
      </w:r>
      <w:r w:rsidR="00406B00" w:rsidRPr="00406B00">
        <w:rPr>
          <w:rFonts w:cs="Arial"/>
          <w:i/>
          <w:iCs/>
          <w:sz w:val="22"/>
          <w:szCs w:val="22"/>
          <w:lang w:eastAsia="fr-CA"/>
        </w:rPr>
        <w:t> </w:t>
      </w:r>
      <w:r w:rsidRPr="00406B00">
        <w:rPr>
          <w:rFonts w:cs="Arial"/>
          <w:i/>
          <w:iCs/>
          <w:sz w:val="22"/>
          <w:szCs w:val="22"/>
          <w:lang w:eastAsia="fr-CA"/>
        </w:rPr>
        <w:t>au</w:t>
      </w:r>
      <w:r w:rsidR="00406B00" w:rsidRPr="00406B00">
        <w:rPr>
          <w:rFonts w:cs="Arial"/>
          <w:i/>
          <w:iCs/>
          <w:sz w:val="22"/>
          <w:szCs w:val="22"/>
          <w:lang w:eastAsia="fr-CA"/>
        </w:rPr>
        <w:t> </w:t>
      </w:r>
      <w:r w:rsidRPr="00406B00">
        <w:rPr>
          <w:rFonts w:cs="Arial"/>
          <w:i/>
          <w:iCs/>
          <w:sz w:val="22"/>
          <w:szCs w:val="22"/>
          <w:lang w:eastAsia="fr-CA"/>
        </w:rPr>
        <w:t>préscolaire</w:t>
      </w:r>
    </w:p>
    <w:p w14:paraId="17F5F38E" w14:textId="7CD0F0FD" w:rsidR="00F75613" w:rsidRPr="000A0EA1" w:rsidRDefault="00B02E00" w:rsidP="00406B00">
      <w:pPr>
        <w:autoSpaceDE w:val="0"/>
        <w:autoSpaceDN w:val="0"/>
        <w:adjustRightInd w:val="0"/>
        <w:spacing w:line="240" w:lineRule="auto"/>
        <w:ind w:left="1440" w:right="720"/>
        <w:jc w:val="both"/>
        <w:rPr>
          <w:rFonts w:cs="Arial"/>
          <w:sz w:val="22"/>
          <w:szCs w:val="22"/>
          <w:lang w:val="en-CA" w:eastAsia="fr-CA"/>
        </w:rPr>
      </w:pP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Adding specialized preschool teachers]</w:t>
      </w:r>
      <w:r w:rsidR="00406B00">
        <w:rPr>
          <w:rFonts w:cs="Arial"/>
          <w:sz w:val="22"/>
          <w:szCs w:val="22"/>
          <w:lang w:val="en-CA" w:eastAsia="fr-CA"/>
        </w:rPr>
        <w:t> </w:t>
      </w:r>
      <w:r w:rsidRPr="000A0EA1">
        <w:rPr>
          <w:rFonts w:cs="Arial"/>
          <w:sz w:val="22"/>
          <w:szCs w:val="22"/>
          <w:lang w:val="en-CA" w:eastAsia="fr-CA"/>
        </w:rPr>
        <w:t>(protected measure);</w:t>
      </w:r>
    </w:p>
    <w:p w14:paraId="17F5F38F" w14:textId="337E369B" w:rsidR="00F75613" w:rsidRPr="000A0EA1" w:rsidRDefault="00B02E00" w:rsidP="00B255B8">
      <w:pPr>
        <w:autoSpaceDE w:val="0"/>
        <w:autoSpaceDN w:val="0"/>
        <w:adjustRightInd w:val="0"/>
        <w:spacing w:before="120" w:after="120" w:line="240" w:lineRule="auto"/>
        <w:ind w:left="1440" w:right="720"/>
        <w:jc w:val="both"/>
        <w:rPr>
          <w:rFonts w:cs="Arial"/>
          <w:sz w:val="22"/>
          <w:szCs w:val="22"/>
          <w:lang w:val="en-CA" w:eastAsia="fr-CA"/>
        </w:rPr>
      </w:pPr>
      <w:r w:rsidRPr="000A0EA1">
        <w:rPr>
          <w:rFonts w:cs="Arial"/>
          <w:sz w:val="22"/>
          <w:szCs w:val="22"/>
          <w:lang w:val="en-CA" w:eastAsia="fr-CA"/>
        </w:rPr>
        <w:t>15027</w:t>
      </w:r>
      <w:r w:rsidR="00406B00">
        <w:rPr>
          <w:rFonts w:cs="Arial"/>
          <w:sz w:val="22"/>
          <w:szCs w:val="22"/>
          <w:lang w:val="en-CA" w:eastAsia="fr-CA"/>
        </w:rPr>
        <w:t> – </w:t>
      </w:r>
      <w:proofErr w:type="spellStart"/>
      <w:r w:rsidRPr="000A0EA1">
        <w:rPr>
          <w:rFonts w:cs="Arial"/>
          <w:i/>
          <w:iCs/>
          <w:sz w:val="22"/>
          <w:szCs w:val="22"/>
          <w:lang w:val="en-CA" w:eastAsia="fr-CA"/>
        </w:rPr>
        <w:t>Soutien</w:t>
      </w:r>
      <w:proofErr w:type="spellEnd"/>
      <w:r w:rsidRPr="000A0EA1">
        <w:rPr>
          <w:rFonts w:cs="Arial"/>
          <w:i/>
          <w:iCs/>
          <w:sz w:val="22"/>
          <w:szCs w:val="22"/>
          <w:lang w:val="en-CA" w:eastAsia="fr-CA"/>
        </w:rPr>
        <w:t xml:space="preserve"> à</w:t>
      </w:r>
      <w:r w:rsidRPr="000A0EA1">
        <w:rPr>
          <w:rFonts w:cs="Arial"/>
          <w:sz w:val="22"/>
          <w:szCs w:val="22"/>
          <w:lang w:val="en-CA" w:eastAsia="fr-CA"/>
        </w:rPr>
        <w:t xml:space="preserve"> </w:t>
      </w:r>
      <w:r w:rsidRPr="000A0EA1">
        <w:rPr>
          <w:rFonts w:cs="Arial"/>
          <w:i/>
          <w:iCs/>
          <w:sz w:val="22"/>
          <w:szCs w:val="22"/>
          <w:lang w:val="en-CA" w:eastAsia="fr-CA"/>
        </w:rPr>
        <w:t xml:space="preserve">la </w:t>
      </w:r>
      <w:proofErr w:type="spellStart"/>
      <w:r w:rsidRPr="000A0EA1">
        <w:rPr>
          <w:rFonts w:cs="Arial"/>
          <w:i/>
          <w:iCs/>
          <w:sz w:val="22"/>
          <w:szCs w:val="22"/>
          <w:lang w:val="en-CA" w:eastAsia="fr-CA"/>
        </w:rPr>
        <w:t>réussite</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éducative</w:t>
      </w:r>
      <w:proofErr w:type="spellEnd"/>
      <w:r w:rsidRPr="000A0EA1">
        <w:rPr>
          <w:rFonts w:cs="Arial"/>
          <w:i/>
          <w:iCs/>
          <w:sz w:val="22"/>
          <w:szCs w:val="22"/>
          <w:lang w:val="en-CA" w:eastAsia="fr-CA"/>
        </w:rPr>
        <w:t xml:space="preserve"> des </w:t>
      </w:r>
      <w:proofErr w:type="spellStart"/>
      <w:r w:rsidRPr="000A0EA1">
        <w:rPr>
          <w:rFonts w:cs="Arial"/>
          <w:i/>
          <w:iCs/>
          <w:sz w:val="22"/>
          <w:szCs w:val="22"/>
          <w:lang w:val="en-CA" w:eastAsia="fr-CA"/>
        </w:rPr>
        <w:t>élèves</w:t>
      </w:r>
      <w:proofErr w:type="spellEnd"/>
      <w:r w:rsidRPr="000A0EA1">
        <w:rPr>
          <w:rFonts w:cs="Arial"/>
          <w:i/>
          <w:iCs/>
          <w:sz w:val="22"/>
          <w:szCs w:val="22"/>
          <w:lang w:val="en-CA" w:eastAsia="fr-CA"/>
        </w:rPr>
        <w:t xml:space="preserve"> </w:t>
      </w:r>
      <w:proofErr w:type="spellStart"/>
      <w:r w:rsidRPr="000A0EA1">
        <w:rPr>
          <w:rFonts w:cs="Arial"/>
          <w:i/>
          <w:iCs/>
          <w:sz w:val="22"/>
          <w:szCs w:val="22"/>
          <w:lang w:val="en-CA" w:eastAsia="fr-CA"/>
        </w:rPr>
        <w:t>doués</w:t>
      </w:r>
      <w:proofErr w:type="spellEnd"/>
      <w:r w:rsidRPr="000A0EA1">
        <w:rPr>
          <w:rFonts w:cs="Arial"/>
          <w:i/>
          <w:iCs/>
          <w:sz w:val="22"/>
          <w:szCs w:val="22"/>
          <w:lang w:val="en-CA" w:eastAsia="fr-CA"/>
        </w:rPr>
        <w:t xml:space="preserve">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Support for the educational success of gifted students] (protected measure);</w:t>
      </w:r>
    </w:p>
    <w:p w14:paraId="17F5F390" w14:textId="546AE622" w:rsidR="00F75613" w:rsidRPr="000A0EA1" w:rsidRDefault="00B02E00" w:rsidP="00B255B8">
      <w:pPr>
        <w:autoSpaceDE w:val="0"/>
        <w:autoSpaceDN w:val="0"/>
        <w:adjustRightInd w:val="0"/>
        <w:spacing w:before="120" w:after="120" w:line="240" w:lineRule="auto"/>
        <w:ind w:left="1440" w:right="720"/>
        <w:jc w:val="both"/>
        <w:rPr>
          <w:rFonts w:cs="Arial"/>
          <w:sz w:val="22"/>
          <w:szCs w:val="22"/>
          <w:lang w:val="en-CA" w:eastAsia="fr-CA"/>
        </w:rPr>
      </w:pPr>
      <w:r w:rsidRPr="000A0EA1">
        <w:rPr>
          <w:rFonts w:cs="Arial"/>
          <w:sz w:val="22"/>
          <w:szCs w:val="22"/>
          <w:lang w:val="en-CA" w:eastAsia="fr-CA"/>
        </w:rPr>
        <w:t>15028</w:t>
      </w:r>
      <w:r w:rsidR="00406B00">
        <w:rPr>
          <w:rFonts w:cs="Arial"/>
          <w:sz w:val="22"/>
          <w:szCs w:val="22"/>
          <w:lang w:val="en-CA" w:eastAsia="fr-CA"/>
        </w:rPr>
        <w:t> </w:t>
      </w:r>
      <w:r w:rsidR="00406B00">
        <w:rPr>
          <w:rFonts w:cs="Arial"/>
          <w:i/>
          <w:iCs/>
          <w:sz w:val="22"/>
          <w:szCs w:val="22"/>
          <w:lang w:val="en-CA" w:eastAsia="fr-CA"/>
        </w:rPr>
        <w:t>– </w:t>
      </w:r>
      <w:proofErr w:type="spellStart"/>
      <w:r w:rsidRPr="000A0EA1">
        <w:rPr>
          <w:rFonts w:cs="Arial"/>
          <w:i/>
          <w:iCs/>
          <w:sz w:val="22"/>
          <w:szCs w:val="22"/>
          <w:lang w:val="en-CA" w:eastAsia="fr-CA"/>
        </w:rPr>
        <w:t>Activités</w:t>
      </w:r>
      <w:proofErr w:type="spellEnd"/>
      <w:r w:rsidR="00406B00">
        <w:rPr>
          <w:rFonts w:cs="Arial"/>
          <w:i/>
          <w:iCs/>
          <w:sz w:val="22"/>
          <w:szCs w:val="22"/>
          <w:lang w:val="en-CA" w:eastAsia="fr-CA"/>
        </w:rPr>
        <w:t> </w:t>
      </w:r>
      <w:proofErr w:type="spellStart"/>
      <w:r w:rsidRPr="000A0EA1">
        <w:rPr>
          <w:rFonts w:cs="Arial"/>
          <w:i/>
          <w:iCs/>
          <w:sz w:val="22"/>
          <w:szCs w:val="22"/>
          <w:lang w:val="en-CA" w:eastAsia="fr-CA"/>
        </w:rPr>
        <w:t>parascolaires</w:t>
      </w:r>
      <w:proofErr w:type="spellEnd"/>
      <w:r w:rsidR="00406B00">
        <w:rPr>
          <w:rFonts w:cs="Arial"/>
          <w:i/>
          <w:iCs/>
          <w:sz w:val="22"/>
          <w:szCs w:val="22"/>
          <w:lang w:val="en-CA" w:eastAsia="fr-CA"/>
        </w:rPr>
        <w:t> </w:t>
      </w:r>
      <w:r w:rsidRPr="000A0EA1">
        <w:rPr>
          <w:rFonts w:cs="Arial"/>
          <w:i/>
          <w:iCs/>
          <w:sz w:val="22"/>
          <w:szCs w:val="22"/>
          <w:lang w:val="en-CA" w:eastAsia="fr-CA"/>
        </w:rPr>
        <w:t>au</w:t>
      </w:r>
      <w:r w:rsidR="00406B00">
        <w:rPr>
          <w:rFonts w:cs="Arial"/>
          <w:i/>
          <w:iCs/>
          <w:sz w:val="22"/>
          <w:szCs w:val="22"/>
          <w:lang w:val="en-CA" w:eastAsia="fr-CA"/>
        </w:rPr>
        <w:t> </w:t>
      </w:r>
      <w:proofErr w:type="spellStart"/>
      <w:r w:rsidRPr="000A0EA1">
        <w:rPr>
          <w:rFonts w:cs="Arial"/>
          <w:i/>
          <w:iCs/>
          <w:sz w:val="22"/>
          <w:szCs w:val="22"/>
          <w:lang w:val="en-CA" w:eastAsia="fr-CA"/>
        </w:rPr>
        <w:t>secondaire</w:t>
      </w:r>
      <w:proofErr w:type="spellEnd"/>
      <w:r w:rsidRPr="000A0EA1">
        <w:rPr>
          <w:rFonts w:cs="Arial"/>
          <w:i/>
          <w:iCs/>
          <w:sz w:val="22"/>
          <w:szCs w:val="22"/>
          <w:lang w:val="en-CA" w:eastAsia="fr-CA"/>
        </w:rPr>
        <w:t xml:space="preserve">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Extracurricular activities in secondary schools] (dedicated measure);</w:t>
      </w:r>
    </w:p>
    <w:p w14:paraId="17F5F391" w14:textId="30E08C28" w:rsidR="00F75613" w:rsidRPr="000A0EA1" w:rsidRDefault="00B02E00" w:rsidP="00B255B8">
      <w:pPr>
        <w:autoSpaceDE w:val="0"/>
        <w:autoSpaceDN w:val="0"/>
        <w:adjustRightInd w:val="0"/>
        <w:spacing w:before="120" w:after="120" w:line="240" w:lineRule="auto"/>
        <w:ind w:left="1440" w:right="720"/>
        <w:jc w:val="both"/>
        <w:rPr>
          <w:rFonts w:cs="Arial"/>
          <w:sz w:val="22"/>
          <w:szCs w:val="22"/>
          <w:lang w:val="en-CA" w:eastAsia="fr-CA"/>
        </w:rPr>
      </w:pPr>
      <w:r w:rsidRPr="000A0EA1">
        <w:rPr>
          <w:rFonts w:cs="Arial"/>
          <w:sz w:val="22"/>
          <w:szCs w:val="22"/>
          <w:lang w:val="en-CA" w:eastAsia="fr-CA"/>
        </w:rPr>
        <w:t>15029</w:t>
      </w:r>
      <w:r w:rsidR="00406B00">
        <w:rPr>
          <w:rFonts w:cs="Arial"/>
          <w:sz w:val="22"/>
          <w:szCs w:val="22"/>
          <w:lang w:val="en-CA" w:eastAsia="fr-CA"/>
        </w:rPr>
        <w:t> – </w:t>
      </w:r>
      <w:r w:rsidRPr="000A0EA1">
        <w:rPr>
          <w:rFonts w:cs="Arial"/>
          <w:i/>
          <w:iCs/>
          <w:sz w:val="22"/>
          <w:szCs w:val="22"/>
          <w:lang w:val="en-CA" w:eastAsia="fr-CA"/>
        </w:rPr>
        <w:t>Cours</w:t>
      </w:r>
      <w:r w:rsidR="00406B00">
        <w:rPr>
          <w:rFonts w:cs="Arial"/>
          <w:i/>
          <w:iCs/>
          <w:sz w:val="22"/>
          <w:szCs w:val="22"/>
          <w:lang w:val="en-CA" w:eastAsia="fr-CA"/>
        </w:rPr>
        <w:t> </w:t>
      </w:r>
      <w:proofErr w:type="spellStart"/>
      <w:r w:rsidRPr="000A0EA1">
        <w:rPr>
          <w:rFonts w:cs="Arial"/>
          <w:i/>
          <w:iCs/>
          <w:sz w:val="22"/>
          <w:szCs w:val="22"/>
          <w:lang w:val="en-CA" w:eastAsia="fr-CA"/>
        </w:rPr>
        <w:t>d</w:t>
      </w:r>
      <w:r w:rsidR="00E46AFD">
        <w:rPr>
          <w:rFonts w:cs="Arial"/>
          <w:i/>
          <w:iCs/>
          <w:sz w:val="22"/>
          <w:szCs w:val="22"/>
          <w:lang w:val="en-CA" w:eastAsia="fr-CA"/>
        </w:rPr>
        <w:t>’</w:t>
      </w:r>
      <w:r w:rsidRPr="000A0EA1">
        <w:rPr>
          <w:rFonts w:cs="Arial"/>
          <w:i/>
          <w:iCs/>
          <w:sz w:val="22"/>
          <w:szCs w:val="22"/>
          <w:lang w:val="en-CA" w:eastAsia="fr-CA"/>
        </w:rPr>
        <w:t>école</w:t>
      </w:r>
      <w:proofErr w:type="spellEnd"/>
      <w:r w:rsidR="00406B00">
        <w:rPr>
          <w:rFonts w:cs="Arial"/>
          <w:i/>
          <w:iCs/>
          <w:sz w:val="22"/>
          <w:szCs w:val="22"/>
          <w:lang w:val="en-CA" w:eastAsia="fr-CA"/>
        </w:rPr>
        <w:t> </w:t>
      </w:r>
      <w:proofErr w:type="spellStart"/>
      <w:r w:rsidRPr="000A0EA1">
        <w:rPr>
          <w:rFonts w:cs="Arial"/>
          <w:i/>
          <w:iCs/>
          <w:sz w:val="22"/>
          <w:szCs w:val="22"/>
          <w:lang w:val="en-CA" w:eastAsia="fr-CA"/>
        </w:rPr>
        <w:t>vivantes</w:t>
      </w:r>
      <w:proofErr w:type="spellEnd"/>
      <w:r w:rsidRPr="000A0EA1">
        <w:rPr>
          <w:rFonts w:cs="Arial"/>
          <w:i/>
          <w:iCs/>
          <w:sz w:val="22"/>
          <w:szCs w:val="22"/>
          <w:lang w:val="en-CA" w:eastAsia="fr-CA"/>
        </w:rPr>
        <w:t>,</w:t>
      </w:r>
      <w:r w:rsidR="00406B00">
        <w:rPr>
          <w:rFonts w:cs="Arial"/>
          <w:i/>
          <w:iCs/>
          <w:sz w:val="22"/>
          <w:szCs w:val="22"/>
          <w:lang w:val="en-CA" w:eastAsia="fr-CA"/>
        </w:rPr>
        <w:t> </w:t>
      </w:r>
      <w:proofErr w:type="spellStart"/>
      <w:r w:rsidRPr="000A0EA1">
        <w:rPr>
          <w:rFonts w:cs="Arial"/>
          <w:i/>
          <w:iCs/>
          <w:sz w:val="22"/>
          <w:szCs w:val="22"/>
          <w:lang w:val="en-CA" w:eastAsia="fr-CA"/>
        </w:rPr>
        <w:t>animées</w:t>
      </w:r>
      <w:proofErr w:type="spellEnd"/>
      <w:r w:rsidR="00406B00">
        <w:rPr>
          <w:rFonts w:cs="Arial"/>
          <w:i/>
          <w:iCs/>
          <w:sz w:val="22"/>
          <w:szCs w:val="22"/>
          <w:lang w:val="en-CA" w:eastAsia="fr-CA"/>
        </w:rPr>
        <w:t> </w:t>
      </w:r>
      <w:r w:rsidRPr="000A0EA1">
        <w:rPr>
          <w:rFonts w:cs="Arial"/>
          <w:i/>
          <w:iCs/>
          <w:sz w:val="22"/>
          <w:szCs w:val="22"/>
          <w:lang w:val="en-CA" w:eastAsia="fr-CA"/>
        </w:rPr>
        <w:t>et</w:t>
      </w:r>
      <w:r w:rsidR="00406B00">
        <w:rPr>
          <w:rFonts w:cs="Arial"/>
          <w:i/>
          <w:iCs/>
          <w:sz w:val="22"/>
          <w:szCs w:val="22"/>
          <w:lang w:val="en-CA" w:eastAsia="fr-CA"/>
        </w:rPr>
        <w:t> </w:t>
      </w:r>
      <w:proofErr w:type="spellStart"/>
      <w:r w:rsidRPr="000A0EA1">
        <w:rPr>
          <w:rFonts w:cs="Arial"/>
          <w:i/>
          <w:iCs/>
          <w:sz w:val="22"/>
          <w:szCs w:val="22"/>
          <w:lang w:val="en-CA" w:eastAsia="fr-CA"/>
        </w:rPr>
        <w:t>sécuritaires</w:t>
      </w:r>
      <w:proofErr w:type="spellEnd"/>
      <w:r w:rsidRPr="000A0EA1">
        <w:rPr>
          <w:rFonts w:cs="Arial"/>
          <w:i/>
          <w:iCs/>
          <w:sz w:val="22"/>
          <w:szCs w:val="22"/>
          <w:lang w:val="en-CA" w:eastAsia="fr-CA"/>
        </w:rPr>
        <w:t xml:space="preserve"> </w:t>
      </w:r>
      <w:r w:rsidRPr="000A0EA1">
        <w:rPr>
          <w:rFonts w:cs="Arial"/>
          <w:sz w:val="22"/>
          <w:szCs w:val="22"/>
          <w:lang w:val="en-CA" w:eastAsia="fr-CA"/>
        </w:rPr>
        <w:t>[</w:t>
      </w:r>
      <w:r w:rsidR="00F16205" w:rsidRPr="00F16205">
        <w:rPr>
          <w:rFonts w:cs="Arial"/>
          <w:smallCaps/>
          <w:sz w:val="22"/>
          <w:szCs w:val="22"/>
          <w:lang w:val="en-CA" w:eastAsia="fr-CA"/>
        </w:rPr>
        <w:t>translation</w:t>
      </w:r>
      <w:r w:rsidRPr="000A0EA1">
        <w:rPr>
          <w:rFonts w:cs="Arial"/>
          <w:sz w:val="22"/>
          <w:szCs w:val="22"/>
          <w:lang w:val="en-CA" w:eastAsia="fr-CA"/>
        </w:rPr>
        <w:t>:</w:t>
      </w:r>
      <w:r w:rsidR="0051064F">
        <w:rPr>
          <w:rFonts w:cs="Arial"/>
          <w:sz w:val="22"/>
          <w:szCs w:val="22"/>
          <w:lang w:val="en-CA" w:eastAsia="fr-CA"/>
        </w:rPr>
        <w:t> </w:t>
      </w:r>
      <w:r w:rsidRPr="000A0EA1">
        <w:rPr>
          <w:rFonts w:cs="Arial"/>
          <w:sz w:val="22"/>
          <w:szCs w:val="22"/>
          <w:lang w:val="en-CA" w:eastAsia="fr-CA"/>
        </w:rPr>
        <w:t>Vibrant, lively and safe school playgrounds] (protected measure).</w:t>
      </w:r>
    </w:p>
    <w:p w14:paraId="17F5F392" w14:textId="178DEDCA" w:rsidR="00F75613" w:rsidRPr="000A0EA1" w:rsidRDefault="00403CE7" w:rsidP="00406B00">
      <w:pPr>
        <w:autoSpaceDE w:val="0"/>
        <w:autoSpaceDN w:val="0"/>
        <w:adjustRightInd w:val="0"/>
        <w:spacing w:after="120" w:line="240" w:lineRule="auto"/>
        <w:ind w:left="720" w:right="720"/>
        <w:jc w:val="right"/>
        <w:rPr>
          <w:sz w:val="22"/>
          <w:szCs w:val="22"/>
          <w:lang w:val="en-CA"/>
        </w:rPr>
      </w:pPr>
      <w:r>
        <w:rPr>
          <w:sz w:val="22"/>
          <w:szCs w:val="22"/>
          <w:lang w:val="en-CA"/>
        </w:rPr>
        <w:t>(</w:t>
      </w:r>
      <w:r w:rsidR="00B02E00" w:rsidRPr="000A0EA1">
        <w:rPr>
          <w:sz w:val="22"/>
          <w:szCs w:val="22"/>
          <w:lang w:val="en-CA"/>
        </w:rPr>
        <w:t>Boldface omitted</w:t>
      </w:r>
      <w:r>
        <w:rPr>
          <w:sz w:val="22"/>
          <w:szCs w:val="22"/>
          <w:lang w:val="en-CA"/>
        </w:rPr>
        <w:t>)</w:t>
      </w:r>
    </w:p>
    <w:p w14:paraId="17F5F393" w14:textId="5884FB2E" w:rsidR="00F75613" w:rsidRPr="000A0EA1" w:rsidRDefault="00B02E00" w:rsidP="00B255B8">
      <w:pPr>
        <w:pStyle w:val="Paragraphe"/>
        <w:spacing w:line="240" w:lineRule="auto"/>
        <w:rPr>
          <w:lang w:val="en-CA"/>
        </w:rPr>
      </w:pPr>
      <w:r w:rsidRPr="000A0EA1">
        <w:rPr>
          <w:lang w:val="en-CA"/>
        </w:rPr>
        <w:t xml:space="preserve">The evidence further reveals that since the 2016 legislative amendment to </w:t>
      </w:r>
      <w:r w:rsidR="0062160E">
        <w:rPr>
          <w:lang w:val="en-CA"/>
        </w:rPr>
        <w:t>s. 4</w:t>
      </w:r>
      <w:r w:rsidRPr="000A0EA1">
        <w:rPr>
          <w:lang w:val="en-CA"/>
        </w:rPr>
        <w:t xml:space="preserve">73.1 of the </w:t>
      </w:r>
      <w:r w:rsidRPr="000A0EA1">
        <w:rPr>
          <w:i/>
          <w:iCs/>
          <w:lang w:val="en-CA"/>
        </w:rPr>
        <w:t>EA</w:t>
      </w:r>
      <w:r w:rsidRPr="000A0EA1">
        <w:rPr>
          <w:lang w:val="en-CA"/>
        </w:rPr>
        <w:t>, the number of dedicated and protected measures has more than doubled. Indeed, it rose from 14 in the 2016-2017 school year to 37 in the 2020-2021 school year,</w:t>
      </w:r>
      <w:r w:rsidRPr="000A0EA1">
        <w:rPr>
          <w:vertAlign w:val="superscript"/>
          <w:lang w:val="en-CA"/>
        </w:rPr>
        <w:footnoteReference w:id="278"/>
      </w:r>
      <w:r w:rsidRPr="000A0EA1">
        <w:rPr>
          <w:lang w:val="en-CA"/>
        </w:rPr>
        <w:t xml:space="preserve"> thereby increasingly restricting the budgetary flexibility of linguistic minority representatives. The evidence further establishes that unused </w:t>
      </w:r>
      <w:r w:rsidR="00E46AFD">
        <w:rPr>
          <w:lang w:val="en-CA"/>
        </w:rPr>
        <w:t>“</w:t>
      </w:r>
      <w:r w:rsidRPr="000A0EA1">
        <w:rPr>
          <w:lang w:val="en-CA"/>
        </w:rPr>
        <w:t>dedicated</w:t>
      </w:r>
      <w:r w:rsidR="00E46AFD">
        <w:rPr>
          <w:lang w:val="en-CA"/>
        </w:rPr>
        <w:t>”</w:t>
      </w:r>
      <w:r w:rsidRPr="000A0EA1">
        <w:rPr>
          <w:lang w:val="en-CA"/>
        </w:rPr>
        <w:t xml:space="preserve"> and </w:t>
      </w:r>
      <w:r w:rsidR="00E46AFD">
        <w:rPr>
          <w:lang w:val="en-CA"/>
        </w:rPr>
        <w:t>“</w:t>
      </w:r>
      <w:r w:rsidRPr="000A0EA1">
        <w:rPr>
          <w:lang w:val="en-CA"/>
        </w:rPr>
        <w:t>protected</w:t>
      </w:r>
      <w:r w:rsidR="00E46AFD">
        <w:rPr>
          <w:lang w:val="en-CA"/>
        </w:rPr>
        <w:t>”</w:t>
      </w:r>
      <w:r w:rsidRPr="000A0EA1">
        <w:rPr>
          <w:lang w:val="en-CA"/>
        </w:rPr>
        <w:t xml:space="preserve"> amounts are</w:t>
      </w:r>
      <w:r w:rsidR="0095135B" w:rsidRPr="007D51DF">
        <w:rPr>
          <w:rStyle w:val="Marquedecommentaire"/>
          <w:kern w:val="0"/>
          <w:lang w:val="en-CA"/>
        </w:rPr>
        <w:t> </w:t>
      </w:r>
      <w:r w:rsidR="00E46AFD">
        <w:rPr>
          <w:lang w:val="en-CA"/>
        </w:rPr>
        <w:t>“</w:t>
      </w:r>
      <w:r w:rsidRPr="000A0EA1">
        <w:rPr>
          <w:lang w:val="en-CA"/>
        </w:rPr>
        <w:t>lost</w:t>
      </w:r>
      <w:r w:rsidR="00E46AFD">
        <w:rPr>
          <w:lang w:val="en-CA"/>
        </w:rPr>
        <w:t>”</w:t>
      </w:r>
      <w:r w:rsidRPr="000A0EA1">
        <w:rPr>
          <w:lang w:val="en-CA"/>
        </w:rPr>
        <w:t xml:space="preserve"> and cannot be reused for other purposes by a school board.</w:t>
      </w:r>
      <w:r w:rsidRPr="000A0EA1">
        <w:rPr>
          <w:sz w:val="22"/>
          <w:szCs w:val="22"/>
          <w:vertAlign w:val="superscript"/>
          <w:lang w:val="en-CA"/>
        </w:rPr>
        <w:footnoteReference w:id="279"/>
      </w:r>
    </w:p>
    <w:p w14:paraId="17F5F394" w14:textId="3B39631A" w:rsidR="008F364A" w:rsidRDefault="00B02E00" w:rsidP="00B255B8">
      <w:pPr>
        <w:pStyle w:val="Paragraphe"/>
        <w:spacing w:line="240" w:lineRule="auto"/>
        <w:rPr>
          <w:lang w:val="en-CA"/>
        </w:rPr>
      </w:pPr>
      <w:r w:rsidRPr="000A0EA1">
        <w:rPr>
          <w:lang w:val="en-CA"/>
        </w:rPr>
        <w:t xml:space="preserve">Thus, </w:t>
      </w:r>
      <w:r w:rsidR="0062160E">
        <w:rPr>
          <w:lang w:val="en-CA"/>
        </w:rPr>
        <w:t>s. 4</w:t>
      </w:r>
      <w:r w:rsidRPr="000A0EA1">
        <w:rPr>
          <w:lang w:val="en-CA"/>
        </w:rPr>
        <w:t xml:space="preserve">73.1 of the </w:t>
      </w:r>
      <w:r w:rsidRPr="000A0EA1">
        <w:rPr>
          <w:i/>
          <w:iCs/>
          <w:lang w:val="en-CA"/>
        </w:rPr>
        <w:t>EA</w:t>
      </w:r>
      <w:r w:rsidRPr="000A0EA1">
        <w:rPr>
          <w:lang w:val="en-CA"/>
        </w:rPr>
        <w:t xml:space="preserve">, in its version in force since 2016, has the practical effect of stripping the minority language representatives of the authority of management and control over significant sums, without the possibility of recovering them, while allocating those sums directly to certain specific purposes that are determined by the Minister and </w:t>
      </w:r>
      <w:r w:rsidR="003774C4">
        <w:rPr>
          <w:lang w:val="en-CA"/>
        </w:rPr>
        <w:t>that</w:t>
      </w:r>
      <w:r w:rsidR="007E4866">
        <w:rPr>
          <w:lang w:val="en-CA"/>
        </w:rPr>
        <w:t xml:space="preserve"> </w:t>
      </w:r>
      <w:r w:rsidRPr="000A0EA1">
        <w:rPr>
          <w:lang w:val="en-CA"/>
        </w:rPr>
        <w:t xml:space="preserve">do not necessarily correspond to the needs, objectives or linguistic and cultural interests of the linguistic minority as determined by its representatives. This is an </w:t>
      </w:r>
      <w:r w:rsidRPr="000A0EA1">
        <w:rPr>
          <w:lang w:val="en-CA"/>
        </w:rPr>
        <w:lastRenderedPageBreak/>
        <w:t xml:space="preserve">infringement of the management and control powers arising under </w:t>
      </w:r>
      <w:r w:rsidR="0062160E">
        <w:rPr>
          <w:lang w:val="en-CA"/>
        </w:rPr>
        <w:t>s. 2</w:t>
      </w:r>
      <w:r w:rsidRPr="000A0EA1">
        <w:rPr>
          <w:lang w:val="en-CA"/>
        </w:rPr>
        <w:t>3(3)(</w:t>
      </w:r>
      <w:r w:rsidRPr="000A0EA1">
        <w:rPr>
          <w:i/>
          <w:iCs/>
          <w:lang w:val="en-CA"/>
        </w:rPr>
        <w:t>b</w:t>
      </w:r>
      <w:r w:rsidRPr="000A0EA1">
        <w:rPr>
          <w:lang w:val="en-CA"/>
        </w:rPr>
        <w:t xml:space="preserve">) of the </w:t>
      </w:r>
      <w:r w:rsidRPr="000A0EA1">
        <w:rPr>
          <w:i/>
          <w:iCs/>
          <w:lang w:val="en-CA"/>
        </w:rPr>
        <w:t>Charter</w:t>
      </w:r>
      <w:r w:rsidRPr="000A0EA1">
        <w:rPr>
          <w:lang w:val="en-CA"/>
        </w:rPr>
        <w:t xml:space="preserve">. </w:t>
      </w:r>
    </w:p>
    <w:p w14:paraId="17F5F395" w14:textId="2722C772" w:rsidR="004C7649" w:rsidRPr="000A0EA1" w:rsidRDefault="003774C4" w:rsidP="00B255B8">
      <w:pPr>
        <w:pStyle w:val="Paragraphe"/>
        <w:numPr>
          <w:ilvl w:val="0"/>
          <w:numId w:val="0"/>
        </w:numPr>
        <w:spacing w:line="240" w:lineRule="auto"/>
        <w:rPr>
          <w:b/>
          <w:bCs/>
          <w:u w:val="single"/>
          <w:lang w:val="en-CA"/>
        </w:rPr>
      </w:pPr>
      <w:r>
        <w:rPr>
          <w:b/>
          <w:bCs/>
          <w:u w:val="single"/>
          <w:lang w:val="en-CA"/>
        </w:rPr>
        <w:t>J</w:t>
      </w:r>
      <w:r w:rsidR="00B02E00" w:rsidRPr="000A0EA1">
        <w:rPr>
          <w:b/>
          <w:bCs/>
          <w:u w:val="single"/>
          <w:lang w:val="en-CA"/>
        </w:rPr>
        <w:t xml:space="preserve">ustification of these infringements under </w:t>
      </w:r>
      <w:r w:rsidR="0062160E">
        <w:rPr>
          <w:b/>
          <w:bCs/>
          <w:u w:val="single"/>
          <w:lang w:val="en-CA"/>
        </w:rPr>
        <w:t>s. 1</w:t>
      </w:r>
      <w:r w:rsidR="00B02E00" w:rsidRPr="000A0EA1">
        <w:rPr>
          <w:b/>
          <w:bCs/>
          <w:u w:val="single"/>
          <w:lang w:val="en-CA"/>
        </w:rPr>
        <w:t xml:space="preserve"> of the </w:t>
      </w:r>
      <w:r w:rsidR="00B02E00" w:rsidRPr="000A0EA1">
        <w:rPr>
          <w:b/>
          <w:bCs/>
          <w:i/>
          <w:iCs/>
          <w:u w:val="single"/>
          <w:lang w:val="en-CA"/>
        </w:rPr>
        <w:t>Charter</w:t>
      </w:r>
    </w:p>
    <w:p w14:paraId="17F5F396" w14:textId="3DA9BA66" w:rsidR="004C7649" w:rsidRPr="000A0EA1" w:rsidRDefault="00B02E00" w:rsidP="00B255B8">
      <w:pPr>
        <w:pStyle w:val="Paragraphe"/>
        <w:spacing w:line="240" w:lineRule="auto"/>
        <w:rPr>
          <w:lang w:val="en-CA"/>
        </w:rPr>
      </w:pPr>
      <w:r w:rsidRPr="000A0EA1">
        <w:rPr>
          <w:lang w:val="en-CA"/>
        </w:rPr>
        <w:t xml:space="preserve">Under </w:t>
      </w:r>
      <w:r w:rsidR="0062160E">
        <w:rPr>
          <w:lang w:val="en-CA"/>
        </w:rPr>
        <w:t>s. 1</w:t>
      </w:r>
      <w:r w:rsidRPr="000A0EA1">
        <w:rPr>
          <w:lang w:val="en-CA"/>
        </w:rPr>
        <w:t xml:space="preserve"> of the </w:t>
      </w:r>
      <w:r w:rsidRPr="000A0EA1">
        <w:rPr>
          <w:i/>
          <w:iCs/>
          <w:lang w:val="en-CA"/>
        </w:rPr>
        <w:t>Charter</w:t>
      </w:r>
      <w:r w:rsidRPr="000A0EA1">
        <w:rPr>
          <w:lang w:val="en-CA"/>
        </w:rPr>
        <w:t xml:space="preserve">, the rights and freedoms set out therein may be restricted, but </w:t>
      </w:r>
      <w:r w:rsidR="00E46AFD">
        <w:rPr>
          <w:lang w:val="en-CA"/>
        </w:rPr>
        <w:t>“</w:t>
      </w:r>
      <w:r w:rsidRPr="000A0EA1">
        <w:rPr>
          <w:lang w:val="en-CA"/>
        </w:rPr>
        <w:t>subject only to such reasonable limits prescribed by law as can be demonstrably justified in a free and democratic society</w:t>
      </w:r>
      <w:r w:rsidR="00E46AFD">
        <w:rPr>
          <w:lang w:val="en-CA"/>
        </w:rPr>
        <w:t>”</w:t>
      </w:r>
      <w:r w:rsidRPr="000A0EA1">
        <w:rPr>
          <w:lang w:val="en-CA"/>
        </w:rPr>
        <w:t xml:space="preserve">. It is therefore possible to justify a limit on </w:t>
      </w:r>
      <w:r w:rsidR="0062160E">
        <w:rPr>
          <w:lang w:val="en-CA"/>
        </w:rPr>
        <w:t>s. 2</w:t>
      </w:r>
      <w:r w:rsidRPr="000A0EA1">
        <w:rPr>
          <w:lang w:val="en-CA"/>
        </w:rPr>
        <w:t xml:space="preserve">3 language rights under </w:t>
      </w:r>
      <w:r w:rsidR="0062160E">
        <w:rPr>
          <w:lang w:val="en-CA"/>
        </w:rPr>
        <w:t>s. 1</w:t>
      </w:r>
      <w:r w:rsidRPr="000A0EA1">
        <w:rPr>
          <w:lang w:val="en-CA"/>
        </w:rPr>
        <w:t xml:space="preserve"> of the </w:t>
      </w:r>
      <w:r w:rsidRPr="000A0EA1">
        <w:rPr>
          <w:i/>
          <w:iCs/>
          <w:lang w:val="en-CA"/>
        </w:rPr>
        <w:t>Charter</w:t>
      </w:r>
      <w:r w:rsidRPr="000A0EA1">
        <w:rPr>
          <w:lang w:val="en-CA"/>
        </w:rPr>
        <w:t>.</w:t>
      </w:r>
      <w:r w:rsidRPr="000A0EA1">
        <w:rPr>
          <w:rStyle w:val="Appelnotedebasdep"/>
          <w:lang w:val="en-CA"/>
        </w:rPr>
        <w:footnoteReference w:id="280"/>
      </w:r>
    </w:p>
    <w:p w14:paraId="17F5F397" w14:textId="64502A6D" w:rsidR="004C7649" w:rsidRPr="000A0EA1" w:rsidRDefault="00B02E00" w:rsidP="00B255B8">
      <w:pPr>
        <w:pStyle w:val="Paragraphe"/>
        <w:spacing w:line="240" w:lineRule="auto"/>
        <w:rPr>
          <w:lang w:val="en-CA"/>
        </w:rPr>
      </w:pPr>
      <w:r w:rsidRPr="000A0EA1">
        <w:rPr>
          <w:lang w:val="en-CA"/>
        </w:rPr>
        <w:t>However, for the reasons expressed by Wagner</w:t>
      </w:r>
      <w:r w:rsidR="007C3D1F">
        <w:rPr>
          <w:lang w:val="en-CA"/>
        </w:rPr>
        <w:t>, </w:t>
      </w:r>
      <w:r w:rsidRPr="000A0EA1">
        <w:rPr>
          <w:lang w:val="en-CA"/>
        </w:rPr>
        <w:t xml:space="preserve">C.J. in </w:t>
      </w:r>
      <w:r w:rsidRPr="000A0EA1">
        <w:rPr>
          <w:i/>
          <w:iCs/>
          <w:lang w:val="en-CA"/>
        </w:rPr>
        <w:t xml:space="preserve">Conseil </w:t>
      </w:r>
      <w:proofErr w:type="spellStart"/>
      <w:r w:rsidRPr="000A0EA1">
        <w:rPr>
          <w:i/>
          <w:iCs/>
          <w:lang w:val="en-CA"/>
        </w:rPr>
        <w:t>scolaire</w:t>
      </w:r>
      <w:proofErr w:type="spellEnd"/>
      <w:r w:rsidRPr="000A0EA1">
        <w:rPr>
          <w:i/>
          <w:iCs/>
          <w:lang w:val="en-CA"/>
        </w:rPr>
        <w:t xml:space="preserve"> francophone de la </w:t>
      </w:r>
      <w:proofErr w:type="spellStart"/>
      <w:r w:rsidRPr="000A0EA1">
        <w:rPr>
          <w:i/>
          <w:iCs/>
          <w:lang w:val="en-CA"/>
        </w:rPr>
        <w:t>Colombie</w:t>
      </w:r>
      <w:r w:rsidR="007C3D1F">
        <w:rPr>
          <w:rFonts w:ascii="Cambria Math" w:hAnsi="Cambria Math" w:cs="Cambria Math"/>
          <w:i/>
          <w:iCs/>
          <w:lang w:val="en-CA"/>
        </w:rPr>
        <w:noBreakHyphen/>
      </w:r>
      <w:r w:rsidRPr="000A0EA1">
        <w:rPr>
          <w:i/>
          <w:iCs/>
          <w:lang w:val="en-CA"/>
        </w:rPr>
        <w:t>Britannique</w:t>
      </w:r>
      <w:proofErr w:type="spellEnd"/>
      <w:r w:rsidR="0054433A">
        <w:rPr>
          <w:lang w:val="en-CA"/>
        </w:rPr>
        <w:t>,</w:t>
      </w:r>
      <w:r w:rsidRPr="000A0EA1">
        <w:rPr>
          <w:rStyle w:val="Appelnotedebasdep"/>
          <w:lang w:val="en-CA"/>
        </w:rPr>
        <w:footnoteReference w:id="281"/>
      </w:r>
      <w:r w:rsidRPr="000A0EA1">
        <w:rPr>
          <w:lang w:val="en-CA"/>
        </w:rPr>
        <w:t xml:space="preserve"> </w:t>
      </w:r>
      <w:r w:rsidR="0062160E">
        <w:rPr>
          <w:lang w:val="en-CA"/>
        </w:rPr>
        <w:t>s. 2</w:t>
      </w:r>
      <w:r w:rsidRPr="000A0EA1">
        <w:rPr>
          <w:lang w:val="en-CA"/>
        </w:rPr>
        <w:t xml:space="preserve">3 </w:t>
      </w:r>
      <w:r w:rsidR="00E46AFD">
        <w:rPr>
          <w:lang w:val="en-CA"/>
        </w:rPr>
        <w:t>“</w:t>
      </w:r>
      <w:r w:rsidRPr="000A0EA1">
        <w:rPr>
          <w:lang w:val="en-CA"/>
        </w:rPr>
        <w:t xml:space="preserve">is one of the </w:t>
      </w:r>
      <w:r w:rsidRPr="000A0EA1">
        <w:rPr>
          <w:i/>
          <w:iCs/>
          <w:lang w:val="en-CA"/>
        </w:rPr>
        <w:t>Charter</w:t>
      </w:r>
      <w:r w:rsidRPr="000A0EA1">
        <w:rPr>
          <w:lang w:val="en-CA"/>
        </w:rPr>
        <w:t xml:space="preserve"> provisions whose infringement is especially difficult to justify</w:t>
      </w:r>
      <w:r w:rsidR="00E46AFD">
        <w:rPr>
          <w:lang w:val="en-CA"/>
        </w:rPr>
        <w:t>”</w:t>
      </w:r>
      <w:r w:rsidRPr="000A0EA1">
        <w:rPr>
          <w:lang w:val="en-CA"/>
        </w:rPr>
        <w:t>.</w:t>
      </w:r>
      <w:r w:rsidRPr="000A0EA1">
        <w:rPr>
          <w:rStyle w:val="Appelnotedebasdep"/>
          <w:lang w:val="en-CA"/>
        </w:rPr>
        <w:footnoteReference w:id="282"/>
      </w:r>
      <w:r w:rsidRPr="000A0EA1">
        <w:rPr>
          <w:lang w:val="en-CA"/>
        </w:rPr>
        <w:t xml:space="preserve"> Any intrusions on this provision </w:t>
      </w:r>
      <w:r w:rsidR="00E46AFD">
        <w:rPr>
          <w:lang w:val="en-CA"/>
        </w:rPr>
        <w:t>“</w:t>
      </w:r>
      <w:r w:rsidRPr="000A0EA1">
        <w:rPr>
          <w:lang w:val="en-CA"/>
        </w:rPr>
        <w:t>must therefore be analyzed and justified on the basis of a very stringent standard</w:t>
      </w:r>
      <w:r w:rsidR="00E46AFD">
        <w:rPr>
          <w:lang w:val="en-CA"/>
        </w:rPr>
        <w:t>”</w:t>
      </w:r>
      <w:r w:rsidRPr="000A0EA1">
        <w:rPr>
          <w:lang w:val="en-CA"/>
        </w:rPr>
        <w:t>.</w:t>
      </w:r>
      <w:r w:rsidRPr="000A0EA1">
        <w:rPr>
          <w:rStyle w:val="Appelnotedebasdep"/>
          <w:lang w:val="en-CA"/>
        </w:rPr>
        <w:footnoteReference w:id="283"/>
      </w:r>
      <w:r w:rsidRPr="000A0EA1">
        <w:rPr>
          <w:lang w:val="en-CA"/>
        </w:rPr>
        <w:t xml:space="preserve"> Indeed, to date, the Supreme Court has never found that an infringement of </w:t>
      </w:r>
      <w:r w:rsidR="0062160E">
        <w:rPr>
          <w:lang w:val="en-CA"/>
        </w:rPr>
        <w:t>s. 2</w:t>
      </w:r>
      <w:r w:rsidRPr="000A0EA1">
        <w:rPr>
          <w:lang w:val="en-CA"/>
        </w:rPr>
        <w:t xml:space="preserve">3 was justified under </w:t>
      </w:r>
      <w:r w:rsidR="0062160E">
        <w:rPr>
          <w:lang w:val="en-CA"/>
        </w:rPr>
        <w:t>s. 1</w:t>
      </w:r>
      <w:r w:rsidRPr="000A0EA1">
        <w:rPr>
          <w:lang w:val="en-CA"/>
        </w:rPr>
        <w:t>.</w:t>
      </w:r>
      <w:r w:rsidRPr="000A0EA1">
        <w:rPr>
          <w:rStyle w:val="Appelnotedebasdep"/>
          <w:lang w:val="en-CA"/>
        </w:rPr>
        <w:footnoteReference w:id="284"/>
      </w:r>
    </w:p>
    <w:p w14:paraId="17F5F398" w14:textId="122EA128" w:rsidR="004C7649" w:rsidRPr="000A0EA1" w:rsidRDefault="00B02E00" w:rsidP="00B255B8">
      <w:pPr>
        <w:pStyle w:val="Paragraphe"/>
        <w:spacing w:line="240" w:lineRule="auto"/>
        <w:rPr>
          <w:lang w:val="en-CA"/>
        </w:rPr>
      </w:pPr>
      <w:r w:rsidRPr="000A0EA1">
        <w:rPr>
          <w:lang w:val="en-CA"/>
        </w:rPr>
        <w:t>Wagner,</w:t>
      </w:r>
      <w:r w:rsidR="007C3D1F">
        <w:rPr>
          <w:lang w:val="en-CA"/>
        </w:rPr>
        <w:t> </w:t>
      </w:r>
      <w:r w:rsidRPr="000A0EA1">
        <w:rPr>
          <w:lang w:val="en-CA"/>
        </w:rPr>
        <w:t>C.J.</w:t>
      </w:r>
      <w:r w:rsidR="00E46AFD">
        <w:rPr>
          <w:lang w:val="en-CA"/>
        </w:rPr>
        <w:t>’</w:t>
      </w:r>
      <w:r w:rsidRPr="000A0EA1">
        <w:rPr>
          <w:lang w:val="en-CA"/>
        </w:rPr>
        <w:t xml:space="preserve">s comments regarding the autonomy conferred by </w:t>
      </w:r>
      <w:r w:rsidR="0062160E">
        <w:rPr>
          <w:lang w:val="en-CA"/>
        </w:rPr>
        <w:t>s. 2</w:t>
      </w:r>
      <w:r w:rsidRPr="000A0EA1">
        <w:rPr>
          <w:lang w:val="en-CA"/>
        </w:rPr>
        <w:t>3 on the linguistic minority with respect to the management of its schools and their funding seem particularly relevant to the justification in the case at bar:</w:t>
      </w:r>
      <w:r w:rsidRPr="000A0EA1">
        <w:rPr>
          <w:rStyle w:val="Appelnotedebasdep"/>
          <w:lang w:val="en-CA"/>
        </w:rPr>
        <w:footnoteReference w:id="285"/>
      </w:r>
    </w:p>
    <w:p w14:paraId="17F5F399" w14:textId="4A2EF507" w:rsidR="004C7649" w:rsidRPr="000A0EA1" w:rsidRDefault="00B02E00" w:rsidP="00B255B8">
      <w:pPr>
        <w:pStyle w:val="Citationenretrait"/>
        <w:spacing w:line="240" w:lineRule="auto"/>
        <w:rPr>
          <w:lang w:val="en-CA"/>
        </w:rPr>
      </w:pPr>
      <w:r w:rsidRPr="000A0EA1">
        <w:rPr>
          <w:lang w:val="en-CA"/>
        </w:rPr>
        <w:t>[149]</w:t>
      </w:r>
      <w:r w:rsidRPr="000A0EA1">
        <w:rPr>
          <w:sz w:val="14"/>
          <w:szCs w:val="14"/>
          <w:lang w:val="en-CA"/>
        </w:rPr>
        <w:tab/>
      </w:r>
      <w:r w:rsidRPr="000A0EA1">
        <w:rPr>
          <w:lang w:val="en-CA"/>
        </w:rPr>
        <w:t xml:space="preserve">What </w:t>
      </w:r>
      <w:r w:rsidR="0062160E">
        <w:rPr>
          <w:lang w:val="en-CA"/>
        </w:rPr>
        <w:t>s. 2</w:t>
      </w:r>
      <w:r w:rsidRPr="000A0EA1">
        <w:rPr>
          <w:lang w:val="en-CA"/>
        </w:rPr>
        <w:t>3 does is to protect an official language minority from the effects of decisions of the majority in the area of education by granting the minority a certain autonomy in relation to its education system. The history of the relationship between the majority and the minority in this area shows that the minority</w:t>
      </w:r>
      <w:r w:rsidR="00E46AFD">
        <w:rPr>
          <w:lang w:val="en-CA"/>
        </w:rPr>
        <w:t>’</w:t>
      </w:r>
      <w:r w:rsidRPr="000A0EA1">
        <w:rPr>
          <w:lang w:val="en-CA"/>
        </w:rPr>
        <w:t xml:space="preserve">s interests are not well served if it does not have some control over the management and funding of its schools. By excluding </w:t>
      </w:r>
      <w:r w:rsidR="0062160E">
        <w:rPr>
          <w:lang w:val="en-CA"/>
        </w:rPr>
        <w:t>s. 2</w:t>
      </w:r>
      <w:r w:rsidRPr="000A0EA1">
        <w:rPr>
          <w:lang w:val="en-CA"/>
        </w:rPr>
        <w:t xml:space="preserve">3 from the scope of the notwithstanding clause, the framers of the </w:t>
      </w:r>
      <w:r w:rsidRPr="000A0EA1">
        <w:rPr>
          <w:i/>
          <w:iCs/>
          <w:lang w:val="en-CA"/>
        </w:rPr>
        <w:t xml:space="preserve">Charter </w:t>
      </w:r>
      <w:r w:rsidRPr="000A0EA1">
        <w:rPr>
          <w:lang w:val="en-CA"/>
        </w:rPr>
        <w:t>sought to prevent the majority from being able to shirk its constitutional obligations and thus avert a return to the time when the minority was unable to develop in its own language and culture.</w:t>
      </w:r>
    </w:p>
    <w:p w14:paraId="17F5F39A" w14:textId="2254A5D1" w:rsidR="004C7649" w:rsidRPr="000A0EA1" w:rsidRDefault="00B02E00" w:rsidP="00406B00">
      <w:pPr>
        <w:pStyle w:val="Paragraphe"/>
        <w:spacing w:before="240" w:line="240" w:lineRule="auto"/>
        <w:rPr>
          <w:lang w:val="en-CA"/>
        </w:rPr>
      </w:pPr>
      <w:r w:rsidRPr="000A0EA1">
        <w:rPr>
          <w:lang w:val="en-CA"/>
        </w:rPr>
        <w:lastRenderedPageBreak/>
        <w:t xml:space="preserve">It bears reminding that the onus in the </w:t>
      </w:r>
      <w:r w:rsidR="0062160E">
        <w:rPr>
          <w:lang w:val="en-CA"/>
        </w:rPr>
        <w:t>s. 1</w:t>
      </w:r>
      <w:r w:rsidRPr="000A0EA1">
        <w:rPr>
          <w:lang w:val="en-CA"/>
        </w:rPr>
        <w:t xml:space="preserve"> inquiry is on the party seeking to uphold the infringing measure</w:t>
      </w:r>
      <w:r w:rsidRPr="000A0EA1">
        <w:rPr>
          <w:rStyle w:val="Appelnotedebasdep"/>
          <w:lang w:val="en-CA"/>
        </w:rPr>
        <w:footnoteReference w:id="286"/>
      </w:r>
      <w:r w:rsidRPr="000A0EA1">
        <w:rPr>
          <w:lang w:val="en-CA"/>
        </w:rPr>
        <w:t xml:space="preserve"> – namely, the government.</w:t>
      </w:r>
      <w:r w:rsidRPr="000A0EA1">
        <w:rPr>
          <w:rStyle w:val="Appelnotedebasdep"/>
          <w:lang w:val="en-CA"/>
        </w:rPr>
        <w:footnoteReference w:id="287"/>
      </w:r>
      <w:r w:rsidRPr="000A0EA1">
        <w:rPr>
          <w:lang w:val="en-CA"/>
        </w:rPr>
        <w:t xml:space="preserve"> As a general rule, the government will have to present not only arguments, but also evidence to prove its justification.</w:t>
      </w:r>
      <w:r w:rsidRPr="000A0EA1">
        <w:rPr>
          <w:rStyle w:val="Appelnotedebasdep"/>
          <w:lang w:val="en-CA"/>
        </w:rPr>
        <w:footnoteReference w:id="288"/>
      </w:r>
      <w:r w:rsidRPr="000A0EA1">
        <w:rPr>
          <w:lang w:val="en-CA"/>
        </w:rPr>
        <w:t xml:space="preserve"> In certain cases, the government</w:t>
      </w:r>
      <w:r w:rsidR="00E46AFD">
        <w:rPr>
          <w:lang w:val="en-CA"/>
        </w:rPr>
        <w:t>’</w:t>
      </w:r>
      <w:r w:rsidRPr="000A0EA1">
        <w:rPr>
          <w:lang w:val="en-CA"/>
        </w:rPr>
        <w:t xml:space="preserve">s claims and evidence may be supplemented by </w:t>
      </w:r>
      <w:r w:rsidR="00E46AFD">
        <w:rPr>
          <w:lang w:val="en-CA"/>
        </w:rPr>
        <w:t>“</w:t>
      </w:r>
      <w:r w:rsidRPr="000A0EA1">
        <w:rPr>
          <w:lang w:val="en-CA"/>
        </w:rPr>
        <w:t>common sense and inferential reasoning</w:t>
      </w:r>
      <w:r w:rsidR="00E46AFD">
        <w:rPr>
          <w:lang w:val="en-CA"/>
        </w:rPr>
        <w:t>”</w:t>
      </w:r>
      <w:r w:rsidRPr="000A0EA1">
        <w:rPr>
          <w:lang w:val="en-CA"/>
        </w:rPr>
        <w:t>;</w:t>
      </w:r>
      <w:r w:rsidRPr="000A0EA1">
        <w:rPr>
          <w:rStyle w:val="Appelnotedebasdep"/>
          <w:lang w:val="en-CA"/>
        </w:rPr>
        <w:footnoteReference w:id="289"/>
      </w:r>
      <w:r w:rsidRPr="000A0EA1">
        <w:rPr>
          <w:lang w:val="en-CA"/>
        </w:rPr>
        <w:t xml:space="preserve"> as the Supreme Court pointed out in </w:t>
      </w:r>
      <w:r w:rsidRPr="000A0EA1">
        <w:rPr>
          <w:i/>
          <w:iCs/>
          <w:lang w:val="en-CA"/>
        </w:rPr>
        <w:t>Sauvé</w:t>
      </w:r>
      <w:r w:rsidRPr="000A0EA1">
        <w:rPr>
          <w:lang w:val="en-CA"/>
        </w:rPr>
        <w:t>, however, one must be cautious before accepting this type of justification.</w:t>
      </w:r>
      <w:r w:rsidRPr="000A0EA1">
        <w:rPr>
          <w:rStyle w:val="Appelnotedebasdep"/>
          <w:szCs w:val="24"/>
          <w:lang w:val="en-CA"/>
        </w:rPr>
        <w:footnoteReference w:id="290"/>
      </w:r>
      <w:r w:rsidRPr="000A0EA1">
        <w:rPr>
          <w:lang w:val="en-CA"/>
        </w:rPr>
        <w:t xml:space="preserve"> </w:t>
      </w:r>
    </w:p>
    <w:p w14:paraId="17F5F39B" w14:textId="7AB34E2C" w:rsidR="004C7649" w:rsidRPr="000A0EA1" w:rsidRDefault="00B02E00" w:rsidP="00B255B8">
      <w:pPr>
        <w:pStyle w:val="Paragraphe"/>
        <w:spacing w:line="240" w:lineRule="auto"/>
        <w:rPr>
          <w:lang w:val="en-CA"/>
        </w:rPr>
      </w:pPr>
      <w:r w:rsidRPr="000A0EA1">
        <w:rPr>
          <w:lang w:val="en-CA"/>
        </w:rPr>
        <w:t>To meet his burden, the AGQ must satisfy two criteria. First, he must prove the importance of the infringing measure</w:t>
      </w:r>
      <w:r w:rsidR="00E46AFD">
        <w:rPr>
          <w:lang w:val="en-CA"/>
        </w:rPr>
        <w:t>’</w:t>
      </w:r>
      <w:r w:rsidRPr="000A0EA1">
        <w:rPr>
          <w:lang w:val="en-CA"/>
        </w:rPr>
        <w:t>s objective. More specifically, to be characterized as sufficiently important, the objective must relate to concerns that are pressing and substantial in a free and democratic society.</w:t>
      </w:r>
      <w:r w:rsidRPr="000A0EA1">
        <w:rPr>
          <w:rStyle w:val="Appelnotedebasdep"/>
          <w:lang w:val="en-CA"/>
        </w:rPr>
        <w:footnoteReference w:id="291"/>
      </w:r>
      <w:r w:rsidRPr="000A0EA1">
        <w:rPr>
          <w:lang w:val="en-CA"/>
        </w:rPr>
        <w:t xml:space="preserve"> Second, once the importance of the objective has been established, the AGQ must show that the means chosen to attain the objective are reasonable. This second criterion has three components: (1)</w:t>
      </w:r>
      <w:r w:rsidR="00476E45">
        <w:rPr>
          <w:lang w:val="en-CA"/>
        </w:rPr>
        <w:t> </w:t>
      </w:r>
      <w:r w:rsidRPr="000A0EA1">
        <w:rPr>
          <w:lang w:val="en-CA"/>
        </w:rPr>
        <w:t>the measure must be rationally connected to the intended objective; (2)</w:t>
      </w:r>
      <w:r w:rsidR="00476E45">
        <w:rPr>
          <w:lang w:val="en-CA"/>
        </w:rPr>
        <w:t> </w:t>
      </w:r>
      <w:r w:rsidRPr="000A0EA1">
        <w:rPr>
          <w:lang w:val="en-CA"/>
        </w:rPr>
        <w:t>the means chosen should impair the right or freedom in question as little as possible; and (3)</w:t>
      </w:r>
      <w:r w:rsidR="00476E45">
        <w:rPr>
          <w:lang w:val="en-CA"/>
        </w:rPr>
        <w:t> </w:t>
      </w:r>
      <w:r w:rsidRPr="000A0EA1">
        <w:rPr>
          <w:lang w:val="en-CA"/>
        </w:rPr>
        <w:t>the effect of the measure limiting the right or freedom must be proportional to the objective that has been designated as important.</w:t>
      </w:r>
      <w:r w:rsidRPr="000A0EA1">
        <w:rPr>
          <w:rStyle w:val="Appelnotedebasdep"/>
          <w:lang w:val="en-CA"/>
        </w:rPr>
        <w:footnoteReference w:id="292"/>
      </w:r>
    </w:p>
    <w:p w14:paraId="17F5F39C" w14:textId="77777777" w:rsidR="004C7649" w:rsidRPr="000A0EA1" w:rsidRDefault="00B02E00" w:rsidP="00B255B8">
      <w:pPr>
        <w:pStyle w:val="Paragraphe"/>
        <w:spacing w:line="240" w:lineRule="auto"/>
        <w:rPr>
          <w:lang w:val="en-CA"/>
        </w:rPr>
      </w:pPr>
      <w:r w:rsidRPr="000A0EA1">
        <w:rPr>
          <w:lang w:val="en-CA"/>
        </w:rPr>
        <w:t xml:space="preserve">How does the foregoing apply to the matter at hand? </w:t>
      </w:r>
    </w:p>
    <w:p w14:paraId="17F5F39D" w14:textId="71795EC1" w:rsidR="004C7649" w:rsidRPr="000A0EA1" w:rsidRDefault="00B02E00" w:rsidP="00B255B8">
      <w:pPr>
        <w:pStyle w:val="Paragraphe"/>
        <w:spacing w:line="240" w:lineRule="auto"/>
        <w:rPr>
          <w:lang w:val="en-CA"/>
        </w:rPr>
      </w:pPr>
      <w:r w:rsidRPr="000A0EA1">
        <w:rPr>
          <w:lang w:val="en-CA"/>
        </w:rPr>
        <w:t xml:space="preserve">In his appeal brief, the AGQ </w:t>
      </w:r>
      <w:r w:rsidR="0058240C">
        <w:rPr>
          <w:lang w:val="en-CA"/>
        </w:rPr>
        <w:t>d</w:t>
      </w:r>
      <w:r w:rsidR="006B776E">
        <w:rPr>
          <w:lang w:val="en-CA"/>
        </w:rPr>
        <w:t xml:space="preserve">oes </w:t>
      </w:r>
      <w:r w:rsidRPr="000A0EA1">
        <w:rPr>
          <w:lang w:val="en-CA"/>
        </w:rPr>
        <w:t xml:space="preserve">not precisely explain the important objective of the infringing provisions, merely referring to his submissions </w:t>
      </w:r>
      <w:r w:rsidR="00205F90">
        <w:rPr>
          <w:lang w:val="en-CA"/>
        </w:rPr>
        <w:t xml:space="preserve">on the subject of </w:t>
      </w:r>
      <w:r w:rsidRPr="000A0EA1">
        <w:rPr>
          <w:lang w:val="en-CA"/>
        </w:rPr>
        <w:t xml:space="preserve">infringement, thereby subsuming the justification analysis </w:t>
      </w:r>
      <w:r w:rsidR="004D1551">
        <w:rPr>
          <w:lang w:val="en-CA"/>
        </w:rPr>
        <w:t>with</w:t>
      </w:r>
      <w:r w:rsidRPr="000A0EA1">
        <w:rPr>
          <w:lang w:val="en-CA"/>
        </w:rPr>
        <w:t xml:space="preserve"> the infringement analysis.</w:t>
      </w:r>
      <w:r w:rsidRPr="000A0EA1">
        <w:rPr>
          <w:rStyle w:val="Appelnotedebasdep"/>
          <w:lang w:val="en-CA"/>
        </w:rPr>
        <w:footnoteReference w:id="293"/>
      </w:r>
      <w:r w:rsidRPr="000A0EA1">
        <w:rPr>
          <w:lang w:val="en-CA"/>
        </w:rPr>
        <w:t xml:space="preserve"> </w:t>
      </w:r>
    </w:p>
    <w:p w14:paraId="17F5F39E" w14:textId="5F778C82" w:rsidR="004C7649" w:rsidRPr="000A0EA1" w:rsidRDefault="002B6026" w:rsidP="00B255B8">
      <w:pPr>
        <w:pStyle w:val="Paragraphe"/>
        <w:spacing w:line="240" w:lineRule="auto"/>
        <w:rPr>
          <w:lang w:val="en-CA"/>
        </w:rPr>
      </w:pPr>
      <w:r>
        <w:rPr>
          <w:lang w:val="en-CA"/>
        </w:rPr>
        <w:t>A</w:t>
      </w:r>
      <w:r w:rsidR="00B02E00" w:rsidRPr="000A0EA1">
        <w:rPr>
          <w:lang w:val="en-CA"/>
        </w:rPr>
        <w:t>t trial, the AGQ provided a general explanation of the intended purpose.</w:t>
      </w:r>
      <w:r w:rsidR="00B02E00" w:rsidRPr="000A0EA1">
        <w:rPr>
          <w:rStyle w:val="Appelnotedebasdep"/>
          <w:lang w:val="en-CA"/>
        </w:rPr>
        <w:footnoteReference w:id="294"/>
      </w:r>
      <w:r w:rsidR="00B02E00" w:rsidRPr="000A0EA1">
        <w:rPr>
          <w:lang w:val="en-CA"/>
        </w:rPr>
        <w:t xml:space="preserve"> The trial judge described the main pressing and substantial objective identified by the AGQ in the outline of the oral argument that had been provided to the judge as that of </w:t>
      </w:r>
      <w:r w:rsidR="00B02E00" w:rsidRPr="000A0EA1">
        <w:rPr>
          <w:lang w:val="en-CA"/>
        </w:rPr>
        <w:lastRenderedPageBreak/>
        <w:t>[</w:t>
      </w:r>
      <w:r w:rsidR="00F16205" w:rsidRPr="00F16205">
        <w:rPr>
          <w:smallCaps/>
          <w:lang w:val="en-CA"/>
        </w:rPr>
        <w:t>translation</w:t>
      </w:r>
      <w:r w:rsidR="00B02E00" w:rsidRPr="000A0EA1">
        <w:rPr>
          <w:lang w:val="en-CA"/>
        </w:rPr>
        <w:t>]</w:t>
      </w:r>
      <w:r w:rsidR="0095135B">
        <w:rPr>
          <w:lang w:val="en-CA"/>
        </w:rPr>
        <w:t> </w:t>
      </w:r>
      <w:r w:rsidR="00E46AFD">
        <w:rPr>
          <w:lang w:val="en-CA"/>
        </w:rPr>
        <w:t>“</w:t>
      </w:r>
      <w:r w:rsidR="00B02E00" w:rsidRPr="000A0EA1">
        <w:rPr>
          <w:lang w:val="en-CA"/>
        </w:rPr>
        <w:t>reviewing school governance to bring the decision</w:t>
      </w:r>
      <w:r w:rsidR="000D76BF">
        <w:rPr>
          <w:lang w:val="en-CA"/>
        </w:rPr>
        <w:noBreakHyphen/>
      </w:r>
      <w:r w:rsidR="00B02E00" w:rsidRPr="000A0EA1">
        <w:rPr>
          <w:lang w:val="en-CA"/>
        </w:rPr>
        <w:t>making process closer to students</w:t>
      </w:r>
      <w:r w:rsidR="00E46AFD">
        <w:rPr>
          <w:lang w:val="en-CA"/>
        </w:rPr>
        <w:t>”</w:t>
      </w:r>
      <w:r w:rsidR="00B02E00" w:rsidRPr="000A0EA1">
        <w:rPr>
          <w:lang w:val="en-CA"/>
        </w:rPr>
        <w:t>,</w:t>
      </w:r>
      <w:r w:rsidR="00B02E00" w:rsidRPr="000A0EA1">
        <w:rPr>
          <w:rStyle w:val="Appelnotedebasdep"/>
          <w:lang w:val="en-CA"/>
        </w:rPr>
        <w:footnoteReference w:id="295"/>
      </w:r>
      <w:r w:rsidR="00B02E00" w:rsidRPr="000A0EA1">
        <w:rPr>
          <w:lang w:val="en-CA"/>
        </w:rPr>
        <w:t xml:space="preserve"> and the ancillary objective as that of [</w:t>
      </w:r>
      <w:r w:rsidR="00F16205" w:rsidRPr="00F16205">
        <w:rPr>
          <w:smallCaps/>
          <w:lang w:val="en-CA"/>
        </w:rPr>
        <w:t>translation</w:t>
      </w:r>
      <w:r w:rsidR="00B02E00" w:rsidRPr="000A0EA1">
        <w:rPr>
          <w:lang w:val="en-CA"/>
        </w:rPr>
        <w:t>]</w:t>
      </w:r>
      <w:r w:rsidR="0095135B">
        <w:rPr>
          <w:lang w:val="en-CA"/>
        </w:rPr>
        <w:t> </w:t>
      </w:r>
      <w:r w:rsidR="00E46AFD">
        <w:rPr>
          <w:lang w:val="en-CA"/>
        </w:rPr>
        <w:t>“</w:t>
      </w:r>
      <w:r w:rsidR="00B02E00" w:rsidRPr="000A0EA1">
        <w:rPr>
          <w:lang w:val="en-CA"/>
        </w:rPr>
        <w:t>giving parents a greater role in managing</w:t>
      </w:r>
      <w:r w:rsidR="00E46AFD">
        <w:rPr>
          <w:lang w:val="en-CA"/>
        </w:rPr>
        <w:t>”</w:t>
      </w:r>
      <w:r w:rsidR="00B02E00" w:rsidRPr="000A0EA1">
        <w:rPr>
          <w:lang w:val="en-CA"/>
        </w:rPr>
        <w:t xml:space="preserve"> school service centres.</w:t>
      </w:r>
      <w:r w:rsidR="00B02E00" w:rsidRPr="000A0EA1">
        <w:rPr>
          <w:rStyle w:val="Appelnotedebasdep"/>
          <w:lang w:val="en-CA"/>
        </w:rPr>
        <w:footnoteReference w:id="296"/>
      </w:r>
      <w:r w:rsidR="00B02E00" w:rsidRPr="000A0EA1">
        <w:rPr>
          <w:lang w:val="en-CA"/>
        </w:rPr>
        <w:t xml:space="preserve"> </w:t>
      </w:r>
    </w:p>
    <w:p w14:paraId="17F5F39F" w14:textId="34CC6295" w:rsidR="004C7649" w:rsidRPr="000A0EA1" w:rsidRDefault="002B6026" w:rsidP="00B255B8">
      <w:pPr>
        <w:pStyle w:val="Paragraphe"/>
        <w:spacing w:line="240" w:lineRule="auto"/>
        <w:rPr>
          <w:lang w:val="en-CA"/>
        </w:rPr>
      </w:pPr>
      <w:r>
        <w:rPr>
          <w:lang w:val="en-CA"/>
        </w:rPr>
        <w:t>However</w:t>
      </w:r>
      <w:r w:rsidR="00B02E00" w:rsidRPr="000A0EA1">
        <w:rPr>
          <w:lang w:val="en-CA"/>
        </w:rPr>
        <w:t xml:space="preserve">, as </w:t>
      </w:r>
      <w:r w:rsidR="00F13511">
        <w:rPr>
          <w:lang w:val="en-CA"/>
        </w:rPr>
        <w:t>previously discussed</w:t>
      </w:r>
      <w:r w:rsidR="00B02E00" w:rsidRPr="000A0EA1">
        <w:rPr>
          <w:lang w:val="en-CA"/>
        </w:rPr>
        <w:t xml:space="preserve">, the main objective of </w:t>
      </w:r>
      <w:r w:rsidR="00C33BBC">
        <w:rPr>
          <w:i/>
          <w:iCs/>
          <w:lang w:val="en-CA"/>
        </w:rPr>
        <w:t>Bill 40</w:t>
      </w:r>
      <w:r w:rsidR="00B02E00" w:rsidRPr="000A0EA1">
        <w:rPr>
          <w:i/>
          <w:iCs/>
          <w:lang w:val="en-CA"/>
        </w:rPr>
        <w:t xml:space="preserve"> </w:t>
      </w:r>
      <w:r w:rsidR="00B02E00" w:rsidRPr="000A0EA1">
        <w:rPr>
          <w:lang w:val="en-CA"/>
        </w:rPr>
        <w:t>is actually to replace</w:t>
      </w:r>
      <w:r w:rsidR="00B02E00" w:rsidRPr="000A0EA1">
        <w:rPr>
          <w:i/>
          <w:iCs/>
          <w:lang w:val="en-CA"/>
        </w:rPr>
        <w:t xml:space="preserve"> </w:t>
      </w:r>
      <w:r w:rsidR="00B02E00" w:rsidRPr="000A0EA1">
        <w:rPr>
          <w:lang w:val="en-CA"/>
        </w:rPr>
        <w:t>school boards – which are run by elected commissioners who are responsible for organizing educational services and ensuring their quality – with school service centres whose primary mission is to provide services to schools. There is therefore a shift from a political body in charge of organizing school services for the population to an administrative body that provides services. This paradigm shift is reflected in the governance structure, with decision</w:t>
      </w:r>
      <w:r w:rsidR="00A03C41">
        <w:rPr>
          <w:lang w:val="en-CA"/>
        </w:rPr>
        <w:noBreakHyphen/>
      </w:r>
      <w:r w:rsidR="00B02E00" w:rsidRPr="000A0EA1">
        <w:rPr>
          <w:lang w:val="en-CA"/>
        </w:rPr>
        <w:t xml:space="preserve">making powers being for the most part conferred on school service centre staff acting largely in accordance with the many ministerial directives on pedagogical, budgetary and administrative matters. As explained earlier, </w:t>
      </w:r>
      <w:bookmarkStart w:id="68" w:name="_Hlk188258857"/>
      <w:r w:rsidR="00B02E00" w:rsidRPr="000A0EA1">
        <w:rPr>
          <w:lang w:val="en-CA"/>
        </w:rPr>
        <w:t>the role of the board of directors of a school service centre is now essentially one of oversight rather than direction,</w:t>
      </w:r>
      <w:bookmarkEnd w:id="68"/>
      <w:r w:rsidR="00B02E00" w:rsidRPr="000A0EA1">
        <w:rPr>
          <w:lang w:val="en-CA"/>
        </w:rPr>
        <w:t xml:space="preserve"> in keeping with its new mission. </w:t>
      </w:r>
    </w:p>
    <w:p w14:paraId="17F5F3A0" w14:textId="5123238C" w:rsidR="004C7649" w:rsidRPr="000A0EA1" w:rsidRDefault="00B02E00" w:rsidP="00B255B8">
      <w:pPr>
        <w:pStyle w:val="Paragraphe"/>
        <w:spacing w:line="240" w:lineRule="auto"/>
        <w:rPr>
          <w:lang w:val="en-CA"/>
        </w:rPr>
      </w:pPr>
      <w:r w:rsidRPr="000A0EA1">
        <w:rPr>
          <w:lang w:val="en-CA"/>
        </w:rPr>
        <w:t xml:space="preserve">While these significant changes in school organization and governance were the result of circumstances specific to the </w:t>
      </w:r>
      <w:r w:rsidR="00AE3408">
        <w:rPr>
          <w:lang w:val="en-CA"/>
        </w:rPr>
        <w:t>French</w:t>
      </w:r>
      <w:r w:rsidR="00AE3408">
        <w:rPr>
          <w:lang w:val="en-CA"/>
        </w:rPr>
        <w:noBreakHyphen/>
        <w:t>language</w:t>
      </w:r>
      <w:r w:rsidRPr="000A0EA1">
        <w:rPr>
          <w:lang w:val="en-CA"/>
        </w:rPr>
        <w:t xml:space="preserve"> sector, including low voter turnout in school elections</w:t>
      </w:r>
      <w:r w:rsidR="00F760A2">
        <w:rPr>
          <w:lang w:val="en-CA"/>
        </w:rPr>
        <w:t xml:space="preserve"> in that sector</w:t>
      </w:r>
      <w:r w:rsidRPr="000A0EA1">
        <w:rPr>
          <w:lang w:val="en-CA"/>
        </w:rPr>
        <w:t xml:space="preserve">, the evidence does not reveal that these changes address the needs of the </w:t>
      </w:r>
      <w:r w:rsidR="00AE3408">
        <w:rPr>
          <w:lang w:val="en-CA"/>
        </w:rPr>
        <w:t>English</w:t>
      </w:r>
      <w:r w:rsidR="00AE3408">
        <w:rPr>
          <w:lang w:val="en-CA"/>
        </w:rPr>
        <w:noBreakHyphen/>
        <w:t>language</w:t>
      </w:r>
      <w:r w:rsidRPr="000A0EA1">
        <w:rPr>
          <w:lang w:val="en-CA"/>
        </w:rPr>
        <w:t xml:space="preserve"> sector or respond to a request from the linguistic minority</w:t>
      </w:r>
      <w:r w:rsidR="00217131">
        <w:rPr>
          <w:lang w:val="en-CA"/>
        </w:rPr>
        <w:t xml:space="preserve"> –</w:t>
      </w:r>
      <w:r w:rsidRPr="000A0EA1">
        <w:rPr>
          <w:lang w:val="en-CA"/>
        </w:rPr>
        <w:t xml:space="preserve"> </w:t>
      </w:r>
      <w:r w:rsidR="00217131">
        <w:rPr>
          <w:lang w:val="en-CA"/>
        </w:rPr>
        <w:t xml:space="preserve">as, indeed, the trial judge determined as a </w:t>
      </w:r>
      <w:r w:rsidRPr="000A0EA1">
        <w:rPr>
          <w:lang w:val="en-CA"/>
        </w:rPr>
        <w:t>finding of fact.</w:t>
      </w:r>
      <w:r w:rsidRPr="000A0EA1">
        <w:rPr>
          <w:rStyle w:val="Appelnotedebasdep"/>
          <w:lang w:val="en-CA"/>
        </w:rPr>
        <w:footnoteReference w:id="297"/>
      </w:r>
      <w:r w:rsidRPr="000A0EA1">
        <w:rPr>
          <w:lang w:val="en-CA"/>
        </w:rPr>
        <w:t xml:space="preserve"> </w:t>
      </w:r>
    </w:p>
    <w:p w14:paraId="17F5F3A1" w14:textId="1709FEDD" w:rsidR="004C7649" w:rsidRPr="000A0EA1" w:rsidRDefault="00C33BBC" w:rsidP="00B255B8">
      <w:pPr>
        <w:pStyle w:val="Paragraphe"/>
        <w:spacing w:line="240" w:lineRule="auto"/>
        <w:rPr>
          <w:lang w:val="en-CA"/>
        </w:rPr>
      </w:pPr>
      <w:r>
        <w:rPr>
          <w:i/>
          <w:iCs/>
          <w:lang w:val="en-CA"/>
        </w:rPr>
        <w:t>Bill 40</w:t>
      </w:r>
      <w:r w:rsidR="00B02E00" w:rsidRPr="000A0EA1">
        <w:rPr>
          <w:lang w:val="en-CA"/>
        </w:rPr>
        <w:t xml:space="preserve"> radically alters existing structures, in particular by fundamentally transforming school boards in response to political imperatives specific to the </w:t>
      </w:r>
      <w:r w:rsidR="00312FD9">
        <w:rPr>
          <w:lang w:val="en-CA"/>
        </w:rPr>
        <w:t>French</w:t>
      </w:r>
      <w:r w:rsidR="00312FD9">
        <w:rPr>
          <w:lang w:val="en-CA"/>
        </w:rPr>
        <w:noBreakHyphen/>
        <w:t>speaking</w:t>
      </w:r>
      <w:r w:rsidR="00B02E00" w:rsidRPr="000A0EA1">
        <w:rPr>
          <w:lang w:val="en-CA"/>
        </w:rPr>
        <w:t xml:space="preserve"> majority. The resulting paradigm shift </w:t>
      </w:r>
      <w:r w:rsidR="002B6026">
        <w:rPr>
          <w:lang w:val="en-CA"/>
        </w:rPr>
        <w:t>is</w:t>
      </w:r>
      <w:r w:rsidR="00B02E00" w:rsidRPr="000A0EA1">
        <w:rPr>
          <w:lang w:val="en-CA"/>
        </w:rPr>
        <w:t xml:space="preserve"> simply imposed on the </w:t>
      </w:r>
      <w:r w:rsidR="00312FD9">
        <w:rPr>
          <w:lang w:val="en-CA"/>
        </w:rPr>
        <w:t>English</w:t>
      </w:r>
      <w:r w:rsidR="00312FD9">
        <w:rPr>
          <w:lang w:val="en-CA"/>
        </w:rPr>
        <w:noBreakHyphen/>
        <w:t>speaking</w:t>
      </w:r>
      <w:r w:rsidR="00B02E00" w:rsidRPr="000A0EA1">
        <w:rPr>
          <w:lang w:val="en-CA"/>
        </w:rPr>
        <w:t xml:space="preserve"> sector, tailoring it slightly, but with little regard for the realities and needs of the linguistic minority. The judge</w:t>
      </w:r>
      <w:r w:rsidR="00E46AFD">
        <w:rPr>
          <w:lang w:val="en-CA"/>
        </w:rPr>
        <w:t>’</w:t>
      </w:r>
      <w:r w:rsidR="00B02E00" w:rsidRPr="000A0EA1">
        <w:rPr>
          <w:lang w:val="en-CA"/>
        </w:rPr>
        <w:t xml:space="preserve">s analysis of the evidence at paragraphs [329] to [339] of his reasons is particularly enlightening in this regard. </w:t>
      </w:r>
    </w:p>
    <w:p w14:paraId="17F5F3A2" w14:textId="5C2F3AF4" w:rsidR="004C7649" w:rsidRPr="000A0EA1" w:rsidRDefault="00B02E00" w:rsidP="00B255B8">
      <w:pPr>
        <w:pStyle w:val="Paragraphe"/>
        <w:spacing w:line="240" w:lineRule="auto"/>
        <w:rPr>
          <w:lang w:val="en-CA"/>
        </w:rPr>
      </w:pPr>
      <w:r w:rsidRPr="000A0EA1">
        <w:rPr>
          <w:lang w:val="en-CA"/>
        </w:rPr>
        <w:t>While it is not necessary to justify the legislative objective solely with respect to the linguistic minority, as the judge suggested,</w:t>
      </w:r>
      <w:r w:rsidRPr="000A0EA1">
        <w:rPr>
          <w:rStyle w:val="Appelnotedebasdep"/>
          <w:lang w:val="en-CA"/>
        </w:rPr>
        <w:footnoteReference w:id="298"/>
      </w:r>
      <w:r w:rsidRPr="000A0EA1">
        <w:rPr>
          <w:lang w:val="en-CA"/>
        </w:rPr>
        <w:t xml:space="preserve"> a legislative measure that is appropriate for the linguistic majority is not necessarily in and of itself a sufficient explanation to justify an infringement of a right guaranteed by </w:t>
      </w:r>
      <w:r w:rsidR="0062160E">
        <w:rPr>
          <w:lang w:val="en-CA"/>
        </w:rPr>
        <w:t>s. 2</w:t>
      </w:r>
      <w:r w:rsidRPr="000A0EA1">
        <w:rPr>
          <w:lang w:val="en-CA"/>
        </w:rPr>
        <w:t xml:space="preserve">3 of the </w:t>
      </w:r>
      <w:r w:rsidRPr="000A0EA1">
        <w:rPr>
          <w:i/>
          <w:iCs/>
          <w:lang w:val="en-CA"/>
        </w:rPr>
        <w:t>Charter</w:t>
      </w:r>
      <w:r w:rsidRPr="000A0EA1">
        <w:rPr>
          <w:lang w:val="en-CA"/>
        </w:rPr>
        <w:t xml:space="preserve">. </w:t>
      </w:r>
    </w:p>
    <w:p w14:paraId="17F5F3A3" w14:textId="05426D34" w:rsidR="004C7649" w:rsidRPr="000A0EA1" w:rsidRDefault="00B02E00" w:rsidP="00B255B8">
      <w:pPr>
        <w:pStyle w:val="Paragraphe"/>
        <w:spacing w:line="240" w:lineRule="auto"/>
        <w:rPr>
          <w:lang w:val="en-CA" w:eastAsia="fr-CA"/>
        </w:rPr>
      </w:pPr>
      <w:r w:rsidRPr="000A0EA1">
        <w:rPr>
          <w:lang w:val="en-CA" w:eastAsia="fr-CA"/>
        </w:rPr>
        <w:t>As Dickson,</w:t>
      </w:r>
      <w:r w:rsidR="002357A7">
        <w:rPr>
          <w:lang w:val="en-CA" w:eastAsia="fr-CA"/>
        </w:rPr>
        <w:t> </w:t>
      </w:r>
      <w:r w:rsidRPr="000A0EA1">
        <w:rPr>
          <w:lang w:val="en-CA" w:eastAsia="fr-CA"/>
        </w:rPr>
        <w:t xml:space="preserve">C.J. wrote in </w:t>
      </w:r>
      <w:proofErr w:type="spellStart"/>
      <w:r w:rsidRPr="000A0EA1">
        <w:rPr>
          <w:i/>
          <w:iCs/>
          <w:lang w:val="en-CA" w:eastAsia="fr-CA"/>
        </w:rPr>
        <w:t>Mahe</w:t>
      </w:r>
      <w:proofErr w:type="spellEnd"/>
      <w:r w:rsidRPr="000A0EA1">
        <w:rPr>
          <w:lang w:val="en-CA" w:eastAsia="fr-CA"/>
        </w:rPr>
        <w:t>,</w:t>
      </w:r>
      <w:r w:rsidRPr="000A0EA1">
        <w:rPr>
          <w:rStyle w:val="Appelnotedebasdep"/>
          <w:lang w:val="en-CA"/>
        </w:rPr>
        <w:footnoteReference w:id="299"/>
      </w:r>
      <w:r w:rsidRPr="000A0EA1">
        <w:rPr>
          <w:lang w:val="en-CA" w:eastAsia="fr-CA"/>
        </w:rPr>
        <w:t xml:space="preserve"> </w:t>
      </w:r>
      <w:r w:rsidR="003F5C9D">
        <w:rPr>
          <w:lang w:val="en-CA" w:eastAsia="fr-CA"/>
        </w:rPr>
        <w:t xml:space="preserve">in </w:t>
      </w:r>
      <w:r w:rsidRPr="000A0EA1">
        <w:rPr>
          <w:lang w:val="en-CA" w:eastAsia="fr-CA"/>
        </w:rPr>
        <w:t xml:space="preserve">comments </w:t>
      </w:r>
      <w:r w:rsidR="003F5C9D">
        <w:rPr>
          <w:lang w:val="en-CA" w:eastAsia="fr-CA"/>
        </w:rPr>
        <w:t xml:space="preserve">that </w:t>
      </w:r>
      <w:r w:rsidRPr="000A0EA1">
        <w:rPr>
          <w:lang w:val="en-CA" w:eastAsia="fr-CA"/>
        </w:rPr>
        <w:t xml:space="preserve">were reiterated in </w:t>
      </w:r>
      <w:r w:rsidRPr="000A0EA1">
        <w:rPr>
          <w:i/>
          <w:iCs/>
          <w:lang w:val="en-CA" w:eastAsia="fr-CA"/>
        </w:rPr>
        <w:t>Arsenault</w:t>
      </w:r>
      <w:r w:rsidR="003F5C9D">
        <w:rPr>
          <w:i/>
          <w:iCs/>
          <w:lang w:val="en-CA" w:eastAsia="fr-CA"/>
        </w:rPr>
        <w:noBreakHyphen/>
      </w:r>
      <w:r w:rsidRPr="000A0EA1">
        <w:rPr>
          <w:i/>
          <w:iCs/>
          <w:lang w:val="en-CA" w:eastAsia="fr-CA"/>
        </w:rPr>
        <w:t>Cameron</w:t>
      </w:r>
      <w:r w:rsidRPr="000A0EA1">
        <w:rPr>
          <w:lang w:val="en-CA" w:eastAsia="fr-CA"/>
        </w:rPr>
        <w:t>:</w:t>
      </w:r>
      <w:r w:rsidRPr="000A0EA1">
        <w:rPr>
          <w:rStyle w:val="Appelnotedebasdep"/>
          <w:lang w:val="en-CA"/>
        </w:rPr>
        <w:footnoteReference w:id="300"/>
      </w:r>
      <w:r w:rsidRPr="000A0EA1">
        <w:rPr>
          <w:lang w:val="en-CA" w:eastAsia="fr-CA"/>
        </w:rPr>
        <w:t xml:space="preserve"> </w:t>
      </w:r>
      <w:r w:rsidR="00E46AFD">
        <w:rPr>
          <w:lang w:val="en-CA" w:eastAsia="fr-CA"/>
        </w:rPr>
        <w:t>“</w:t>
      </w:r>
      <w:r w:rsidRPr="000A0EA1">
        <w:rPr>
          <w:lang w:val="en-CA" w:eastAsia="fr-CA"/>
        </w:rPr>
        <w:t>[…] the specific form of educational system provided to the minority need not be identical to that provided to the majority.</w:t>
      </w:r>
      <w:r w:rsidR="00AC60FF">
        <w:rPr>
          <w:lang w:val="en-CA" w:eastAsia="fr-CA"/>
        </w:rPr>
        <w:t xml:space="preserve"> </w:t>
      </w:r>
      <w:r w:rsidRPr="000A0EA1">
        <w:rPr>
          <w:lang w:val="en-CA" w:eastAsia="fr-CA"/>
        </w:rPr>
        <w:t xml:space="preserve">The different circumstances under which various schools find themselves, as well as the demands of a minority </w:t>
      </w:r>
      <w:r w:rsidRPr="000A0EA1">
        <w:rPr>
          <w:lang w:val="en-CA" w:eastAsia="fr-CA"/>
        </w:rPr>
        <w:lastRenderedPageBreak/>
        <w:t>language education itself, make such a requirement impractical and undesirable</w:t>
      </w:r>
      <w:r w:rsidR="00E46AFD">
        <w:rPr>
          <w:lang w:val="en-CA" w:eastAsia="fr-CA"/>
        </w:rPr>
        <w:t>”</w:t>
      </w:r>
      <w:r w:rsidRPr="000A0EA1">
        <w:rPr>
          <w:lang w:val="en-CA" w:eastAsia="fr-CA"/>
        </w:rPr>
        <w:t xml:space="preserve">. It follows that the justification for a </w:t>
      </w:r>
      <w:r w:rsidRPr="000A0EA1">
        <w:rPr>
          <w:i/>
          <w:iCs/>
          <w:lang w:val="en-CA" w:eastAsia="fr-CA"/>
        </w:rPr>
        <w:t>Charter</w:t>
      </w:r>
      <w:r w:rsidRPr="000A0EA1">
        <w:rPr>
          <w:lang w:val="en-CA" w:eastAsia="fr-CA"/>
        </w:rPr>
        <w:t xml:space="preserve"> infringement cannot simply be the desire to take the management model applicable to the linguistic majority and </w:t>
      </w:r>
      <w:r w:rsidR="0002466D">
        <w:rPr>
          <w:lang w:val="en-CA" w:eastAsia="fr-CA"/>
        </w:rPr>
        <w:t xml:space="preserve">trace </w:t>
      </w:r>
      <w:r w:rsidRPr="000A0EA1">
        <w:rPr>
          <w:lang w:val="en-CA" w:eastAsia="fr-CA"/>
        </w:rPr>
        <w:t xml:space="preserve">it </w:t>
      </w:r>
      <w:r w:rsidR="0002466D">
        <w:rPr>
          <w:lang w:val="en-CA" w:eastAsia="fr-CA"/>
        </w:rPr>
        <w:t xml:space="preserve">onto </w:t>
      </w:r>
      <w:r w:rsidRPr="000A0EA1">
        <w:rPr>
          <w:lang w:val="en-CA" w:eastAsia="fr-CA"/>
        </w:rPr>
        <w:t>the linguistic minority.</w:t>
      </w:r>
    </w:p>
    <w:p w14:paraId="17F5F3A4" w14:textId="03D09B00" w:rsidR="004C7649" w:rsidRPr="000A0EA1" w:rsidRDefault="006D0513" w:rsidP="00B255B8">
      <w:pPr>
        <w:pStyle w:val="Paragraphe"/>
        <w:spacing w:line="240" w:lineRule="auto"/>
        <w:rPr>
          <w:lang w:val="en-CA"/>
        </w:rPr>
      </w:pPr>
      <w:r>
        <w:rPr>
          <w:lang w:val="en-CA"/>
        </w:rPr>
        <w:t>A</w:t>
      </w:r>
      <w:r w:rsidR="00B02E00" w:rsidRPr="000A0EA1">
        <w:rPr>
          <w:lang w:val="en-CA"/>
        </w:rPr>
        <w:t>part from putting forward vague, commonplace objectives such as [</w:t>
      </w:r>
      <w:r w:rsidR="00F16205" w:rsidRPr="00F16205">
        <w:rPr>
          <w:smallCaps/>
          <w:lang w:val="en-CA"/>
        </w:rPr>
        <w:t>translation</w:t>
      </w:r>
      <w:r w:rsidR="00B02E00" w:rsidRPr="000A0EA1">
        <w:rPr>
          <w:lang w:val="en-CA"/>
        </w:rPr>
        <w:t>]</w:t>
      </w:r>
      <w:r w:rsidR="0095135B">
        <w:rPr>
          <w:lang w:val="en-CA"/>
        </w:rPr>
        <w:t> </w:t>
      </w:r>
      <w:r w:rsidR="00E46AFD">
        <w:rPr>
          <w:lang w:val="en-CA"/>
        </w:rPr>
        <w:t>“</w:t>
      </w:r>
      <w:r w:rsidR="00B02E00" w:rsidRPr="000A0EA1">
        <w:rPr>
          <w:lang w:val="en-CA"/>
        </w:rPr>
        <w:t>bring[</w:t>
      </w:r>
      <w:proofErr w:type="spellStart"/>
      <w:r w:rsidR="00B02E00" w:rsidRPr="000A0EA1">
        <w:rPr>
          <w:lang w:val="en-CA"/>
        </w:rPr>
        <w:t>ing</w:t>
      </w:r>
      <w:proofErr w:type="spellEnd"/>
      <w:r w:rsidR="00B02E00" w:rsidRPr="000A0EA1">
        <w:rPr>
          <w:lang w:val="en-CA"/>
        </w:rPr>
        <w:t>] the decision</w:t>
      </w:r>
      <w:r>
        <w:rPr>
          <w:lang w:val="en-CA"/>
        </w:rPr>
        <w:noBreakHyphen/>
      </w:r>
      <w:r w:rsidR="00B02E00" w:rsidRPr="000A0EA1">
        <w:rPr>
          <w:lang w:val="en-CA"/>
        </w:rPr>
        <w:t>making process closer to students</w:t>
      </w:r>
      <w:r w:rsidR="00E46AFD">
        <w:rPr>
          <w:lang w:val="en-CA"/>
        </w:rPr>
        <w:t>”</w:t>
      </w:r>
      <w:r w:rsidR="00B02E00" w:rsidRPr="000A0EA1">
        <w:rPr>
          <w:lang w:val="en-CA"/>
        </w:rPr>
        <w:t xml:space="preserve"> or [</w:t>
      </w:r>
      <w:r w:rsidR="00F16205" w:rsidRPr="00F16205">
        <w:rPr>
          <w:smallCaps/>
          <w:lang w:val="en-CA"/>
        </w:rPr>
        <w:t>translation</w:t>
      </w:r>
      <w:r w:rsidR="00B02E00" w:rsidRPr="000A0EA1">
        <w:rPr>
          <w:lang w:val="en-CA"/>
        </w:rPr>
        <w:t>]</w:t>
      </w:r>
      <w:r w:rsidR="0095135B">
        <w:rPr>
          <w:lang w:val="en-CA"/>
        </w:rPr>
        <w:t> </w:t>
      </w:r>
      <w:r w:rsidR="00E46AFD">
        <w:rPr>
          <w:lang w:val="en-CA"/>
        </w:rPr>
        <w:t>“</w:t>
      </w:r>
      <w:r w:rsidR="00B02E00" w:rsidRPr="000A0EA1">
        <w:rPr>
          <w:lang w:val="en-CA"/>
        </w:rPr>
        <w:t>giving parents a greater role in managing</w:t>
      </w:r>
      <w:r w:rsidR="00E46AFD">
        <w:rPr>
          <w:lang w:val="en-CA"/>
        </w:rPr>
        <w:t>”</w:t>
      </w:r>
      <w:r w:rsidR="00B02E00" w:rsidRPr="000A0EA1">
        <w:rPr>
          <w:rStyle w:val="Appelnotedebasdep"/>
          <w:lang w:val="en-CA"/>
        </w:rPr>
        <w:footnoteReference w:id="301"/>
      </w:r>
      <w:r w:rsidR="00B02E00" w:rsidRPr="000A0EA1">
        <w:rPr>
          <w:lang w:val="en-CA"/>
        </w:rPr>
        <w:t xml:space="preserve"> school service centres, the AGQ has not presented any real pressing and substantial concern that would justify the changes made to the governance model in the </w:t>
      </w:r>
      <w:r w:rsidR="00AE3408">
        <w:rPr>
          <w:lang w:val="en-CA"/>
        </w:rPr>
        <w:t>English</w:t>
      </w:r>
      <w:r w:rsidR="00AE3408">
        <w:rPr>
          <w:lang w:val="en-CA"/>
        </w:rPr>
        <w:noBreakHyphen/>
        <w:t>language</w:t>
      </w:r>
      <w:r w:rsidR="00B02E00" w:rsidRPr="000A0EA1">
        <w:rPr>
          <w:lang w:val="en-CA"/>
        </w:rPr>
        <w:t xml:space="preserve"> educational sector. </w:t>
      </w:r>
      <w:r w:rsidR="008C012B">
        <w:rPr>
          <w:lang w:val="en-CA"/>
        </w:rPr>
        <w:t>Moreover, t</w:t>
      </w:r>
      <w:r w:rsidR="00B02E00" w:rsidRPr="000A0EA1">
        <w:rPr>
          <w:lang w:val="en-CA"/>
        </w:rPr>
        <w:t xml:space="preserve">he AGQ has not put forward any serious pedagogical objective to justify the provisions of </w:t>
      </w:r>
      <w:r w:rsidR="00C33BBC">
        <w:rPr>
          <w:i/>
          <w:iCs/>
          <w:lang w:val="en-CA"/>
        </w:rPr>
        <w:t>Bill 40</w:t>
      </w:r>
      <w:r w:rsidR="00B02E00" w:rsidRPr="000A0EA1">
        <w:rPr>
          <w:lang w:val="en-CA"/>
        </w:rPr>
        <w:t xml:space="preserve"> that infringe </w:t>
      </w:r>
      <w:r w:rsidR="0062160E">
        <w:rPr>
          <w:lang w:val="en-CA"/>
        </w:rPr>
        <w:t>s. 2</w:t>
      </w:r>
      <w:r w:rsidR="00B02E00" w:rsidRPr="000A0EA1">
        <w:rPr>
          <w:lang w:val="en-CA"/>
        </w:rPr>
        <w:t xml:space="preserve">3 of the </w:t>
      </w:r>
      <w:r w:rsidR="00B02E00" w:rsidRPr="000A0EA1">
        <w:rPr>
          <w:i/>
          <w:iCs/>
          <w:lang w:val="en-CA"/>
        </w:rPr>
        <w:t>Charter</w:t>
      </w:r>
      <w:r w:rsidR="00B02E00" w:rsidRPr="000A0EA1">
        <w:rPr>
          <w:lang w:val="en-CA"/>
        </w:rPr>
        <w:t>.</w:t>
      </w:r>
    </w:p>
    <w:p w14:paraId="17F5F3A5" w14:textId="5610C18C" w:rsidR="004C7649" w:rsidRPr="000A0EA1" w:rsidRDefault="00B02E00" w:rsidP="00B255B8">
      <w:pPr>
        <w:pStyle w:val="Paragraphe"/>
        <w:spacing w:line="240" w:lineRule="auto"/>
        <w:rPr>
          <w:lang w:val="en-CA"/>
        </w:rPr>
      </w:pPr>
      <w:r w:rsidRPr="000A0EA1">
        <w:rPr>
          <w:lang w:val="en-CA"/>
        </w:rPr>
        <w:t xml:space="preserve">Consequently, the AGQ has failed to satisfy the first step of the analysis, which is to show that the infringing measures are in pursuit of a pressing and substantial objective. </w:t>
      </w:r>
      <w:r w:rsidR="002B6026">
        <w:rPr>
          <w:lang w:val="en-CA"/>
        </w:rPr>
        <w:t>The Court</w:t>
      </w:r>
      <w:r w:rsidRPr="000A0EA1">
        <w:rPr>
          <w:lang w:val="en-CA"/>
        </w:rPr>
        <w:t xml:space="preserve"> therefore agree</w:t>
      </w:r>
      <w:r w:rsidR="002B6026">
        <w:rPr>
          <w:lang w:val="en-CA"/>
        </w:rPr>
        <w:t>s</w:t>
      </w:r>
      <w:r w:rsidRPr="000A0EA1">
        <w:rPr>
          <w:lang w:val="en-CA"/>
        </w:rPr>
        <w:t xml:space="preserve"> with the </w:t>
      </w:r>
      <w:r w:rsidR="002B6026">
        <w:rPr>
          <w:lang w:val="en-CA"/>
        </w:rPr>
        <w:t xml:space="preserve">following </w:t>
      </w:r>
      <w:r w:rsidRPr="000A0EA1">
        <w:rPr>
          <w:lang w:val="en-CA"/>
        </w:rPr>
        <w:t xml:space="preserve">comments </w:t>
      </w:r>
      <w:r w:rsidR="008F67FC">
        <w:rPr>
          <w:lang w:val="en-CA"/>
        </w:rPr>
        <w:t>by the trial judge with regard to justification</w:t>
      </w:r>
      <w:r w:rsidRPr="000A0EA1">
        <w:rPr>
          <w:lang w:val="en-CA"/>
        </w:rPr>
        <w:t>:</w:t>
      </w:r>
    </w:p>
    <w:p w14:paraId="2BAC0F6E" w14:textId="77777777" w:rsidR="00873107" w:rsidRDefault="00B02E00" w:rsidP="00B255B8">
      <w:pPr>
        <w:pStyle w:val="Citationenretrait"/>
        <w:spacing w:line="240" w:lineRule="auto"/>
        <w:rPr>
          <w:szCs w:val="22"/>
          <w:lang w:val="en-CA"/>
        </w:rPr>
      </w:pPr>
      <w:r w:rsidRPr="000A0EA1">
        <w:rPr>
          <w:szCs w:val="22"/>
          <w:lang w:val="en-CA"/>
        </w:rPr>
        <w:t>[</w:t>
      </w:r>
      <w:r w:rsidR="00F16205" w:rsidRPr="00F16205">
        <w:rPr>
          <w:smallCaps/>
          <w:szCs w:val="22"/>
          <w:lang w:val="en-CA"/>
        </w:rPr>
        <w:t>translation</w:t>
      </w:r>
      <w:r w:rsidRPr="000A0EA1">
        <w:rPr>
          <w:szCs w:val="22"/>
          <w:lang w:val="en-CA"/>
        </w:rPr>
        <w:t>]</w:t>
      </w:r>
    </w:p>
    <w:p w14:paraId="17F5F3A6" w14:textId="02D8ABBB" w:rsidR="004C7649" w:rsidRPr="000A0EA1" w:rsidRDefault="00B02E00" w:rsidP="00B255B8">
      <w:pPr>
        <w:pStyle w:val="Citationenretrait"/>
        <w:spacing w:line="240" w:lineRule="auto"/>
        <w:rPr>
          <w:szCs w:val="22"/>
          <w:lang w:val="en-CA"/>
        </w:rPr>
      </w:pPr>
      <w:r w:rsidRPr="000A0EA1">
        <w:rPr>
          <w:szCs w:val="22"/>
          <w:lang w:val="en-CA"/>
        </w:rPr>
        <w:t>[404]</w:t>
      </w:r>
      <w:r w:rsidRPr="000A0EA1">
        <w:rPr>
          <w:szCs w:val="22"/>
          <w:lang w:val="en-CA"/>
        </w:rPr>
        <w:tab/>
        <w:t>The AGQ has failed to show what national pedagogical objectives were not reached by the existing system or would be improved with the new regime.</w:t>
      </w:r>
    </w:p>
    <w:p w14:paraId="17F5F3A7" w14:textId="77777777" w:rsidR="004C7649" w:rsidRPr="000A0EA1" w:rsidRDefault="00B02E00" w:rsidP="00B255B8">
      <w:pPr>
        <w:pStyle w:val="Citationenretrait"/>
        <w:spacing w:line="240" w:lineRule="auto"/>
        <w:rPr>
          <w:szCs w:val="22"/>
          <w:lang w:val="en-CA"/>
        </w:rPr>
      </w:pPr>
      <w:r w:rsidRPr="000A0EA1">
        <w:rPr>
          <w:szCs w:val="22"/>
          <w:lang w:val="en-CA"/>
        </w:rPr>
        <w:t>[405]</w:t>
      </w:r>
      <w:r w:rsidRPr="000A0EA1">
        <w:rPr>
          <w:szCs w:val="22"/>
          <w:lang w:val="en-CA"/>
        </w:rPr>
        <w:tab/>
        <w:t>The demonstration of the growing involvement of the Minister of Education and the rationalization of the local management structures, which form the bulk of the evidence adduced by the AGQ, do not justify the legislature preventing a great majority of rights holders from running for certain positions in school elections, or discouraging them from doing so, by prohibiting them from occupying the positions of chair or vice-chair or being the spokesperson for the school board.</w:t>
      </w:r>
    </w:p>
    <w:p w14:paraId="17F5F3A8" w14:textId="6B7B0757" w:rsidR="004C7649" w:rsidRPr="000A0EA1" w:rsidRDefault="00B02E00" w:rsidP="00B255B8">
      <w:pPr>
        <w:pStyle w:val="Citationenretrait"/>
        <w:spacing w:line="240" w:lineRule="auto"/>
        <w:rPr>
          <w:szCs w:val="22"/>
          <w:lang w:val="en-CA"/>
        </w:rPr>
      </w:pPr>
      <w:r w:rsidRPr="000A0EA1">
        <w:rPr>
          <w:szCs w:val="22"/>
          <w:lang w:val="en-CA"/>
        </w:rPr>
        <w:t>[406]</w:t>
      </w:r>
      <w:r w:rsidRPr="000A0EA1">
        <w:rPr>
          <w:szCs w:val="22"/>
          <w:lang w:val="en-CA"/>
        </w:rPr>
        <w:tab/>
        <w:t>They do not justify that these elected officials be excluded from the process of designing the commitment</w:t>
      </w:r>
      <w:r w:rsidR="000560D2">
        <w:rPr>
          <w:szCs w:val="22"/>
          <w:lang w:val="en-CA"/>
        </w:rPr>
        <w:noBreakHyphen/>
      </w:r>
      <w:r w:rsidRPr="000A0EA1">
        <w:rPr>
          <w:szCs w:val="22"/>
          <w:lang w:val="en-CA"/>
        </w:rPr>
        <w:t>to</w:t>
      </w:r>
      <w:r w:rsidR="000560D2">
        <w:rPr>
          <w:szCs w:val="22"/>
          <w:lang w:val="en-CA"/>
        </w:rPr>
        <w:noBreakHyphen/>
      </w:r>
      <w:r w:rsidRPr="000A0EA1">
        <w:rPr>
          <w:szCs w:val="22"/>
          <w:lang w:val="en-CA"/>
        </w:rPr>
        <w:t>student</w:t>
      </w:r>
      <w:r w:rsidR="000560D2">
        <w:rPr>
          <w:szCs w:val="22"/>
          <w:lang w:val="en-CA"/>
        </w:rPr>
        <w:noBreakHyphen/>
      </w:r>
      <w:r w:rsidRPr="000A0EA1">
        <w:rPr>
          <w:szCs w:val="22"/>
          <w:lang w:val="en-CA"/>
        </w:rPr>
        <w:t>success plan.</w:t>
      </w:r>
    </w:p>
    <w:p w14:paraId="17F5F3A9" w14:textId="77777777" w:rsidR="004C7649" w:rsidRPr="000A0EA1" w:rsidRDefault="00B02E00" w:rsidP="00B255B8">
      <w:pPr>
        <w:pStyle w:val="Citationenretrait"/>
        <w:spacing w:line="240" w:lineRule="auto"/>
        <w:rPr>
          <w:szCs w:val="22"/>
          <w:lang w:val="en-CA"/>
        </w:rPr>
      </w:pPr>
      <w:r w:rsidRPr="000A0EA1">
        <w:rPr>
          <w:szCs w:val="22"/>
          <w:lang w:val="en-CA"/>
        </w:rPr>
        <w:t>[407]</w:t>
      </w:r>
      <w:r w:rsidRPr="000A0EA1">
        <w:rPr>
          <w:szCs w:val="22"/>
          <w:lang w:val="en-CA"/>
        </w:rPr>
        <w:tab/>
        <w:t>They do not justify the Minister becoming so involved in the management of funds allocated to school boards that certain amounts transferred to them cannot be used.</w:t>
      </w:r>
    </w:p>
    <w:p w14:paraId="17F5F3AA" w14:textId="5A3B63E3" w:rsidR="004C7649" w:rsidRPr="000A0EA1" w:rsidRDefault="00B02E00" w:rsidP="00B255B8">
      <w:pPr>
        <w:pStyle w:val="Citationenretrait"/>
        <w:spacing w:line="240" w:lineRule="auto"/>
        <w:rPr>
          <w:szCs w:val="22"/>
          <w:lang w:val="en-CA"/>
        </w:rPr>
      </w:pPr>
      <w:r w:rsidRPr="000A0EA1">
        <w:rPr>
          <w:szCs w:val="22"/>
          <w:lang w:val="en-CA"/>
        </w:rPr>
        <w:t>[408]</w:t>
      </w:r>
      <w:r w:rsidRPr="000A0EA1">
        <w:rPr>
          <w:szCs w:val="22"/>
          <w:lang w:val="en-CA"/>
        </w:rPr>
        <w:tab/>
        <w:t xml:space="preserve">The legislature had the low voter turnout for school elections in mind. It appears, however, that </w:t>
      </w:r>
      <w:r w:rsidR="00AE3408">
        <w:rPr>
          <w:szCs w:val="22"/>
          <w:lang w:val="en-CA"/>
        </w:rPr>
        <w:t>English</w:t>
      </w:r>
      <w:r w:rsidR="00AE3408">
        <w:rPr>
          <w:szCs w:val="22"/>
          <w:lang w:val="en-CA"/>
        </w:rPr>
        <w:noBreakHyphen/>
        <w:t>language</w:t>
      </w:r>
      <w:r w:rsidRPr="000A0EA1">
        <w:rPr>
          <w:szCs w:val="22"/>
          <w:lang w:val="en-CA"/>
        </w:rPr>
        <w:t xml:space="preserve"> elector turnout is two to three times higher than </w:t>
      </w:r>
      <w:r w:rsidR="00312FD9">
        <w:rPr>
          <w:szCs w:val="22"/>
          <w:lang w:val="en-CA"/>
        </w:rPr>
        <w:t>French</w:t>
      </w:r>
      <w:r w:rsidR="00312FD9">
        <w:rPr>
          <w:szCs w:val="22"/>
          <w:lang w:val="en-CA"/>
        </w:rPr>
        <w:noBreakHyphen/>
        <w:t>speaking</w:t>
      </w:r>
      <w:r w:rsidRPr="000A0EA1">
        <w:rPr>
          <w:szCs w:val="22"/>
          <w:lang w:val="en-CA"/>
        </w:rPr>
        <w:t xml:space="preserve"> elector turnout. The Court does not see how restricting candidates will increase the number of electors and stir up greater interest in these elections.</w:t>
      </w:r>
    </w:p>
    <w:p w14:paraId="17F5F3AB" w14:textId="77777777" w:rsidR="004C7649" w:rsidRPr="000A0EA1" w:rsidRDefault="00B02E00" w:rsidP="00B255B8">
      <w:pPr>
        <w:pStyle w:val="Citationenretrait"/>
        <w:spacing w:line="240" w:lineRule="auto"/>
        <w:rPr>
          <w:szCs w:val="22"/>
          <w:lang w:val="en-CA"/>
        </w:rPr>
      </w:pPr>
      <w:r w:rsidRPr="000A0EA1">
        <w:rPr>
          <w:szCs w:val="22"/>
          <w:lang w:val="en-CA"/>
        </w:rPr>
        <w:t>[…]</w:t>
      </w:r>
    </w:p>
    <w:p w14:paraId="17F5F3AC" w14:textId="77777777" w:rsidR="004C7649" w:rsidRPr="000A0EA1" w:rsidRDefault="00B02E00" w:rsidP="00B255B8">
      <w:pPr>
        <w:pStyle w:val="Citationenretrait"/>
        <w:spacing w:line="240" w:lineRule="auto"/>
        <w:rPr>
          <w:szCs w:val="22"/>
          <w:lang w:val="en-CA" w:eastAsia="fr-CA"/>
        </w:rPr>
      </w:pPr>
      <w:r w:rsidRPr="000A0EA1">
        <w:rPr>
          <w:szCs w:val="22"/>
          <w:lang w:val="en-CA" w:eastAsia="fr-CA"/>
        </w:rPr>
        <w:lastRenderedPageBreak/>
        <w:t>[414]</w:t>
      </w:r>
      <w:r w:rsidRPr="000A0EA1">
        <w:rPr>
          <w:szCs w:val="22"/>
          <w:lang w:val="en-CA" w:eastAsia="fr-CA"/>
        </w:rPr>
        <w:tab/>
        <w:t>The approach suggested by the AGQ is too flexible and too broad, and it does not meet the justification test. The infringements have not been individually justified by an in-depth analysis.</w:t>
      </w:r>
    </w:p>
    <w:p w14:paraId="17F5F3AD" w14:textId="11C90F60" w:rsidR="004C7649" w:rsidRPr="000A0EA1" w:rsidRDefault="00B02E00" w:rsidP="00B255B8">
      <w:pPr>
        <w:pStyle w:val="Citationenretrait"/>
        <w:spacing w:line="240" w:lineRule="auto"/>
        <w:rPr>
          <w:szCs w:val="22"/>
          <w:lang w:val="en-CA" w:eastAsia="fr-CA"/>
        </w:rPr>
      </w:pPr>
      <w:r w:rsidRPr="000A0EA1">
        <w:rPr>
          <w:szCs w:val="22"/>
          <w:lang w:val="en-CA" w:eastAsia="fr-CA"/>
        </w:rPr>
        <w:t>[415]</w:t>
      </w:r>
      <w:r w:rsidRPr="000A0EA1">
        <w:rPr>
          <w:szCs w:val="22"/>
          <w:lang w:val="en-CA" w:eastAsia="fr-CA"/>
        </w:rPr>
        <w:tab/>
        <w:t xml:space="preserve">With respect to minimal impairment, the AGQ submits that it is not necessary to prove that the </w:t>
      </w:r>
      <w:r w:rsidR="00E44AEC">
        <w:rPr>
          <w:szCs w:val="22"/>
          <w:lang w:val="en-CA" w:eastAsia="fr-CA"/>
        </w:rPr>
        <w:t>legislat</w:t>
      </w:r>
      <w:r w:rsidR="002B6026">
        <w:rPr>
          <w:szCs w:val="22"/>
          <w:lang w:val="en-CA" w:eastAsia="fr-CA"/>
        </w:rPr>
        <w:t>or</w:t>
      </w:r>
      <w:r w:rsidR="00E44AEC">
        <w:rPr>
          <w:szCs w:val="22"/>
          <w:lang w:val="en-CA" w:eastAsia="fr-CA"/>
        </w:rPr>
        <w:t xml:space="preserve"> </w:t>
      </w:r>
      <w:r w:rsidRPr="000A0EA1">
        <w:rPr>
          <w:szCs w:val="22"/>
          <w:lang w:val="en-CA" w:eastAsia="fr-CA"/>
        </w:rPr>
        <w:t>has chosen the least restrictive means of achieving its end. He argues that it is sufficient for the chosen means to be among the range of reasonable solutions to effectively achieve the objectives. This range has not been established.</w:t>
      </w:r>
    </w:p>
    <w:p w14:paraId="17F5F3AE" w14:textId="3F78EEC0" w:rsidR="004C7649" w:rsidRPr="000A0EA1" w:rsidRDefault="00B02E00" w:rsidP="00B255B8">
      <w:pPr>
        <w:pStyle w:val="Citationenretrait"/>
        <w:spacing w:line="240" w:lineRule="auto"/>
        <w:rPr>
          <w:szCs w:val="22"/>
          <w:lang w:val="en-CA" w:eastAsia="fr-CA"/>
        </w:rPr>
      </w:pPr>
      <w:r w:rsidRPr="000A0EA1">
        <w:rPr>
          <w:szCs w:val="22"/>
          <w:lang w:val="en-CA" w:eastAsia="fr-CA"/>
        </w:rPr>
        <w:t>[416]</w:t>
      </w:r>
      <w:r w:rsidRPr="000A0EA1">
        <w:rPr>
          <w:szCs w:val="22"/>
          <w:lang w:val="en-CA" w:eastAsia="fr-CA"/>
        </w:rPr>
        <w:tab/>
        <w:t xml:space="preserve">The AGQ argues that the impairment is minimal insofar as the commissioners or trustees are not appointed by the </w:t>
      </w:r>
      <w:r w:rsidR="00312FD9">
        <w:rPr>
          <w:szCs w:val="22"/>
          <w:lang w:val="en-CA" w:eastAsia="fr-CA"/>
        </w:rPr>
        <w:t>French</w:t>
      </w:r>
      <w:r w:rsidR="00312FD9">
        <w:rPr>
          <w:szCs w:val="22"/>
          <w:lang w:val="en-CA" w:eastAsia="fr-CA"/>
        </w:rPr>
        <w:noBreakHyphen/>
        <w:t>speaking</w:t>
      </w:r>
      <w:r w:rsidRPr="000A0EA1">
        <w:rPr>
          <w:szCs w:val="22"/>
          <w:lang w:val="en-CA" w:eastAsia="fr-CA"/>
        </w:rPr>
        <w:t xml:space="preserve"> majority. The fact that certain aspects of control and management were preserved, while in several respects the </w:t>
      </w:r>
      <w:r w:rsidR="00E46AFD">
        <w:rPr>
          <w:szCs w:val="22"/>
          <w:lang w:val="en-CA" w:eastAsia="fr-CA"/>
        </w:rPr>
        <w:t>“</w:t>
      </w:r>
      <w:r w:rsidRPr="000A0EA1">
        <w:rPr>
          <w:szCs w:val="22"/>
          <w:lang w:val="en-CA" w:eastAsia="fr-CA"/>
        </w:rPr>
        <w:t>exclusive</w:t>
      </w:r>
      <w:r w:rsidR="00E46AFD">
        <w:rPr>
          <w:szCs w:val="22"/>
          <w:lang w:val="en-CA" w:eastAsia="fr-CA"/>
        </w:rPr>
        <w:t>”</w:t>
      </w:r>
      <w:r w:rsidRPr="000A0EA1">
        <w:rPr>
          <w:szCs w:val="22"/>
          <w:lang w:val="en-CA" w:eastAsia="fr-CA"/>
        </w:rPr>
        <w:t xml:space="preserve"> nature was removed, does not constitute a minimal impairment justifying the measure.</w:t>
      </w:r>
    </w:p>
    <w:p w14:paraId="17F5F3AF" w14:textId="24D11223" w:rsidR="00A95FAF" w:rsidRPr="000A0EA1" w:rsidRDefault="00403CE7" w:rsidP="00406B00">
      <w:pPr>
        <w:pStyle w:val="Citationenretrait"/>
        <w:spacing w:before="0" w:line="240" w:lineRule="auto"/>
        <w:jc w:val="right"/>
        <w:rPr>
          <w:szCs w:val="22"/>
          <w:lang w:val="en-CA" w:eastAsia="fr-CA"/>
        </w:rPr>
      </w:pPr>
      <w:r>
        <w:rPr>
          <w:szCs w:val="22"/>
          <w:lang w:val="en-CA" w:eastAsia="fr-CA"/>
        </w:rPr>
        <w:t>(</w:t>
      </w:r>
      <w:r w:rsidR="00B02E00" w:rsidRPr="000A0EA1">
        <w:rPr>
          <w:szCs w:val="22"/>
          <w:lang w:val="en-CA" w:eastAsia="fr-CA"/>
        </w:rPr>
        <w:t>Reference omitted</w:t>
      </w:r>
      <w:r>
        <w:rPr>
          <w:szCs w:val="22"/>
          <w:lang w:val="en-CA" w:eastAsia="fr-CA"/>
        </w:rPr>
        <w:t>)</w:t>
      </w:r>
    </w:p>
    <w:p w14:paraId="17F5F3B0" w14:textId="550F4ECD" w:rsidR="004C7649" w:rsidRPr="000A0EA1" w:rsidRDefault="00B02E00" w:rsidP="00B255B8">
      <w:pPr>
        <w:spacing w:before="120" w:after="120" w:line="240" w:lineRule="auto"/>
        <w:jc w:val="both"/>
        <w:rPr>
          <w:b/>
          <w:bCs/>
          <w:kern w:val="28"/>
          <w:u w:val="single"/>
          <w:lang w:val="en-CA"/>
        </w:rPr>
      </w:pPr>
      <w:r w:rsidRPr="000A0EA1">
        <w:rPr>
          <w:b/>
          <w:bCs/>
          <w:kern w:val="28"/>
          <w:u w:val="single"/>
          <w:lang w:val="en-CA"/>
        </w:rPr>
        <w:t xml:space="preserve">Did the trial judge err in concluding that </w:t>
      </w:r>
      <w:r w:rsidR="0062160E">
        <w:rPr>
          <w:b/>
          <w:bCs/>
          <w:kern w:val="28"/>
          <w:u w:val="single"/>
          <w:lang w:val="en-CA"/>
        </w:rPr>
        <w:t>s. 2</w:t>
      </w:r>
      <w:r w:rsidRPr="000A0EA1">
        <w:rPr>
          <w:b/>
          <w:bCs/>
          <w:kern w:val="28"/>
          <w:u w:val="single"/>
          <w:lang w:val="en-CA"/>
        </w:rPr>
        <w:t xml:space="preserve">3 of the </w:t>
      </w:r>
      <w:r w:rsidRPr="000A0EA1">
        <w:rPr>
          <w:b/>
          <w:bCs/>
          <w:i/>
          <w:iCs/>
          <w:kern w:val="28"/>
          <w:u w:val="single"/>
          <w:lang w:val="en-CA"/>
        </w:rPr>
        <w:t>Charter</w:t>
      </w:r>
      <w:r w:rsidRPr="000A0EA1">
        <w:rPr>
          <w:b/>
          <w:bCs/>
          <w:kern w:val="28"/>
          <w:u w:val="single"/>
          <w:lang w:val="en-CA"/>
        </w:rPr>
        <w:t xml:space="preserve"> imposes a duty </w:t>
      </w:r>
      <w:r w:rsidR="00CD2F47">
        <w:rPr>
          <w:b/>
          <w:bCs/>
          <w:kern w:val="28"/>
          <w:u w:val="single"/>
          <w:lang w:val="en-CA"/>
        </w:rPr>
        <w:t>to consult</w:t>
      </w:r>
      <w:r w:rsidRPr="000A0EA1">
        <w:rPr>
          <w:b/>
          <w:bCs/>
          <w:kern w:val="28"/>
          <w:u w:val="single"/>
          <w:lang w:val="en-CA"/>
        </w:rPr>
        <w:t xml:space="preserve"> on the state that applies as part of the law-making process and requires the National Assembly to respond to the concerns of Quebec</w:t>
      </w:r>
      <w:r w:rsidR="00E46AFD">
        <w:rPr>
          <w:b/>
          <w:bCs/>
          <w:kern w:val="28"/>
          <w:u w:val="single"/>
          <w:lang w:val="en-CA"/>
        </w:rPr>
        <w:t>’</w:t>
      </w:r>
      <w:r w:rsidRPr="000A0EA1">
        <w:rPr>
          <w:b/>
          <w:bCs/>
          <w:kern w:val="28"/>
          <w:u w:val="single"/>
          <w:lang w:val="en-CA"/>
        </w:rPr>
        <w:t xml:space="preserve">s </w:t>
      </w:r>
      <w:r w:rsidR="00312FD9">
        <w:rPr>
          <w:b/>
          <w:bCs/>
          <w:kern w:val="28"/>
          <w:u w:val="single"/>
          <w:lang w:val="en-CA"/>
        </w:rPr>
        <w:t>English</w:t>
      </w:r>
      <w:r w:rsidR="00312FD9">
        <w:rPr>
          <w:b/>
          <w:bCs/>
          <w:kern w:val="28"/>
          <w:u w:val="single"/>
          <w:lang w:val="en-CA"/>
        </w:rPr>
        <w:noBreakHyphen/>
        <w:t>speaking</w:t>
      </w:r>
      <w:r w:rsidRPr="000A0EA1">
        <w:rPr>
          <w:b/>
          <w:bCs/>
          <w:kern w:val="28"/>
          <w:u w:val="single"/>
          <w:lang w:val="en-CA"/>
        </w:rPr>
        <w:t xml:space="preserve"> community?</w:t>
      </w:r>
    </w:p>
    <w:p w14:paraId="17F5F3B1" w14:textId="46875CE1" w:rsidR="004C7649" w:rsidRPr="000A0EA1" w:rsidRDefault="00B02E00" w:rsidP="00B255B8">
      <w:pPr>
        <w:pStyle w:val="Paragraphe"/>
        <w:spacing w:line="240" w:lineRule="auto"/>
        <w:rPr>
          <w:lang w:val="en-CA"/>
        </w:rPr>
      </w:pPr>
      <w:r w:rsidRPr="000A0EA1">
        <w:rPr>
          <w:lang w:val="en-CA"/>
        </w:rPr>
        <w:t>The AGQ questions the trial judge</w:t>
      </w:r>
      <w:r w:rsidR="00E46AFD">
        <w:rPr>
          <w:lang w:val="en-CA"/>
        </w:rPr>
        <w:t>’</w:t>
      </w:r>
      <w:r w:rsidRPr="000A0EA1">
        <w:rPr>
          <w:lang w:val="en-CA"/>
        </w:rPr>
        <w:t>s conclusion that [</w:t>
      </w:r>
      <w:r w:rsidR="00F16205" w:rsidRPr="00F16205">
        <w:rPr>
          <w:smallCaps/>
          <w:lang w:val="en-CA"/>
        </w:rPr>
        <w:t>translation</w:t>
      </w:r>
      <w:r w:rsidRPr="000A0EA1">
        <w:rPr>
          <w:lang w:val="en-CA"/>
        </w:rPr>
        <w:t>]</w:t>
      </w:r>
      <w:r w:rsidR="000F395E">
        <w:rPr>
          <w:lang w:val="en-CA"/>
        </w:rPr>
        <w:t> </w:t>
      </w:r>
      <w:r w:rsidR="00E46AFD">
        <w:rPr>
          <w:lang w:val="en-CA"/>
        </w:rPr>
        <w:t>“</w:t>
      </w:r>
      <w:r w:rsidRPr="000A0EA1">
        <w:rPr>
          <w:lang w:val="en-CA"/>
        </w:rPr>
        <w:t>[g]</w:t>
      </w:r>
      <w:proofErr w:type="spellStart"/>
      <w:r w:rsidRPr="000A0EA1">
        <w:rPr>
          <w:lang w:val="en-CA"/>
        </w:rPr>
        <w:t>overnments</w:t>
      </w:r>
      <w:proofErr w:type="spellEnd"/>
      <w:r w:rsidRPr="000A0EA1">
        <w:rPr>
          <w:lang w:val="en-CA"/>
        </w:rPr>
        <w:t>, including legislatures, must take into account the needs and concerns of the linguistic minority when adopting statutes and imposing decisions</w:t>
      </w:r>
      <w:r w:rsidR="00E46AFD">
        <w:rPr>
          <w:lang w:val="en-CA"/>
        </w:rPr>
        <w:t>”</w:t>
      </w:r>
      <w:r w:rsidRPr="000A0EA1">
        <w:rPr>
          <w:lang w:val="en-CA"/>
        </w:rPr>
        <w:t>.</w:t>
      </w:r>
      <w:r w:rsidRPr="000A0EA1">
        <w:rPr>
          <w:rStyle w:val="Appelnotedebasdep"/>
          <w:lang w:val="en-CA"/>
        </w:rPr>
        <w:footnoteReference w:id="302"/>
      </w:r>
      <w:r w:rsidRPr="000A0EA1">
        <w:rPr>
          <w:lang w:val="en-CA"/>
        </w:rPr>
        <w:t xml:space="preserve"> In particular, he objects to the judge</w:t>
      </w:r>
      <w:r w:rsidR="00E46AFD">
        <w:rPr>
          <w:lang w:val="en-CA"/>
        </w:rPr>
        <w:t>’</w:t>
      </w:r>
      <w:r w:rsidRPr="000A0EA1">
        <w:rPr>
          <w:lang w:val="en-CA"/>
        </w:rPr>
        <w:t>s statement that the government</w:t>
      </w:r>
      <w:r w:rsidR="00E46AFD">
        <w:rPr>
          <w:lang w:val="en-CA"/>
        </w:rPr>
        <w:t>’</w:t>
      </w:r>
      <w:r w:rsidRPr="000A0EA1">
        <w:rPr>
          <w:lang w:val="en-CA"/>
        </w:rPr>
        <w:t>s duty in this case goes beyond consultation and involves an obligation of result aimed at meeting the needs of the linguistic minority.</w:t>
      </w:r>
      <w:r w:rsidRPr="000A0EA1">
        <w:rPr>
          <w:rStyle w:val="Appelnotedebasdep"/>
          <w:lang w:val="en-CA"/>
        </w:rPr>
        <w:footnoteReference w:id="303"/>
      </w:r>
      <w:r w:rsidRPr="000A0EA1">
        <w:rPr>
          <w:lang w:val="en-CA"/>
        </w:rPr>
        <w:t xml:space="preserve"> He also disagrees with the judge</w:t>
      </w:r>
      <w:r w:rsidR="00E46AFD">
        <w:rPr>
          <w:lang w:val="en-CA"/>
        </w:rPr>
        <w:t>’</w:t>
      </w:r>
      <w:r w:rsidRPr="000A0EA1">
        <w:rPr>
          <w:lang w:val="en-CA"/>
        </w:rPr>
        <w:t xml:space="preserve">s conclusion suggesting that the Superior Court could supervise this consultation </w:t>
      </w:r>
      <w:r w:rsidR="00CD2F47">
        <w:rPr>
          <w:lang w:val="en-CA"/>
        </w:rPr>
        <w:t xml:space="preserve">process within </w:t>
      </w:r>
      <w:r w:rsidRPr="000A0EA1">
        <w:rPr>
          <w:lang w:val="en-CA"/>
        </w:rPr>
        <w:t>the law</w:t>
      </w:r>
      <w:r w:rsidR="00A17C42">
        <w:rPr>
          <w:lang w:val="en-CA"/>
        </w:rPr>
        <w:t>-</w:t>
      </w:r>
      <w:r w:rsidR="00CD2F47">
        <w:rPr>
          <w:lang w:val="en-CA"/>
        </w:rPr>
        <w:t>m</w:t>
      </w:r>
      <w:r w:rsidRPr="000A0EA1">
        <w:rPr>
          <w:lang w:val="en-CA"/>
        </w:rPr>
        <w:t>aking proce</w:t>
      </w:r>
      <w:r w:rsidR="00CD2F47">
        <w:rPr>
          <w:lang w:val="en-CA"/>
        </w:rPr>
        <w:t>dure</w:t>
      </w:r>
      <w:r w:rsidRPr="000A0EA1">
        <w:rPr>
          <w:lang w:val="en-CA"/>
        </w:rPr>
        <w:t xml:space="preserve"> </w:t>
      </w:r>
      <w:r w:rsidR="00CD2F47">
        <w:rPr>
          <w:lang w:val="en-CA"/>
        </w:rPr>
        <w:t xml:space="preserve">seeking </w:t>
      </w:r>
      <w:r w:rsidRPr="000A0EA1">
        <w:rPr>
          <w:lang w:val="en-CA"/>
        </w:rPr>
        <w:t>to replace the provisions that have been declared inoperative.</w:t>
      </w:r>
      <w:r w:rsidRPr="000A0EA1">
        <w:rPr>
          <w:rStyle w:val="Appelnotedebasdep"/>
          <w:lang w:val="en-CA"/>
        </w:rPr>
        <w:footnoteReference w:id="304"/>
      </w:r>
      <w:r w:rsidRPr="000A0EA1">
        <w:rPr>
          <w:lang w:val="en-CA"/>
        </w:rPr>
        <w:t xml:space="preserve"> </w:t>
      </w:r>
    </w:p>
    <w:p w14:paraId="17F5F3B2" w14:textId="6582D98F" w:rsidR="004C7649" w:rsidRPr="000A0EA1" w:rsidRDefault="00B02E00" w:rsidP="00B255B8">
      <w:pPr>
        <w:pStyle w:val="Paragraphe"/>
        <w:spacing w:line="240" w:lineRule="auto"/>
        <w:rPr>
          <w:lang w:val="en-CA"/>
        </w:rPr>
      </w:pPr>
      <w:r w:rsidRPr="000A0EA1">
        <w:rPr>
          <w:lang w:val="en-CA"/>
        </w:rPr>
        <w:t>In the AGQ</w:t>
      </w:r>
      <w:r w:rsidR="00E46AFD">
        <w:rPr>
          <w:lang w:val="en-CA"/>
        </w:rPr>
        <w:t>’</w:t>
      </w:r>
      <w:r w:rsidRPr="000A0EA1">
        <w:rPr>
          <w:lang w:val="en-CA"/>
        </w:rPr>
        <w:t>s view, the constitutional principles of the separation of powers, parliamentary sovereignty and parliamentary privilege are incompatible with the recognition of a duty to consult on the part of the legislature.</w:t>
      </w:r>
      <w:r w:rsidRPr="000A0EA1">
        <w:rPr>
          <w:rStyle w:val="Appelnotedebasdep"/>
          <w:lang w:val="en-CA"/>
        </w:rPr>
        <w:footnoteReference w:id="305"/>
      </w:r>
      <w:r w:rsidRPr="000A0EA1">
        <w:rPr>
          <w:lang w:val="en-CA"/>
        </w:rPr>
        <w:t xml:space="preserve"> The judge</w:t>
      </w:r>
      <w:r w:rsidR="00E46AFD">
        <w:rPr>
          <w:lang w:val="en-CA"/>
        </w:rPr>
        <w:t>’</w:t>
      </w:r>
      <w:r w:rsidRPr="000A0EA1">
        <w:rPr>
          <w:lang w:val="en-CA"/>
        </w:rPr>
        <w:t xml:space="preserve">s conclusion to the contrary amounts to transferring legislative jurisdiction over education to </w:t>
      </w:r>
      <w:r w:rsidR="0062160E">
        <w:rPr>
          <w:lang w:val="en-CA"/>
        </w:rPr>
        <w:t>s. 2</w:t>
      </w:r>
      <w:r w:rsidRPr="000A0EA1">
        <w:rPr>
          <w:lang w:val="en-CA"/>
        </w:rPr>
        <w:t xml:space="preserve">3 rights holders, which is contrary to </w:t>
      </w:r>
      <w:r w:rsidR="0062160E">
        <w:rPr>
          <w:lang w:val="en-CA"/>
        </w:rPr>
        <w:t>s. 9</w:t>
      </w:r>
      <w:r w:rsidRPr="000A0EA1">
        <w:rPr>
          <w:lang w:val="en-CA"/>
        </w:rPr>
        <w:t xml:space="preserve">3 of the </w:t>
      </w:r>
      <w:r w:rsidRPr="000A0EA1">
        <w:rPr>
          <w:i/>
          <w:iCs/>
          <w:lang w:val="en-CA"/>
        </w:rPr>
        <w:t>Constitution Act,</w:t>
      </w:r>
      <w:r w:rsidR="00E97AF3">
        <w:rPr>
          <w:i/>
          <w:iCs/>
          <w:lang w:val="en-CA"/>
        </w:rPr>
        <w:t> </w:t>
      </w:r>
      <w:r w:rsidRPr="000A0EA1">
        <w:rPr>
          <w:i/>
          <w:iCs/>
          <w:lang w:val="en-CA"/>
        </w:rPr>
        <w:t>1867</w:t>
      </w:r>
      <w:r w:rsidRPr="000A0EA1">
        <w:rPr>
          <w:lang w:val="en-CA"/>
        </w:rPr>
        <w:t>, in which the provinces are given exclusive jurisdiction to enact laws in relation to education.</w:t>
      </w:r>
      <w:r w:rsidRPr="000A0EA1">
        <w:rPr>
          <w:rStyle w:val="Appelnotedebasdep"/>
          <w:lang w:val="en-CA"/>
        </w:rPr>
        <w:footnoteReference w:id="306"/>
      </w:r>
      <w:r w:rsidRPr="000A0EA1">
        <w:rPr>
          <w:lang w:val="en-CA"/>
        </w:rPr>
        <w:t xml:space="preserve"> The AGQ further submits that it is up to the provincial legislature to determine how it intends to fulfill its </w:t>
      </w:r>
      <w:r w:rsidRPr="000A0EA1">
        <w:rPr>
          <w:lang w:val="en-CA"/>
        </w:rPr>
        <w:lastRenderedPageBreak/>
        <w:t xml:space="preserve">obligations under </w:t>
      </w:r>
      <w:r w:rsidR="0062160E">
        <w:rPr>
          <w:lang w:val="en-CA"/>
        </w:rPr>
        <w:t>s. 2</w:t>
      </w:r>
      <w:r w:rsidRPr="000A0EA1">
        <w:rPr>
          <w:lang w:val="en-CA"/>
        </w:rPr>
        <w:t xml:space="preserve">3 of the </w:t>
      </w:r>
      <w:r w:rsidRPr="000A0EA1">
        <w:rPr>
          <w:i/>
          <w:iCs/>
          <w:lang w:val="en-CA"/>
        </w:rPr>
        <w:t>Charter</w:t>
      </w:r>
      <w:r w:rsidRPr="000A0EA1">
        <w:rPr>
          <w:lang w:val="en-CA"/>
        </w:rPr>
        <w:t>, provided legislation ultimately enacted is not otherwise incompatible with those obligations.</w:t>
      </w:r>
      <w:r w:rsidRPr="000A0EA1">
        <w:rPr>
          <w:rStyle w:val="Appelnotedebasdep"/>
          <w:lang w:val="en-CA"/>
        </w:rPr>
        <w:footnoteReference w:id="307"/>
      </w:r>
    </w:p>
    <w:p w14:paraId="17F5F3B3" w14:textId="6A57E362" w:rsidR="004C7649" w:rsidRPr="000A0EA1" w:rsidRDefault="00CD2F47" w:rsidP="00B255B8">
      <w:pPr>
        <w:pStyle w:val="Paragraphe"/>
        <w:spacing w:line="240" w:lineRule="auto"/>
        <w:rPr>
          <w:lang w:val="en-CA"/>
        </w:rPr>
      </w:pPr>
      <w:r>
        <w:rPr>
          <w:lang w:val="en-CA"/>
        </w:rPr>
        <w:t>The Court</w:t>
      </w:r>
      <w:r w:rsidR="00B02E00" w:rsidRPr="000A0EA1">
        <w:rPr>
          <w:lang w:val="en-CA"/>
        </w:rPr>
        <w:t xml:space="preserve"> agree</w:t>
      </w:r>
      <w:r>
        <w:rPr>
          <w:lang w:val="en-CA"/>
        </w:rPr>
        <w:t>s</w:t>
      </w:r>
      <w:r w:rsidR="00B02E00" w:rsidRPr="000A0EA1">
        <w:rPr>
          <w:lang w:val="en-CA"/>
        </w:rPr>
        <w:t xml:space="preserve"> with the AGQ</w:t>
      </w:r>
      <w:r w:rsidR="00E46AFD">
        <w:rPr>
          <w:lang w:val="en-CA"/>
        </w:rPr>
        <w:t>’</w:t>
      </w:r>
      <w:r w:rsidR="00B02E00" w:rsidRPr="000A0EA1">
        <w:rPr>
          <w:lang w:val="en-CA"/>
        </w:rPr>
        <w:t xml:space="preserve">s arguments that the trial judge erred in concluding that </w:t>
      </w:r>
      <w:r w:rsidR="0062160E">
        <w:rPr>
          <w:lang w:val="en-CA"/>
        </w:rPr>
        <w:t>s. 2</w:t>
      </w:r>
      <w:r w:rsidR="00B02E00" w:rsidRPr="000A0EA1">
        <w:rPr>
          <w:lang w:val="en-CA"/>
        </w:rPr>
        <w:t xml:space="preserve">3 of the </w:t>
      </w:r>
      <w:r w:rsidR="00B02E00" w:rsidRPr="000A0EA1">
        <w:rPr>
          <w:i/>
          <w:iCs/>
          <w:lang w:val="en-CA"/>
        </w:rPr>
        <w:t xml:space="preserve">Charter </w:t>
      </w:r>
      <w:r w:rsidR="00B02E00" w:rsidRPr="000A0EA1">
        <w:rPr>
          <w:lang w:val="en-CA"/>
        </w:rPr>
        <w:t>imposes a constitutional duty on the legislature to consult representatives of the linguistic minority, whether under the supervision of the Superior Court or otherwise, before enacting legislation with respect to education.</w:t>
      </w:r>
    </w:p>
    <w:p w14:paraId="17F5F3B4" w14:textId="3D164851" w:rsidR="004C7649" w:rsidRPr="000A0EA1" w:rsidRDefault="00B02E00" w:rsidP="00B255B8">
      <w:pPr>
        <w:pStyle w:val="Paragraphe"/>
        <w:spacing w:line="240" w:lineRule="auto"/>
        <w:rPr>
          <w:lang w:val="en-CA"/>
        </w:rPr>
      </w:pPr>
      <w:r w:rsidRPr="000A0EA1">
        <w:rPr>
          <w:lang w:val="en-CA"/>
        </w:rPr>
        <w:t>Generally speaking, legislatures have no constitutional duty to consult citizens before making laws, even when their legislation is likely to have a detrimental effect on citizens</w:t>
      </w:r>
      <w:r w:rsidR="00E46AFD">
        <w:rPr>
          <w:lang w:val="en-CA"/>
        </w:rPr>
        <w:t>’</w:t>
      </w:r>
      <w:r w:rsidRPr="000A0EA1">
        <w:rPr>
          <w:lang w:val="en-CA"/>
        </w:rPr>
        <w:t xml:space="preserve"> rights. This is so because of the principles of </w:t>
      </w:r>
      <w:r w:rsidR="00CD2F47">
        <w:rPr>
          <w:lang w:val="en-CA"/>
        </w:rPr>
        <w:t xml:space="preserve">the </w:t>
      </w:r>
      <w:r w:rsidRPr="000A0EA1">
        <w:rPr>
          <w:lang w:val="en-CA"/>
        </w:rPr>
        <w:t>separation of powers and parliamentary sovereignty.</w:t>
      </w:r>
      <w:r w:rsidRPr="000A0EA1">
        <w:rPr>
          <w:rStyle w:val="Appelnotedebasdep"/>
          <w:szCs w:val="24"/>
          <w:lang w:val="en-CA"/>
        </w:rPr>
        <w:footnoteReference w:id="308"/>
      </w:r>
      <w:r w:rsidRPr="000A0EA1">
        <w:rPr>
          <w:lang w:val="en-CA"/>
        </w:rPr>
        <w:t xml:space="preserve"> </w:t>
      </w:r>
    </w:p>
    <w:p w14:paraId="17F5F3B5" w14:textId="77777777" w:rsidR="004C7649" w:rsidRPr="000A0EA1" w:rsidRDefault="00B02E00" w:rsidP="00B255B8">
      <w:pPr>
        <w:pStyle w:val="Paragraphe"/>
        <w:spacing w:line="240" w:lineRule="auto"/>
        <w:rPr>
          <w:lang w:val="en-CA"/>
        </w:rPr>
      </w:pPr>
      <w:r w:rsidRPr="000A0EA1">
        <w:rPr>
          <w:lang w:val="en-CA"/>
        </w:rPr>
        <w:t xml:space="preserve">Certainly, the government must take the needs of the linguistic minority into account and try to meet them as far as possible when it comes to educational needs – for example, when deciding whether a sufficient number of children warrants opening a class, establishing a minority language educational facility, or creating an independent school board. </w:t>
      </w:r>
    </w:p>
    <w:p w14:paraId="17F5F3B6" w14:textId="077EE54F" w:rsidR="004C7649" w:rsidRPr="000A0EA1" w:rsidRDefault="00B02E00" w:rsidP="00B255B8">
      <w:pPr>
        <w:pStyle w:val="Paragraphe"/>
        <w:spacing w:line="240" w:lineRule="auto"/>
        <w:rPr>
          <w:lang w:val="en-CA"/>
        </w:rPr>
      </w:pPr>
      <w:r w:rsidRPr="000A0EA1">
        <w:rPr>
          <w:lang w:val="en-CA"/>
        </w:rPr>
        <w:t xml:space="preserve">The situation, however, is different when it comes to making laws. It goes without saying that if the legislature enacts a statute that proves to be incompatible with the rights of the linguistic minority, the statute may be invalidated by the courts, since legislative measures must respect the requirements of </w:t>
      </w:r>
      <w:r w:rsidR="0062160E">
        <w:rPr>
          <w:lang w:val="en-CA"/>
        </w:rPr>
        <w:t>s. 2</w:t>
      </w:r>
      <w:r w:rsidRPr="000A0EA1">
        <w:rPr>
          <w:lang w:val="en-CA"/>
        </w:rPr>
        <w:t xml:space="preserve">3 of the </w:t>
      </w:r>
      <w:r w:rsidRPr="000A0EA1">
        <w:rPr>
          <w:i/>
          <w:iCs/>
          <w:lang w:val="en-CA"/>
        </w:rPr>
        <w:t>Charter</w:t>
      </w:r>
      <w:r w:rsidRPr="000A0EA1">
        <w:rPr>
          <w:lang w:val="en-CA"/>
        </w:rPr>
        <w:t>.</w:t>
      </w:r>
      <w:r w:rsidRPr="000A0EA1">
        <w:rPr>
          <w:rStyle w:val="Appelnotedebasdep"/>
          <w:szCs w:val="24"/>
          <w:lang w:val="en-CA"/>
        </w:rPr>
        <w:footnoteReference w:id="309"/>
      </w:r>
      <w:r w:rsidRPr="000A0EA1">
        <w:rPr>
          <w:lang w:val="en-CA"/>
        </w:rPr>
        <w:t xml:space="preserve"> That said, while it may be politically </w:t>
      </w:r>
      <w:r w:rsidR="00CD2F47">
        <w:rPr>
          <w:lang w:val="en-CA"/>
        </w:rPr>
        <w:t>wise</w:t>
      </w:r>
      <w:r w:rsidRPr="000A0EA1">
        <w:rPr>
          <w:lang w:val="en-CA"/>
        </w:rPr>
        <w:t xml:space="preserve"> for the legislature to do so, the legislature has no constitutional duty to consult minority language representatives regarding the enactment of legislation in relation to education. </w:t>
      </w:r>
    </w:p>
    <w:p w14:paraId="17F5F3B7" w14:textId="28A908F5" w:rsidR="004C7649" w:rsidRPr="000A0EA1" w:rsidRDefault="00B02E00" w:rsidP="00B255B8">
      <w:pPr>
        <w:pStyle w:val="Paragraphe"/>
        <w:spacing w:line="240" w:lineRule="auto"/>
        <w:rPr>
          <w:lang w:val="en-CA"/>
        </w:rPr>
      </w:pPr>
      <w:r w:rsidRPr="000A0EA1">
        <w:rPr>
          <w:lang w:val="en-CA"/>
        </w:rPr>
        <w:t xml:space="preserve">Indeed, </w:t>
      </w:r>
      <w:r w:rsidR="0062160E">
        <w:rPr>
          <w:lang w:val="en-CA"/>
        </w:rPr>
        <w:t>s. 2</w:t>
      </w:r>
      <w:r w:rsidRPr="000A0EA1">
        <w:rPr>
          <w:lang w:val="en-CA"/>
        </w:rPr>
        <w:t xml:space="preserve">3 of the </w:t>
      </w:r>
      <w:r w:rsidRPr="000A0EA1">
        <w:rPr>
          <w:i/>
          <w:iCs/>
          <w:lang w:val="en-CA"/>
        </w:rPr>
        <w:t>Charter</w:t>
      </w:r>
      <w:r w:rsidRPr="000A0EA1">
        <w:rPr>
          <w:lang w:val="en-CA"/>
        </w:rPr>
        <w:t xml:space="preserve"> lays down a comprehensive code that establishes the scope of minority language educational rights.</w:t>
      </w:r>
      <w:r w:rsidRPr="000A0EA1">
        <w:rPr>
          <w:rStyle w:val="Appelnotedebasdep"/>
          <w:lang w:val="en-CA"/>
        </w:rPr>
        <w:footnoteReference w:id="310"/>
      </w:r>
      <w:r w:rsidRPr="000A0EA1">
        <w:rPr>
          <w:lang w:val="en-CA"/>
        </w:rPr>
        <w:t xml:space="preserve"> This is why, in </w:t>
      </w:r>
      <w:proofErr w:type="spellStart"/>
      <w:r w:rsidRPr="000A0EA1">
        <w:rPr>
          <w:i/>
          <w:iCs/>
          <w:lang w:val="en-CA"/>
        </w:rPr>
        <w:t>Mahe</w:t>
      </w:r>
      <w:proofErr w:type="spellEnd"/>
      <w:r w:rsidRPr="000A0EA1">
        <w:rPr>
          <w:lang w:val="en-CA"/>
        </w:rPr>
        <w:t xml:space="preserve">, the Supreme Court rejected the argument that </w:t>
      </w:r>
      <w:r w:rsidR="0062160E">
        <w:rPr>
          <w:lang w:val="en-CA"/>
        </w:rPr>
        <w:t>s. 2</w:t>
      </w:r>
      <w:r w:rsidRPr="000A0EA1">
        <w:rPr>
          <w:lang w:val="en-CA"/>
        </w:rPr>
        <w:t>3 should be interpreted in light of s</w:t>
      </w:r>
      <w:r w:rsidR="0062160E">
        <w:rPr>
          <w:lang w:val="en-CA"/>
        </w:rPr>
        <w:t>s. 1</w:t>
      </w:r>
      <w:r w:rsidRPr="000A0EA1">
        <w:rPr>
          <w:lang w:val="en-CA"/>
        </w:rPr>
        <w:t xml:space="preserve">5 (equality rights) and 27 (multiculturalism) of the </w:t>
      </w:r>
      <w:r w:rsidRPr="000A0EA1">
        <w:rPr>
          <w:i/>
          <w:iCs/>
          <w:lang w:val="en-CA"/>
        </w:rPr>
        <w:t>Charter</w:t>
      </w:r>
      <w:r w:rsidRPr="000A0EA1">
        <w:rPr>
          <w:lang w:val="en-CA"/>
        </w:rPr>
        <w:t>:</w:t>
      </w:r>
      <w:r w:rsidRPr="000A0EA1">
        <w:rPr>
          <w:rStyle w:val="Appelnotedebasdep"/>
          <w:lang w:val="en-CA"/>
        </w:rPr>
        <w:footnoteReference w:id="311"/>
      </w:r>
    </w:p>
    <w:p w14:paraId="17F5F3B8" w14:textId="76EE99C6" w:rsidR="004C7649" w:rsidRPr="000A0EA1" w:rsidRDefault="00B02E00" w:rsidP="00B255B8">
      <w:pPr>
        <w:pStyle w:val="Citationenretrait"/>
        <w:spacing w:line="240" w:lineRule="auto"/>
        <w:rPr>
          <w:lang w:val="en-CA"/>
        </w:rPr>
      </w:pPr>
      <w:r w:rsidRPr="000A0EA1">
        <w:rPr>
          <w:lang w:val="en-CA"/>
        </w:rPr>
        <w:t xml:space="preserve">While I agree that it is often useful to consider the relationship between different sections of the </w:t>
      </w:r>
      <w:r w:rsidRPr="000A0EA1">
        <w:rPr>
          <w:i/>
          <w:iCs/>
          <w:lang w:val="en-CA"/>
        </w:rPr>
        <w:t xml:space="preserve">Charter, </w:t>
      </w:r>
      <w:r w:rsidRPr="000A0EA1">
        <w:rPr>
          <w:lang w:val="en-CA"/>
        </w:rPr>
        <w:t xml:space="preserve">in the interpretation of </w:t>
      </w:r>
      <w:r w:rsidR="0062160E">
        <w:rPr>
          <w:lang w:val="en-CA"/>
        </w:rPr>
        <w:t>s. 2</w:t>
      </w:r>
      <w:r w:rsidRPr="000A0EA1">
        <w:rPr>
          <w:lang w:val="en-CA"/>
        </w:rPr>
        <w:t xml:space="preserve">3 I do not think it helpful in the present context to refer to either </w:t>
      </w:r>
      <w:r w:rsidR="0062160E">
        <w:rPr>
          <w:lang w:val="en-CA"/>
        </w:rPr>
        <w:t>s. 1</w:t>
      </w:r>
      <w:r w:rsidRPr="000A0EA1">
        <w:rPr>
          <w:lang w:val="en-CA"/>
        </w:rPr>
        <w:t xml:space="preserve">5 or </w:t>
      </w:r>
      <w:r w:rsidR="0062160E">
        <w:rPr>
          <w:lang w:val="en-CA"/>
        </w:rPr>
        <w:t>s. 2</w:t>
      </w:r>
      <w:r w:rsidRPr="000A0EA1">
        <w:rPr>
          <w:lang w:val="en-CA"/>
        </w:rPr>
        <w:t>7.</w:t>
      </w:r>
      <w:r w:rsidRPr="000A0EA1">
        <w:rPr>
          <w:i/>
          <w:iCs/>
          <w:lang w:val="en-CA"/>
        </w:rPr>
        <w:t xml:space="preserve"> </w:t>
      </w:r>
      <w:r w:rsidRPr="000A0EA1">
        <w:rPr>
          <w:u w:val="single"/>
          <w:lang w:val="en-CA"/>
        </w:rPr>
        <w:t>Section 23 provides a comprehensive code for minority language educational rights; it has its own internal qualifications and its own method of internal balancing</w:t>
      </w:r>
      <w:r w:rsidRPr="000A0EA1">
        <w:rPr>
          <w:lang w:val="en-CA"/>
        </w:rPr>
        <w:t>.</w:t>
      </w:r>
      <w:r w:rsidR="00AC60FF">
        <w:rPr>
          <w:lang w:val="en-CA"/>
        </w:rPr>
        <w:t xml:space="preserve"> </w:t>
      </w:r>
      <w:r w:rsidRPr="000A0EA1">
        <w:rPr>
          <w:lang w:val="en-CA"/>
        </w:rPr>
        <w:t>A notion of equality between Canada</w:t>
      </w:r>
      <w:r w:rsidR="00E46AFD">
        <w:rPr>
          <w:lang w:val="en-CA"/>
        </w:rPr>
        <w:t>’</w:t>
      </w:r>
      <w:r w:rsidRPr="000A0EA1">
        <w:rPr>
          <w:lang w:val="en-CA"/>
        </w:rPr>
        <w:t xml:space="preserve">s official language groups is obviously present in </w:t>
      </w:r>
      <w:r w:rsidR="0062160E">
        <w:rPr>
          <w:lang w:val="en-CA"/>
        </w:rPr>
        <w:t>s. 2</w:t>
      </w:r>
      <w:r w:rsidRPr="000A0EA1">
        <w:rPr>
          <w:lang w:val="en-CA"/>
        </w:rPr>
        <w:t>3.</w:t>
      </w:r>
      <w:r w:rsidR="00AC60FF">
        <w:rPr>
          <w:lang w:val="en-CA"/>
        </w:rPr>
        <w:t xml:space="preserve"> </w:t>
      </w:r>
      <w:r w:rsidRPr="000A0EA1">
        <w:rPr>
          <w:lang w:val="en-CA"/>
        </w:rPr>
        <w:t xml:space="preserve">Beyond </w:t>
      </w:r>
      <w:r w:rsidRPr="000A0EA1">
        <w:rPr>
          <w:lang w:val="en-CA"/>
        </w:rPr>
        <w:lastRenderedPageBreak/>
        <w:t>this, however, the section is, if anything, an exception to the provisions of s</w:t>
      </w:r>
      <w:r w:rsidR="0062160E">
        <w:rPr>
          <w:lang w:val="en-CA"/>
        </w:rPr>
        <w:t>s. 1</w:t>
      </w:r>
      <w:r w:rsidRPr="000A0EA1">
        <w:rPr>
          <w:lang w:val="en-CA"/>
        </w:rPr>
        <w:t>5 and 27 in that it accords these groups, the English and the French, special status in comparison to a</w:t>
      </w:r>
      <w:r w:rsidR="00FF3AC6">
        <w:rPr>
          <w:lang w:val="en-CA"/>
        </w:rPr>
        <w:t>l</w:t>
      </w:r>
      <w:r w:rsidRPr="000A0EA1">
        <w:rPr>
          <w:lang w:val="en-CA"/>
        </w:rPr>
        <w:t>l other linguistic groups in Canada.</w:t>
      </w:r>
    </w:p>
    <w:p w14:paraId="17F5F3B9" w14:textId="20B2E756" w:rsidR="004C7649" w:rsidRPr="000A0EA1" w:rsidRDefault="00403CE7" w:rsidP="00406B00">
      <w:pPr>
        <w:pStyle w:val="Citationenretrait"/>
        <w:spacing w:before="0" w:line="240" w:lineRule="auto"/>
        <w:jc w:val="right"/>
        <w:rPr>
          <w:lang w:val="en-CA"/>
        </w:rPr>
      </w:pPr>
      <w:r>
        <w:rPr>
          <w:lang w:val="en-CA"/>
        </w:rPr>
        <w:t>(</w:t>
      </w:r>
      <w:r w:rsidR="00B02E00" w:rsidRPr="000A0EA1">
        <w:rPr>
          <w:lang w:val="en-CA"/>
        </w:rPr>
        <w:t>Underlining added</w:t>
      </w:r>
      <w:r>
        <w:rPr>
          <w:lang w:val="en-CA"/>
        </w:rPr>
        <w:t>)</w:t>
      </w:r>
    </w:p>
    <w:p w14:paraId="17F5F3BA" w14:textId="5D629FEA" w:rsidR="004C7649" w:rsidRPr="000A0EA1" w:rsidRDefault="00B02E00" w:rsidP="00B255B8">
      <w:pPr>
        <w:pStyle w:val="Paragraphe"/>
        <w:spacing w:line="240" w:lineRule="auto"/>
        <w:rPr>
          <w:lang w:val="en-CA"/>
        </w:rPr>
      </w:pPr>
      <w:r w:rsidRPr="000A0EA1">
        <w:rPr>
          <w:lang w:val="en-CA"/>
        </w:rPr>
        <w:t>One must therefore reject the respondents</w:t>
      </w:r>
      <w:r w:rsidR="00E46AFD">
        <w:rPr>
          <w:lang w:val="en-CA"/>
        </w:rPr>
        <w:t>’</w:t>
      </w:r>
      <w:r w:rsidRPr="000A0EA1">
        <w:rPr>
          <w:lang w:val="en-CA"/>
        </w:rPr>
        <w:t xml:space="preserve"> proposal that </w:t>
      </w:r>
      <w:r w:rsidR="0062160E">
        <w:rPr>
          <w:lang w:val="en-CA"/>
        </w:rPr>
        <w:t>s. 2</w:t>
      </w:r>
      <w:r w:rsidRPr="000A0EA1">
        <w:rPr>
          <w:lang w:val="en-CA"/>
        </w:rPr>
        <w:t xml:space="preserve">3 of the </w:t>
      </w:r>
      <w:r w:rsidRPr="000A0EA1">
        <w:rPr>
          <w:i/>
          <w:iCs/>
          <w:lang w:val="en-CA"/>
        </w:rPr>
        <w:t xml:space="preserve">Charter </w:t>
      </w:r>
      <w:r w:rsidRPr="000A0EA1">
        <w:rPr>
          <w:lang w:val="en-CA"/>
        </w:rPr>
        <w:t xml:space="preserve">should be interpreted by </w:t>
      </w:r>
      <w:r w:rsidR="00CD2F47">
        <w:rPr>
          <w:lang w:val="en-CA"/>
        </w:rPr>
        <w:t>considering</w:t>
      </w:r>
      <w:r w:rsidRPr="000A0EA1">
        <w:rPr>
          <w:lang w:val="en-CA"/>
        </w:rPr>
        <w:t xml:space="preserve"> both the duty to consult Aboriginal peoples arising from </w:t>
      </w:r>
      <w:r w:rsidR="0062160E">
        <w:rPr>
          <w:lang w:val="en-CA"/>
        </w:rPr>
        <w:t>s. 3</w:t>
      </w:r>
      <w:r w:rsidRPr="000A0EA1">
        <w:rPr>
          <w:lang w:val="en-CA"/>
        </w:rPr>
        <w:t xml:space="preserve">5 of the </w:t>
      </w:r>
      <w:r w:rsidRPr="000A0EA1">
        <w:rPr>
          <w:i/>
          <w:iCs/>
          <w:lang w:val="en-CA"/>
        </w:rPr>
        <w:t>Constitution Act,</w:t>
      </w:r>
      <w:r w:rsidR="00D40105">
        <w:rPr>
          <w:i/>
          <w:iCs/>
          <w:lang w:val="en-CA"/>
        </w:rPr>
        <w:t> </w:t>
      </w:r>
      <w:r w:rsidRPr="000A0EA1">
        <w:rPr>
          <w:i/>
          <w:iCs/>
          <w:lang w:val="en-CA"/>
        </w:rPr>
        <w:t xml:space="preserve">1982 </w:t>
      </w:r>
      <w:r w:rsidRPr="000A0EA1">
        <w:rPr>
          <w:lang w:val="en-CA"/>
        </w:rPr>
        <w:t xml:space="preserve">and the right of workers to collectively bargain their working conditions stemming from the freedom of association guaranteed by </w:t>
      </w:r>
      <w:r w:rsidR="0062160E">
        <w:rPr>
          <w:lang w:val="en-CA"/>
        </w:rPr>
        <w:t>s. 2</w:t>
      </w:r>
      <w:r w:rsidRPr="000A0EA1">
        <w:rPr>
          <w:lang w:val="en-CA"/>
        </w:rPr>
        <w:t>(</w:t>
      </w:r>
      <w:r w:rsidRPr="000A0EA1">
        <w:rPr>
          <w:i/>
          <w:iCs/>
          <w:lang w:val="en-CA"/>
        </w:rPr>
        <w:t>d</w:t>
      </w:r>
      <w:r w:rsidRPr="000A0EA1">
        <w:rPr>
          <w:lang w:val="en-CA"/>
        </w:rPr>
        <w:t xml:space="preserve">) of the </w:t>
      </w:r>
      <w:r w:rsidRPr="000A0EA1">
        <w:rPr>
          <w:i/>
          <w:iCs/>
          <w:lang w:val="en-CA"/>
        </w:rPr>
        <w:t>Charter</w:t>
      </w:r>
      <w:r w:rsidRPr="000A0EA1">
        <w:rPr>
          <w:lang w:val="en-CA"/>
        </w:rPr>
        <w:t>.</w:t>
      </w:r>
      <w:r w:rsidRPr="000A0EA1">
        <w:rPr>
          <w:rStyle w:val="Appelnotedebasdep"/>
          <w:lang w:val="en-CA"/>
        </w:rPr>
        <w:footnoteReference w:id="312"/>
      </w:r>
      <w:r w:rsidRPr="000A0EA1">
        <w:rPr>
          <w:lang w:val="en-CA"/>
        </w:rPr>
        <w:t xml:space="preserve"> </w:t>
      </w:r>
    </w:p>
    <w:p w14:paraId="17F5F3BB" w14:textId="4FAE54D4" w:rsidR="004C7649" w:rsidRPr="000A0EA1" w:rsidRDefault="00B02E00" w:rsidP="00B255B8">
      <w:pPr>
        <w:pStyle w:val="Paragraphe"/>
        <w:spacing w:line="240" w:lineRule="auto"/>
        <w:rPr>
          <w:lang w:val="en-CA"/>
        </w:rPr>
      </w:pPr>
      <w:r w:rsidRPr="000A0EA1">
        <w:rPr>
          <w:lang w:val="en-CA"/>
        </w:rPr>
        <w:t xml:space="preserve">Not only is </w:t>
      </w:r>
      <w:r w:rsidR="0062160E">
        <w:rPr>
          <w:lang w:val="en-CA"/>
        </w:rPr>
        <w:t>s. 3</w:t>
      </w:r>
      <w:r w:rsidRPr="000A0EA1">
        <w:rPr>
          <w:lang w:val="en-CA"/>
        </w:rPr>
        <w:t xml:space="preserve">5 of the </w:t>
      </w:r>
      <w:r w:rsidRPr="000A0EA1">
        <w:rPr>
          <w:i/>
          <w:iCs/>
          <w:lang w:val="en-CA"/>
        </w:rPr>
        <w:t>Constitution Act,</w:t>
      </w:r>
      <w:r w:rsidR="00861544">
        <w:rPr>
          <w:i/>
          <w:iCs/>
          <w:lang w:val="en-CA"/>
        </w:rPr>
        <w:t> </w:t>
      </w:r>
      <w:r w:rsidRPr="000A0EA1">
        <w:rPr>
          <w:i/>
          <w:iCs/>
          <w:lang w:val="en-CA"/>
        </w:rPr>
        <w:t xml:space="preserve">1982 </w:t>
      </w:r>
      <w:r w:rsidRPr="000A0EA1">
        <w:rPr>
          <w:lang w:val="en-CA"/>
        </w:rPr>
        <w:t xml:space="preserve">not part of the </w:t>
      </w:r>
      <w:r w:rsidRPr="000A0EA1">
        <w:rPr>
          <w:i/>
          <w:iCs/>
          <w:lang w:val="en-CA"/>
        </w:rPr>
        <w:t>Charter</w:t>
      </w:r>
      <w:r w:rsidRPr="000A0EA1">
        <w:rPr>
          <w:lang w:val="en-CA"/>
        </w:rPr>
        <w:t>, but the resulting duty to consult is based on the fiduciary relationship of governments with Aboriginal peoples, which itself flows from the historical relationship between the Crown and Aboriginal peoples and from the honour of the Crown,</w:t>
      </w:r>
      <w:r w:rsidRPr="000A0EA1">
        <w:rPr>
          <w:rStyle w:val="Appelnotedebasdep"/>
          <w:lang w:val="en-CA"/>
        </w:rPr>
        <w:footnoteReference w:id="313"/>
      </w:r>
      <w:r w:rsidRPr="000A0EA1">
        <w:rPr>
          <w:lang w:val="en-CA"/>
        </w:rPr>
        <w:t xml:space="preserve"> which precludes any analogy for the purposes of </w:t>
      </w:r>
      <w:r w:rsidR="0062160E">
        <w:rPr>
          <w:lang w:val="en-CA"/>
        </w:rPr>
        <w:t>s. 2</w:t>
      </w:r>
      <w:r w:rsidRPr="000A0EA1">
        <w:rPr>
          <w:lang w:val="en-CA"/>
        </w:rPr>
        <w:t xml:space="preserve">3 of the </w:t>
      </w:r>
      <w:r w:rsidRPr="000A0EA1">
        <w:rPr>
          <w:i/>
          <w:iCs/>
          <w:lang w:val="en-CA"/>
        </w:rPr>
        <w:t>Charter</w:t>
      </w:r>
      <w:r w:rsidRPr="000A0EA1">
        <w:rPr>
          <w:lang w:val="en-CA"/>
        </w:rPr>
        <w:t xml:space="preserve">. </w:t>
      </w:r>
    </w:p>
    <w:p w14:paraId="17F5F3BC" w14:textId="4473577B" w:rsidR="004C7649" w:rsidRPr="000A0EA1" w:rsidRDefault="00B02E00" w:rsidP="00B255B8">
      <w:pPr>
        <w:pStyle w:val="Paragraphe"/>
        <w:spacing w:line="240" w:lineRule="auto"/>
        <w:rPr>
          <w:lang w:val="en-CA"/>
        </w:rPr>
      </w:pPr>
      <w:r w:rsidRPr="000A0EA1">
        <w:rPr>
          <w:lang w:val="en-CA"/>
        </w:rPr>
        <w:t xml:space="preserve">As for </w:t>
      </w:r>
      <w:r w:rsidR="0062160E">
        <w:rPr>
          <w:lang w:val="en-CA"/>
        </w:rPr>
        <w:t>s. 2</w:t>
      </w:r>
      <w:r w:rsidRPr="000A0EA1">
        <w:rPr>
          <w:lang w:val="en-CA"/>
        </w:rPr>
        <w:t>(</w:t>
      </w:r>
      <w:r w:rsidRPr="000A0EA1">
        <w:rPr>
          <w:i/>
          <w:iCs/>
          <w:lang w:val="en-CA"/>
        </w:rPr>
        <w:t>d</w:t>
      </w:r>
      <w:r w:rsidRPr="000A0EA1">
        <w:rPr>
          <w:lang w:val="en-CA"/>
        </w:rPr>
        <w:t xml:space="preserve">) of the </w:t>
      </w:r>
      <w:r w:rsidRPr="000A0EA1">
        <w:rPr>
          <w:i/>
          <w:iCs/>
          <w:lang w:val="en-CA"/>
        </w:rPr>
        <w:t>Charter</w:t>
      </w:r>
      <w:r w:rsidRPr="000A0EA1">
        <w:rPr>
          <w:lang w:val="en-CA"/>
        </w:rPr>
        <w:t>, while the right of association provided for therein does indeed include a limited right to collectively bargain working conditions,</w:t>
      </w:r>
      <w:r w:rsidRPr="000A0EA1">
        <w:rPr>
          <w:rStyle w:val="Appelnotedebasdep"/>
          <w:lang w:val="en-CA"/>
        </w:rPr>
        <w:footnoteReference w:id="314"/>
      </w:r>
      <w:r w:rsidRPr="000A0EA1">
        <w:rPr>
          <w:lang w:val="en-CA"/>
        </w:rPr>
        <w:t xml:space="preserve"> this right is also based on the specific history of labour relations in Canada and on international conventions dealing with industrial relations.</w:t>
      </w:r>
      <w:r w:rsidRPr="000A0EA1">
        <w:rPr>
          <w:rStyle w:val="Appelnotedebasdep"/>
          <w:lang w:val="en-CA"/>
        </w:rPr>
        <w:footnoteReference w:id="315"/>
      </w:r>
      <w:r w:rsidRPr="000A0EA1">
        <w:rPr>
          <w:lang w:val="en-CA"/>
        </w:rPr>
        <w:t xml:space="preserve"> It is therefore not appropriate to apply to </w:t>
      </w:r>
      <w:r w:rsidR="0062160E">
        <w:rPr>
          <w:lang w:val="en-CA"/>
        </w:rPr>
        <w:t>s. 2</w:t>
      </w:r>
      <w:r w:rsidRPr="000A0EA1">
        <w:rPr>
          <w:lang w:val="en-CA"/>
        </w:rPr>
        <w:t xml:space="preserve">3 of the </w:t>
      </w:r>
      <w:r w:rsidRPr="000A0EA1">
        <w:rPr>
          <w:i/>
          <w:iCs/>
          <w:lang w:val="en-CA"/>
        </w:rPr>
        <w:t>Charter</w:t>
      </w:r>
      <w:r w:rsidRPr="000A0EA1">
        <w:rPr>
          <w:lang w:val="en-CA"/>
        </w:rPr>
        <w:t xml:space="preserve"> – directly or even by analogy – principles derived from the right of association of workers and from </w:t>
      </w:r>
      <w:r w:rsidR="0062160E">
        <w:rPr>
          <w:lang w:val="en-CA"/>
        </w:rPr>
        <w:t>s. 2</w:t>
      </w:r>
      <w:r w:rsidRPr="000A0EA1">
        <w:rPr>
          <w:lang w:val="en-CA"/>
        </w:rPr>
        <w:t>(</w:t>
      </w:r>
      <w:r w:rsidRPr="000A0EA1">
        <w:rPr>
          <w:i/>
          <w:iCs/>
          <w:lang w:val="en-CA"/>
        </w:rPr>
        <w:t>d</w:t>
      </w:r>
      <w:r w:rsidRPr="000A0EA1">
        <w:rPr>
          <w:lang w:val="en-CA"/>
        </w:rPr>
        <w:t xml:space="preserve">). </w:t>
      </w:r>
    </w:p>
    <w:p w14:paraId="17F5F3BD" w14:textId="13001858" w:rsidR="004C7649" w:rsidRPr="000A0EA1" w:rsidRDefault="00B02E00" w:rsidP="00B255B8">
      <w:pPr>
        <w:pStyle w:val="Paragraphe"/>
        <w:spacing w:line="240" w:lineRule="auto"/>
        <w:rPr>
          <w:lang w:val="en-CA"/>
        </w:rPr>
      </w:pPr>
      <w:r w:rsidRPr="000A0EA1">
        <w:rPr>
          <w:lang w:val="en-CA"/>
        </w:rPr>
        <w:t xml:space="preserve">The duty to consult in relation to minority language educational rights – if such duty exists – must therefore </w:t>
      </w:r>
      <w:r w:rsidR="00994A46">
        <w:rPr>
          <w:lang w:val="en-CA"/>
        </w:rPr>
        <w:t>flow</w:t>
      </w:r>
      <w:r w:rsidRPr="000A0EA1">
        <w:rPr>
          <w:lang w:val="en-CA"/>
        </w:rPr>
        <w:t xml:space="preserve"> from </w:t>
      </w:r>
      <w:r w:rsidR="0062160E">
        <w:rPr>
          <w:lang w:val="en-CA"/>
        </w:rPr>
        <w:t>s. 2</w:t>
      </w:r>
      <w:r w:rsidRPr="000A0EA1">
        <w:rPr>
          <w:lang w:val="en-CA"/>
        </w:rPr>
        <w:t xml:space="preserve">3 itself. While the Supreme Court has recognized that this section imposes an obligation on governments to take the educational needs of the linguistic minority into account so as to ensure the </w:t>
      </w:r>
      <w:r w:rsidR="00994A46">
        <w:rPr>
          <w:lang w:val="en-CA"/>
        </w:rPr>
        <w:t xml:space="preserve">concrete </w:t>
      </w:r>
      <w:r w:rsidRPr="000A0EA1">
        <w:rPr>
          <w:lang w:val="en-CA"/>
        </w:rPr>
        <w:t xml:space="preserve">application of the rights conferred therein, it has not, to date, concluded that the legislature must consult the linguistic minority before enacting legislation. </w:t>
      </w:r>
    </w:p>
    <w:p w14:paraId="17F5F3BE" w14:textId="71EFF24B" w:rsidR="004C7649" w:rsidRPr="000A0EA1" w:rsidRDefault="00B02E00" w:rsidP="00B255B8">
      <w:pPr>
        <w:pStyle w:val="Paragraphe"/>
        <w:spacing w:line="240" w:lineRule="auto"/>
        <w:rPr>
          <w:lang w:val="en-CA"/>
        </w:rPr>
      </w:pPr>
      <w:r w:rsidRPr="000A0EA1">
        <w:rPr>
          <w:lang w:val="en-CA"/>
        </w:rPr>
        <w:t xml:space="preserve">In </w:t>
      </w:r>
      <w:r w:rsidRPr="000A0EA1">
        <w:rPr>
          <w:i/>
          <w:iCs/>
          <w:lang w:val="en-CA"/>
        </w:rPr>
        <w:t>Arsenault</w:t>
      </w:r>
      <w:r w:rsidR="00336124">
        <w:rPr>
          <w:i/>
          <w:iCs/>
          <w:lang w:val="en-CA"/>
        </w:rPr>
        <w:noBreakHyphen/>
      </w:r>
      <w:r w:rsidRPr="000A0EA1">
        <w:rPr>
          <w:i/>
          <w:iCs/>
          <w:lang w:val="en-CA"/>
        </w:rPr>
        <w:t>Cameron</w:t>
      </w:r>
      <w:r w:rsidRPr="000A0EA1">
        <w:rPr>
          <w:lang w:val="en-CA"/>
        </w:rPr>
        <w:t xml:space="preserve">, a ruling dealing with </w:t>
      </w:r>
      <w:r w:rsidR="0062160E">
        <w:rPr>
          <w:lang w:val="en-CA"/>
        </w:rPr>
        <w:t>s. 2</w:t>
      </w:r>
      <w:r w:rsidRPr="000A0EA1">
        <w:rPr>
          <w:lang w:val="en-CA"/>
        </w:rPr>
        <w:t xml:space="preserve">3 of the </w:t>
      </w:r>
      <w:r w:rsidRPr="000A0EA1">
        <w:rPr>
          <w:i/>
          <w:iCs/>
          <w:lang w:val="en-CA"/>
        </w:rPr>
        <w:t>Charter</w:t>
      </w:r>
      <w:r w:rsidRPr="000A0EA1">
        <w:rPr>
          <w:lang w:val="en-CA"/>
        </w:rPr>
        <w:t>,</w:t>
      </w:r>
      <w:r w:rsidRPr="000A0EA1">
        <w:rPr>
          <w:i/>
          <w:iCs/>
          <w:lang w:val="en-CA"/>
        </w:rPr>
        <w:t xml:space="preserve"> </w:t>
      </w:r>
      <w:r w:rsidRPr="000A0EA1">
        <w:rPr>
          <w:lang w:val="en-CA"/>
        </w:rPr>
        <w:t xml:space="preserve">Major and </w:t>
      </w:r>
      <w:proofErr w:type="spellStart"/>
      <w:r w:rsidRPr="000A0EA1">
        <w:rPr>
          <w:lang w:val="en-CA"/>
        </w:rPr>
        <w:t>Bastarache</w:t>
      </w:r>
      <w:proofErr w:type="spellEnd"/>
      <w:r w:rsidRPr="000A0EA1">
        <w:rPr>
          <w:lang w:val="en-CA"/>
        </w:rPr>
        <w:t>, JJ. emphasized the following:</w:t>
      </w:r>
      <w:r w:rsidRPr="000A0EA1">
        <w:rPr>
          <w:rStyle w:val="Appelnotedebasdep"/>
          <w:lang w:val="en-CA"/>
        </w:rPr>
        <w:footnoteReference w:id="316"/>
      </w:r>
    </w:p>
    <w:p w14:paraId="17F5F3BF" w14:textId="512915FA" w:rsidR="004C7649" w:rsidRPr="000A0EA1" w:rsidRDefault="00B02E00" w:rsidP="00B255B8">
      <w:pPr>
        <w:pStyle w:val="Citationenretrait"/>
        <w:spacing w:line="240" w:lineRule="auto"/>
        <w:rPr>
          <w:lang w:val="en-CA"/>
        </w:rPr>
      </w:pPr>
      <w:r w:rsidRPr="000A0EA1">
        <w:rPr>
          <w:lang w:val="en-CA"/>
        </w:rPr>
        <w:t>43</w:t>
      </w:r>
      <w:r w:rsidRPr="000A0EA1">
        <w:rPr>
          <w:lang w:val="en-CA"/>
        </w:rPr>
        <w:tab/>
        <w:t xml:space="preserve">[…] Where a minority language [school] board has been established in furtherance of </w:t>
      </w:r>
      <w:r w:rsidR="0062160E">
        <w:rPr>
          <w:lang w:val="en-CA"/>
        </w:rPr>
        <w:t>s. 2</w:t>
      </w:r>
      <w:r w:rsidRPr="000A0EA1">
        <w:rPr>
          <w:lang w:val="en-CA"/>
        </w:rPr>
        <w:t xml:space="preserve">3, it is up to the board, as it represents the minority official </w:t>
      </w:r>
      <w:r w:rsidRPr="000A0EA1">
        <w:rPr>
          <w:lang w:val="en-CA"/>
        </w:rPr>
        <w:lastRenderedPageBreak/>
        <w:t>language community, to decide what is more appropriate from a cultural and linguistic perspective.</w:t>
      </w:r>
      <w:r w:rsidR="00AC60FF">
        <w:rPr>
          <w:lang w:val="en-CA"/>
        </w:rPr>
        <w:t xml:space="preserve"> </w:t>
      </w:r>
      <w:r w:rsidRPr="000A0EA1">
        <w:rPr>
          <w:lang w:val="en-CA"/>
        </w:rPr>
        <w:t xml:space="preserve">The principal role of the Minister is to develop institutional structures and specific regulations and policies to deal with the unique blend of linguistic dynamics that has developed in the province (for example, see </w:t>
      </w:r>
      <w:r w:rsidRPr="000A0EA1">
        <w:rPr>
          <w:i/>
          <w:iCs/>
          <w:lang w:val="en-CA"/>
        </w:rPr>
        <w:t>Reference re Public Schools Act (Man.)</w:t>
      </w:r>
      <w:r w:rsidRPr="000A0EA1">
        <w:rPr>
          <w:lang w:val="en-CA"/>
        </w:rPr>
        <w:t xml:space="preserve">, </w:t>
      </w:r>
      <w:r w:rsidRPr="000A0EA1">
        <w:rPr>
          <w:i/>
          <w:iCs/>
          <w:lang w:val="en-CA"/>
        </w:rPr>
        <w:t>supra</w:t>
      </w:r>
      <w:r w:rsidRPr="000A0EA1">
        <w:rPr>
          <w:lang w:val="en-CA"/>
        </w:rPr>
        <w:t>, at p. 863).</w:t>
      </w:r>
    </w:p>
    <w:p w14:paraId="17F5F3C0" w14:textId="52C7356B" w:rsidR="004C7649" w:rsidRPr="000A0EA1" w:rsidRDefault="00B02E00" w:rsidP="00B255B8">
      <w:pPr>
        <w:pStyle w:val="Paragraphe"/>
        <w:spacing w:line="240" w:lineRule="auto"/>
        <w:rPr>
          <w:lang w:val="en-CA"/>
        </w:rPr>
      </w:pPr>
      <w:r w:rsidRPr="000A0EA1">
        <w:rPr>
          <w:lang w:val="en-CA"/>
        </w:rPr>
        <w:t>They added, however, that this obligation does not preclude provincial regulation:</w:t>
      </w:r>
    </w:p>
    <w:p w14:paraId="17F5F3C1" w14:textId="2DC7A9CA" w:rsidR="004C7649" w:rsidRPr="000A0EA1" w:rsidRDefault="00B02E00" w:rsidP="003D6559">
      <w:pPr>
        <w:pStyle w:val="Citationenretrait"/>
        <w:spacing w:after="240" w:line="240" w:lineRule="auto"/>
        <w:rPr>
          <w:lang w:val="en-CA"/>
        </w:rPr>
      </w:pPr>
      <w:r w:rsidRPr="000A0EA1">
        <w:rPr>
          <w:lang w:val="en-CA"/>
        </w:rPr>
        <w:t>53</w:t>
      </w:r>
      <w:r w:rsidRPr="000A0EA1">
        <w:rPr>
          <w:lang w:val="en-CA"/>
        </w:rPr>
        <w:tab/>
        <w:t>The province has a legitimate interest in the content and qualitative standards of educational programs for the official language communities and it can impose appropriate programs in so far as they do not interfere with the legitimate linguistic and cultural concerns of the minority.</w:t>
      </w:r>
      <w:r w:rsidR="00AC60FF">
        <w:rPr>
          <w:lang w:val="en-CA"/>
        </w:rPr>
        <w:t xml:space="preserve"> </w:t>
      </w:r>
      <w:r w:rsidRPr="000A0EA1">
        <w:rPr>
          <w:lang w:val="en-CA"/>
        </w:rPr>
        <w:t xml:space="preserve">School size, facilities, transportation and assembly of students can be regulated, but all have an effect on language and culture and must be regulated with regard to the specific circumstances of the minority and the purposes of </w:t>
      </w:r>
      <w:r w:rsidR="0062160E">
        <w:rPr>
          <w:lang w:val="en-CA"/>
        </w:rPr>
        <w:t>s. 2</w:t>
      </w:r>
      <w:r w:rsidRPr="000A0EA1">
        <w:rPr>
          <w:lang w:val="en-CA"/>
        </w:rPr>
        <w:t>3.</w:t>
      </w:r>
    </w:p>
    <w:p w14:paraId="17F5F3C2" w14:textId="43F2069B" w:rsidR="004C7649" w:rsidRPr="000A0EA1" w:rsidRDefault="00B02E00" w:rsidP="00B255B8">
      <w:pPr>
        <w:pStyle w:val="Paragraphe"/>
        <w:spacing w:line="240" w:lineRule="auto"/>
        <w:rPr>
          <w:lang w:val="en-CA"/>
        </w:rPr>
      </w:pPr>
      <w:r w:rsidRPr="000A0EA1">
        <w:rPr>
          <w:lang w:val="en-CA"/>
        </w:rPr>
        <w:t xml:space="preserve">While the implementation of </w:t>
      </w:r>
      <w:r w:rsidR="0062160E">
        <w:rPr>
          <w:lang w:val="en-CA"/>
        </w:rPr>
        <w:t>s. 2</w:t>
      </w:r>
      <w:r w:rsidRPr="000A0EA1">
        <w:rPr>
          <w:lang w:val="en-CA"/>
        </w:rPr>
        <w:t xml:space="preserve">3 </w:t>
      </w:r>
      <w:r w:rsidR="00E46AFD">
        <w:rPr>
          <w:lang w:val="en-CA"/>
        </w:rPr>
        <w:t>“</w:t>
      </w:r>
      <w:r w:rsidRPr="000A0EA1">
        <w:rPr>
          <w:lang w:val="en-CA"/>
        </w:rPr>
        <w:t>will require the fullest understanding of the needs of the [linguistic] minority</w:t>
      </w:r>
      <w:r w:rsidR="00E46AFD">
        <w:rPr>
          <w:lang w:val="en-CA"/>
        </w:rPr>
        <w:t>”</w:t>
      </w:r>
      <w:r w:rsidRPr="000A0EA1">
        <w:rPr>
          <w:lang w:val="en-CA"/>
        </w:rPr>
        <w:t xml:space="preserve">, and while </w:t>
      </w:r>
      <w:r w:rsidR="00E46AFD">
        <w:rPr>
          <w:lang w:val="en-CA"/>
        </w:rPr>
        <w:t>“</w:t>
      </w:r>
      <w:r w:rsidRPr="000A0EA1">
        <w:rPr>
          <w:lang w:val="en-CA"/>
        </w:rPr>
        <w:t>[t]he participation of minority language parents or their representatives in the assessment of educational needs and the setting up of structures and services which best respond to them is most important</w:t>
      </w:r>
      <w:r w:rsidR="00E46AFD">
        <w:rPr>
          <w:lang w:val="en-CA"/>
        </w:rPr>
        <w:t>”</w:t>
      </w:r>
      <w:r w:rsidRPr="000A0EA1">
        <w:rPr>
          <w:lang w:val="en-CA"/>
        </w:rPr>
        <w:t>,</w:t>
      </w:r>
      <w:r w:rsidRPr="000A0EA1">
        <w:rPr>
          <w:rStyle w:val="Appelnotedebasdep"/>
          <w:lang w:val="en-CA"/>
        </w:rPr>
        <w:footnoteReference w:id="317"/>
      </w:r>
      <w:r w:rsidRPr="000A0EA1">
        <w:rPr>
          <w:lang w:val="en-CA"/>
        </w:rPr>
        <w:t xml:space="preserve"> the fact remains that courts </w:t>
      </w:r>
      <w:r w:rsidR="00E46AFD">
        <w:rPr>
          <w:lang w:val="en-CA"/>
        </w:rPr>
        <w:t>“</w:t>
      </w:r>
      <w:r w:rsidRPr="000A0EA1">
        <w:rPr>
          <w:lang w:val="en-CA"/>
        </w:rPr>
        <w:t>should be loath, however, to detail what legislation the [g]</w:t>
      </w:r>
      <w:proofErr w:type="spellStart"/>
      <w:r w:rsidRPr="000A0EA1">
        <w:rPr>
          <w:lang w:val="en-CA"/>
        </w:rPr>
        <w:t>overnment</w:t>
      </w:r>
      <w:proofErr w:type="spellEnd"/>
      <w:r w:rsidRPr="000A0EA1">
        <w:rPr>
          <w:lang w:val="en-CA"/>
        </w:rPr>
        <w:t xml:space="preserve"> […] </w:t>
      </w:r>
      <w:r w:rsidRPr="000A0EA1">
        <w:rPr>
          <w:u w:val="single"/>
          <w:lang w:val="en-CA"/>
        </w:rPr>
        <w:t>must</w:t>
      </w:r>
      <w:r w:rsidRPr="000A0EA1">
        <w:rPr>
          <w:lang w:val="en-CA"/>
        </w:rPr>
        <w:t xml:space="preserve"> enact in order to meet its constitutional obligations</w:t>
      </w:r>
      <w:r w:rsidR="00E46AFD">
        <w:rPr>
          <w:lang w:val="en-CA"/>
        </w:rPr>
        <w:t>”</w:t>
      </w:r>
      <w:r w:rsidRPr="000A0EA1">
        <w:rPr>
          <w:lang w:val="en-CA"/>
        </w:rPr>
        <w:t>.</w:t>
      </w:r>
      <w:r w:rsidRPr="000A0EA1">
        <w:rPr>
          <w:rStyle w:val="Appelnotedebasdep"/>
          <w:lang w:val="en-CA"/>
        </w:rPr>
        <w:footnoteReference w:id="318"/>
      </w:r>
      <w:r w:rsidRPr="000A0EA1">
        <w:rPr>
          <w:lang w:val="en-CA"/>
        </w:rPr>
        <w:t xml:space="preserve"> As Dickson,</w:t>
      </w:r>
      <w:r w:rsidR="001D06CA">
        <w:rPr>
          <w:lang w:val="en-CA"/>
        </w:rPr>
        <w:t> </w:t>
      </w:r>
      <w:r w:rsidRPr="000A0EA1">
        <w:rPr>
          <w:lang w:val="en-CA"/>
        </w:rPr>
        <w:t xml:space="preserve">C.J. noted in </w:t>
      </w:r>
      <w:proofErr w:type="spellStart"/>
      <w:r w:rsidRPr="000A0EA1">
        <w:rPr>
          <w:i/>
          <w:iCs/>
          <w:lang w:val="en-CA"/>
        </w:rPr>
        <w:t>Mahe</w:t>
      </w:r>
      <w:proofErr w:type="spellEnd"/>
      <w:r w:rsidR="009A44A8">
        <w:rPr>
          <w:lang w:val="en-CA"/>
        </w:rPr>
        <w:t>,</w:t>
      </w:r>
      <w:r w:rsidRPr="000A0EA1">
        <w:rPr>
          <w:rStyle w:val="Appelnotedebasdep"/>
          <w:lang w:val="en-CA"/>
        </w:rPr>
        <w:footnoteReference w:id="319"/>
      </w:r>
      <w:r w:rsidRPr="000A0EA1">
        <w:rPr>
          <w:lang w:val="en-CA"/>
        </w:rPr>
        <w:t xml:space="preserve"> </w:t>
      </w:r>
      <w:r w:rsidR="00E46AFD">
        <w:rPr>
          <w:lang w:val="en-CA"/>
        </w:rPr>
        <w:t>“</w:t>
      </w:r>
      <w:r w:rsidRPr="000A0EA1">
        <w:rPr>
          <w:lang w:val="en-CA"/>
        </w:rPr>
        <w:t xml:space="preserve">the government should have the widest possible discretion in selecting the institutional means by which its </w:t>
      </w:r>
      <w:r w:rsidR="0062160E">
        <w:rPr>
          <w:lang w:val="en-CA"/>
        </w:rPr>
        <w:t>s. 2</w:t>
      </w:r>
      <w:r w:rsidRPr="000A0EA1">
        <w:rPr>
          <w:lang w:val="en-CA"/>
        </w:rPr>
        <w:t>3 obligations are to be met</w:t>
      </w:r>
      <w:r w:rsidR="00E46AFD">
        <w:rPr>
          <w:lang w:val="en-CA"/>
        </w:rPr>
        <w:t>”</w:t>
      </w:r>
      <w:r w:rsidRPr="000A0EA1">
        <w:rPr>
          <w:lang w:val="en-CA"/>
        </w:rPr>
        <w:t>.</w:t>
      </w:r>
    </w:p>
    <w:p w14:paraId="17F5F3C3" w14:textId="24A8DA4D" w:rsidR="004C7649" w:rsidRPr="000A0EA1" w:rsidRDefault="00B02E00" w:rsidP="00B255B8">
      <w:pPr>
        <w:pStyle w:val="Paragraphe"/>
        <w:spacing w:line="240" w:lineRule="auto"/>
        <w:rPr>
          <w:lang w:val="en-CA"/>
        </w:rPr>
      </w:pPr>
      <w:r w:rsidRPr="000A0EA1">
        <w:rPr>
          <w:lang w:val="en-CA"/>
        </w:rPr>
        <w:t>The trial judge</w:t>
      </w:r>
      <w:r w:rsidR="00E46AFD">
        <w:rPr>
          <w:lang w:val="en-CA"/>
        </w:rPr>
        <w:t>’</w:t>
      </w:r>
      <w:r w:rsidRPr="000A0EA1">
        <w:rPr>
          <w:lang w:val="en-CA"/>
        </w:rPr>
        <w:t xml:space="preserve">s conclusion that, when drafting legislation, the government of Quebec and even the National Assembly are subject to a duty to consult with the </w:t>
      </w:r>
      <w:r w:rsidR="00AE3408">
        <w:rPr>
          <w:lang w:val="en-CA"/>
        </w:rPr>
        <w:t>English</w:t>
      </w:r>
      <w:r w:rsidR="00AE3408">
        <w:rPr>
          <w:lang w:val="en-CA"/>
        </w:rPr>
        <w:noBreakHyphen/>
        <w:t>language</w:t>
      </w:r>
      <w:r w:rsidRPr="000A0EA1">
        <w:rPr>
          <w:lang w:val="en-CA"/>
        </w:rPr>
        <w:t xml:space="preserve"> minority</w:t>
      </w:r>
      <w:r w:rsidR="00963622">
        <w:rPr>
          <w:lang w:val="en-CA"/>
        </w:rPr>
        <w:t xml:space="preserve"> –</w:t>
      </w:r>
      <w:r w:rsidRPr="000A0EA1">
        <w:rPr>
          <w:lang w:val="en-CA"/>
        </w:rPr>
        <w:t xml:space="preserve"> a process that, moreover, is to be exercised under the supervision of the Superior Court</w:t>
      </w:r>
      <w:r w:rsidR="00963622">
        <w:rPr>
          <w:lang w:val="en-CA"/>
        </w:rPr>
        <w:t xml:space="preserve"> –</w:t>
      </w:r>
      <w:r w:rsidRPr="000A0EA1">
        <w:rPr>
          <w:lang w:val="en-CA"/>
        </w:rPr>
        <w:t xml:space="preserve"> does not appear to be consistent with the teachings of the Supreme Court. </w:t>
      </w:r>
    </w:p>
    <w:p w14:paraId="17F5F3C4" w14:textId="2093A1BE" w:rsidR="004C7649" w:rsidRDefault="00B02E00" w:rsidP="00B255B8">
      <w:pPr>
        <w:pStyle w:val="Paragraphe"/>
        <w:spacing w:line="240" w:lineRule="auto"/>
        <w:rPr>
          <w:lang w:val="en-CA"/>
        </w:rPr>
      </w:pPr>
      <w:r w:rsidRPr="000A0EA1">
        <w:rPr>
          <w:lang w:val="en-CA"/>
        </w:rPr>
        <w:t xml:space="preserve">Evidently, the failure to consult minority language representatives could lead to legislation that does not fully take into account the rights conferred by </w:t>
      </w:r>
      <w:r w:rsidR="0062160E">
        <w:rPr>
          <w:lang w:val="en-CA"/>
        </w:rPr>
        <w:t>s. 2</w:t>
      </w:r>
      <w:r w:rsidRPr="000A0EA1">
        <w:rPr>
          <w:lang w:val="en-CA"/>
        </w:rPr>
        <w:t xml:space="preserve">3 of the </w:t>
      </w:r>
      <w:r w:rsidRPr="000A0EA1">
        <w:rPr>
          <w:i/>
          <w:iCs/>
          <w:lang w:val="en-CA"/>
        </w:rPr>
        <w:t>Charter</w:t>
      </w:r>
      <w:r w:rsidRPr="000A0EA1">
        <w:rPr>
          <w:lang w:val="en-CA"/>
        </w:rPr>
        <w:t xml:space="preserve">, as is the case here. Such failure can thus lead to legal challenges that </w:t>
      </w:r>
      <w:r w:rsidR="00A17C42">
        <w:rPr>
          <w:lang w:val="en-CA"/>
        </w:rPr>
        <w:t>might</w:t>
      </w:r>
      <w:r w:rsidRPr="000A0EA1">
        <w:rPr>
          <w:lang w:val="en-CA"/>
        </w:rPr>
        <w:t xml:space="preserve"> otherwise have been avoided. It is therefore </w:t>
      </w:r>
      <w:r w:rsidR="00994A46">
        <w:rPr>
          <w:lang w:val="en-CA"/>
        </w:rPr>
        <w:t>desirable</w:t>
      </w:r>
      <w:r w:rsidRPr="000A0EA1">
        <w:rPr>
          <w:lang w:val="en-CA"/>
        </w:rPr>
        <w:t xml:space="preserve"> for the government to consult representatives of the linguistic minority with respect to education</w:t>
      </w:r>
      <w:r w:rsidR="003D3406">
        <w:rPr>
          <w:lang w:val="en-CA"/>
        </w:rPr>
        <w:noBreakHyphen/>
      </w:r>
      <w:r w:rsidRPr="000A0EA1">
        <w:rPr>
          <w:lang w:val="en-CA"/>
        </w:rPr>
        <w:t xml:space="preserve">related legislation that might be of particular interest to them, but as previously mentioned, there is no such </w:t>
      </w:r>
      <w:r w:rsidR="00994A46">
        <w:rPr>
          <w:lang w:val="en-CA"/>
        </w:rPr>
        <w:t xml:space="preserve">constitutional </w:t>
      </w:r>
      <w:r w:rsidRPr="000A0EA1">
        <w:rPr>
          <w:lang w:val="en-CA"/>
        </w:rPr>
        <w:t xml:space="preserve">duty under </w:t>
      </w:r>
      <w:r w:rsidR="0062160E">
        <w:rPr>
          <w:lang w:val="en-CA"/>
        </w:rPr>
        <w:t>s. 2</w:t>
      </w:r>
      <w:r w:rsidRPr="000A0EA1">
        <w:rPr>
          <w:lang w:val="en-CA"/>
        </w:rPr>
        <w:t xml:space="preserve">3 of the </w:t>
      </w:r>
      <w:r w:rsidRPr="000A0EA1">
        <w:rPr>
          <w:i/>
          <w:iCs/>
          <w:lang w:val="en-CA"/>
        </w:rPr>
        <w:t>Charter</w:t>
      </w:r>
      <w:r w:rsidRPr="000A0EA1">
        <w:rPr>
          <w:lang w:val="en-CA"/>
        </w:rPr>
        <w:t>.</w:t>
      </w:r>
    </w:p>
    <w:p w14:paraId="54175A33" w14:textId="77777777" w:rsidR="003D6559" w:rsidRPr="000A0EA1" w:rsidRDefault="003D6559" w:rsidP="003D6559">
      <w:pPr>
        <w:pStyle w:val="Paragraphe"/>
        <w:numPr>
          <w:ilvl w:val="0"/>
          <w:numId w:val="0"/>
        </w:numPr>
        <w:spacing w:line="240" w:lineRule="auto"/>
        <w:rPr>
          <w:lang w:val="en-CA"/>
        </w:rPr>
      </w:pPr>
    </w:p>
    <w:p w14:paraId="17F5F3C5" w14:textId="77777777" w:rsidR="004C7649" w:rsidRPr="000A0EA1" w:rsidRDefault="00B02E00" w:rsidP="00B255B8">
      <w:pPr>
        <w:spacing w:before="120" w:after="120" w:line="240" w:lineRule="auto"/>
        <w:jc w:val="both"/>
        <w:rPr>
          <w:b/>
          <w:bCs/>
          <w:kern w:val="28"/>
          <w:u w:val="single"/>
          <w:lang w:val="en-CA"/>
        </w:rPr>
      </w:pPr>
      <w:r w:rsidRPr="000A0EA1">
        <w:rPr>
          <w:b/>
          <w:bCs/>
          <w:kern w:val="28"/>
          <w:u w:val="single"/>
          <w:lang w:val="en-CA"/>
        </w:rPr>
        <w:lastRenderedPageBreak/>
        <w:t>Did the trial judge err in his choice of remedies?</w:t>
      </w:r>
    </w:p>
    <w:p w14:paraId="17F5F3C6" w14:textId="4F5D1A05" w:rsidR="004C7649" w:rsidRPr="000A0EA1" w:rsidRDefault="00B02E00" w:rsidP="00B255B8">
      <w:pPr>
        <w:pStyle w:val="Paragraphe"/>
        <w:spacing w:line="240" w:lineRule="auto"/>
        <w:rPr>
          <w:lang w:val="en-CA"/>
        </w:rPr>
      </w:pPr>
      <w:r w:rsidRPr="000A0EA1">
        <w:rPr>
          <w:lang w:val="en-CA"/>
        </w:rPr>
        <w:t>The AGQ argues that the judge made several errors regarding remedies. More specifically, he finds fault with the fact that the judge: (a)</w:t>
      </w:r>
      <w:r w:rsidR="00FD1672">
        <w:rPr>
          <w:lang w:val="en-CA"/>
        </w:rPr>
        <w:t> </w:t>
      </w:r>
      <w:r w:rsidRPr="000A0EA1">
        <w:rPr>
          <w:lang w:val="en-CA"/>
        </w:rPr>
        <w:t>retained jurisdiction over the file (para.</w:t>
      </w:r>
      <w:r w:rsidR="00FD1672">
        <w:rPr>
          <w:lang w:val="en-CA"/>
        </w:rPr>
        <w:t> </w:t>
      </w:r>
      <w:r w:rsidRPr="000A0EA1">
        <w:rPr>
          <w:lang w:val="en-CA"/>
        </w:rPr>
        <w:t>[446] of the judgment); (b)</w:t>
      </w:r>
      <w:r w:rsidR="00FD1672">
        <w:rPr>
          <w:lang w:val="en-CA"/>
        </w:rPr>
        <w:t> </w:t>
      </w:r>
      <w:r w:rsidRPr="000A0EA1">
        <w:rPr>
          <w:lang w:val="en-CA"/>
        </w:rPr>
        <w:t xml:space="preserve">suspended the application to the </w:t>
      </w:r>
      <w:r w:rsidR="00AE3408">
        <w:rPr>
          <w:lang w:val="en-CA"/>
        </w:rPr>
        <w:t>English</w:t>
      </w:r>
      <w:r w:rsidR="00AE3408">
        <w:rPr>
          <w:lang w:val="en-CA"/>
        </w:rPr>
        <w:noBreakHyphen/>
        <w:t>language</w:t>
      </w:r>
      <w:r w:rsidRPr="000A0EA1">
        <w:rPr>
          <w:lang w:val="en-CA"/>
        </w:rPr>
        <w:t xml:space="preserve"> school boards of the statutory provisions he found to be inconsistent with the Constitution (para.</w:t>
      </w:r>
      <w:r w:rsidR="00FD1672">
        <w:rPr>
          <w:lang w:val="en-CA"/>
        </w:rPr>
        <w:t> </w:t>
      </w:r>
      <w:r w:rsidRPr="000A0EA1">
        <w:rPr>
          <w:lang w:val="en-CA"/>
        </w:rPr>
        <w:t>[445] of the judgment); and (c)</w:t>
      </w:r>
      <w:r w:rsidR="00FD1672">
        <w:rPr>
          <w:lang w:val="en-CA"/>
        </w:rPr>
        <w:t> </w:t>
      </w:r>
      <w:r w:rsidRPr="000A0EA1">
        <w:rPr>
          <w:lang w:val="en-CA"/>
        </w:rPr>
        <w:t xml:space="preserve">extended the stay of application of </w:t>
      </w:r>
      <w:r w:rsidR="00C33BBC">
        <w:rPr>
          <w:i/>
          <w:iCs/>
          <w:lang w:val="en-CA"/>
        </w:rPr>
        <w:t>Bill 40</w:t>
      </w:r>
      <w:r w:rsidRPr="000A0EA1">
        <w:rPr>
          <w:lang w:val="en-CA"/>
        </w:rPr>
        <w:t xml:space="preserve"> that he had previously ordered until the expiry of the time limit for appealing his judgment (para.</w:t>
      </w:r>
      <w:r w:rsidR="00FD1672">
        <w:rPr>
          <w:lang w:val="en-CA"/>
        </w:rPr>
        <w:t> </w:t>
      </w:r>
      <w:r w:rsidRPr="000A0EA1">
        <w:rPr>
          <w:lang w:val="en-CA"/>
        </w:rPr>
        <w:t>[444] of the judgment)</w:t>
      </w:r>
      <w:r w:rsidR="00482DE5">
        <w:rPr>
          <w:lang w:val="en-CA"/>
        </w:rPr>
        <w:t>.</w:t>
      </w:r>
      <w:r w:rsidRPr="000A0EA1">
        <w:rPr>
          <w:rStyle w:val="Appelnotedebasdep"/>
          <w:lang w:val="en-CA"/>
        </w:rPr>
        <w:footnoteReference w:id="320"/>
      </w:r>
    </w:p>
    <w:p w14:paraId="17F5F3C7" w14:textId="77777777" w:rsidR="004C7649" w:rsidRPr="000A0EA1" w:rsidRDefault="00B02E00" w:rsidP="00B255B8">
      <w:pPr>
        <w:pStyle w:val="Paragraphe"/>
        <w:numPr>
          <w:ilvl w:val="0"/>
          <w:numId w:val="15"/>
        </w:numPr>
        <w:spacing w:line="240" w:lineRule="auto"/>
        <w:rPr>
          <w:i/>
          <w:iCs/>
          <w:lang w:val="en-CA"/>
        </w:rPr>
      </w:pPr>
      <w:r w:rsidRPr="000A0EA1">
        <w:rPr>
          <w:i/>
          <w:iCs/>
          <w:u w:val="single"/>
          <w:lang w:val="en-CA"/>
        </w:rPr>
        <w:t>Applicable principles</w:t>
      </w:r>
    </w:p>
    <w:p w14:paraId="17F5F3C8" w14:textId="2669D1E8" w:rsidR="004C7649" w:rsidRPr="000A0EA1" w:rsidRDefault="00B02E00" w:rsidP="00B255B8">
      <w:pPr>
        <w:pStyle w:val="Paragraphe"/>
        <w:spacing w:line="240" w:lineRule="auto"/>
        <w:rPr>
          <w:lang w:val="en-CA"/>
        </w:rPr>
      </w:pPr>
      <w:r w:rsidRPr="000A0EA1">
        <w:rPr>
          <w:lang w:val="en-CA"/>
        </w:rPr>
        <w:t xml:space="preserve">Although </w:t>
      </w:r>
      <w:r w:rsidR="0062160E">
        <w:rPr>
          <w:lang w:val="en-CA"/>
        </w:rPr>
        <w:t>s. 2</w:t>
      </w:r>
      <w:r w:rsidRPr="000A0EA1">
        <w:rPr>
          <w:lang w:val="en-CA"/>
        </w:rPr>
        <w:t xml:space="preserve">4(1) of the </w:t>
      </w:r>
      <w:r w:rsidRPr="000A0EA1">
        <w:rPr>
          <w:i/>
          <w:iCs/>
          <w:lang w:val="en-CA"/>
        </w:rPr>
        <w:t xml:space="preserve">Charter </w:t>
      </w:r>
      <w:r w:rsidRPr="000A0EA1">
        <w:rPr>
          <w:lang w:val="en-CA"/>
        </w:rPr>
        <w:t xml:space="preserve">allows a person whose </w:t>
      </w:r>
      <w:r w:rsidRPr="000A0EA1">
        <w:rPr>
          <w:i/>
          <w:iCs/>
          <w:lang w:val="en-CA"/>
        </w:rPr>
        <w:t>Charter</w:t>
      </w:r>
      <w:r w:rsidRPr="000A0EA1">
        <w:rPr>
          <w:lang w:val="en-CA"/>
        </w:rPr>
        <w:t xml:space="preserve">-protected rights or freedoms have been infringed or denied to obtain a remedy that the court considers just and appropriate in the circumstances, the respondents </w:t>
      </w:r>
      <w:r w:rsidR="001C5614">
        <w:rPr>
          <w:lang w:val="en-CA"/>
        </w:rPr>
        <w:t>did</w:t>
      </w:r>
      <w:r w:rsidRPr="000A0EA1">
        <w:rPr>
          <w:lang w:val="en-CA"/>
        </w:rPr>
        <w:t xml:space="preserve"> not request such a remedy in their originating application. At the appeal hearing, counsel for the respondents confirmed that they were still not requesting such a remedy. As the remedies sought by the respondents are based solely on </w:t>
      </w:r>
      <w:r w:rsidR="0062160E">
        <w:rPr>
          <w:lang w:val="en-CA"/>
        </w:rPr>
        <w:t>s. 5</w:t>
      </w:r>
      <w:r w:rsidRPr="000A0EA1">
        <w:rPr>
          <w:lang w:val="en-CA"/>
        </w:rPr>
        <w:t xml:space="preserve">2(1) of the </w:t>
      </w:r>
      <w:r w:rsidRPr="000A0EA1">
        <w:rPr>
          <w:i/>
          <w:iCs/>
          <w:lang w:val="en-CA"/>
        </w:rPr>
        <w:t>Constitution Act,</w:t>
      </w:r>
      <w:r w:rsidR="001769B2">
        <w:rPr>
          <w:i/>
          <w:iCs/>
          <w:lang w:val="en-CA"/>
        </w:rPr>
        <w:t> </w:t>
      </w:r>
      <w:r w:rsidRPr="000A0EA1">
        <w:rPr>
          <w:i/>
          <w:iCs/>
          <w:lang w:val="en-CA"/>
        </w:rPr>
        <w:t>1982</w:t>
      </w:r>
      <w:r w:rsidRPr="000A0EA1">
        <w:rPr>
          <w:lang w:val="en-CA"/>
        </w:rPr>
        <w:t>, it is appropriate to deal here only with that provision.</w:t>
      </w:r>
    </w:p>
    <w:p w14:paraId="17F5F3C9" w14:textId="77777777" w:rsidR="004C7649" w:rsidRPr="000A0EA1" w:rsidRDefault="00B02E00" w:rsidP="00B255B8">
      <w:pPr>
        <w:pStyle w:val="Paragraphe"/>
        <w:spacing w:line="240" w:lineRule="auto"/>
        <w:rPr>
          <w:lang w:val="en-CA"/>
        </w:rPr>
      </w:pPr>
      <w:r w:rsidRPr="000A0EA1">
        <w:rPr>
          <w:lang w:val="en-CA"/>
        </w:rPr>
        <w:t xml:space="preserve">Section 52(1) of the </w:t>
      </w:r>
      <w:r w:rsidRPr="000A0EA1">
        <w:rPr>
          <w:i/>
          <w:iCs/>
          <w:lang w:val="en-CA"/>
        </w:rPr>
        <w:t>Constitution Act, 1982 </w:t>
      </w:r>
      <w:r w:rsidRPr="000A0EA1">
        <w:rPr>
          <w:lang w:val="en-CA"/>
        </w:rPr>
        <w:t>provides as follows: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4936F2" w:rsidRPr="000A0EA1" w14:paraId="17F5F3CC" w14:textId="77777777" w:rsidTr="004471DC">
        <w:tc>
          <w:tcPr>
            <w:tcW w:w="4676" w:type="dxa"/>
          </w:tcPr>
          <w:p w14:paraId="17F5F3CA" w14:textId="77777777" w:rsidR="004C7649" w:rsidRPr="000A0EA1" w:rsidRDefault="00B02E00" w:rsidP="00406B00">
            <w:pPr>
              <w:pStyle w:val="Paragraphe"/>
              <w:numPr>
                <w:ilvl w:val="0"/>
                <w:numId w:val="0"/>
              </w:numPr>
              <w:spacing w:after="0" w:line="240" w:lineRule="auto"/>
              <w:ind w:left="720" w:right="142"/>
              <w:rPr>
                <w:sz w:val="22"/>
                <w:szCs w:val="22"/>
                <w:lang w:val="en-CA"/>
              </w:rPr>
            </w:pPr>
            <w:r w:rsidRPr="000A0EA1">
              <w:rPr>
                <w:b/>
                <w:bCs/>
                <w:sz w:val="22"/>
                <w:szCs w:val="22"/>
                <w:lang w:val="en-CA"/>
              </w:rPr>
              <w:t>52 (1)</w:t>
            </w:r>
            <w:r w:rsidRPr="000A0EA1">
              <w:rPr>
                <w:sz w:val="22"/>
                <w:szCs w:val="22"/>
                <w:lang w:val="en-CA"/>
              </w:rPr>
              <w:t> The Constitution of Canada is the supreme law of Canada, and any law that is inconsistent with the provisions of the Constitution is, to the extent of the inconsistency, of no force or effect.</w:t>
            </w:r>
          </w:p>
        </w:tc>
        <w:tc>
          <w:tcPr>
            <w:tcW w:w="4676" w:type="dxa"/>
          </w:tcPr>
          <w:p w14:paraId="17F5F3CB" w14:textId="77777777" w:rsidR="004C7649" w:rsidRPr="00220CD8" w:rsidRDefault="00B02E00" w:rsidP="00B255B8">
            <w:pPr>
              <w:pStyle w:val="Paragraphe"/>
              <w:numPr>
                <w:ilvl w:val="0"/>
                <w:numId w:val="0"/>
              </w:numPr>
              <w:spacing w:line="240" w:lineRule="auto"/>
              <w:ind w:left="142" w:right="720"/>
              <w:rPr>
                <w:sz w:val="22"/>
                <w:szCs w:val="22"/>
              </w:rPr>
            </w:pPr>
            <w:r w:rsidRPr="00220CD8">
              <w:rPr>
                <w:b/>
                <w:bCs/>
                <w:sz w:val="22"/>
                <w:szCs w:val="22"/>
              </w:rPr>
              <w:t>52 (1)</w:t>
            </w:r>
            <w:r w:rsidRPr="00220CD8">
              <w:rPr>
                <w:sz w:val="22"/>
                <w:szCs w:val="22"/>
              </w:rPr>
              <w:t> La Constitution du Canada est la loi suprême du Canada; elle rend inopérantes les dispositions incompatibles de toute autre règle de droit.</w:t>
            </w:r>
          </w:p>
        </w:tc>
      </w:tr>
    </w:tbl>
    <w:p w14:paraId="17F5F3CD" w14:textId="1EAED0F6" w:rsidR="004C7649" w:rsidRPr="000A0EA1" w:rsidRDefault="001769B2" w:rsidP="00406B00">
      <w:pPr>
        <w:pStyle w:val="Paragraphe"/>
        <w:spacing w:before="240" w:line="240" w:lineRule="auto"/>
        <w:rPr>
          <w:lang w:val="en-CA"/>
        </w:rPr>
      </w:pPr>
      <w:r>
        <w:rPr>
          <w:color w:val="000000"/>
          <w:lang w:val="en-CA"/>
        </w:rPr>
        <w:t xml:space="preserve">While </w:t>
      </w:r>
      <w:r w:rsidR="0062160E">
        <w:rPr>
          <w:color w:val="000000"/>
          <w:lang w:val="en-CA"/>
        </w:rPr>
        <w:t>s. 5</w:t>
      </w:r>
      <w:r w:rsidR="00B02E00" w:rsidRPr="000A0EA1">
        <w:rPr>
          <w:color w:val="000000"/>
          <w:lang w:val="en-CA"/>
        </w:rPr>
        <w:t xml:space="preserve">2(1) states the legal result where there is a conflict between a law and the Constitution – which includes the </w:t>
      </w:r>
      <w:r w:rsidR="00B02E00" w:rsidRPr="000A0EA1">
        <w:rPr>
          <w:i/>
          <w:iCs/>
          <w:color w:val="000000"/>
          <w:lang w:val="en-CA"/>
        </w:rPr>
        <w:t>Charter</w:t>
      </w:r>
      <w:r w:rsidR="00B02E00" w:rsidRPr="000A0EA1">
        <w:rPr>
          <w:rStyle w:val="Appelnotedebasdep"/>
          <w:color w:val="000000"/>
          <w:kern w:val="0"/>
          <w:lang w:val="en-CA"/>
        </w:rPr>
        <w:footnoteReference w:id="321"/>
      </w:r>
      <w:r w:rsidR="00B02E00" w:rsidRPr="000A0EA1">
        <w:rPr>
          <w:color w:val="000000"/>
          <w:lang w:val="en-CA"/>
        </w:rPr>
        <w:t xml:space="preserve"> –</w:t>
      </w:r>
      <w:r w:rsidR="00AC60FF">
        <w:rPr>
          <w:color w:val="000000"/>
          <w:lang w:val="en-CA"/>
        </w:rPr>
        <w:t xml:space="preserve"> </w:t>
      </w:r>
      <w:r w:rsidR="00B02E00" w:rsidRPr="000A0EA1">
        <w:rPr>
          <w:color w:val="000000"/>
          <w:lang w:val="en-CA"/>
        </w:rPr>
        <w:t>it does not explicitly provide courts with a grant of remedial jurisdiction. Rather, a general declaration of unconstitutionality pursuant to courts</w:t>
      </w:r>
      <w:r w:rsidR="00E46AFD">
        <w:rPr>
          <w:color w:val="000000"/>
          <w:lang w:val="en-CA"/>
        </w:rPr>
        <w:t>’</w:t>
      </w:r>
      <w:r w:rsidR="00B02E00" w:rsidRPr="000A0EA1">
        <w:rPr>
          <w:color w:val="000000"/>
          <w:lang w:val="en-CA"/>
        </w:rPr>
        <w:t xml:space="preserve"> </w:t>
      </w:r>
      <w:r w:rsidR="00CD325F">
        <w:rPr>
          <w:color w:val="000000"/>
          <w:lang w:val="en-CA"/>
        </w:rPr>
        <w:t xml:space="preserve">statutory or </w:t>
      </w:r>
      <w:r w:rsidR="00B02E00" w:rsidRPr="000A0EA1">
        <w:rPr>
          <w:color w:val="000000"/>
          <w:lang w:val="en-CA"/>
        </w:rPr>
        <w:t xml:space="preserve">inherent jurisdiction is the means by which they give full effect to the broad terms of </w:t>
      </w:r>
      <w:r w:rsidR="0062160E">
        <w:rPr>
          <w:color w:val="000000"/>
          <w:lang w:val="en-CA"/>
        </w:rPr>
        <w:t>s. 5</w:t>
      </w:r>
      <w:r w:rsidR="00B02E00" w:rsidRPr="000A0EA1">
        <w:rPr>
          <w:color w:val="000000"/>
          <w:lang w:val="en-CA"/>
        </w:rPr>
        <w:t>2(1).</w:t>
      </w:r>
      <w:r w:rsidR="00B02E00" w:rsidRPr="000A0EA1">
        <w:rPr>
          <w:rStyle w:val="Appelnotedebasdep"/>
          <w:color w:val="000000"/>
          <w:kern w:val="0"/>
          <w:lang w:val="en-CA"/>
        </w:rPr>
        <w:footnoteReference w:id="322"/>
      </w:r>
      <w:r w:rsidR="00B02E00" w:rsidRPr="000A0EA1">
        <w:rPr>
          <w:color w:val="000000"/>
          <w:lang w:val="en-CA"/>
        </w:rPr>
        <w:t xml:space="preserve"> </w:t>
      </w:r>
    </w:p>
    <w:p w14:paraId="17F5F3CE" w14:textId="6A29F390" w:rsidR="004C7649" w:rsidRPr="000A0EA1" w:rsidRDefault="00B02E00" w:rsidP="00B255B8">
      <w:pPr>
        <w:pStyle w:val="Paragraphe"/>
        <w:spacing w:line="240" w:lineRule="auto"/>
        <w:rPr>
          <w:lang w:val="en-CA"/>
        </w:rPr>
      </w:pPr>
      <w:r w:rsidRPr="000A0EA1">
        <w:rPr>
          <w:lang w:val="en-CA"/>
        </w:rPr>
        <w:t>A court faced with a constitutional challenge to a law must determine to what extent it is unconstitutional and declare it to be so.</w:t>
      </w:r>
      <w:r w:rsidRPr="000A0EA1">
        <w:rPr>
          <w:rStyle w:val="Appelnotedebasdep"/>
          <w:lang w:val="en-CA"/>
        </w:rPr>
        <w:footnoteReference w:id="323"/>
      </w:r>
      <w:r w:rsidRPr="000A0EA1">
        <w:rPr>
          <w:lang w:val="en-CA"/>
        </w:rPr>
        <w:t xml:space="preserve"> A measure of discretion is inevitable when determining the appropriate response to an inconsistency between a statute and the Constitution.</w:t>
      </w:r>
      <w:r w:rsidRPr="000A0EA1">
        <w:rPr>
          <w:rStyle w:val="Appelnotedebasdep"/>
          <w:lang w:val="en-CA"/>
        </w:rPr>
        <w:footnoteReference w:id="324"/>
      </w:r>
      <w:r w:rsidRPr="000A0EA1">
        <w:rPr>
          <w:lang w:val="en-CA"/>
        </w:rPr>
        <w:t xml:space="preserve"> That said, fashioning constitutional remedies implicates the application of various principles. Thus, in exercising their discretion, courts </w:t>
      </w:r>
      <w:r w:rsidR="00E46AFD">
        <w:rPr>
          <w:lang w:val="en-CA"/>
        </w:rPr>
        <w:t>“</w:t>
      </w:r>
      <w:r w:rsidRPr="000A0EA1">
        <w:rPr>
          <w:lang w:val="en-CA"/>
        </w:rPr>
        <w:t xml:space="preserve">must strike an appropriate </w:t>
      </w:r>
      <w:r w:rsidRPr="000A0EA1">
        <w:rPr>
          <w:lang w:val="en-CA"/>
        </w:rPr>
        <w:lastRenderedPageBreak/>
        <w:t xml:space="preserve">balance between these principles in determining how to give effect to </w:t>
      </w:r>
      <w:r w:rsidR="0062160E">
        <w:rPr>
          <w:lang w:val="en-CA"/>
        </w:rPr>
        <w:t>s. 5</w:t>
      </w:r>
      <w:r w:rsidRPr="000A0EA1">
        <w:rPr>
          <w:lang w:val="en-CA"/>
        </w:rPr>
        <w:t>2(1) in a manner that best aligns with our broader constitutional order</w:t>
      </w:r>
      <w:r w:rsidR="00E46AFD">
        <w:rPr>
          <w:lang w:val="en-CA"/>
        </w:rPr>
        <w:t>”</w:t>
      </w:r>
      <w:r w:rsidRPr="000A0EA1">
        <w:rPr>
          <w:lang w:val="en-CA"/>
        </w:rPr>
        <w:t>.</w:t>
      </w:r>
      <w:r w:rsidRPr="000A0EA1">
        <w:rPr>
          <w:rStyle w:val="Appelnotedebasdep"/>
          <w:lang w:val="en-CA"/>
        </w:rPr>
        <w:footnoteReference w:id="325"/>
      </w:r>
      <w:r w:rsidRPr="000A0EA1">
        <w:rPr>
          <w:lang w:val="en-CA"/>
        </w:rPr>
        <w:t xml:space="preserve"> </w:t>
      </w:r>
    </w:p>
    <w:p w14:paraId="17F5F3CF" w14:textId="168FDCE2" w:rsidR="004C7649" w:rsidRPr="000A0EA1" w:rsidRDefault="00B02E00" w:rsidP="00B255B8">
      <w:pPr>
        <w:pStyle w:val="Paragraphe"/>
        <w:spacing w:line="240" w:lineRule="auto"/>
        <w:rPr>
          <w:lang w:val="en-CA"/>
        </w:rPr>
      </w:pPr>
      <w:r w:rsidRPr="000A0EA1">
        <w:rPr>
          <w:lang w:val="en-CA"/>
        </w:rPr>
        <w:t xml:space="preserve">In </w:t>
      </w:r>
      <w:r w:rsidRPr="000A0EA1">
        <w:rPr>
          <w:rStyle w:val="reflex"/>
          <w:i/>
          <w:iCs/>
          <w:color w:val="000000"/>
          <w:lang w:val="en-CA"/>
        </w:rPr>
        <w:t>Schachter</w:t>
      </w:r>
      <w:r w:rsidRPr="000A0EA1">
        <w:rPr>
          <w:rStyle w:val="reflex"/>
          <w:color w:val="000000"/>
          <w:lang w:val="en-CA"/>
        </w:rPr>
        <w:t>,</w:t>
      </w:r>
      <w:r w:rsidRPr="000A0EA1">
        <w:rPr>
          <w:rStyle w:val="Appelnotedebasdep"/>
          <w:iCs/>
          <w:color w:val="000000"/>
          <w:lang w:val="en-CA"/>
        </w:rPr>
        <w:footnoteReference w:id="326"/>
      </w:r>
      <w:r w:rsidRPr="000A0EA1">
        <w:rPr>
          <w:rStyle w:val="reflex"/>
          <w:iCs/>
          <w:color w:val="000000"/>
          <w:lang w:val="en-CA"/>
        </w:rPr>
        <w:t xml:space="preserve"> a landmark ruling on </w:t>
      </w:r>
      <w:r w:rsidRPr="000A0EA1">
        <w:rPr>
          <w:lang w:val="en-CA"/>
        </w:rPr>
        <w:t>constitutional remedies resulting from a statute</w:t>
      </w:r>
      <w:r w:rsidR="00E46AFD">
        <w:rPr>
          <w:lang w:val="en-CA"/>
        </w:rPr>
        <w:t>’</w:t>
      </w:r>
      <w:r w:rsidRPr="000A0EA1">
        <w:rPr>
          <w:lang w:val="en-CA"/>
        </w:rPr>
        <w:t>s invalidity, the majority of the Supreme Court, in reasons written by Lamer,</w:t>
      </w:r>
      <w:r w:rsidR="00B8169F">
        <w:rPr>
          <w:lang w:val="en-CA"/>
        </w:rPr>
        <w:t> </w:t>
      </w:r>
      <w:r w:rsidRPr="000A0EA1">
        <w:rPr>
          <w:lang w:val="en-CA"/>
        </w:rPr>
        <w:t>C.J., indicated that courts may, depending on the circumstances:</w:t>
      </w:r>
      <w:r w:rsidRPr="000A0EA1">
        <w:rPr>
          <w:rStyle w:val="Appelnotedebasdep"/>
          <w:color w:val="000000"/>
          <w:lang w:val="en-CA"/>
        </w:rPr>
        <w:footnoteReference w:id="327"/>
      </w:r>
      <w:r w:rsidRPr="000A0EA1">
        <w:rPr>
          <w:lang w:val="en-CA"/>
        </w:rPr>
        <w:t xml:space="preserve"> (1)</w:t>
      </w:r>
      <w:r w:rsidR="00B8169F">
        <w:rPr>
          <w:lang w:val="en-CA"/>
        </w:rPr>
        <w:t> </w:t>
      </w:r>
      <w:r w:rsidRPr="000A0EA1">
        <w:rPr>
          <w:lang w:val="en-CA"/>
        </w:rPr>
        <w:t>immediately invalidate the inconsistent legislative provision; (2)</w:t>
      </w:r>
      <w:r w:rsidR="00B8169F">
        <w:rPr>
          <w:lang w:val="en-CA"/>
        </w:rPr>
        <w:t> </w:t>
      </w:r>
      <w:r w:rsidRPr="000A0EA1">
        <w:rPr>
          <w:lang w:val="en-CA"/>
        </w:rPr>
        <w:t>invalidate it and temporarily suspend the declaration of invalidity; (3)</w:t>
      </w:r>
      <w:r w:rsidR="00B8169F">
        <w:rPr>
          <w:lang w:val="en-CA"/>
        </w:rPr>
        <w:t> </w:t>
      </w:r>
      <w:r w:rsidRPr="000A0EA1">
        <w:rPr>
          <w:lang w:val="en-CA"/>
        </w:rPr>
        <w:t>apply the doctrine of severance, which consists in declaring as inoperative the infringing portion of the statute or provision and sparing the rest of the text;</w:t>
      </w:r>
      <w:r w:rsidRPr="000A0EA1">
        <w:rPr>
          <w:rStyle w:val="Appelnotedebasdep"/>
          <w:lang w:val="en-CA"/>
        </w:rPr>
        <w:footnoteReference w:id="328"/>
      </w:r>
      <w:r w:rsidRPr="000A0EA1">
        <w:rPr>
          <w:lang w:val="en-CA"/>
        </w:rPr>
        <w:t xml:space="preserve"> or (4)</w:t>
      </w:r>
      <w:r w:rsidR="00B8169F">
        <w:rPr>
          <w:lang w:val="en-CA"/>
        </w:rPr>
        <w:t> </w:t>
      </w:r>
      <w:r w:rsidRPr="000A0EA1">
        <w:rPr>
          <w:lang w:val="en-CA"/>
        </w:rPr>
        <w:t>apply the techniques of reading in or reading down.</w:t>
      </w:r>
    </w:p>
    <w:p w14:paraId="17F5F3D0" w14:textId="7212B6EB" w:rsidR="004C7649" w:rsidRPr="000A0EA1" w:rsidRDefault="00B02E00" w:rsidP="00B255B8">
      <w:pPr>
        <w:pStyle w:val="Paragraphe"/>
        <w:spacing w:line="240" w:lineRule="auto"/>
        <w:rPr>
          <w:lang w:val="en-CA"/>
        </w:rPr>
      </w:pPr>
      <w:r w:rsidRPr="000A0EA1">
        <w:rPr>
          <w:color w:val="000000"/>
          <w:lang w:val="en-CA"/>
        </w:rPr>
        <w:t xml:space="preserve">In </w:t>
      </w:r>
      <w:r w:rsidRPr="000A0EA1">
        <w:rPr>
          <w:i/>
          <w:iCs/>
          <w:color w:val="000000"/>
          <w:lang w:val="en-CA"/>
        </w:rPr>
        <w:t>Ontario (Attorney General) v. G.</w:t>
      </w:r>
      <w:r w:rsidRPr="000A0EA1">
        <w:rPr>
          <w:color w:val="000000"/>
          <w:lang w:val="en-CA"/>
        </w:rPr>
        <w:t>, the Supreme Court also specified the principles that should guide the courts in fashioning a remedy where a statute is inconsistent with the Constitution. The first step is to determine the extent of the legislation</w:t>
      </w:r>
      <w:r w:rsidR="00E46AFD">
        <w:rPr>
          <w:color w:val="000000"/>
          <w:lang w:val="en-CA"/>
        </w:rPr>
        <w:t>’</w:t>
      </w:r>
      <w:r w:rsidRPr="000A0EA1">
        <w:rPr>
          <w:color w:val="000000"/>
          <w:lang w:val="en-CA"/>
        </w:rPr>
        <w:t xml:space="preserve">s inconsistency with the Constitution. When granting a remedy for a statute that violates the </w:t>
      </w:r>
      <w:r w:rsidRPr="000A0EA1">
        <w:rPr>
          <w:i/>
          <w:iCs/>
          <w:color w:val="000000"/>
          <w:lang w:val="en-CA"/>
        </w:rPr>
        <w:t>Charter</w:t>
      </w:r>
      <w:r w:rsidRPr="000A0EA1">
        <w:rPr>
          <w:color w:val="000000"/>
          <w:lang w:val="en-CA"/>
        </w:rPr>
        <w:t xml:space="preserve">, the </w:t>
      </w:r>
      <w:r w:rsidR="00E46AFD">
        <w:rPr>
          <w:color w:val="000000"/>
          <w:lang w:val="en-CA"/>
        </w:rPr>
        <w:t>“</w:t>
      </w:r>
      <w:r w:rsidRPr="000A0EA1">
        <w:rPr>
          <w:color w:val="000000"/>
          <w:lang w:val="en-CA"/>
        </w:rPr>
        <w:t xml:space="preserve">nature and extent of the underlying </w:t>
      </w:r>
      <w:r w:rsidRPr="000A0EA1">
        <w:rPr>
          <w:i/>
          <w:iCs/>
          <w:color w:val="000000"/>
          <w:lang w:val="en-CA"/>
        </w:rPr>
        <w:t xml:space="preserve">Charter </w:t>
      </w:r>
      <w:r w:rsidRPr="000A0EA1">
        <w:rPr>
          <w:color w:val="000000"/>
          <w:lang w:val="en-CA"/>
        </w:rPr>
        <w:t>violation lays the foundation for the remedial analysis because the breadth of the remedy ultimately granted will reflect at least the extent of the breach</w:t>
      </w:r>
      <w:r w:rsidR="00E46AFD">
        <w:rPr>
          <w:color w:val="000000"/>
          <w:lang w:val="en-CA"/>
        </w:rPr>
        <w:t>”</w:t>
      </w:r>
      <w:r w:rsidRPr="000A0EA1">
        <w:rPr>
          <w:color w:val="000000"/>
          <w:lang w:val="en-CA"/>
        </w:rPr>
        <w:t>.</w:t>
      </w:r>
      <w:r w:rsidRPr="000A0EA1">
        <w:rPr>
          <w:rStyle w:val="Appelnotedebasdep"/>
          <w:lang w:val="en-CA"/>
        </w:rPr>
        <w:footnoteReference w:id="329"/>
      </w:r>
      <w:r w:rsidRPr="000A0EA1">
        <w:rPr>
          <w:color w:val="000000"/>
          <w:lang w:val="en-CA"/>
        </w:rPr>
        <w:t xml:space="preserve"> This step therefore reflects the </w:t>
      </w:r>
      <w:r w:rsidRPr="000A0EA1">
        <w:rPr>
          <w:i/>
          <w:iCs/>
          <w:color w:val="000000"/>
          <w:lang w:val="en-CA"/>
        </w:rPr>
        <w:t>Charter</w:t>
      </w:r>
      <w:r w:rsidR="00E46AFD">
        <w:rPr>
          <w:color w:val="000000"/>
          <w:lang w:val="en-CA"/>
        </w:rPr>
        <w:t>’</w:t>
      </w:r>
      <w:r w:rsidRPr="000A0EA1">
        <w:rPr>
          <w:color w:val="000000"/>
          <w:lang w:val="en-CA"/>
        </w:rPr>
        <w:t>s rights</w:t>
      </w:r>
      <w:r w:rsidR="00B61C19">
        <w:rPr>
          <w:color w:val="000000"/>
          <w:lang w:val="en-CA"/>
        </w:rPr>
        <w:noBreakHyphen/>
      </w:r>
      <w:r w:rsidRPr="000A0EA1">
        <w:rPr>
          <w:color w:val="000000"/>
          <w:lang w:val="en-CA"/>
        </w:rPr>
        <w:t>protecting purpose, the public</w:t>
      </w:r>
      <w:r w:rsidR="00E46AFD">
        <w:rPr>
          <w:color w:val="000000"/>
          <w:lang w:val="en-CA"/>
        </w:rPr>
        <w:t>’</w:t>
      </w:r>
      <w:r w:rsidRPr="000A0EA1">
        <w:rPr>
          <w:color w:val="000000"/>
          <w:lang w:val="en-CA"/>
        </w:rPr>
        <w:t xml:space="preserve">s interest in having government act in accordance with the Constitution, and the text of </w:t>
      </w:r>
      <w:r w:rsidR="0062160E">
        <w:rPr>
          <w:color w:val="000000"/>
          <w:lang w:val="en-CA"/>
        </w:rPr>
        <w:t>s. 5</w:t>
      </w:r>
      <w:r w:rsidRPr="000A0EA1">
        <w:rPr>
          <w:color w:val="000000"/>
          <w:lang w:val="en-CA"/>
        </w:rPr>
        <w:t xml:space="preserve">2(1) of the </w:t>
      </w:r>
      <w:r w:rsidRPr="000A0EA1">
        <w:rPr>
          <w:i/>
          <w:iCs/>
          <w:color w:val="000000"/>
          <w:lang w:val="en-CA"/>
        </w:rPr>
        <w:t>Constitution Act,</w:t>
      </w:r>
      <w:r w:rsidR="00B61C19">
        <w:rPr>
          <w:i/>
          <w:iCs/>
          <w:color w:val="000000"/>
          <w:lang w:val="en-CA"/>
        </w:rPr>
        <w:t> </w:t>
      </w:r>
      <w:r w:rsidRPr="000A0EA1">
        <w:rPr>
          <w:i/>
          <w:iCs/>
          <w:color w:val="000000"/>
          <w:lang w:val="en-CA"/>
        </w:rPr>
        <w:t>1982</w:t>
      </w:r>
      <w:r w:rsidRPr="000A0EA1">
        <w:rPr>
          <w:color w:val="000000"/>
          <w:lang w:val="en-CA"/>
        </w:rPr>
        <w:t>.</w:t>
      </w:r>
      <w:r w:rsidRPr="000A0EA1">
        <w:rPr>
          <w:rStyle w:val="Appelnotedebasdep"/>
          <w:lang w:val="en-CA"/>
        </w:rPr>
        <w:footnoteReference w:id="330"/>
      </w:r>
      <w:r w:rsidRPr="000A0EA1">
        <w:rPr>
          <w:color w:val="000000"/>
          <w:lang w:val="en-CA"/>
        </w:rPr>
        <w:t xml:space="preserve"> </w:t>
      </w:r>
    </w:p>
    <w:p w14:paraId="17F5F3D1" w14:textId="135CF70B" w:rsidR="004C7649" w:rsidRPr="000A0EA1" w:rsidRDefault="00B02E00" w:rsidP="00B255B8">
      <w:pPr>
        <w:pStyle w:val="Paragraphe"/>
        <w:spacing w:line="240" w:lineRule="auto"/>
        <w:rPr>
          <w:lang w:val="en-CA"/>
        </w:rPr>
      </w:pPr>
      <w:r w:rsidRPr="000A0EA1">
        <w:rPr>
          <w:lang w:val="en-CA"/>
        </w:rPr>
        <w:t xml:space="preserve">The second step is determining the appropriate form of declaration. At this point, remedies other than full declarations of invalidity of the challenged statute or provision </w:t>
      </w:r>
      <w:r w:rsidR="00E46AFD">
        <w:rPr>
          <w:lang w:val="en-CA"/>
        </w:rPr>
        <w:t>“</w:t>
      </w:r>
      <w:r w:rsidRPr="000A0EA1">
        <w:rPr>
          <w:lang w:val="en-CA"/>
        </w:rPr>
        <w:t>should be granted when the nature of the violation and the intention of the legislature allows for them</w:t>
      </w:r>
      <w:r w:rsidR="00E46AFD">
        <w:rPr>
          <w:lang w:val="en-CA"/>
        </w:rPr>
        <w:t>”</w:t>
      </w:r>
      <w:r w:rsidRPr="000A0EA1">
        <w:rPr>
          <w:lang w:val="en-CA"/>
        </w:rPr>
        <w:t>.</w:t>
      </w:r>
      <w:r w:rsidRPr="000A0EA1">
        <w:rPr>
          <w:rStyle w:val="Appelnotedebasdep"/>
          <w:lang w:val="en-CA"/>
        </w:rPr>
        <w:footnoteReference w:id="331"/>
      </w:r>
      <w:r w:rsidRPr="000A0EA1">
        <w:rPr>
          <w:lang w:val="en-CA"/>
        </w:rPr>
        <w:t xml:space="preserve"> To allow the public to benefit from legislation duly enacted by a democratically elected legislature, reading down, reading in, and severance – which are </w:t>
      </w:r>
      <w:r w:rsidR="00E46AFD">
        <w:rPr>
          <w:lang w:val="en-CA"/>
        </w:rPr>
        <w:t>“</w:t>
      </w:r>
      <w:r w:rsidRPr="000A0EA1">
        <w:rPr>
          <w:lang w:val="en-CA"/>
        </w:rPr>
        <w:t>remedies tailored</w:t>
      </w:r>
      <w:r w:rsidR="00E46AFD">
        <w:rPr>
          <w:lang w:val="en-CA"/>
        </w:rPr>
        <w:t>”</w:t>
      </w:r>
      <w:r w:rsidRPr="000A0EA1">
        <w:rPr>
          <w:lang w:val="en-CA"/>
        </w:rPr>
        <w:t xml:space="preserve"> to the breadth of the violation – should be employed when possible so as to preserve the constitutional aspects of legislation.</w:t>
      </w:r>
      <w:r w:rsidRPr="000A0EA1">
        <w:rPr>
          <w:rStyle w:val="Appelnotedebasdep"/>
          <w:lang w:val="en-CA"/>
        </w:rPr>
        <w:footnoteReference w:id="332"/>
      </w:r>
      <w:r w:rsidRPr="000A0EA1">
        <w:rPr>
          <w:lang w:val="en-CA"/>
        </w:rPr>
        <w:t xml:space="preserve"> </w:t>
      </w:r>
    </w:p>
    <w:p w14:paraId="17F5F3D2" w14:textId="323641F9" w:rsidR="004C7649" w:rsidRPr="000A0EA1" w:rsidRDefault="00B02E00" w:rsidP="00B255B8">
      <w:pPr>
        <w:pStyle w:val="Paragraphe"/>
        <w:spacing w:line="240" w:lineRule="auto"/>
        <w:rPr>
          <w:lang w:val="en-CA"/>
        </w:rPr>
      </w:pPr>
      <w:r w:rsidRPr="000A0EA1">
        <w:rPr>
          <w:lang w:val="en-CA"/>
        </w:rPr>
        <w:t xml:space="preserve">Such remedies, however, can intrude on the legislative sphere. Consequently, tailored remedies should be granted only </w:t>
      </w:r>
      <w:r w:rsidR="00E46AFD">
        <w:rPr>
          <w:lang w:val="en-CA"/>
        </w:rPr>
        <w:t>“</w:t>
      </w:r>
      <w:r w:rsidRPr="000A0EA1">
        <w:rPr>
          <w:lang w:val="en-CA"/>
        </w:rPr>
        <w:t xml:space="preserve">where it can be fairly assumed that </w:t>
      </w:r>
      <w:r w:rsidR="00E46AFD">
        <w:rPr>
          <w:lang w:val="en-CA"/>
        </w:rPr>
        <w:t>‘</w:t>
      </w:r>
      <w:r w:rsidRPr="000A0EA1">
        <w:rPr>
          <w:lang w:val="en-CA"/>
        </w:rPr>
        <w:t>the legislature would have passed the constitutionally sound part of the scheme without the unsound part</w:t>
      </w:r>
      <w:r w:rsidR="00E46AFD">
        <w:rPr>
          <w:lang w:val="en-CA"/>
        </w:rPr>
        <w:t>’</w:t>
      </w:r>
      <w:r w:rsidRPr="000A0EA1">
        <w:rPr>
          <w:lang w:val="en-CA"/>
        </w:rPr>
        <w:t xml:space="preserve"> and where it is possible to precisely define the unconstitutional aspect of the law</w:t>
      </w:r>
      <w:r w:rsidR="00E46AFD">
        <w:rPr>
          <w:lang w:val="en-CA"/>
        </w:rPr>
        <w:t>”</w:t>
      </w:r>
      <w:r w:rsidRPr="000A0EA1">
        <w:rPr>
          <w:lang w:val="en-CA"/>
        </w:rPr>
        <w:t>.</w:t>
      </w:r>
      <w:r w:rsidRPr="000A0EA1">
        <w:rPr>
          <w:rStyle w:val="Appelnotedebasdep"/>
          <w:lang w:val="en-CA"/>
        </w:rPr>
        <w:footnoteReference w:id="333"/>
      </w:r>
      <w:r w:rsidRPr="000A0EA1">
        <w:rPr>
          <w:lang w:val="en-CA"/>
        </w:rPr>
        <w:t xml:space="preserve"> If it seems unlikely that the legislature would have enacted the </w:t>
      </w:r>
      <w:r w:rsidR="00E46AFD">
        <w:rPr>
          <w:lang w:val="en-CA"/>
        </w:rPr>
        <w:t>“</w:t>
      </w:r>
      <w:r w:rsidRPr="000A0EA1">
        <w:rPr>
          <w:lang w:val="en-CA"/>
        </w:rPr>
        <w:t>tailored version</w:t>
      </w:r>
      <w:r w:rsidR="00E46AFD">
        <w:rPr>
          <w:lang w:val="en-CA"/>
        </w:rPr>
        <w:t>”</w:t>
      </w:r>
      <w:r w:rsidRPr="000A0EA1">
        <w:rPr>
          <w:lang w:val="en-CA"/>
        </w:rPr>
        <w:t xml:space="preserve"> of the statute, such a remedy would not conform to its policy choice and would </w:t>
      </w:r>
      <w:r w:rsidRPr="000A0EA1">
        <w:rPr>
          <w:lang w:val="en-CA"/>
        </w:rPr>
        <w:lastRenderedPageBreak/>
        <w:t>thus undermine parliamentary sovereignty.</w:t>
      </w:r>
      <w:r w:rsidRPr="000A0EA1">
        <w:rPr>
          <w:rStyle w:val="Appelnotedebasdep"/>
          <w:lang w:val="en-CA"/>
        </w:rPr>
        <w:footnoteReference w:id="334"/>
      </w:r>
      <w:r w:rsidRPr="000A0EA1">
        <w:rPr>
          <w:lang w:val="en-CA"/>
        </w:rPr>
        <w:t xml:space="preserve"> Moreover, tailored remedies should not be granted when they would interfere with the legislative objective of the law as a whole.</w:t>
      </w:r>
      <w:r w:rsidRPr="000A0EA1">
        <w:rPr>
          <w:rStyle w:val="Appelnotedebasdep"/>
          <w:lang w:val="en-CA"/>
        </w:rPr>
        <w:footnoteReference w:id="335"/>
      </w:r>
      <w:r w:rsidRPr="000A0EA1">
        <w:rPr>
          <w:lang w:val="en-CA"/>
        </w:rPr>
        <w:t xml:space="preserve"> Lastly, such remedies should be avoided when they do not flow </w:t>
      </w:r>
      <w:r w:rsidR="00E46AFD">
        <w:rPr>
          <w:lang w:val="en-CA"/>
        </w:rPr>
        <w:t>“</w:t>
      </w:r>
      <w:r w:rsidRPr="000A0EA1">
        <w:rPr>
          <w:lang w:val="en-CA"/>
        </w:rPr>
        <w:t>with sufficient precision from the requirements of the Constitution</w:t>
      </w:r>
      <w:r w:rsidR="00E46AFD">
        <w:rPr>
          <w:lang w:val="en-CA"/>
        </w:rPr>
        <w:t>”</w:t>
      </w:r>
      <w:r w:rsidRPr="000A0EA1">
        <w:rPr>
          <w:lang w:val="en-CA"/>
        </w:rPr>
        <w:t>.</w:t>
      </w:r>
      <w:r w:rsidRPr="000A0EA1">
        <w:rPr>
          <w:rStyle w:val="Appelnotedebasdep"/>
          <w:lang w:val="en-CA"/>
        </w:rPr>
        <w:footnoteReference w:id="336"/>
      </w:r>
    </w:p>
    <w:p w14:paraId="17F5F3D3" w14:textId="77777777" w:rsidR="004C7649" w:rsidRPr="000A0EA1" w:rsidRDefault="00B02E00" w:rsidP="00B255B8">
      <w:pPr>
        <w:pStyle w:val="Paragraphe"/>
        <w:numPr>
          <w:ilvl w:val="0"/>
          <w:numId w:val="15"/>
        </w:numPr>
        <w:tabs>
          <w:tab w:val="left" w:pos="708"/>
        </w:tabs>
        <w:spacing w:before="240" w:line="240" w:lineRule="auto"/>
        <w:rPr>
          <w:i/>
          <w:iCs/>
          <w:u w:val="single"/>
          <w:lang w:val="en-CA"/>
        </w:rPr>
      </w:pPr>
      <w:r w:rsidRPr="000A0EA1">
        <w:rPr>
          <w:i/>
          <w:iCs/>
          <w:u w:val="single"/>
          <w:lang w:val="en-CA"/>
        </w:rPr>
        <w:t>Application to the case at bar</w:t>
      </w:r>
    </w:p>
    <w:p w14:paraId="17F5F3D4" w14:textId="1313AB85" w:rsidR="004C7649" w:rsidRPr="000A0EA1" w:rsidRDefault="00B02E00" w:rsidP="00B255B8">
      <w:pPr>
        <w:pStyle w:val="Paragraphe"/>
        <w:numPr>
          <w:ilvl w:val="0"/>
          <w:numId w:val="0"/>
        </w:numPr>
        <w:tabs>
          <w:tab w:val="left" w:pos="708"/>
        </w:tabs>
        <w:spacing w:line="240" w:lineRule="auto"/>
        <w:ind w:left="2520"/>
        <w:rPr>
          <w:u w:val="single"/>
          <w:lang w:val="en-CA"/>
        </w:rPr>
      </w:pPr>
      <w:r w:rsidRPr="000A0EA1">
        <w:rPr>
          <w:u w:val="single"/>
          <w:lang w:val="en-CA"/>
        </w:rPr>
        <w:t xml:space="preserve">Order to hold a </w:t>
      </w:r>
      <w:r w:rsidR="00E46AFD">
        <w:rPr>
          <w:u w:val="single"/>
          <w:lang w:val="en-CA"/>
        </w:rPr>
        <w:t>“</w:t>
      </w:r>
      <w:r w:rsidRPr="000A0EA1">
        <w:rPr>
          <w:u w:val="single"/>
          <w:lang w:val="en-CA"/>
        </w:rPr>
        <w:t>dialogue</w:t>
      </w:r>
      <w:r w:rsidR="00E46AFD">
        <w:rPr>
          <w:u w:val="single"/>
          <w:lang w:val="en-CA"/>
        </w:rPr>
        <w:t>”</w:t>
      </w:r>
      <w:r w:rsidRPr="000A0EA1">
        <w:rPr>
          <w:u w:val="single"/>
          <w:lang w:val="en-CA"/>
        </w:rPr>
        <w:t xml:space="preserve"> under court supervision (paras.</w:t>
      </w:r>
      <w:r w:rsidR="00093852">
        <w:rPr>
          <w:u w:val="single"/>
          <w:lang w:val="en-CA"/>
        </w:rPr>
        <w:t> </w:t>
      </w:r>
      <w:r w:rsidRPr="000A0EA1">
        <w:rPr>
          <w:u w:val="single"/>
          <w:lang w:val="en-CA"/>
        </w:rPr>
        <w:t>[425]</w:t>
      </w:r>
      <w:r w:rsidR="00093852">
        <w:rPr>
          <w:u w:val="single"/>
          <w:lang w:val="en-CA"/>
        </w:rPr>
        <w:t>,</w:t>
      </w:r>
      <w:r w:rsidRPr="000A0EA1">
        <w:rPr>
          <w:u w:val="single"/>
          <w:lang w:val="en-CA"/>
        </w:rPr>
        <w:t xml:space="preserve"> [426]</w:t>
      </w:r>
      <w:r w:rsidR="00117B43">
        <w:rPr>
          <w:u w:val="single"/>
          <w:lang w:val="en-CA"/>
        </w:rPr>
        <w:t>, [432]</w:t>
      </w:r>
      <w:r w:rsidRPr="000A0EA1">
        <w:rPr>
          <w:u w:val="single"/>
          <w:lang w:val="en-CA"/>
        </w:rPr>
        <w:t xml:space="preserve"> and [446] of the judgment)</w:t>
      </w:r>
    </w:p>
    <w:p w14:paraId="17F5F3D5" w14:textId="63FC86FD" w:rsidR="004C7649" w:rsidRPr="000A0EA1" w:rsidRDefault="00B02E00" w:rsidP="00B255B8">
      <w:pPr>
        <w:pStyle w:val="Paragraphe"/>
        <w:spacing w:line="240" w:lineRule="auto"/>
        <w:rPr>
          <w:lang w:val="en-CA"/>
        </w:rPr>
      </w:pPr>
      <w:r w:rsidRPr="000A0EA1">
        <w:rPr>
          <w:lang w:val="en-CA"/>
        </w:rPr>
        <w:t xml:space="preserve">It is apparent from the trial judgment that the judge wished to establish a form of consultation by allowing a </w:t>
      </w:r>
      <w:r w:rsidR="00E46AFD">
        <w:rPr>
          <w:lang w:val="en-CA"/>
        </w:rPr>
        <w:t>“</w:t>
      </w:r>
      <w:r w:rsidRPr="000A0EA1">
        <w:rPr>
          <w:lang w:val="en-CA"/>
        </w:rPr>
        <w:t>dialogue</w:t>
      </w:r>
      <w:r w:rsidR="00E46AFD">
        <w:rPr>
          <w:lang w:val="en-CA"/>
        </w:rPr>
        <w:t>”</w:t>
      </w:r>
      <w:r w:rsidRPr="000A0EA1">
        <w:rPr>
          <w:lang w:val="en-CA"/>
        </w:rPr>
        <w:t xml:space="preserve"> to begin between the parties with a view to correcting the infringements of </w:t>
      </w:r>
      <w:r w:rsidR="0062160E">
        <w:rPr>
          <w:lang w:val="en-CA"/>
        </w:rPr>
        <w:t>s. 2</w:t>
      </w:r>
      <w:r w:rsidRPr="000A0EA1">
        <w:rPr>
          <w:lang w:val="en-CA"/>
        </w:rPr>
        <w:t xml:space="preserve">3 of the </w:t>
      </w:r>
      <w:r w:rsidRPr="000A0EA1">
        <w:rPr>
          <w:i/>
          <w:iCs/>
          <w:lang w:val="en-CA"/>
        </w:rPr>
        <w:t>Charter</w:t>
      </w:r>
      <w:r w:rsidRPr="000A0EA1">
        <w:rPr>
          <w:lang w:val="en-CA"/>
        </w:rPr>
        <w:t xml:space="preserve">, which </w:t>
      </w:r>
      <w:r w:rsidR="00E46AFD">
        <w:rPr>
          <w:lang w:val="en-CA"/>
        </w:rPr>
        <w:t>“</w:t>
      </w:r>
      <w:r w:rsidRPr="000A0EA1">
        <w:rPr>
          <w:lang w:val="en-CA"/>
        </w:rPr>
        <w:t>dialogue</w:t>
      </w:r>
      <w:r w:rsidR="00E46AFD">
        <w:rPr>
          <w:lang w:val="en-CA"/>
        </w:rPr>
        <w:t>”</w:t>
      </w:r>
      <w:r w:rsidRPr="000A0EA1">
        <w:rPr>
          <w:lang w:val="en-CA"/>
        </w:rPr>
        <w:t xml:space="preserve"> would take place under his supervision, for an initial period of six months or for such additional period as he might decree depending on the progress of the discussions.</w:t>
      </w:r>
      <w:r w:rsidRPr="000A0EA1">
        <w:rPr>
          <w:rStyle w:val="Appelnotedebasdep"/>
          <w:lang w:val="en-CA"/>
        </w:rPr>
        <w:footnoteReference w:id="337"/>
      </w:r>
      <w:r w:rsidRPr="000A0EA1">
        <w:rPr>
          <w:lang w:val="en-CA"/>
        </w:rPr>
        <w:t xml:space="preserve"> This is likely part of the reason why the judge decided to retain jurisdiction over the file.</w:t>
      </w:r>
    </w:p>
    <w:p w14:paraId="17F5F3D6" w14:textId="4AD891D4" w:rsidR="004C7649" w:rsidRPr="000A0EA1" w:rsidRDefault="00B02E00" w:rsidP="00B255B8">
      <w:pPr>
        <w:pStyle w:val="Paragraphe"/>
        <w:spacing w:line="240" w:lineRule="auto"/>
        <w:rPr>
          <w:lang w:val="en-CA"/>
        </w:rPr>
      </w:pPr>
      <w:r w:rsidRPr="000A0EA1">
        <w:rPr>
          <w:lang w:val="en-CA"/>
        </w:rPr>
        <w:t xml:space="preserve">As </w:t>
      </w:r>
      <w:r w:rsidR="00D434AA">
        <w:rPr>
          <w:lang w:val="en-CA"/>
        </w:rPr>
        <w:t>the Court</w:t>
      </w:r>
      <w:r w:rsidRPr="000A0EA1">
        <w:rPr>
          <w:lang w:val="en-CA"/>
        </w:rPr>
        <w:t xml:space="preserve"> </w:t>
      </w:r>
      <w:r w:rsidR="00D434AA">
        <w:rPr>
          <w:lang w:val="en-CA"/>
        </w:rPr>
        <w:t>concluded</w:t>
      </w:r>
      <w:r w:rsidRPr="000A0EA1">
        <w:rPr>
          <w:lang w:val="en-CA"/>
        </w:rPr>
        <w:t xml:space="preserve"> earlier, </w:t>
      </w:r>
      <w:r w:rsidR="00416553">
        <w:rPr>
          <w:lang w:val="en-CA"/>
        </w:rPr>
        <w:t xml:space="preserve">there are no grounds for </w:t>
      </w:r>
      <w:r w:rsidRPr="000A0EA1">
        <w:rPr>
          <w:lang w:val="en-CA"/>
        </w:rPr>
        <w:t>confirm</w:t>
      </w:r>
      <w:r w:rsidR="00416553">
        <w:rPr>
          <w:lang w:val="en-CA"/>
        </w:rPr>
        <w:t>ing</w:t>
      </w:r>
      <w:r w:rsidRPr="000A0EA1">
        <w:rPr>
          <w:lang w:val="en-CA"/>
        </w:rPr>
        <w:t xml:space="preserve"> the judge</w:t>
      </w:r>
      <w:r w:rsidR="00E46AFD">
        <w:rPr>
          <w:lang w:val="en-CA"/>
        </w:rPr>
        <w:t>’</w:t>
      </w:r>
      <w:r w:rsidRPr="000A0EA1">
        <w:rPr>
          <w:lang w:val="en-CA"/>
        </w:rPr>
        <w:t>s conclusion that, in drafting legislation, the government of Quebec and the National Assembly are subject to a duty to consult with Quebec</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minority</w:t>
      </w:r>
      <w:r w:rsidR="00D434AA">
        <w:rPr>
          <w:lang w:val="en-CA"/>
        </w:rPr>
        <w:t xml:space="preserve"> pursuant to</w:t>
      </w:r>
      <w:r w:rsidRPr="000A0EA1">
        <w:rPr>
          <w:lang w:val="en-CA"/>
        </w:rPr>
        <w:t xml:space="preserve"> </w:t>
      </w:r>
      <w:r w:rsidR="00A17C42">
        <w:rPr>
          <w:lang w:val="en-CA"/>
        </w:rPr>
        <w:t xml:space="preserve">a </w:t>
      </w:r>
      <w:r w:rsidRPr="000A0EA1">
        <w:rPr>
          <w:lang w:val="en-CA"/>
        </w:rPr>
        <w:t xml:space="preserve">process that </w:t>
      </w:r>
      <w:r w:rsidR="00D434AA">
        <w:rPr>
          <w:lang w:val="en-CA"/>
        </w:rPr>
        <w:t>w</w:t>
      </w:r>
      <w:r w:rsidRPr="000A0EA1">
        <w:rPr>
          <w:lang w:val="en-CA"/>
        </w:rPr>
        <w:t xml:space="preserve">ould take place under the supervision of the Superior Court. </w:t>
      </w:r>
    </w:p>
    <w:p w14:paraId="17F5F3D7" w14:textId="77777777" w:rsidR="004C7649" w:rsidRPr="000A0EA1" w:rsidRDefault="00B02E00" w:rsidP="00B255B8">
      <w:pPr>
        <w:pStyle w:val="Paragraphe"/>
        <w:spacing w:line="240" w:lineRule="auto"/>
        <w:rPr>
          <w:lang w:val="en-CA"/>
        </w:rPr>
      </w:pPr>
      <w:r w:rsidRPr="000A0EA1">
        <w:rPr>
          <w:lang w:val="en-CA"/>
        </w:rPr>
        <w:t xml:space="preserve">Furthermore, in their pleadings, the respondents did not ask that the judge retain jurisdiction over the case. At the appeal hearing, counsel for the respondents confirmed that they were still not seeking such an order. </w:t>
      </w:r>
    </w:p>
    <w:p w14:paraId="17F5F3D8" w14:textId="72B8A695" w:rsidR="004C7649" w:rsidRPr="000A0EA1" w:rsidRDefault="00B02E00" w:rsidP="00B255B8">
      <w:pPr>
        <w:pStyle w:val="Paragraphe"/>
        <w:spacing w:line="240" w:lineRule="auto"/>
        <w:rPr>
          <w:lang w:val="en-CA"/>
        </w:rPr>
      </w:pPr>
      <w:r w:rsidRPr="000A0EA1">
        <w:rPr>
          <w:lang w:val="en-CA"/>
        </w:rPr>
        <w:t>While it is possible for a judge to retain jurisdiction in a constitutional case</w:t>
      </w:r>
      <w:r w:rsidR="00D434AA">
        <w:rPr>
          <w:lang w:val="en-CA"/>
        </w:rPr>
        <w:t xml:space="preserve"> </w:t>
      </w:r>
      <w:r w:rsidRPr="000A0EA1">
        <w:rPr>
          <w:lang w:val="en-CA"/>
        </w:rPr>
        <w:t>to ensure that an appropriate remedy is implemented, this type of remedy is rare. To date, it has been used chiefly in exceptional circumstances, such as where it was shown that the government was delaying action or refusing to comply with its constitutional obligations.</w:t>
      </w:r>
    </w:p>
    <w:p w14:paraId="17F5F3D9" w14:textId="33492DF5" w:rsidR="004C7649" w:rsidRPr="000A0EA1" w:rsidRDefault="00B02E00" w:rsidP="00B255B8">
      <w:pPr>
        <w:pStyle w:val="Paragraphe"/>
        <w:spacing w:line="240" w:lineRule="auto"/>
        <w:rPr>
          <w:lang w:val="en-CA"/>
        </w:rPr>
      </w:pPr>
      <w:r w:rsidRPr="000A0EA1">
        <w:rPr>
          <w:lang w:val="en-CA"/>
        </w:rPr>
        <w:t xml:space="preserve">For example, the Supreme Court confirmed the validity of such a remedy in </w:t>
      </w:r>
      <w:r w:rsidRPr="000A0EA1">
        <w:rPr>
          <w:i/>
          <w:iCs/>
          <w:lang w:val="en-CA"/>
        </w:rPr>
        <w:t>Doucet</w:t>
      </w:r>
      <w:r w:rsidR="00E435DD">
        <w:rPr>
          <w:i/>
          <w:iCs/>
          <w:lang w:val="en-CA"/>
        </w:rPr>
        <w:noBreakHyphen/>
      </w:r>
      <w:r w:rsidRPr="000A0EA1">
        <w:rPr>
          <w:i/>
          <w:iCs/>
          <w:lang w:val="en-CA"/>
        </w:rPr>
        <w:t>Boudreau</w:t>
      </w:r>
      <w:r w:rsidRPr="000A0EA1">
        <w:rPr>
          <w:lang w:val="en-CA"/>
        </w:rPr>
        <w:t xml:space="preserve">, a case in which the provincial government in question had delayed building schools for </w:t>
      </w:r>
      <w:r w:rsidR="00AE3408">
        <w:rPr>
          <w:lang w:val="en-CA"/>
        </w:rPr>
        <w:t>French</w:t>
      </w:r>
      <w:r w:rsidR="00AE3408">
        <w:rPr>
          <w:lang w:val="en-CA"/>
        </w:rPr>
        <w:noBreakHyphen/>
        <w:t>language</w:t>
      </w:r>
      <w:r w:rsidRPr="000A0EA1">
        <w:rPr>
          <w:lang w:val="en-CA"/>
        </w:rPr>
        <w:t xml:space="preserve"> minority students, while assimilation of this community continued and </w:t>
      </w:r>
      <w:r w:rsidR="00AE3408">
        <w:rPr>
          <w:lang w:val="en-CA"/>
        </w:rPr>
        <w:t>French</w:t>
      </w:r>
      <w:r w:rsidR="00AE3408">
        <w:rPr>
          <w:lang w:val="en-CA"/>
        </w:rPr>
        <w:noBreakHyphen/>
        <w:t>language</w:t>
      </w:r>
      <w:r w:rsidRPr="000A0EA1">
        <w:rPr>
          <w:lang w:val="en-CA"/>
        </w:rPr>
        <w:t xml:space="preserve"> school programs were in jeopardy. The Supreme Court concluded that the particular circumstances of the case warranted an order requiring the government to report to the court from time to time.</w:t>
      </w:r>
      <w:r w:rsidRPr="000A0EA1">
        <w:rPr>
          <w:rStyle w:val="Appelnotedebasdep"/>
          <w:lang w:val="en-CA"/>
        </w:rPr>
        <w:footnoteReference w:id="338"/>
      </w:r>
      <w:r w:rsidRPr="000A0EA1">
        <w:rPr>
          <w:lang w:val="en-CA"/>
        </w:rPr>
        <w:t xml:space="preserve"> This type of </w:t>
      </w:r>
      <w:r w:rsidRPr="000A0EA1">
        <w:rPr>
          <w:lang w:val="en-CA"/>
        </w:rPr>
        <w:lastRenderedPageBreak/>
        <w:t xml:space="preserve">remedy was also used in the </w:t>
      </w:r>
      <w:r w:rsidRPr="000A0EA1">
        <w:rPr>
          <w:i/>
          <w:iCs/>
          <w:lang w:val="en-CA"/>
        </w:rPr>
        <w:t>Reference re Manitoba Language Rights</w:t>
      </w:r>
      <w:r w:rsidRPr="000A0EA1">
        <w:rPr>
          <w:lang w:val="en-CA"/>
        </w:rPr>
        <w:t>.</w:t>
      </w:r>
      <w:r w:rsidRPr="000A0EA1">
        <w:rPr>
          <w:rStyle w:val="Appelnotedebasdep"/>
          <w:lang w:val="en-CA"/>
        </w:rPr>
        <w:footnoteReference w:id="339"/>
      </w:r>
      <w:r w:rsidRPr="000A0EA1">
        <w:rPr>
          <w:lang w:val="en-CA"/>
        </w:rPr>
        <w:t xml:space="preserve"> In that case, the Supreme Court declared all of Manitoba</w:t>
      </w:r>
      <w:r w:rsidR="00E46AFD">
        <w:rPr>
          <w:lang w:val="en-CA"/>
        </w:rPr>
        <w:t>’</w:t>
      </w:r>
      <w:r w:rsidRPr="000A0EA1">
        <w:rPr>
          <w:lang w:val="en-CA"/>
        </w:rPr>
        <w:t xml:space="preserve">s unilingual legislation invalid and of no force or effect. It ordered a temporary suspension of this declaration, however, because it was of the view that its immediate implementation would create a legal vacuum with consequent legal chaos in the province. As the Supreme Court was unable to determine the period during which it would not be possible for the Manitoba legislature to comply with its constitutional duty to publish its laws in both official languages, the Court decided to retain jurisdiction over the case. </w:t>
      </w:r>
    </w:p>
    <w:p w14:paraId="17F5F3DA" w14:textId="54B7B40F" w:rsidR="004C7649" w:rsidRPr="000A0EA1" w:rsidRDefault="00B02E00" w:rsidP="00B255B8">
      <w:pPr>
        <w:pStyle w:val="Paragraphe"/>
        <w:spacing w:line="240" w:lineRule="auto"/>
        <w:rPr>
          <w:lang w:val="en-CA"/>
        </w:rPr>
      </w:pPr>
      <w:r w:rsidRPr="000A0EA1">
        <w:rPr>
          <w:lang w:val="en-CA"/>
        </w:rPr>
        <w:t>In the present matter, no such exceptional circumstance ha</w:t>
      </w:r>
      <w:r w:rsidR="00E5743A">
        <w:rPr>
          <w:lang w:val="en-CA"/>
        </w:rPr>
        <w:t>s</w:t>
      </w:r>
      <w:r w:rsidRPr="000A0EA1">
        <w:rPr>
          <w:lang w:val="en-CA"/>
        </w:rPr>
        <w:t xml:space="preserve"> been established. Indeed, there is no basis for presuming that the Quebec legislature will not respect its constitutional obligations at the end of the judicial process in the case at bar. Confirming the judicial remedy chosen by the judge would be tantamount to allowing him to oversee the law</w:t>
      </w:r>
      <w:r w:rsidR="0094606B">
        <w:rPr>
          <w:lang w:val="en-CA"/>
        </w:rPr>
        <w:noBreakHyphen/>
      </w:r>
      <w:r w:rsidRPr="000A0EA1">
        <w:rPr>
          <w:lang w:val="en-CA"/>
        </w:rPr>
        <w:t xml:space="preserve">making process leading to remedial legislation, which </w:t>
      </w:r>
      <w:bookmarkStart w:id="69" w:name="_Hlk190088218"/>
      <w:r w:rsidRPr="000A0EA1">
        <w:rPr>
          <w:lang w:val="en-CA"/>
        </w:rPr>
        <w:t>–</w:t>
      </w:r>
      <w:bookmarkEnd w:id="69"/>
      <w:r w:rsidRPr="000A0EA1">
        <w:rPr>
          <w:lang w:val="en-CA"/>
        </w:rPr>
        <w:t xml:space="preserve"> as </w:t>
      </w:r>
      <w:r w:rsidR="00E5743A">
        <w:rPr>
          <w:lang w:val="en-CA"/>
        </w:rPr>
        <w:t>the Court</w:t>
      </w:r>
      <w:r w:rsidRPr="000A0EA1">
        <w:rPr>
          <w:lang w:val="en-CA"/>
        </w:rPr>
        <w:t xml:space="preserve"> ha</w:t>
      </w:r>
      <w:r w:rsidR="00E5743A">
        <w:rPr>
          <w:lang w:val="en-CA"/>
        </w:rPr>
        <w:t>s</w:t>
      </w:r>
      <w:r w:rsidRPr="000A0EA1">
        <w:rPr>
          <w:lang w:val="en-CA"/>
        </w:rPr>
        <w:t xml:space="preserve"> already concluded – would be directly contrary to the principles of </w:t>
      </w:r>
      <w:r w:rsidR="00E5743A">
        <w:rPr>
          <w:lang w:val="en-CA"/>
        </w:rPr>
        <w:t xml:space="preserve">the </w:t>
      </w:r>
      <w:r w:rsidRPr="000A0EA1">
        <w:rPr>
          <w:lang w:val="en-CA"/>
        </w:rPr>
        <w:t xml:space="preserve">separation of powers and parliamentary supremacy. </w:t>
      </w:r>
    </w:p>
    <w:p w14:paraId="17F5F3DB" w14:textId="77777777" w:rsidR="004C7649" w:rsidRPr="000A0EA1" w:rsidRDefault="00B02E00" w:rsidP="00B255B8">
      <w:pPr>
        <w:pStyle w:val="Paragraphe"/>
        <w:spacing w:line="240" w:lineRule="auto"/>
        <w:rPr>
          <w:lang w:val="en-CA"/>
        </w:rPr>
      </w:pPr>
      <w:r w:rsidRPr="000A0EA1">
        <w:rPr>
          <w:lang w:val="en-CA"/>
        </w:rPr>
        <w:t>The Court must therefore intervene.</w:t>
      </w:r>
    </w:p>
    <w:p w14:paraId="17F5F3DC" w14:textId="6488DFB5" w:rsidR="004C7649" w:rsidRPr="000A0EA1" w:rsidRDefault="00B02E00" w:rsidP="00B255B8">
      <w:pPr>
        <w:pStyle w:val="Paragraphe"/>
        <w:numPr>
          <w:ilvl w:val="0"/>
          <w:numId w:val="0"/>
        </w:numPr>
        <w:tabs>
          <w:tab w:val="left" w:pos="708"/>
        </w:tabs>
        <w:spacing w:line="240" w:lineRule="auto"/>
        <w:ind w:left="2520"/>
        <w:rPr>
          <w:u w:val="single"/>
          <w:lang w:val="en-CA"/>
        </w:rPr>
      </w:pPr>
      <w:r w:rsidRPr="000A0EA1">
        <w:rPr>
          <w:u w:val="single"/>
          <w:lang w:val="en-CA"/>
        </w:rPr>
        <w:t>Suspension of the legislative provisions that are inextricably linked to the provisions declared unconstitutional (para.</w:t>
      </w:r>
      <w:r w:rsidR="00797429">
        <w:rPr>
          <w:u w:val="single"/>
          <w:lang w:val="en-CA"/>
        </w:rPr>
        <w:t> </w:t>
      </w:r>
      <w:r w:rsidRPr="000A0EA1">
        <w:rPr>
          <w:u w:val="single"/>
          <w:lang w:val="en-CA"/>
        </w:rPr>
        <w:t>[445] of the judgment)</w:t>
      </w:r>
    </w:p>
    <w:p w14:paraId="17F5F3DD" w14:textId="0591DE69" w:rsidR="004C7649" w:rsidRPr="000A0EA1" w:rsidRDefault="00B02E00" w:rsidP="00B255B8">
      <w:pPr>
        <w:pStyle w:val="Paragraphe"/>
        <w:spacing w:line="240" w:lineRule="auto"/>
        <w:rPr>
          <w:lang w:val="en-CA"/>
        </w:rPr>
      </w:pPr>
      <w:r w:rsidRPr="000A0EA1">
        <w:rPr>
          <w:lang w:val="en-CA"/>
        </w:rPr>
        <w:t>In the last version of their originating application before the Superior Court, the respondents argue</w:t>
      </w:r>
      <w:r w:rsidR="003C1774">
        <w:rPr>
          <w:lang w:val="en-CA"/>
        </w:rPr>
        <w:t>d</w:t>
      </w:r>
      <w:r w:rsidRPr="000A0EA1">
        <w:rPr>
          <w:lang w:val="en-CA"/>
        </w:rPr>
        <w:t xml:space="preserve"> that a considerable number of provisions of </w:t>
      </w:r>
      <w:r w:rsidR="00C33BBC">
        <w:rPr>
          <w:i/>
          <w:iCs/>
          <w:lang w:val="en-CA"/>
        </w:rPr>
        <w:t>Bill 40</w:t>
      </w:r>
      <w:r w:rsidRPr="000A0EA1">
        <w:rPr>
          <w:i/>
          <w:iCs/>
          <w:lang w:val="en-CA"/>
        </w:rPr>
        <w:t xml:space="preserve"> </w:t>
      </w:r>
      <w:r w:rsidRPr="000A0EA1">
        <w:rPr>
          <w:lang w:val="en-CA"/>
        </w:rPr>
        <w:t xml:space="preserve">are inextricably linked to the other provisions thereof that directly infringe the linguistic minority rights guaranteed by </w:t>
      </w:r>
      <w:r w:rsidR="0062160E">
        <w:rPr>
          <w:lang w:val="en-CA"/>
        </w:rPr>
        <w:t>s. 2</w:t>
      </w:r>
      <w:r w:rsidRPr="000A0EA1">
        <w:rPr>
          <w:lang w:val="en-CA"/>
        </w:rPr>
        <w:t xml:space="preserve">3 of the </w:t>
      </w:r>
      <w:r w:rsidRPr="000A0EA1">
        <w:rPr>
          <w:i/>
          <w:iCs/>
          <w:lang w:val="en-CA"/>
        </w:rPr>
        <w:t>Charter</w:t>
      </w:r>
      <w:r w:rsidRPr="000A0EA1">
        <w:rPr>
          <w:lang w:val="en-CA"/>
        </w:rPr>
        <w:t>.</w:t>
      </w:r>
      <w:r w:rsidRPr="000A0EA1">
        <w:rPr>
          <w:rStyle w:val="Appelnotedebasdep"/>
          <w:lang w:val="en-CA"/>
        </w:rPr>
        <w:footnoteReference w:id="340"/>
      </w:r>
      <w:r w:rsidRPr="000A0EA1">
        <w:rPr>
          <w:i/>
          <w:iCs/>
          <w:lang w:val="en-CA"/>
        </w:rPr>
        <w:t xml:space="preserve"> </w:t>
      </w:r>
      <w:r w:rsidRPr="000A0EA1">
        <w:rPr>
          <w:lang w:val="en-CA"/>
        </w:rPr>
        <w:t>In a schedule to their originating application, they provide</w:t>
      </w:r>
      <w:r w:rsidR="003C1774">
        <w:rPr>
          <w:lang w:val="en-CA"/>
        </w:rPr>
        <w:t>d</w:t>
      </w:r>
      <w:r w:rsidRPr="000A0EA1">
        <w:rPr>
          <w:lang w:val="en-CA"/>
        </w:rPr>
        <w:t xml:space="preserve"> a lengthy table setting out their reasons why the provisions of </w:t>
      </w:r>
      <w:r w:rsidR="00C33BBC">
        <w:rPr>
          <w:i/>
          <w:iCs/>
          <w:lang w:val="en-CA"/>
        </w:rPr>
        <w:t>Bill 40</w:t>
      </w:r>
      <w:r w:rsidRPr="000A0EA1">
        <w:rPr>
          <w:lang w:val="en-CA"/>
        </w:rPr>
        <w:t xml:space="preserve"> they identified are inextricably linked to the infringing provisions.</w:t>
      </w:r>
      <w:r w:rsidRPr="000A0EA1">
        <w:rPr>
          <w:rStyle w:val="Appelnotedebasdep"/>
          <w:lang w:val="en-CA"/>
        </w:rPr>
        <w:footnoteReference w:id="341"/>
      </w:r>
    </w:p>
    <w:p w14:paraId="17F5F3DE" w14:textId="1311E54A" w:rsidR="004C7649" w:rsidRPr="000A0EA1" w:rsidRDefault="00B02E00" w:rsidP="00B255B8">
      <w:pPr>
        <w:pStyle w:val="Paragraphe"/>
        <w:spacing w:line="240" w:lineRule="auto"/>
        <w:rPr>
          <w:lang w:val="en-CA"/>
        </w:rPr>
      </w:pPr>
      <w:r w:rsidRPr="000A0EA1">
        <w:rPr>
          <w:lang w:val="en-CA"/>
        </w:rPr>
        <w:t xml:space="preserve">Given these inextricable links, and in order to avoid the legal confusion that would result from the application of </w:t>
      </w:r>
      <w:r w:rsidR="00C33BBC">
        <w:rPr>
          <w:i/>
          <w:iCs/>
          <w:lang w:val="en-CA"/>
        </w:rPr>
        <w:t>Bill 40</w:t>
      </w:r>
      <w:r w:rsidRPr="000A0EA1">
        <w:rPr>
          <w:i/>
          <w:iCs/>
          <w:lang w:val="en-CA"/>
        </w:rPr>
        <w:t xml:space="preserve"> </w:t>
      </w:r>
      <w:r w:rsidRPr="000A0EA1">
        <w:rPr>
          <w:lang w:val="en-CA"/>
        </w:rPr>
        <w:t xml:space="preserve">to the </w:t>
      </w:r>
      <w:r w:rsidR="00AE3408">
        <w:rPr>
          <w:lang w:val="en-CA"/>
        </w:rPr>
        <w:t>English</w:t>
      </w:r>
      <w:r w:rsidR="00AE3408">
        <w:rPr>
          <w:lang w:val="en-CA"/>
        </w:rPr>
        <w:noBreakHyphen/>
        <w:t>language</w:t>
      </w:r>
      <w:r w:rsidRPr="000A0EA1">
        <w:rPr>
          <w:lang w:val="en-CA"/>
        </w:rPr>
        <w:t xml:space="preserve"> education sector until remedial legislation were to be enacted, the respondents asked the judge to extend the stay of application of </w:t>
      </w:r>
      <w:r w:rsidR="00C33BBC">
        <w:rPr>
          <w:i/>
          <w:iCs/>
          <w:lang w:val="en-CA"/>
        </w:rPr>
        <w:t>Bill 40</w:t>
      </w:r>
      <w:r w:rsidRPr="000A0EA1">
        <w:rPr>
          <w:i/>
          <w:iCs/>
          <w:lang w:val="en-CA"/>
        </w:rPr>
        <w:t xml:space="preserve"> </w:t>
      </w:r>
      <w:r w:rsidRPr="000A0EA1">
        <w:rPr>
          <w:lang w:val="en-CA"/>
        </w:rPr>
        <w:t>in its entirety</w:t>
      </w:r>
      <w:r w:rsidRPr="000A0EA1">
        <w:rPr>
          <w:i/>
          <w:iCs/>
          <w:lang w:val="en-CA"/>
        </w:rPr>
        <w:t xml:space="preserve"> </w:t>
      </w:r>
      <w:r w:rsidRPr="000A0EA1">
        <w:rPr>
          <w:lang w:val="en-CA"/>
        </w:rPr>
        <w:t xml:space="preserve">with respect to </w:t>
      </w:r>
      <w:r w:rsidR="00AE3408">
        <w:rPr>
          <w:lang w:val="en-CA"/>
        </w:rPr>
        <w:t>English</w:t>
      </w:r>
      <w:r w:rsidR="00AE3408">
        <w:rPr>
          <w:lang w:val="en-CA"/>
        </w:rPr>
        <w:noBreakHyphen/>
        <w:t>language</w:t>
      </w:r>
      <w:r w:rsidRPr="000A0EA1">
        <w:rPr>
          <w:lang w:val="en-CA"/>
        </w:rPr>
        <w:t xml:space="preserve"> school boards, which stay had previously </w:t>
      </w:r>
      <w:r w:rsidR="006A54A4" w:rsidRPr="006A54A4">
        <w:rPr>
          <w:lang w:val="en-CA"/>
        </w:rPr>
        <w:t xml:space="preserve">already </w:t>
      </w:r>
      <w:r w:rsidRPr="000A0EA1">
        <w:rPr>
          <w:lang w:val="en-CA"/>
        </w:rPr>
        <w:t>been ordered by the judge and confirmed by the Court.</w:t>
      </w:r>
      <w:r w:rsidRPr="000A0EA1">
        <w:rPr>
          <w:rStyle w:val="Appelnotedebasdep"/>
          <w:lang w:val="en-CA"/>
        </w:rPr>
        <w:footnoteReference w:id="342"/>
      </w:r>
      <w:r w:rsidRPr="000A0EA1">
        <w:rPr>
          <w:lang w:val="en-CA"/>
        </w:rPr>
        <w:t xml:space="preserve"> In the alternative, they asked the judge to order a stay of application of the </w:t>
      </w:r>
      <w:r w:rsidRPr="000A0EA1">
        <w:rPr>
          <w:lang w:val="en-CA"/>
        </w:rPr>
        <w:lastRenderedPageBreak/>
        <w:t xml:space="preserve">provisions of </w:t>
      </w:r>
      <w:r w:rsidR="00C33BBC">
        <w:rPr>
          <w:i/>
          <w:iCs/>
          <w:lang w:val="en-CA"/>
        </w:rPr>
        <w:t>Bill 40</w:t>
      </w:r>
      <w:r w:rsidRPr="000A0EA1">
        <w:rPr>
          <w:lang w:val="en-CA"/>
        </w:rPr>
        <w:t xml:space="preserve"> that, in their view, are inextricably linked to those contrary to </w:t>
      </w:r>
      <w:r w:rsidR="0062160E">
        <w:rPr>
          <w:lang w:val="en-CA"/>
        </w:rPr>
        <w:t>s. 2</w:t>
      </w:r>
      <w:r w:rsidRPr="000A0EA1">
        <w:rPr>
          <w:lang w:val="en-CA"/>
        </w:rPr>
        <w:t xml:space="preserve">3 of the </w:t>
      </w:r>
      <w:r w:rsidRPr="000A0EA1">
        <w:rPr>
          <w:i/>
          <w:iCs/>
          <w:lang w:val="en-CA"/>
        </w:rPr>
        <w:t>Charter</w:t>
      </w:r>
      <w:r w:rsidRPr="000A0EA1">
        <w:rPr>
          <w:lang w:val="en-CA"/>
        </w:rPr>
        <w:t>.</w:t>
      </w:r>
      <w:r w:rsidRPr="000A0EA1">
        <w:rPr>
          <w:rStyle w:val="Appelnotedebasdep"/>
          <w:lang w:val="en-CA"/>
        </w:rPr>
        <w:footnoteReference w:id="343"/>
      </w:r>
      <w:r w:rsidRPr="000A0EA1">
        <w:rPr>
          <w:lang w:val="en-CA"/>
        </w:rPr>
        <w:t xml:space="preserve"> </w:t>
      </w:r>
    </w:p>
    <w:p w14:paraId="17F5F3DF" w14:textId="62ACDAFF" w:rsidR="004C7649" w:rsidRPr="000A0EA1" w:rsidRDefault="00B02E00" w:rsidP="00B255B8">
      <w:pPr>
        <w:pStyle w:val="Paragraphe"/>
        <w:spacing w:line="240" w:lineRule="auto"/>
        <w:rPr>
          <w:lang w:val="en-CA"/>
        </w:rPr>
      </w:pPr>
      <w:r w:rsidRPr="000A0EA1">
        <w:rPr>
          <w:lang w:val="en-CA"/>
        </w:rPr>
        <w:t xml:space="preserve">The trial judge did not adopt the option to stay the application of </w:t>
      </w:r>
      <w:r w:rsidR="00C33BBC">
        <w:rPr>
          <w:i/>
          <w:iCs/>
          <w:lang w:val="en-CA"/>
        </w:rPr>
        <w:t>Bill 40</w:t>
      </w:r>
      <w:r w:rsidRPr="000A0EA1">
        <w:rPr>
          <w:lang w:val="en-CA"/>
        </w:rPr>
        <w:t xml:space="preserve"> in its entirety, except until the expiry of the time limit for appealing his judgment, a matter we will address further below. Instead, he opted for the respondents</w:t>
      </w:r>
      <w:r w:rsidR="00E46AFD">
        <w:rPr>
          <w:lang w:val="en-CA"/>
        </w:rPr>
        <w:t>’</w:t>
      </w:r>
      <w:r w:rsidRPr="000A0EA1">
        <w:rPr>
          <w:lang w:val="en-CA"/>
        </w:rPr>
        <w:t xml:space="preserve"> alternative request, which he granted in part.</w:t>
      </w:r>
    </w:p>
    <w:p w14:paraId="17F5F3E0" w14:textId="7B786E29" w:rsidR="004C7649" w:rsidRPr="000A0EA1" w:rsidRDefault="00B02E00" w:rsidP="00B255B8">
      <w:pPr>
        <w:pStyle w:val="Paragraphe"/>
        <w:spacing w:line="240" w:lineRule="auto"/>
        <w:rPr>
          <w:lang w:val="en-CA"/>
        </w:rPr>
      </w:pPr>
      <w:r w:rsidRPr="000A0EA1">
        <w:rPr>
          <w:lang w:val="en-CA"/>
        </w:rPr>
        <w:t>The judge note</w:t>
      </w:r>
      <w:r w:rsidR="003C1774">
        <w:rPr>
          <w:lang w:val="en-CA"/>
        </w:rPr>
        <w:t>d</w:t>
      </w:r>
      <w:r w:rsidRPr="000A0EA1">
        <w:rPr>
          <w:lang w:val="en-CA"/>
        </w:rPr>
        <w:t xml:space="preserve"> that both the AGQ and the respondents </w:t>
      </w:r>
      <w:r w:rsidR="00E5743A">
        <w:rPr>
          <w:lang w:val="en-CA"/>
        </w:rPr>
        <w:t>agree</w:t>
      </w:r>
      <w:r w:rsidRPr="000A0EA1">
        <w:rPr>
          <w:lang w:val="en-CA"/>
        </w:rPr>
        <w:t xml:space="preserve"> that </w:t>
      </w:r>
      <w:r w:rsidR="00F05C1F">
        <w:rPr>
          <w:lang w:val="en-CA"/>
        </w:rPr>
        <w:t>certain</w:t>
      </w:r>
      <w:r w:rsidRPr="000A0EA1">
        <w:rPr>
          <w:lang w:val="en-CA"/>
        </w:rPr>
        <w:t xml:space="preserve"> of </w:t>
      </w:r>
      <w:r w:rsidR="00F05C1F">
        <w:rPr>
          <w:lang w:val="en-CA"/>
        </w:rPr>
        <w:t xml:space="preserve">the </w:t>
      </w:r>
      <w:r w:rsidRPr="000A0EA1">
        <w:rPr>
          <w:lang w:val="en-CA"/>
        </w:rPr>
        <w:t xml:space="preserve">provisions of </w:t>
      </w:r>
      <w:r w:rsidR="00C33BBC">
        <w:rPr>
          <w:i/>
          <w:iCs/>
          <w:lang w:val="en-CA"/>
        </w:rPr>
        <w:t>Bill 40</w:t>
      </w:r>
      <w:r w:rsidRPr="000A0EA1">
        <w:rPr>
          <w:lang w:val="en-CA"/>
        </w:rPr>
        <w:t xml:space="preserve"> are inextricably linked to those that infringe </w:t>
      </w:r>
      <w:r w:rsidR="0062160E">
        <w:rPr>
          <w:lang w:val="en-CA"/>
        </w:rPr>
        <w:t>s. 2</w:t>
      </w:r>
      <w:r w:rsidRPr="000A0EA1">
        <w:rPr>
          <w:lang w:val="en-CA"/>
        </w:rPr>
        <w:t xml:space="preserve">3 of the </w:t>
      </w:r>
      <w:r w:rsidRPr="000A0EA1">
        <w:rPr>
          <w:i/>
          <w:iCs/>
          <w:lang w:val="en-CA"/>
        </w:rPr>
        <w:t>Charter</w:t>
      </w:r>
      <w:r w:rsidRPr="000A0EA1">
        <w:rPr>
          <w:lang w:val="en-CA"/>
        </w:rPr>
        <w:t>.</w:t>
      </w:r>
      <w:r w:rsidRPr="000A0EA1">
        <w:rPr>
          <w:rStyle w:val="Appelnotedebasdep"/>
          <w:lang w:val="en-CA"/>
        </w:rPr>
        <w:footnoteReference w:id="344"/>
      </w:r>
      <w:r w:rsidRPr="000A0EA1">
        <w:rPr>
          <w:lang w:val="en-CA"/>
        </w:rPr>
        <w:t xml:space="preserve"> He therefore focused on the provisions of </w:t>
      </w:r>
      <w:r w:rsidR="00C33BBC">
        <w:rPr>
          <w:i/>
          <w:iCs/>
          <w:lang w:val="en-CA"/>
        </w:rPr>
        <w:t>Bill 40</w:t>
      </w:r>
      <w:r w:rsidRPr="000A0EA1">
        <w:rPr>
          <w:lang w:val="en-CA"/>
        </w:rPr>
        <w:t xml:space="preserve"> </w:t>
      </w:r>
      <w:r w:rsidR="003C1774">
        <w:rPr>
          <w:lang w:val="en-CA"/>
        </w:rPr>
        <w:t>that</w:t>
      </w:r>
      <w:r w:rsidRPr="000A0EA1">
        <w:rPr>
          <w:lang w:val="en-CA"/>
        </w:rPr>
        <w:t xml:space="preserve"> the parties did not agree</w:t>
      </w:r>
      <w:r w:rsidR="00E5743A">
        <w:rPr>
          <w:lang w:val="en-CA"/>
        </w:rPr>
        <w:t xml:space="preserve"> were</w:t>
      </w:r>
      <w:r w:rsidRPr="000A0EA1">
        <w:rPr>
          <w:lang w:val="en-CA"/>
        </w:rPr>
        <w:t xml:space="preserve"> </w:t>
      </w:r>
      <w:r w:rsidR="00E46AFD">
        <w:rPr>
          <w:lang w:val="en-CA"/>
        </w:rPr>
        <w:t>“</w:t>
      </w:r>
      <w:r w:rsidRPr="000A0EA1">
        <w:rPr>
          <w:lang w:val="en-CA"/>
        </w:rPr>
        <w:t>inextricabl</w:t>
      </w:r>
      <w:r w:rsidR="00E5743A">
        <w:rPr>
          <w:lang w:val="en-CA"/>
        </w:rPr>
        <w:t>y</w:t>
      </w:r>
      <w:r w:rsidRPr="000A0EA1">
        <w:rPr>
          <w:lang w:val="en-CA"/>
        </w:rPr>
        <w:t xml:space="preserve"> link</w:t>
      </w:r>
      <w:r w:rsidR="00E5743A">
        <w:rPr>
          <w:lang w:val="en-CA"/>
        </w:rPr>
        <w:t>ed</w:t>
      </w:r>
      <w:r w:rsidR="00E46AFD">
        <w:rPr>
          <w:lang w:val="en-CA"/>
        </w:rPr>
        <w:t>”</w:t>
      </w:r>
      <w:r w:rsidRPr="000A0EA1">
        <w:rPr>
          <w:lang w:val="en-CA"/>
        </w:rPr>
        <w:t>. He rejected some of the AGQ</w:t>
      </w:r>
      <w:r w:rsidR="00E46AFD">
        <w:rPr>
          <w:lang w:val="en-CA"/>
        </w:rPr>
        <w:t>’</w:t>
      </w:r>
      <w:r w:rsidRPr="000A0EA1">
        <w:rPr>
          <w:lang w:val="en-CA"/>
        </w:rPr>
        <w:t>s arguments and some of the respondents</w:t>
      </w:r>
      <w:r w:rsidR="00E46AFD">
        <w:rPr>
          <w:lang w:val="en-CA"/>
        </w:rPr>
        <w:t>’</w:t>
      </w:r>
      <w:r w:rsidRPr="000A0EA1">
        <w:rPr>
          <w:lang w:val="en-CA"/>
        </w:rPr>
        <w:t xml:space="preserve"> arguments, ultimately drawing up a list of the provisions he found to be </w:t>
      </w:r>
      <w:r w:rsidR="00F05C1F">
        <w:rPr>
          <w:lang w:val="en-CA"/>
        </w:rPr>
        <w:t>inextricably linked</w:t>
      </w:r>
      <w:r w:rsidRPr="000A0EA1">
        <w:rPr>
          <w:lang w:val="en-CA"/>
        </w:rPr>
        <w:t>.</w:t>
      </w:r>
      <w:r w:rsidRPr="000A0EA1">
        <w:rPr>
          <w:rStyle w:val="Appelnotedebasdep"/>
          <w:lang w:val="en-CA"/>
        </w:rPr>
        <w:footnoteReference w:id="345"/>
      </w:r>
    </w:p>
    <w:p w14:paraId="17F5F3E1" w14:textId="06D24F94" w:rsidR="004C7649" w:rsidRPr="000A0EA1" w:rsidRDefault="00B02E00" w:rsidP="00B255B8">
      <w:pPr>
        <w:pStyle w:val="Paragraphe"/>
        <w:spacing w:line="240" w:lineRule="auto"/>
        <w:rPr>
          <w:lang w:val="en-CA"/>
        </w:rPr>
      </w:pPr>
      <w:r w:rsidRPr="000A0EA1">
        <w:rPr>
          <w:lang w:val="en-CA"/>
        </w:rPr>
        <w:t xml:space="preserve">He suspended the application of these provisions of </w:t>
      </w:r>
      <w:r w:rsidR="00C33BBC">
        <w:rPr>
          <w:i/>
          <w:iCs/>
          <w:lang w:val="en-CA"/>
        </w:rPr>
        <w:t>Bill 40</w:t>
      </w:r>
      <w:r w:rsidRPr="000A0EA1">
        <w:rPr>
          <w:i/>
          <w:iCs/>
          <w:lang w:val="en-CA"/>
        </w:rPr>
        <w:t xml:space="preserve"> </w:t>
      </w:r>
      <w:r w:rsidRPr="000A0EA1">
        <w:rPr>
          <w:lang w:val="en-CA"/>
        </w:rPr>
        <w:t xml:space="preserve">to the </w:t>
      </w:r>
      <w:r w:rsidR="00AE3408">
        <w:rPr>
          <w:lang w:val="en-CA"/>
        </w:rPr>
        <w:t>English</w:t>
      </w:r>
      <w:r w:rsidR="00AE3408">
        <w:rPr>
          <w:lang w:val="en-CA"/>
        </w:rPr>
        <w:noBreakHyphen/>
        <w:t>language</w:t>
      </w:r>
      <w:r w:rsidRPr="000A0EA1">
        <w:rPr>
          <w:lang w:val="en-CA"/>
        </w:rPr>
        <w:t xml:space="preserve"> school boards for a period of six months, to allow the parties to complete the </w:t>
      </w:r>
      <w:r w:rsidR="00E46AFD">
        <w:rPr>
          <w:lang w:val="en-CA"/>
        </w:rPr>
        <w:t>“</w:t>
      </w:r>
      <w:r w:rsidRPr="000A0EA1">
        <w:rPr>
          <w:lang w:val="en-CA"/>
        </w:rPr>
        <w:t>dialogue</w:t>
      </w:r>
      <w:r w:rsidR="00E46AFD">
        <w:rPr>
          <w:lang w:val="en-CA"/>
        </w:rPr>
        <w:t>”</w:t>
      </w:r>
      <w:r w:rsidRPr="000A0EA1">
        <w:rPr>
          <w:lang w:val="en-CA"/>
        </w:rPr>
        <w:t xml:space="preserve"> he had ordered.</w:t>
      </w:r>
      <w:r w:rsidRPr="000A0EA1">
        <w:rPr>
          <w:rStyle w:val="Appelnotedebasdep"/>
          <w:lang w:val="en-CA"/>
        </w:rPr>
        <w:footnoteReference w:id="346"/>
      </w:r>
      <w:r w:rsidRPr="000A0EA1">
        <w:rPr>
          <w:lang w:val="en-CA"/>
        </w:rPr>
        <w:t xml:space="preserve"> </w:t>
      </w:r>
    </w:p>
    <w:p w14:paraId="17F5F3E2" w14:textId="620B7CD7" w:rsidR="004C7649" w:rsidRPr="000A0EA1" w:rsidRDefault="00B02E00" w:rsidP="00B255B8">
      <w:pPr>
        <w:pStyle w:val="Paragraphe"/>
        <w:spacing w:line="240" w:lineRule="auto"/>
        <w:rPr>
          <w:lang w:val="en-CA"/>
        </w:rPr>
      </w:pPr>
      <w:r w:rsidRPr="000A0EA1">
        <w:rPr>
          <w:lang w:val="en-CA"/>
        </w:rPr>
        <w:t xml:space="preserve">The AGQ submits two main </w:t>
      </w:r>
      <w:r w:rsidR="00531522">
        <w:rPr>
          <w:lang w:val="en-CA"/>
        </w:rPr>
        <w:t xml:space="preserve">criticisms </w:t>
      </w:r>
      <w:r w:rsidRPr="000A0EA1">
        <w:rPr>
          <w:lang w:val="en-CA"/>
        </w:rPr>
        <w:t>regarding the judge</w:t>
      </w:r>
      <w:r w:rsidR="00E46AFD">
        <w:rPr>
          <w:lang w:val="en-CA"/>
        </w:rPr>
        <w:t>’</w:t>
      </w:r>
      <w:r w:rsidRPr="000A0EA1">
        <w:rPr>
          <w:lang w:val="en-CA"/>
        </w:rPr>
        <w:t xml:space="preserve">s approach. The first is that he </w:t>
      </w:r>
      <w:r w:rsidR="00D40607">
        <w:rPr>
          <w:lang w:val="en-CA"/>
        </w:rPr>
        <w:t xml:space="preserve">was not entitled to </w:t>
      </w:r>
      <w:r w:rsidRPr="000A0EA1">
        <w:rPr>
          <w:lang w:val="en-CA"/>
        </w:rPr>
        <w:t xml:space="preserve">suspend the application of these provisions of </w:t>
      </w:r>
      <w:r w:rsidR="00C33BBC">
        <w:rPr>
          <w:i/>
          <w:iCs/>
          <w:lang w:val="en-CA"/>
        </w:rPr>
        <w:t>Bill 40</w:t>
      </w:r>
      <w:r w:rsidRPr="000A0EA1">
        <w:rPr>
          <w:lang w:val="en-CA"/>
        </w:rPr>
        <w:t xml:space="preserve">. If the judge was of the view that certain provisions were inextricably linked to those he had ruled contrary to </w:t>
      </w:r>
      <w:r w:rsidR="0062160E">
        <w:rPr>
          <w:lang w:val="en-CA"/>
        </w:rPr>
        <w:t>s. 2</w:t>
      </w:r>
      <w:r w:rsidRPr="000A0EA1">
        <w:rPr>
          <w:lang w:val="en-CA"/>
        </w:rPr>
        <w:t xml:space="preserve">3 of the </w:t>
      </w:r>
      <w:r w:rsidRPr="000A0EA1">
        <w:rPr>
          <w:i/>
          <w:iCs/>
          <w:lang w:val="en-CA"/>
        </w:rPr>
        <w:t>Charter</w:t>
      </w:r>
      <w:r w:rsidRPr="000A0EA1">
        <w:rPr>
          <w:lang w:val="en-CA"/>
        </w:rPr>
        <w:t>, he was required to declare that they are inoperative, so as to allow the legislature to decide how they should be amended.</w:t>
      </w:r>
      <w:r w:rsidRPr="000A0EA1">
        <w:rPr>
          <w:rStyle w:val="Appelnotedebasdep"/>
          <w:lang w:val="en-CA"/>
        </w:rPr>
        <w:footnoteReference w:id="347"/>
      </w:r>
      <w:r w:rsidRPr="000A0EA1">
        <w:rPr>
          <w:lang w:val="en-CA"/>
        </w:rPr>
        <w:t xml:space="preserve"> The AGQ</w:t>
      </w:r>
      <w:r w:rsidR="00E46AFD">
        <w:rPr>
          <w:lang w:val="en-CA"/>
        </w:rPr>
        <w:t>’</w:t>
      </w:r>
      <w:r w:rsidRPr="000A0EA1">
        <w:rPr>
          <w:lang w:val="en-CA"/>
        </w:rPr>
        <w:t xml:space="preserve">s second complaint is that some of the provisions of </w:t>
      </w:r>
      <w:r w:rsidR="00C33BBC">
        <w:rPr>
          <w:i/>
          <w:iCs/>
          <w:lang w:val="en-CA"/>
        </w:rPr>
        <w:t>Bill 40</w:t>
      </w:r>
      <w:r w:rsidRPr="000A0EA1">
        <w:rPr>
          <w:lang w:val="en-CA"/>
        </w:rPr>
        <w:t xml:space="preserve"> that the judge identified as being </w:t>
      </w:r>
      <w:r w:rsidR="00E46AFD">
        <w:rPr>
          <w:lang w:val="en-CA"/>
        </w:rPr>
        <w:t>“</w:t>
      </w:r>
      <w:r w:rsidRPr="000A0EA1">
        <w:rPr>
          <w:lang w:val="en-CA"/>
        </w:rPr>
        <w:t>inextricably linked</w:t>
      </w:r>
      <w:r w:rsidR="00E46AFD">
        <w:rPr>
          <w:lang w:val="en-CA"/>
        </w:rPr>
        <w:t>”</w:t>
      </w:r>
      <w:r w:rsidRPr="000A0EA1">
        <w:rPr>
          <w:lang w:val="en-CA"/>
        </w:rPr>
        <w:t xml:space="preserve"> are not so </w:t>
      </w:r>
      <w:r w:rsidR="00F05C1F">
        <w:rPr>
          <w:lang w:val="en-CA"/>
        </w:rPr>
        <w:t>linked</w:t>
      </w:r>
      <w:r w:rsidRPr="000A0EA1">
        <w:rPr>
          <w:lang w:val="en-CA"/>
        </w:rPr>
        <w:t xml:space="preserve"> and therefore should not be declared inoperative. According to the AGQ, these are s</w:t>
      </w:r>
      <w:r w:rsidR="0062160E">
        <w:rPr>
          <w:lang w:val="en-CA"/>
        </w:rPr>
        <w:t>s. 3</w:t>
      </w:r>
      <w:r w:rsidRPr="000A0EA1">
        <w:rPr>
          <w:lang w:val="en-CA"/>
        </w:rPr>
        <w:t xml:space="preserve">, 76, 93(1), 94, 115(2), 193, 194, 200, 201, 203(1) and (2), 204, 205, 207(2), 217(1)(b), 233(1), 234(1)(b), 249 and 255 of </w:t>
      </w:r>
      <w:r w:rsidR="00C33BBC">
        <w:rPr>
          <w:i/>
          <w:iCs/>
          <w:lang w:val="en-CA"/>
        </w:rPr>
        <w:t>Bill 40</w:t>
      </w:r>
      <w:r w:rsidRPr="000A0EA1">
        <w:rPr>
          <w:lang w:val="en-CA"/>
        </w:rPr>
        <w:t>.</w:t>
      </w:r>
    </w:p>
    <w:p w14:paraId="17F5F3E3" w14:textId="03E59502" w:rsidR="004C7649" w:rsidRPr="000A0EA1" w:rsidRDefault="00F05C1F" w:rsidP="00B255B8">
      <w:pPr>
        <w:pStyle w:val="Paragraphe"/>
        <w:spacing w:line="240" w:lineRule="auto"/>
        <w:rPr>
          <w:lang w:val="en-CA"/>
        </w:rPr>
      </w:pPr>
      <w:r>
        <w:rPr>
          <w:lang w:val="en-CA"/>
        </w:rPr>
        <w:t>The Court is of the view that</w:t>
      </w:r>
      <w:r w:rsidR="00B02E00" w:rsidRPr="000A0EA1">
        <w:rPr>
          <w:lang w:val="en-CA"/>
        </w:rPr>
        <w:t xml:space="preserve"> the AGQ is </w:t>
      </w:r>
      <w:r w:rsidR="00F350B0">
        <w:rPr>
          <w:lang w:val="en-CA"/>
        </w:rPr>
        <w:t>correct</w:t>
      </w:r>
      <w:r w:rsidR="00B02E00" w:rsidRPr="000A0EA1">
        <w:rPr>
          <w:lang w:val="en-CA"/>
        </w:rPr>
        <w:t xml:space="preserve"> on the first point and partly </w:t>
      </w:r>
      <w:r w:rsidR="00F350B0">
        <w:rPr>
          <w:lang w:val="en-CA"/>
        </w:rPr>
        <w:t xml:space="preserve">correct </w:t>
      </w:r>
      <w:r w:rsidR="00B02E00" w:rsidRPr="000A0EA1">
        <w:rPr>
          <w:lang w:val="en-CA"/>
        </w:rPr>
        <w:t xml:space="preserve">on the second. </w:t>
      </w:r>
    </w:p>
    <w:p w14:paraId="17F5F3E4" w14:textId="2461D31B" w:rsidR="004C7649" w:rsidRPr="000A0EA1" w:rsidRDefault="00B02E00" w:rsidP="00B255B8">
      <w:pPr>
        <w:pStyle w:val="Paragraphe"/>
        <w:spacing w:line="240" w:lineRule="auto"/>
        <w:rPr>
          <w:lang w:val="en-CA"/>
        </w:rPr>
      </w:pPr>
      <w:r w:rsidRPr="000A0EA1">
        <w:rPr>
          <w:lang w:val="en-CA"/>
        </w:rPr>
        <w:t>The doctrine of severance requires that a court define the extent of the inconsistency between the impugned statute and the requirements of the Constitution, and then declare inoperative both: (a)</w:t>
      </w:r>
      <w:r w:rsidR="0012747A">
        <w:rPr>
          <w:lang w:val="en-CA"/>
        </w:rPr>
        <w:t> </w:t>
      </w:r>
      <w:r w:rsidRPr="000A0EA1">
        <w:rPr>
          <w:lang w:val="en-CA"/>
        </w:rPr>
        <w:t>the inconsistent portion; and (b)</w:t>
      </w:r>
      <w:r w:rsidR="0012747A">
        <w:rPr>
          <w:lang w:val="en-CA"/>
        </w:rPr>
        <w:t> </w:t>
      </w:r>
      <w:r w:rsidRPr="000A0EA1">
        <w:rPr>
          <w:lang w:val="en-CA"/>
        </w:rPr>
        <w:t>such part of the remainder of which it cannot be safely assumed that the legislature would have enacted it without the inconsistent portion.</w:t>
      </w:r>
      <w:r w:rsidRPr="000A0EA1">
        <w:rPr>
          <w:rStyle w:val="Appelnotedebasdep"/>
          <w:lang w:val="en-CA"/>
        </w:rPr>
        <w:footnoteReference w:id="348"/>
      </w:r>
      <w:r w:rsidRPr="000A0EA1">
        <w:rPr>
          <w:lang w:val="en-CA"/>
        </w:rPr>
        <w:t xml:space="preserve"> The court may suspend such a declaration of constitutional </w:t>
      </w:r>
      <w:r w:rsidR="00D845E0">
        <w:rPr>
          <w:lang w:val="en-CA"/>
        </w:rPr>
        <w:t xml:space="preserve">inconsistency </w:t>
      </w:r>
      <w:r w:rsidRPr="000A0EA1">
        <w:rPr>
          <w:lang w:val="en-CA"/>
        </w:rPr>
        <w:t xml:space="preserve">if it deems it appropriate to do so. </w:t>
      </w:r>
    </w:p>
    <w:p w14:paraId="17F5F3E5" w14:textId="4870B92E" w:rsidR="004C7649" w:rsidRPr="000A0EA1" w:rsidRDefault="00B02E00" w:rsidP="00B255B8">
      <w:pPr>
        <w:pStyle w:val="Paragraphe"/>
        <w:spacing w:line="240" w:lineRule="auto"/>
        <w:rPr>
          <w:lang w:val="en-CA"/>
        </w:rPr>
      </w:pPr>
      <w:r w:rsidRPr="000A0EA1">
        <w:rPr>
          <w:lang w:val="en-CA"/>
        </w:rPr>
        <w:lastRenderedPageBreak/>
        <w:t xml:space="preserve">That, however, is not what the judge did here. Instead, he suspended the application to the English school boards of the provisions of </w:t>
      </w:r>
      <w:r w:rsidR="00C33BBC">
        <w:rPr>
          <w:i/>
          <w:iCs/>
          <w:lang w:val="en-CA"/>
        </w:rPr>
        <w:t>Bill 40</w:t>
      </w:r>
      <w:r w:rsidRPr="000A0EA1">
        <w:rPr>
          <w:lang w:val="en-CA"/>
        </w:rPr>
        <w:t xml:space="preserve"> that</w:t>
      </w:r>
      <w:r w:rsidR="00B64D9D">
        <w:rPr>
          <w:lang w:val="en-CA"/>
        </w:rPr>
        <w:t>, in his opinion,</w:t>
      </w:r>
      <w:r w:rsidRPr="000A0EA1">
        <w:rPr>
          <w:lang w:val="en-CA"/>
        </w:rPr>
        <w:t xml:space="preserve"> would </w:t>
      </w:r>
      <w:r w:rsidR="00B64D9D">
        <w:rPr>
          <w:lang w:val="en-CA"/>
        </w:rPr>
        <w:t xml:space="preserve">likely not </w:t>
      </w:r>
      <w:r w:rsidRPr="000A0EA1">
        <w:rPr>
          <w:lang w:val="en-CA"/>
        </w:rPr>
        <w:t xml:space="preserve">have </w:t>
      </w:r>
      <w:r w:rsidR="00B64D9D">
        <w:rPr>
          <w:lang w:val="en-CA"/>
        </w:rPr>
        <w:t xml:space="preserve">been </w:t>
      </w:r>
      <w:r w:rsidRPr="000A0EA1">
        <w:rPr>
          <w:lang w:val="en-CA"/>
        </w:rPr>
        <w:t xml:space="preserve">enacted </w:t>
      </w:r>
      <w:r w:rsidR="00B64D9D">
        <w:rPr>
          <w:lang w:val="en-CA"/>
        </w:rPr>
        <w:t>independently of</w:t>
      </w:r>
      <w:r w:rsidRPr="000A0EA1">
        <w:rPr>
          <w:lang w:val="en-CA"/>
        </w:rPr>
        <w:t xml:space="preserve"> the portions of </w:t>
      </w:r>
      <w:r w:rsidR="00C33BBC">
        <w:rPr>
          <w:i/>
          <w:iCs/>
          <w:lang w:val="en-CA"/>
        </w:rPr>
        <w:t>Bill 40</w:t>
      </w:r>
      <w:r w:rsidRPr="000A0EA1">
        <w:rPr>
          <w:lang w:val="en-CA"/>
        </w:rPr>
        <w:t xml:space="preserve"> that are incompatible with </w:t>
      </w:r>
      <w:r w:rsidR="0062160E">
        <w:rPr>
          <w:lang w:val="en-CA"/>
        </w:rPr>
        <w:t>s. 2</w:t>
      </w:r>
      <w:r w:rsidRPr="000A0EA1">
        <w:rPr>
          <w:lang w:val="en-CA"/>
        </w:rPr>
        <w:t xml:space="preserve">3 of the </w:t>
      </w:r>
      <w:r w:rsidRPr="000A0EA1">
        <w:rPr>
          <w:i/>
          <w:iCs/>
          <w:lang w:val="en-CA"/>
        </w:rPr>
        <w:t>Charter</w:t>
      </w:r>
      <w:r w:rsidRPr="000A0EA1">
        <w:rPr>
          <w:lang w:val="en-CA"/>
        </w:rPr>
        <w:t xml:space="preserve">. This is an unusual and unprecedented remedy that does not appear to have been recognized to date by the case law dealing with </w:t>
      </w:r>
      <w:r w:rsidR="0062160E">
        <w:rPr>
          <w:lang w:val="en-CA"/>
        </w:rPr>
        <w:t>s. 5</w:t>
      </w:r>
      <w:r w:rsidRPr="000A0EA1">
        <w:rPr>
          <w:lang w:val="en-CA"/>
        </w:rPr>
        <w:t xml:space="preserve">2(1) of the </w:t>
      </w:r>
      <w:r w:rsidRPr="000A0EA1">
        <w:rPr>
          <w:i/>
          <w:iCs/>
          <w:lang w:val="en-CA"/>
        </w:rPr>
        <w:t>Constitution Act,</w:t>
      </w:r>
      <w:r w:rsidR="0090079A">
        <w:rPr>
          <w:i/>
          <w:iCs/>
          <w:lang w:val="en-CA"/>
        </w:rPr>
        <w:t> </w:t>
      </w:r>
      <w:r w:rsidRPr="000A0EA1">
        <w:rPr>
          <w:i/>
          <w:iCs/>
          <w:lang w:val="en-CA"/>
        </w:rPr>
        <w:t>1982</w:t>
      </w:r>
      <w:r w:rsidRPr="000A0EA1">
        <w:rPr>
          <w:lang w:val="en-CA"/>
        </w:rPr>
        <w:t xml:space="preserve">. </w:t>
      </w:r>
    </w:p>
    <w:p w14:paraId="17F5F3E6" w14:textId="4E8EDB62" w:rsidR="004C7649" w:rsidRPr="000A0EA1" w:rsidRDefault="00B02E00" w:rsidP="00B255B8">
      <w:pPr>
        <w:pStyle w:val="Paragraphe"/>
        <w:spacing w:line="240" w:lineRule="auto"/>
        <w:rPr>
          <w:lang w:val="en-CA"/>
        </w:rPr>
      </w:pPr>
      <w:r w:rsidRPr="000A0EA1">
        <w:rPr>
          <w:lang w:val="en-CA"/>
        </w:rPr>
        <w:t xml:space="preserve">While suspending the application of a statutory provision may, to some extent, produce an effect similar to that of an order declaring a statutory provision inoperative, </w:t>
      </w:r>
      <w:r w:rsidR="00F350B0">
        <w:rPr>
          <w:lang w:val="en-CA"/>
        </w:rPr>
        <w:t>the Court is</w:t>
      </w:r>
      <w:r w:rsidRPr="000A0EA1">
        <w:rPr>
          <w:lang w:val="en-CA"/>
        </w:rPr>
        <w:t xml:space="preserve"> of the opinion that it is prudent to adhere to existing jurisprudential teachings regarding the appropriate judicial remedies under </w:t>
      </w:r>
      <w:r w:rsidR="0062160E">
        <w:rPr>
          <w:lang w:val="en-CA"/>
        </w:rPr>
        <w:t>s. 5</w:t>
      </w:r>
      <w:r w:rsidRPr="000A0EA1">
        <w:rPr>
          <w:lang w:val="en-CA"/>
        </w:rPr>
        <w:t>2(1). In addition, the judge d</w:t>
      </w:r>
      <w:r w:rsidR="00B64D9D">
        <w:rPr>
          <w:lang w:val="en-CA"/>
        </w:rPr>
        <w:t>id</w:t>
      </w:r>
      <w:r w:rsidRPr="000A0EA1">
        <w:rPr>
          <w:lang w:val="en-CA"/>
        </w:rPr>
        <w:t xml:space="preserve"> not explain what prompt</w:t>
      </w:r>
      <w:r w:rsidR="00B64D9D">
        <w:rPr>
          <w:lang w:val="en-CA"/>
        </w:rPr>
        <w:t>ed</w:t>
      </w:r>
      <w:r w:rsidRPr="000A0EA1">
        <w:rPr>
          <w:lang w:val="en-CA"/>
        </w:rPr>
        <w:t xml:space="preserve"> him to </w:t>
      </w:r>
      <w:r w:rsidR="003F6D3B">
        <w:rPr>
          <w:lang w:val="en-CA"/>
        </w:rPr>
        <w:t>suspend the application of</w:t>
      </w:r>
      <w:r w:rsidRPr="000A0EA1">
        <w:rPr>
          <w:lang w:val="en-CA"/>
        </w:rPr>
        <w:t xml:space="preserve"> the legislative provisions in question rather than </w:t>
      </w:r>
      <w:r w:rsidR="003F6D3B">
        <w:rPr>
          <w:lang w:val="en-CA"/>
        </w:rPr>
        <w:t>declar</w:t>
      </w:r>
      <w:r w:rsidR="00D85C32">
        <w:rPr>
          <w:lang w:val="en-CA"/>
        </w:rPr>
        <w:t>e</w:t>
      </w:r>
      <w:r w:rsidR="003F6D3B">
        <w:rPr>
          <w:lang w:val="en-CA"/>
        </w:rPr>
        <w:t xml:space="preserve"> these </w:t>
      </w:r>
      <w:r w:rsidRPr="000A0EA1">
        <w:rPr>
          <w:lang w:val="en-CA"/>
        </w:rPr>
        <w:t>inoperative. Moreover, at the appeal hearing, counsel for the respondents acknowledged that they have no objection, in the circumstances of this case, to the provisions in question being declared inoperative, as the AGQ suggests. The Court should therefore intervene accordingly.</w:t>
      </w:r>
    </w:p>
    <w:p w14:paraId="17F5F3E7" w14:textId="0849E63F" w:rsidR="004C7649" w:rsidRPr="000A0EA1" w:rsidRDefault="00B02E00" w:rsidP="00B255B8">
      <w:pPr>
        <w:pStyle w:val="Paragraphe"/>
        <w:spacing w:line="240" w:lineRule="auto"/>
        <w:rPr>
          <w:lang w:val="en-CA"/>
        </w:rPr>
      </w:pPr>
      <w:r w:rsidRPr="000A0EA1">
        <w:rPr>
          <w:lang w:val="en-CA"/>
        </w:rPr>
        <w:t xml:space="preserve">As for the provisions that the judge identified as </w:t>
      </w:r>
      <w:r w:rsidR="00E46AFD">
        <w:rPr>
          <w:lang w:val="en-CA"/>
        </w:rPr>
        <w:t>“</w:t>
      </w:r>
      <w:r w:rsidRPr="000A0EA1">
        <w:rPr>
          <w:lang w:val="en-CA"/>
        </w:rPr>
        <w:t>inextricably linked</w:t>
      </w:r>
      <w:r w:rsidR="00E46AFD">
        <w:rPr>
          <w:lang w:val="en-CA"/>
        </w:rPr>
        <w:t>”</w:t>
      </w:r>
      <w:r w:rsidRPr="000A0EA1">
        <w:rPr>
          <w:lang w:val="en-CA"/>
        </w:rPr>
        <w:t xml:space="preserve"> and the AGQ has called into question, they can be grouped into three categories. The first concerns the abolition of the executive committee of the council of commissioners (s</w:t>
      </w:r>
      <w:r w:rsidR="0062160E">
        <w:rPr>
          <w:lang w:val="en-CA"/>
        </w:rPr>
        <w:t>s. 3</w:t>
      </w:r>
      <w:r w:rsidRPr="000A0EA1">
        <w:rPr>
          <w:lang w:val="en-CA"/>
        </w:rPr>
        <w:t xml:space="preserve">, 76, 93(1), 94, 115(2) and 234(1)(b) of </w:t>
      </w:r>
      <w:r w:rsidR="00C33BBC">
        <w:rPr>
          <w:i/>
          <w:iCs/>
          <w:lang w:val="en-CA"/>
        </w:rPr>
        <w:t>Bill 40</w:t>
      </w:r>
      <w:r w:rsidRPr="000A0EA1">
        <w:rPr>
          <w:lang w:val="en-CA"/>
        </w:rPr>
        <w:t xml:space="preserve">), the second </w:t>
      </w:r>
      <w:bookmarkStart w:id="70" w:name="_Hlk189309912"/>
      <w:r w:rsidRPr="000A0EA1">
        <w:rPr>
          <w:lang w:val="en-CA"/>
        </w:rPr>
        <w:t>relates to the replacement of the four</w:t>
      </w:r>
      <w:r w:rsidR="00355710">
        <w:rPr>
          <w:lang w:val="en-CA"/>
        </w:rPr>
        <w:noBreakHyphen/>
      </w:r>
      <w:r w:rsidRPr="000A0EA1">
        <w:rPr>
          <w:lang w:val="en-CA"/>
        </w:rPr>
        <w:t>year electoral cycle by a three</w:t>
      </w:r>
      <w:r w:rsidR="00355710">
        <w:rPr>
          <w:lang w:val="en-CA"/>
        </w:rPr>
        <w:noBreakHyphen/>
      </w:r>
      <w:r w:rsidRPr="000A0EA1">
        <w:rPr>
          <w:lang w:val="en-CA"/>
        </w:rPr>
        <w:t xml:space="preserve">year electoral cycle for school elections and the date of these elections </w:t>
      </w:r>
      <w:bookmarkEnd w:id="70"/>
      <w:r w:rsidRPr="000A0EA1">
        <w:rPr>
          <w:lang w:val="en-CA"/>
        </w:rPr>
        <w:t>(s</w:t>
      </w:r>
      <w:r w:rsidR="0062160E">
        <w:rPr>
          <w:lang w:val="en-CA"/>
        </w:rPr>
        <w:t>s. 1</w:t>
      </w:r>
      <w:r w:rsidRPr="000A0EA1">
        <w:rPr>
          <w:lang w:val="en-CA"/>
        </w:rPr>
        <w:t xml:space="preserve">93, 194, 200, 201, 203(1) and (2), 204, 205, 207(2), 233, 249 and 255 of </w:t>
      </w:r>
      <w:r w:rsidR="00C33BBC">
        <w:rPr>
          <w:i/>
          <w:iCs/>
          <w:lang w:val="en-CA"/>
        </w:rPr>
        <w:t>Bill 40</w:t>
      </w:r>
      <w:r w:rsidRPr="000A0EA1">
        <w:rPr>
          <w:lang w:val="en-CA"/>
        </w:rPr>
        <w:t>), and the third pertains to the prohibition placed on concurrently holding elected positions within the school network and the municipal network (</w:t>
      </w:r>
      <w:r w:rsidR="0062160E">
        <w:rPr>
          <w:lang w:val="en-CA"/>
        </w:rPr>
        <w:t>s. 2</w:t>
      </w:r>
      <w:r w:rsidRPr="000A0EA1">
        <w:rPr>
          <w:lang w:val="en-CA"/>
        </w:rPr>
        <w:t xml:space="preserve">17 </w:t>
      </w:r>
      <w:r w:rsidR="0062160E">
        <w:rPr>
          <w:lang w:val="en-CA"/>
        </w:rPr>
        <w:t>para. 1</w:t>
      </w:r>
      <w:r w:rsidRPr="000A0EA1">
        <w:rPr>
          <w:lang w:val="en-CA"/>
        </w:rPr>
        <w:t>(</w:t>
      </w:r>
      <w:r w:rsidRPr="000A0EA1">
        <w:rPr>
          <w:i/>
          <w:iCs/>
          <w:lang w:val="en-CA"/>
        </w:rPr>
        <w:t>b</w:t>
      </w:r>
      <w:r w:rsidRPr="000A0EA1">
        <w:rPr>
          <w:lang w:val="en-CA"/>
        </w:rPr>
        <w:t xml:space="preserve">) of </w:t>
      </w:r>
      <w:r w:rsidR="00C33BBC">
        <w:rPr>
          <w:i/>
          <w:iCs/>
          <w:lang w:val="en-CA"/>
        </w:rPr>
        <w:t>Bill 40</w:t>
      </w:r>
      <w:r w:rsidRPr="000A0EA1">
        <w:rPr>
          <w:lang w:val="en-CA"/>
        </w:rPr>
        <w:t>).</w:t>
      </w:r>
    </w:p>
    <w:p w14:paraId="17F5F3E8" w14:textId="0EFD63EA" w:rsidR="004C7649" w:rsidRPr="000A0EA1" w:rsidRDefault="00DA2095" w:rsidP="00B255B8">
      <w:pPr>
        <w:pStyle w:val="Paragraphe"/>
        <w:spacing w:line="240" w:lineRule="auto"/>
        <w:rPr>
          <w:lang w:val="en-CA"/>
        </w:rPr>
      </w:pPr>
      <w:r>
        <w:rPr>
          <w:lang w:val="en-CA"/>
        </w:rPr>
        <w:t>T</w:t>
      </w:r>
      <w:r w:rsidR="00B02E00" w:rsidRPr="000A0EA1">
        <w:rPr>
          <w:lang w:val="en-CA"/>
        </w:rPr>
        <w:t xml:space="preserve">he abolition of the executive committee appears inextricably linked to the composition of the boards of directors of </w:t>
      </w:r>
      <w:r w:rsidR="00AE3408">
        <w:rPr>
          <w:lang w:val="en-CA"/>
        </w:rPr>
        <w:t>English</w:t>
      </w:r>
      <w:r w:rsidR="00AE3408">
        <w:rPr>
          <w:lang w:val="en-CA"/>
        </w:rPr>
        <w:noBreakHyphen/>
        <w:t>language</w:t>
      </w:r>
      <w:r w:rsidR="00B02E00" w:rsidRPr="000A0EA1">
        <w:rPr>
          <w:lang w:val="en-CA"/>
        </w:rPr>
        <w:t xml:space="preserve"> school service centres and the method for electing their members, as well as to the functions and powers conferred thereon. The greater the importance of the functions entrusted to the board of directors </w:t>
      </w:r>
      <w:bookmarkStart w:id="71" w:name="_Hlk189313908"/>
      <w:r w:rsidR="00B02E00" w:rsidRPr="000A0EA1">
        <w:rPr>
          <w:lang w:val="en-CA"/>
        </w:rPr>
        <w:t>–</w:t>
      </w:r>
      <w:bookmarkEnd w:id="71"/>
      <w:r w:rsidR="00B02E00" w:rsidRPr="000A0EA1">
        <w:rPr>
          <w:lang w:val="en-CA"/>
        </w:rPr>
        <w:t xml:space="preserve"> the commitment</w:t>
      </w:r>
      <w:r w:rsidR="006B6F43">
        <w:rPr>
          <w:lang w:val="en-CA"/>
        </w:rPr>
        <w:noBreakHyphen/>
      </w:r>
      <w:r w:rsidR="00B02E00" w:rsidRPr="000A0EA1">
        <w:rPr>
          <w:lang w:val="en-CA"/>
        </w:rPr>
        <w:t>to</w:t>
      </w:r>
      <w:r w:rsidR="006B6F43">
        <w:rPr>
          <w:lang w:val="en-CA"/>
        </w:rPr>
        <w:noBreakHyphen/>
      </w:r>
      <w:r w:rsidR="00B02E00" w:rsidRPr="000A0EA1">
        <w:rPr>
          <w:lang w:val="en-CA"/>
        </w:rPr>
        <w:t xml:space="preserve">success plan comes to mind – the greater the need for an executive committee. Thus, </w:t>
      </w:r>
      <w:r>
        <w:rPr>
          <w:lang w:val="en-CA"/>
        </w:rPr>
        <w:t>one</w:t>
      </w:r>
      <w:r w:rsidR="00B02E00" w:rsidRPr="000A0EA1">
        <w:rPr>
          <w:lang w:val="en-CA"/>
        </w:rPr>
        <w:t xml:space="preserve"> cannot assume that the legislature would abolish the executive committee for the </w:t>
      </w:r>
      <w:r w:rsidR="00AE3408">
        <w:rPr>
          <w:lang w:val="en-CA"/>
        </w:rPr>
        <w:t>English</w:t>
      </w:r>
      <w:r w:rsidR="00AE3408">
        <w:rPr>
          <w:lang w:val="en-CA"/>
        </w:rPr>
        <w:noBreakHyphen/>
        <w:t>language</w:t>
      </w:r>
      <w:r w:rsidR="00B02E00" w:rsidRPr="000A0EA1">
        <w:rPr>
          <w:lang w:val="en-CA"/>
        </w:rPr>
        <w:t xml:space="preserve"> education sector in light of the declaration of unconstitutionality of the provisions of </w:t>
      </w:r>
      <w:r w:rsidR="00C33BBC">
        <w:rPr>
          <w:i/>
          <w:iCs/>
          <w:lang w:val="en-CA"/>
        </w:rPr>
        <w:t>Bill 40</w:t>
      </w:r>
      <w:r w:rsidR="00B02E00" w:rsidRPr="000A0EA1">
        <w:rPr>
          <w:lang w:val="en-CA"/>
        </w:rPr>
        <w:t xml:space="preserve"> relating to the composition, mode of election, functions and powers of the members of the board of directors. </w:t>
      </w:r>
    </w:p>
    <w:p w14:paraId="17F5F3E9" w14:textId="0152BBFF" w:rsidR="004C7649" w:rsidRPr="000A0EA1" w:rsidRDefault="00B02E00" w:rsidP="00B255B8">
      <w:pPr>
        <w:pStyle w:val="Paragraphe"/>
        <w:spacing w:line="240" w:lineRule="auto"/>
        <w:rPr>
          <w:lang w:val="en-CA"/>
        </w:rPr>
      </w:pPr>
      <w:r w:rsidRPr="000A0EA1">
        <w:rPr>
          <w:lang w:val="en-CA"/>
        </w:rPr>
        <w:t>The same applies to the provisions concerning the replacement of the four</w:t>
      </w:r>
      <w:r w:rsidR="00FA4CB5">
        <w:rPr>
          <w:lang w:val="en-CA"/>
        </w:rPr>
        <w:noBreakHyphen/>
      </w:r>
      <w:r w:rsidRPr="000A0EA1">
        <w:rPr>
          <w:lang w:val="en-CA"/>
        </w:rPr>
        <w:t>year electoral cycle by a three</w:t>
      </w:r>
      <w:r w:rsidR="00FA4CB5">
        <w:rPr>
          <w:lang w:val="en-CA"/>
        </w:rPr>
        <w:noBreakHyphen/>
      </w:r>
      <w:r w:rsidRPr="000A0EA1">
        <w:rPr>
          <w:lang w:val="en-CA"/>
        </w:rPr>
        <w:t>year electoral cycle for school elections and the date of these school elections.</w:t>
      </w:r>
    </w:p>
    <w:p w14:paraId="17F5F3EA" w14:textId="3F064FA7" w:rsidR="004C7649" w:rsidRPr="000A0EA1" w:rsidRDefault="00B02E00" w:rsidP="00B255B8">
      <w:pPr>
        <w:pStyle w:val="Paragraphe"/>
        <w:spacing w:line="240" w:lineRule="auto"/>
        <w:rPr>
          <w:lang w:val="en-CA"/>
        </w:rPr>
      </w:pPr>
      <w:r w:rsidRPr="000A0EA1">
        <w:rPr>
          <w:lang w:val="en-CA"/>
        </w:rPr>
        <w:t xml:space="preserve">As for the prohibition on concurrently holding elected positions within the school network and the municipal network, the respondents </w:t>
      </w:r>
      <w:r w:rsidR="00686B8D">
        <w:rPr>
          <w:lang w:val="en-CA"/>
        </w:rPr>
        <w:t>posit</w:t>
      </w:r>
      <w:r w:rsidRPr="000A0EA1">
        <w:rPr>
          <w:lang w:val="en-CA"/>
        </w:rPr>
        <w:t xml:space="preserve"> in the schedule to their originating application that this prohibition applies only to elected members of a board of </w:t>
      </w:r>
      <w:r w:rsidRPr="000A0EA1">
        <w:rPr>
          <w:lang w:val="en-CA"/>
        </w:rPr>
        <w:lastRenderedPageBreak/>
        <w:t xml:space="preserve">directors of an </w:t>
      </w:r>
      <w:r w:rsidR="00AE3408">
        <w:rPr>
          <w:lang w:val="en-CA"/>
        </w:rPr>
        <w:t>English</w:t>
      </w:r>
      <w:r w:rsidR="00AE3408">
        <w:rPr>
          <w:lang w:val="en-CA"/>
        </w:rPr>
        <w:noBreakHyphen/>
        <w:t>language</w:t>
      </w:r>
      <w:r w:rsidRPr="000A0EA1">
        <w:rPr>
          <w:lang w:val="en-CA"/>
        </w:rPr>
        <w:t xml:space="preserve"> school service centre and not to members of this board who are designated by the centre</w:t>
      </w:r>
      <w:r w:rsidR="00E46AFD">
        <w:rPr>
          <w:lang w:val="en-CA"/>
        </w:rPr>
        <w:t>’</w:t>
      </w:r>
      <w:r w:rsidRPr="000A0EA1">
        <w:rPr>
          <w:lang w:val="en-CA"/>
        </w:rPr>
        <w:t>s employees.</w:t>
      </w:r>
      <w:r w:rsidRPr="000A0EA1">
        <w:rPr>
          <w:rStyle w:val="Appelnotedebasdep"/>
          <w:lang w:val="en-CA"/>
        </w:rPr>
        <w:footnoteReference w:id="349"/>
      </w:r>
      <w:r w:rsidRPr="000A0EA1">
        <w:rPr>
          <w:lang w:val="en-CA"/>
        </w:rPr>
        <w:t xml:space="preserve"> Moreover, they add that this prohibition on holding multiple elected positions does not apply to members of the board of directors of a </w:t>
      </w:r>
      <w:r w:rsidR="00AE3408">
        <w:rPr>
          <w:lang w:val="en-CA"/>
        </w:rPr>
        <w:t>French</w:t>
      </w:r>
      <w:r w:rsidR="00AE3408">
        <w:rPr>
          <w:lang w:val="en-CA"/>
        </w:rPr>
        <w:noBreakHyphen/>
        <w:t>language</w:t>
      </w:r>
      <w:r w:rsidRPr="000A0EA1">
        <w:rPr>
          <w:lang w:val="en-CA"/>
        </w:rPr>
        <w:t xml:space="preserve"> school service centre, since none </w:t>
      </w:r>
      <w:r w:rsidR="00DA2095">
        <w:rPr>
          <w:lang w:val="en-CA"/>
        </w:rPr>
        <w:t>are</w:t>
      </w:r>
      <w:r w:rsidRPr="000A0EA1">
        <w:rPr>
          <w:lang w:val="en-CA"/>
        </w:rPr>
        <w:t xml:space="preserve"> elected.</w:t>
      </w:r>
      <w:r w:rsidRPr="000A0EA1">
        <w:rPr>
          <w:rStyle w:val="Appelnotedebasdep"/>
          <w:lang w:val="en-CA"/>
        </w:rPr>
        <w:footnoteReference w:id="350"/>
      </w:r>
      <w:r w:rsidRPr="000A0EA1">
        <w:rPr>
          <w:lang w:val="en-CA"/>
        </w:rPr>
        <w:t xml:space="preserve"> Thus, according to the respondents, the only individuals targeted by the prohibition in question are representatives of the linguistic minority. The respondents conclude that this disparity in treatment is inextricably linked to the changes to the electoral system applicable to school elections in the </w:t>
      </w:r>
      <w:r w:rsidR="00AE3408">
        <w:rPr>
          <w:lang w:val="en-CA"/>
        </w:rPr>
        <w:t>English</w:t>
      </w:r>
      <w:r w:rsidR="00AE3408">
        <w:rPr>
          <w:lang w:val="en-CA"/>
        </w:rPr>
        <w:noBreakHyphen/>
        <w:t>language</w:t>
      </w:r>
      <w:r w:rsidRPr="000A0EA1">
        <w:rPr>
          <w:lang w:val="en-CA"/>
        </w:rPr>
        <w:t xml:space="preserve"> education sector that have been declared contrary to </w:t>
      </w:r>
      <w:r w:rsidR="0062160E">
        <w:rPr>
          <w:lang w:val="en-CA"/>
        </w:rPr>
        <w:t>s. 2</w:t>
      </w:r>
      <w:r w:rsidRPr="000A0EA1">
        <w:rPr>
          <w:lang w:val="en-CA"/>
        </w:rPr>
        <w:t xml:space="preserve">3 of the </w:t>
      </w:r>
      <w:r w:rsidRPr="000A0EA1">
        <w:rPr>
          <w:i/>
          <w:iCs/>
          <w:lang w:val="en-CA"/>
        </w:rPr>
        <w:t>Charter</w:t>
      </w:r>
      <w:r w:rsidRPr="000A0EA1">
        <w:rPr>
          <w:lang w:val="en-CA"/>
        </w:rPr>
        <w:t>.</w:t>
      </w:r>
    </w:p>
    <w:p w14:paraId="17F5F3EB" w14:textId="1A24DF39" w:rsidR="004C7649" w:rsidRPr="000A0EA1" w:rsidRDefault="00B02E00" w:rsidP="00B255B8">
      <w:pPr>
        <w:pStyle w:val="Paragraphe"/>
        <w:spacing w:line="240" w:lineRule="auto"/>
        <w:rPr>
          <w:lang w:val="en-CA"/>
        </w:rPr>
      </w:pPr>
      <w:r w:rsidRPr="000A0EA1">
        <w:rPr>
          <w:lang w:val="en-CA"/>
        </w:rPr>
        <w:t xml:space="preserve">The respondents, however, are mistaken. Indeed, a few days after </w:t>
      </w:r>
      <w:r w:rsidR="00C33BBC">
        <w:rPr>
          <w:i/>
          <w:iCs/>
          <w:lang w:val="en-CA"/>
        </w:rPr>
        <w:t>Bill 40</w:t>
      </w:r>
      <w:r w:rsidRPr="000A0EA1">
        <w:rPr>
          <w:lang w:val="en-CA"/>
        </w:rPr>
        <w:t xml:space="preserve"> was introduced in the National Assembly, another bill was introduced specifically to prohibit individuals from concurrently holding the positions of member of a municipal council and member – elected or not – of the board of directors of a school service centre.</w:t>
      </w:r>
      <w:r w:rsidRPr="000A0EA1">
        <w:rPr>
          <w:rStyle w:val="Appelnotedebasdep"/>
          <w:lang w:val="en-CA"/>
        </w:rPr>
        <w:footnoteReference w:id="351"/>
      </w:r>
      <w:r w:rsidRPr="000A0EA1">
        <w:rPr>
          <w:lang w:val="en-CA"/>
        </w:rPr>
        <w:t xml:space="preserve"> This prohibition therefore extends to all members of a board of directors of a French- or </w:t>
      </w:r>
      <w:r w:rsidR="00AE3408">
        <w:rPr>
          <w:lang w:val="en-CA"/>
        </w:rPr>
        <w:t>English</w:t>
      </w:r>
      <w:r w:rsidR="00AE3408">
        <w:rPr>
          <w:lang w:val="en-CA"/>
        </w:rPr>
        <w:noBreakHyphen/>
        <w:t>language</w:t>
      </w:r>
      <w:r w:rsidRPr="000A0EA1">
        <w:rPr>
          <w:lang w:val="en-CA"/>
        </w:rPr>
        <w:t xml:space="preserve"> school service centre, whether elected, appointed or designated. The prohibition is set out in </w:t>
      </w:r>
      <w:r w:rsidR="0062160E">
        <w:rPr>
          <w:lang w:val="en-CA"/>
        </w:rPr>
        <w:t>s. 3</w:t>
      </w:r>
      <w:r w:rsidRPr="000A0EA1">
        <w:rPr>
          <w:lang w:val="en-CA"/>
        </w:rPr>
        <w:t xml:space="preserve">00 of the </w:t>
      </w:r>
      <w:bookmarkStart w:id="72" w:name="_Hlk189372689"/>
      <w:r w:rsidRPr="000A0EA1">
        <w:rPr>
          <w:i/>
          <w:iCs/>
          <w:lang w:val="en-CA"/>
        </w:rPr>
        <w:t xml:space="preserve">Act respecting elections and referendums in </w:t>
      </w:r>
      <w:bookmarkEnd w:id="72"/>
      <w:r w:rsidRPr="000A0EA1">
        <w:rPr>
          <w:i/>
          <w:iCs/>
          <w:lang w:val="en-CA"/>
        </w:rPr>
        <w:t>municipalities</w:t>
      </w:r>
      <w:r w:rsidR="00482DE5">
        <w:rPr>
          <w:lang w:val="en-CA"/>
        </w:rPr>
        <w:t>.</w:t>
      </w:r>
      <w:r w:rsidRPr="000A0EA1">
        <w:rPr>
          <w:rStyle w:val="Appelnotedebasdep"/>
          <w:lang w:val="en-CA"/>
        </w:rPr>
        <w:footnoteReference w:id="352"/>
      </w:r>
      <w:r w:rsidRPr="000A0EA1">
        <w:rPr>
          <w:lang w:val="en-CA"/>
        </w:rPr>
        <w:t xml:space="preserve"> Thus, the disparity of treatment alleged by the respondents does not exist. Moreover, the prohibition on concurrently holding these positions falls within the purview of ethics and </w:t>
      </w:r>
      <w:r w:rsidR="003047FF">
        <w:rPr>
          <w:lang w:val="en-CA"/>
        </w:rPr>
        <w:t xml:space="preserve">good </w:t>
      </w:r>
      <w:r w:rsidRPr="000A0EA1">
        <w:rPr>
          <w:lang w:val="en-CA"/>
        </w:rPr>
        <w:t xml:space="preserve">conduct relating to public bodies. It is a political choice that, on its face at least, may appear legitimate and has nothing to do with </w:t>
      </w:r>
      <w:r w:rsidR="0062160E">
        <w:rPr>
          <w:lang w:val="en-CA"/>
        </w:rPr>
        <w:t>s. 2</w:t>
      </w:r>
      <w:r w:rsidRPr="000A0EA1">
        <w:rPr>
          <w:lang w:val="en-CA"/>
        </w:rPr>
        <w:t xml:space="preserve">3 of the </w:t>
      </w:r>
      <w:r w:rsidRPr="000A0EA1">
        <w:rPr>
          <w:i/>
          <w:iCs/>
          <w:lang w:val="en-CA"/>
        </w:rPr>
        <w:t>Charter</w:t>
      </w:r>
      <w:r w:rsidRPr="000A0EA1">
        <w:rPr>
          <w:lang w:val="en-CA"/>
        </w:rPr>
        <w:t>.</w:t>
      </w:r>
    </w:p>
    <w:p w14:paraId="17F5F3EC" w14:textId="2EDCF068" w:rsidR="004C7649" w:rsidRPr="000A0EA1" w:rsidRDefault="00B02E00" w:rsidP="00B255B8">
      <w:pPr>
        <w:pStyle w:val="Paragraphe"/>
        <w:spacing w:line="240" w:lineRule="auto"/>
        <w:rPr>
          <w:lang w:val="en-CA"/>
        </w:rPr>
      </w:pPr>
      <w:r w:rsidRPr="000A0EA1">
        <w:rPr>
          <w:lang w:val="en-CA"/>
        </w:rPr>
        <w:t xml:space="preserve">The judge therefore erred in concluding that </w:t>
      </w:r>
      <w:r w:rsidR="0062160E">
        <w:rPr>
          <w:lang w:val="en-CA"/>
        </w:rPr>
        <w:t>s. 2</w:t>
      </w:r>
      <w:r w:rsidRPr="000A0EA1">
        <w:rPr>
          <w:lang w:val="en-CA"/>
        </w:rPr>
        <w:t xml:space="preserve">17 </w:t>
      </w:r>
      <w:r w:rsidR="0062160E">
        <w:rPr>
          <w:lang w:val="en-CA"/>
        </w:rPr>
        <w:t>para. 1</w:t>
      </w:r>
      <w:r w:rsidRPr="000A0EA1">
        <w:rPr>
          <w:lang w:val="en-CA"/>
        </w:rPr>
        <w:t>(</w:t>
      </w:r>
      <w:r w:rsidRPr="000A0EA1">
        <w:rPr>
          <w:i/>
          <w:iCs/>
          <w:lang w:val="en-CA"/>
        </w:rPr>
        <w:t>b</w:t>
      </w:r>
      <w:r w:rsidRPr="000A0EA1">
        <w:rPr>
          <w:lang w:val="en-CA"/>
        </w:rPr>
        <w:t xml:space="preserve">) of </w:t>
      </w:r>
      <w:r w:rsidR="00C33BBC">
        <w:rPr>
          <w:i/>
          <w:iCs/>
          <w:lang w:val="en-CA"/>
        </w:rPr>
        <w:t>Bill 40</w:t>
      </w:r>
      <w:r w:rsidRPr="000A0EA1">
        <w:rPr>
          <w:lang w:val="en-CA"/>
        </w:rPr>
        <w:t xml:space="preserve"> is inextricably linked to the provisions of this statute that he declared contrary to </w:t>
      </w:r>
      <w:r w:rsidR="0062160E">
        <w:rPr>
          <w:lang w:val="en-CA"/>
        </w:rPr>
        <w:t>s. 2</w:t>
      </w:r>
      <w:r w:rsidRPr="000A0EA1">
        <w:rPr>
          <w:lang w:val="en-CA"/>
        </w:rPr>
        <w:t xml:space="preserve">3 of the </w:t>
      </w:r>
      <w:r w:rsidRPr="000A0EA1">
        <w:rPr>
          <w:i/>
          <w:iCs/>
          <w:lang w:val="en-CA"/>
        </w:rPr>
        <w:t>Charter</w:t>
      </w:r>
      <w:r w:rsidRPr="000A0EA1">
        <w:rPr>
          <w:lang w:val="en-CA"/>
        </w:rPr>
        <w:t>. The Court must intervene to correct this error.</w:t>
      </w:r>
    </w:p>
    <w:p w14:paraId="17F5F3ED" w14:textId="534F5113" w:rsidR="004C7649" w:rsidRPr="000A0EA1" w:rsidRDefault="00B02E00" w:rsidP="00B255B8">
      <w:pPr>
        <w:pStyle w:val="Paragraphe"/>
        <w:spacing w:line="240" w:lineRule="auto"/>
        <w:rPr>
          <w:lang w:val="en-CA"/>
        </w:rPr>
      </w:pPr>
      <w:r w:rsidRPr="000A0EA1">
        <w:rPr>
          <w:lang w:val="en-CA"/>
        </w:rPr>
        <w:t xml:space="preserve">Lastly, the trial judge included </w:t>
      </w:r>
      <w:r w:rsidR="0062160E">
        <w:rPr>
          <w:lang w:val="en-CA"/>
        </w:rPr>
        <w:t>s. 9</w:t>
      </w:r>
      <w:r w:rsidRPr="000A0EA1">
        <w:rPr>
          <w:lang w:val="en-CA"/>
        </w:rPr>
        <w:t xml:space="preserve">3(1) of </w:t>
      </w:r>
      <w:r w:rsidR="00C33BBC">
        <w:rPr>
          <w:i/>
          <w:iCs/>
          <w:lang w:val="en-CA"/>
        </w:rPr>
        <w:t>Bill 40</w:t>
      </w:r>
      <w:r w:rsidRPr="000A0EA1">
        <w:rPr>
          <w:i/>
          <w:iCs/>
          <w:lang w:val="en-CA"/>
        </w:rPr>
        <w:t xml:space="preserve"> </w:t>
      </w:r>
      <w:r w:rsidRPr="000A0EA1">
        <w:rPr>
          <w:lang w:val="en-CA"/>
        </w:rPr>
        <w:t xml:space="preserve">in his list of </w:t>
      </w:r>
      <w:r w:rsidR="00E46AFD">
        <w:rPr>
          <w:lang w:val="en-CA"/>
        </w:rPr>
        <w:t>“</w:t>
      </w:r>
      <w:r w:rsidRPr="000A0EA1">
        <w:rPr>
          <w:lang w:val="en-CA"/>
        </w:rPr>
        <w:t>inextricably linked</w:t>
      </w:r>
      <w:r w:rsidR="00E46AFD">
        <w:rPr>
          <w:lang w:val="en-CA"/>
        </w:rPr>
        <w:t>”</w:t>
      </w:r>
      <w:r w:rsidRPr="000A0EA1">
        <w:rPr>
          <w:lang w:val="en-CA"/>
        </w:rPr>
        <w:t xml:space="preserve"> provisions, even though he had previously declared </w:t>
      </w:r>
      <w:r w:rsidR="0062160E">
        <w:rPr>
          <w:lang w:val="en-CA"/>
        </w:rPr>
        <w:t>s. 9</w:t>
      </w:r>
      <w:r w:rsidRPr="000A0EA1">
        <w:rPr>
          <w:lang w:val="en-CA"/>
        </w:rPr>
        <w:t xml:space="preserve">3 in its entirety contrary to </w:t>
      </w:r>
      <w:r w:rsidR="0062160E">
        <w:rPr>
          <w:lang w:val="en-CA"/>
        </w:rPr>
        <w:t>s. 2</w:t>
      </w:r>
      <w:r w:rsidRPr="000A0EA1">
        <w:rPr>
          <w:lang w:val="en-CA"/>
        </w:rPr>
        <w:t xml:space="preserve">3 of the </w:t>
      </w:r>
      <w:r w:rsidRPr="000A0EA1">
        <w:rPr>
          <w:i/>
          <w:iCs/>
          <w:lang w:val="en-CA"/>
        </w:rPr>
        <w:t>Charter</w:t>
      </w:r>
      <w:r w:rsidRPr="000A0EA1">
        <w:rPr>
          <w:lang w:val="en-CA"/>
        </w:rPr>
        <w:t>. This is clearly a clerical error that should be corrected.</w:t>
      </w:r>
    </w:p>
    <w:p w14:paraId="17F5F3EE" w14:textId="24CA1127" w:rsidR="004C7649" w:rsidRPr="000A0EA1" w:rsidRDefault="00B02E00" w:rsidP="00B255B8">
      <w:pPr>
        <w:pStyle w:val="Paragraphe"/>
        <w:numPr>
          <w:ilvl w:val="0"/>
          <w:numId w:val="0"/>
        </w:numPr>
        <w:tabs>
          <w:tab w:val="left" w:pos="708"/>
        </w:tabs>
        <w:spacing w:line="240" w:lineRule="auto"/>
        <w:ind w:left="2520"/>
        <w:rPr>
          <w:rFonts w:cs="Arial"/>
          <w:color w:val="000000" w:themeColor="text1"/>
          <w:sz w:val="22"/>
          <w:szCs w:val="22"/>
          <w:lang w:val="en-CA" w:eastAsia="fr-CA"/>
        </w:rPr>
      </w:pPr>
      <w:r w:rsidRPr="000A0EA1">
        <w:rPr>
          <w:u w:val="single"/>
          <w:lang w:val="en-CA"/>
        </w:rPr>
        <w:t xml:space="preserve">Extension of the stay of application of </w:t>
      </w:r>
      <w:r w:rsidR="00C33BBC">
        <w:rPr>
          <w:i/>
          <w:iCs/>
          <w:u w:val="single"/>
          <w:lang w:val="en-CA"/>
        </w:rPr>
        <w:t>Bill 40</w:t>
      </w:r>
      <w:r w:rsidRPr="000A0EA1">
        <w:rPr>
          <w:u w:val="single"/>
          <w:lang w:val="en-CA"/>
        </w:rPr>
        <w:t xml:space="preserve"> until the expiry of the time limit for an appeal</w:t>
      </w:r>
    </w:p>
    <w:p w14:paraId="17F5F3EF" w14:textId="748BCEA1" w:rsidR="004C7649" w:rsidRPr="000A0EA1" w:rsidRDefault="00B02E00" w:rsidP="00B255B8">
      <w:pPr>
        <w:pStyle w:val="Paragraphe"/>
        <w:tabs>
          <w:tab w:val="clear" w:pos="720"/>
          <w:tab w:val="left" w:pos="708"/>
        </w:tabs>
        <w:spacing w:line="240" w:lineRule="auto"/>
        <w:rPr>
          <w:lang w:val="en-CA"/>
        </w:rPr>
      </w:pPr>
      <w:r w:rsidRPr="000A0EA1">
        <w:rPr>
          <w:lang w:val="en-CA"/>
        </w:rPr>
        <w:t>The judge extend</w:t>
      </w:r>
      <w:r w:rsidR="00B64D9D">
        <w:rPr>
          <w:lang w:val="en-CA"/>
        </w:rPr>
        <w:t>ed</w:t>
      </w:r>
      <w:r w:rsidRPr="000A0EA1">
        <w:rPr>
          <w:lang w:val="en-CA"/>
        </w:rPr>
        <w:t xml:space="preserve"> the stay of application of </w:t>
      </w:r>
      <w:r w:rsidR="00C33BBC">
        <w:rPr>
          <w:i/>
          <w:iCs/>
          <w:lang w:val="en-CA"/>
        </w:rPr>
        <w:t>Bill 40</w:t>
      </w:r>
      <w:r w:rsidRPr="000A0EA1">
        <w:rPr>
          <w:lang w:val="en-CA"/>
        </w:rPr>
        <w:t xml:space="preserve"> that he had decreed – and which the Court had confirmed – until the expiry of the time limit for appealing his judgment on the merits of the case.</w:t>
      </w:r>
      <w:r w:rsidRPr="000A0EA1">
        <w:rPr>
          <w:rStyle w:val="Appelnotedebasdep"/>
          <w:lang w:val="en-CA"/>
        </w:rPr>
        <w:footnoteReference w:id="353"/>
      </w:r>
      <w:r w:rsidRPr="000A0EA1">
        <w:rPr>
          <w:lang w:val="en-CA"/>
        </w:rPr>
        <w:t xml:space="preserve"> The judge did not explain why he ordered this </w:t>
      </w:r>
      <w:r w:rsidRPr="000A0EA1">
        <w:rPr>
          <w:lang w:val="en-CA"/>
        </w:rPr>
        <w:lastRenderedPageBreak/>
        <w:t>extension, but it is reasonable to assume that he sought to maintain the status quo between the parties while the legal proceedings were pending, so as to allow the Court, should it deem it appropriate, to extend this stay of application during the appeal proceedings if such an appeal were initiated.</w:t>
      </w:r>
    </w:p>
    <w:p w14:paraId="17F5F3F0" w14:textId="5034C018" w:rsidR="004C7649" w:rsidRPr="000A0EA1" w:rsidRDefault="00B02E00" w:rsidP="00B255B8">
      <w:pPr>
        <w:pStyle w:val="Paragraphe"/>
        <w:tabs>
          <w:tab w:val="clear" w:pos="720"/>
          <w:tab w:val="left" w:pos="708"/>
        </w:tabs>
        <w:spacing w:line="240" w:lineRule="auto"/>
        <w:rPr>
          <w:lang w:val="en-CA"/>
        </w:rPr>
      </w:pPr>
      <w:r w:rsidRPr="000A0EA1">
        <w:rPr>
          <w:lang w:val="en-CA"/>
        </w:rPr>
        <w:t xml:space="preserve">Unlike the AGQ, </w:t>
      </w:r>
      <w:r w:rsidR="00EA6EC0">
        <w:rPr>
          <w:lang w:val="en-CA"/>
        </w:rPr>
        <w:t>the Court concludes that</w:t>
      </w:r>
      <w:r w:rsidRPr="000A0EA1">
        <w:rPr>
          <w:lang w:val="en-CA"/>
        </w:rPr>
        <w:t xml:space="preserve"> such an order was</w:t>
      </w:r>
      <w:r w:rsidR="00EA6EC0">
        <w:rPr>
          <w:lang w:val="en-CA"/>
        </w:rPr>
        <w:t xml:space="preserve"> not</w:t>
      </w:r>
      <w:r w:rsidRPr="000A0EA1">
        <w:rPr>
          <w:lang w:val="en-CA"/>
        </w:rPr>
        <w:t xml:space="preserve"> inappropriate in the circumstances of this case. It was a precautionary measure to enable the Court to consider, in due course, the matter of extending the stay of application of </w:t>
      </w:r>
      <w:r w:rsidR="00C33BBC">
        <w:rPr>
          <w:i/>
          <w:iCs/>
          <w:lang w:val="en-CA"/>
        </w:rPr>
        <w:t>Bill 40</w:t>
      </w:r>
      <w:r w:rsidRPr="000A0EA1">
        <w:rPr>
          <w:lang w:val="en-CA"/>
        </w:rPr>
        <w:t xml:space="preserve"> during the appeal proceedings.</w:t>
      </w:r>
    </w:p>
    <w:p w14:paraId="17F5F3F1" w14:textId="245A2FE4" w:rsidR="004C7649" w:rsidRPr="000A0EA1" w:rsidRDefault="002A1899" w:rsidP="00B255B8">
      <w:pPr>
        <w:pStyle w:val="Paragraphe"/>
        <w:tabs>
          <w:tab w:val="clear" w:pos="720"/>
          <w:tab w:val="left" w:pos="708"/>
        </w:tabs>
        <w:spacing w:line="240" w:lineRule="auto"/>
        <w:rPr>
          <w:lang w:val="en-CA"/>
        </w:rPr>
      </w:pPr>
      <w:r>
        <w:rPr>
          <w:lang w:val="en-CA"/>
        </w:rPr>
        <w:t>N</w:t>
      </w:r>
      <w:r w:rsidR="00B02E00" w:rsidRPr="000A0EA1">
        <w:rPr>
          <w:lang w:val="en-CA"/>
        </w:rPr>
        <w:t xml:space="preserve">o request to extend the stay of application of </w:t>
      </w:r>
      <w:r w:rsidR="00C33BBC">
        <w:rPr>
          <w:i/>
          <w:iCs/>
          <w:lang w:val="en-CA"/>
        </w:rPr>
        <w:t>Bill 40</w:t>
      </w:r>
      <w:r w:rsidR="00B02E00" w:rsidRPr="000A0EA1">
        <w:rPr>
          <w:lang w:val="en-CA"/>
        </w:rPr>
        <w:t xml:space="preserve"> during the appeal proceedings was</w:t>
      </w:r>
      <w:r>
        <w:rPr>
          <w:lang w:val="en-CA"/>
        </w:rPr>
        <w:t>, in fact,</w:t>
      </w:r>
      <w:r w:rsidR="00B02E00" w:rsidRPr="000A0EA1">
        <w:rPr>
          <w:lang w:val="en-CA"/>
        </w:rPr>
        <w:t xml:space="preserve"> presented to the Court. The reason is quite simple. The government of Quebec adopted a regulation delaying the coming into force of </w:t>
      </w:r>
      <w:r w:rsidR="00C33BBC">
        <w:rPr>
          <w:i/>
          <w:iCs/>
          <w:lang w:val="en-CA"/>
        </w:rPr>
        <w:t>Bill 40</w:t>
      </w:r>
      <w:r w:rsidR="00B02E00" w:rsidRPr="000A0EA1">
        <w:rPr>
          <w:i/>
          <w:iCs/>
          <w:lang w:val="en-CA"/>
        </w:rPr>
        <w:t xml:space="preserve"> </w:t>
      </w:r>
      <w:r w:rsidR="00B02E00" w:rsidRPr="000A0EA1">
        <w:rPr>
          <w:lang w:val="en-CA"/>
        </w:rPr>
        <w:t xml:space="preserve">for the </w:t>
      </w:r>
      <w:r w:rsidR="00AE3408">
        <w:rPr>
          <w:lang w:val="en-CA"/>
        </w:rPr>
        <w:t>English</w:t>
      </w:r>
      <w:r w:rsidR="00AE3408">
        <w:rPr>
          <w:lang w:val="en-CA"/>
        </w:rPr>
        <w:noBreakHyphen/>
        <w:t>language</w:t>
      </w:r>
      <w:r w:rsidR="00B02E00" w:rsidRPr="000A0EA1">
        <w:rPr>
          <w:lang w:val="en-CA"/>
        </w:rPr>
        <w:t xml:space="preserve"> school network until a date that may be set at a </w:t>
      </w:r>
      <w:r w:rsidR="003D12C4">
        <w:rPr>
          <w:lang w:val="en-CA"/>
        </w:rPr>
        <w:t xml:space="preserve">future </w:t>
      </w:r>
      <w:r w:rsidR="00B02E00" w:rsidRPr="000A0EA1">
        <w:rPr>
          <w:lang w:val="en-CA"/>
        </w:rPr>
        <w:t xml:space="preserve">time and, where applicable, according to a schedule allowing for </w:t>
      </w:r>
      <w:r w:rsidR="00E46AFD">
        <w:rPr>
          <w:lang w:val="en-CA"/>
        </w:rPr>
        <w:t>“</w:t>
      </w:r>
      <w:r w:rsidR="00B02E00" w:rsidRPr="000A0EA1">
        <w:rPr>
          <w:lang w:val="en-CA"/>
        </w:rPr>
        <w:t>a progressive and orderly application</w:t>
      </w:r>
      <w:r w:rsidR="00E46AFD">
        <w:rPr>
          <w:lang w:val="en-CA"/>
        </w:rPr>
        <w:t>”</w:t>
      </w:r>
      <w:r w:rsidR="00B02E00" w:rsidRPr="000A0EA1">
        <w:rPr>
          <w:lang w:val="en-CA"/>
        </w:rPr>
        <w:t xml:space="preserve"> of the statute.</w:t>
      </w:r>
      <w:r w:rsidR="00B02E00" w:rsidRPr="000A0EA1">
        <w:rPr>
          <w:rStyle w:val="Appelnotedebasdep"/>
          <w:lang w:val="en-CA"/>
        </w:rPr>
        <w:footnoteReference w:id="354"/>
      </w:r>
      <w:r w:rsidR="00B02E00" w:rsidRPr="000A0EA1">
        <w:rPr>
          <w:lang w:val="en-CA"/>
        </w:rPr>
        <w:t xml:space="preserve"> </w:t>
      </w:r>
      <w:r w:rsidR="007A5678">
        <w:rPr>
          <w:lang w:val="en-CA"/>
        </w:rPr>
        <w:t>As a result of t</w:t>
      </w:r>
      <w:r w:rsidR="00B02E00" w:rsidRPr="000A0EA1">
        <w:rPr>
          <w:lang w:val="en-CA"/>
        </w:rPr>
        <w:t>his regulation</w:t>
      </w:r>
      <w:r w:rsidR="007A5678">
        <w:rPr>
          <w:lang w:val="en-CA"/>
        </w:rPr>
        <w:t>,</w:t>
      </w:r>
      <w:r w:rsidR="00B02E00" w:rsidRPr="000A0EA1">
        <w:rPr>
          <w:lang w:val="en-CA"/>
        </w:rPr>
        <w:t xml:space="preserve"> </w:t>
      </w:r>
      <w:r w:rsidR="00C33BBC">
        <w:rPr>
          <w:i/>
          <w:iCs/>
          <w:lang w:val="en-CA"/>
        </w:rPr>
        <w:t>Bill 40</w:t>
      </w:r>
      <w:r w:rsidR="00B02E00" w:rsidRPr="000A0EA1">
        <w:rPr>
          <w:lang w:val="en-CA"/>
        </w:rPr>
        <w:t xml:space="preserve"> still does not apply to </w:t>
      </w:r>
      <w:r w:rsidR="00AE3408">
        <w:rPr>
          <w:lang w:val="en-CA"/>
        </w:rPr>
        <w:t>English</w:t>
      </w:r>
      <w:r w:rsidR="00AE3408">
        <w:rPr>
          <w:lang w:val="en-CA"/>
        </w:rPr>
        <w:noBreakHyphen/>
        <w:t>language</w:t>
      </w:r>
      <w:r w:rsidR="00B02E00" w:rsidRPr="000A0EA1">
        <w:rPr>
          <w:lang w:val="en-CA"/>
        </w:rPr>
        <w:t xml:space="preserve"> school boards. This will also likely be the case in the event of an application for leave to appeal from the Court</w:t>
      </w:r>
      <w:r w:rsidR="00E46AFD">
        <w:rPr>
          <w:lang w:val="en-CA"/>
        </w:rPr>
        <w:t>’</w:t>
      </w:r>
      <w:r w:rsidR="00B02E00" w:rsidRPr="000A0EA1">
        <w:rPr>
          <w:lang w:val="en-CA"/>
        </w:rPr>
        <w:t>s decision to the Supreme Court.</w:t>
      </w:r>
    </w:p>
    <w:p w14:paraId="17F5F3F2" w14:textId="77777777" w:rsidR="004C7649" w:rsidRPr="000A0EA1" w:rsidRDefault="00B02E00" w:rsidP="00B255B8">
      <w:pPr>
        <w:pStyle w:val="Paragraphe"/>
        <w:numPr>
          <w:ilvl w:val="0"/>
          <w:numId w:val="0"/>
        </w:numPr>
        <w:tabs>
          <w:tab w:val="left" w:pos="708"/>
        </w:tabs>
        <w:spacing w:line="240" w:lineRule="auto"/>
        <w:ind w:left="2520"/>
        <w:rPr>
          <w:lang w:val="en-CA"/>
        </w:rPr>
      </w:pPr>
      <w:r w:rsidRPr="000A0EA1">
        <w:rPr>
          <w:color w:val="000000" w:themeColor="text1"/>
          <w:u w:val="single"/>
          <w:lang w:val="en-CA"/>
        </w:rPr>
        <w:t>Legal costs on appeal</w:t>
      </w:r>
    </w:p>
    <w:p w14:paraId="17F5F3F3" w14:textId="6752D08A" w:rsidR="004C7649" w:rsidRPr="000A0EA1" w:rsidRDefault="00B02E00" w:rsidP="00B255B8">
      <w:pPr>
        <w:pStyle w:val="Paragraphe"/>
        <w:spacing w:line="240" w:lineRule="auto"/>
        <w:rPr>
          <w:lang w:val="en-CA"/>
        </w:rPr>
      </w:pPr>
      <w:r w:rsidRPr="000A0EA1">
        <w:rPr>
          <w:lang w:val="en-CA"/>
        </w:rPr>
        <w:t>Lastly, since the Court is allowing the AGQ</w:t>
      </w:r>
      <w:r w:rsidR="00E46AFD">
        <w:rPr>
          <w:lang w:val="en-CA"/>
        </w:rPr>
        <w:t>’</w:t>
      </w:r>
      <w:r w:rsidRPr="000A0EA1">
        <w:rPr>
          <w:lang w:val="en-CA"/>
        </w:rPr>
        <w:t>s appeal in part but is upholding the principal constitutional conclusions of the trial judgment, it is not appropriate to award legal costs on appeal.</w:t>
      </w:r>
    </w:p>
    <w:p w14:paraId="17F5F3F4" w14:textId="77777777" w:rsidR="004C7649" w:rsidRPr="000A0EA1" w:rsidRDefault="00B02E00" w:rsidP="00B70A57">
      <w:pPr>
        <w:pStyle w:val="Paragraphe"/>
        <w:numPr>
          <w:ilvl w:val="0"/>
          <w:numId w:val="0"/>
        </w:numPr>
        <w:spacing w:before="240" w:after="240" w:line="240" w:lineRule="auto"/>
        <w:rPr>
          <w:lang w:val="en-CA"/>
        </w:rPr>
      </w:pPr>
      <w:r w:rsidRPr="000A0EA1">
        <w:rPr>
          <w:b/>
          <w:bCs/>
          <w:u w:val="single"/>
          <w:lang w:val="en-CA"/>
        </w:rPr>
        <w:t>CONCLUSIONS</w:t>
      </w:r>
    </w:p>
    <w:p w14:paraId="17F5F3F5" w14:textId="6B557B27" w:rsidR="004C7649" w:rsidRPr="000A0EA1" w:rsidRDefault="00B02E00" w:rsidP="00B255B8">
      <w:pPr>
        <w:pStyle w:val="Paragraphe"/>
        <w:numPr>
          <w:ilvl w:val="0"/>
          <w:numId w:val="0"/>
        </w:numPr>
        <w:spacing w:line="240" w:lineRule="auto"/>
        <w:rPr>
          <w:lang w:val="en-CA"/>
        </w:rPr>
      </w:pPr>
      <w:r w:rsidRPr="005214C1">
        <w:rPr>
          <w:b/>
          <w:bCs/>
          <w:lang w:val="en-CA"/>
        </w:rPr>
        <w:t>F</w:t>
      </w:r>
      <w:r w:rsidR="005214C1" w:rsidRPr="005214C1">
        <w:rPr>
          <w:b/>
          <w:bCs/>
          <w:lang w:val="en-CA"/>
        </w:rPr>
        <w:t>OR THESE REASONS</w:t>
      </w:r>
      <w:r w:rsidRPr="005214C1">
        <w:rPr>
          <w:b/>
          <w:bCs/>
          <w:lang w:val="en-CA"/>
        </w:rPr>
        <w:t>,</w:t>
      </w:r>
      <w:r w:rsidRPr="000A0EA1">
        <w:rPr>
          <w:lang w:val="en-CA"/>
        </w:rPr>
        <w:t xml:space="preserve"> </w:t>
      </w:r>
      <w:r w:rsidRPr="000A0EA1">
        <w:rPr>
          <w:b/>
          <w:bCs/>
          <w:lang w:val="en-CA"/>
        </w:rPr>
        <w:t>THE COURT:</w:t>
      </w:r>
    </w:p>
    <w:p w14:paraId="17F5F3F6" w14:textId="77777777" w:rsidR="004C7649" w:rsidRPr="000A0EA1" w:rsidRDefault="00B02E00" w:rsidP="00B255B8">
      <w:pPr>
        <w:pStyle w:val="Paragraphe"/>
        <w:spacing w:line="240" w:lineRule="auto"/>
        <w:rPr>
          <w:lang w:val="en-CA"/>
        </w:rPr>
      </w:pPr>
      <w:r w:rsidRPr="000A0EA1">
        <w:rPr>
          <w:b/>
          <w:bCs/>
          <w:lang w:val="en-CA"/>
        </w:rPr>
        <w:t>ALLOWS</w:t>
      </w:r>
      <w:r w:rsidRPr="000A0EA1">
        <w:rPr>
          <w:lang w:val="en-CA"/>
        </w:rPr>
        <w:t xml:space="preserve"> the appeal in part only;</w:t>
      </w:r>
    </w:p>
    <w:p w14:paraId="17F5F3F7" w14:textId="77777777" w:rsidR="004C7649" w:rsidRPr="000A0EA1" w:rsidRDefault="00B02E00" w:rsidP="00B70A57">
      <w:pPr>
        <w:pStyle w:val="Paragraphe"/>
        <w:spacing w:before="240" w:line="240" w:lineRule="auto"/>
        <w:rPr>
          <w:lang w:val="en-CA"/>
        </w:rPr>
      </w:pPr>
      <w:r w:rsidRPr="000A0EA1">
        <w:rPr>
          <w:b/>
          <w:bCs/>
          <w:lang w:val="en-CA"/>
        </w:rPr>
        <w:t>REPLACES</w:t>
      </w:r>
      <w:r w:rsidRPr="000A0EA1">
        <w:rPr>
          <w:lang w:val="en-CA"/>
        </w:rPr>
        <w:t xml:space="preserve"> paragraph [443] of the trial judgment with the following:</w:t>
      </w:r>
    </w:p>
    <w:p w14:paraId="17F5F3F8" w14:textId="1592759F" w:rsidR="004C7649" w:rsidRPr="000A0EA1" w:rsidRDefault="00B02E00" w:rsidP="00B255B8">
      <w:pPr>
        <w:pStyle w:val="Paragraphe"/>
        <w:numPr>
          <w:ilvl w:val="0"/>
          <w:numId w:val="0"/>
        </w:numPr>
        <w:spacing w:line="240" w:lineRule="auto"/>
        <w:ind w:left="720"/>
        <w:rPr>
          <w:lang w:val="en-CA"/>
        </w:rPr>
      </w:pPr>
      <w:r w:rsidRPr="000A0EA1">
        <w:rPr>
          <w:lang w:val="en-CA"/>
        </w:rPr>
        <w:t>[443]</w:t>
      </w:r>
      <w:r w:rsidRPr="000A0EA1">
        <w:rPr>
          <w:lang w:val="en-CA"/>
        </w:rPr>
        <w:tab/>
      </w:r>
      <w:bookmarkStart w:id="73" w:name="_Hlk189394295"/>
      <w:r w:rsidRPr="000A0EA1">
        <w:rPr>
          <w:b/>
          <w:bCs/>
          <w:lang w:val="en-CA"/>
        </w:rPr>
        <w:t>DECLARES</w:t>
      </w:r>
      <w:r w:rsidRPr="000A0EA1">
        <w:rPr>
          <w:lang w:val="en-CA"/>
        </w:rPr>
        <w:t xml:space="preserve"> that section 15 of the </w:t>
      </w:r>
      <w:r w:rsidRPr="000A0EA1">
        <w:rPr>
          <w:i/>
          <w:iCs/>
          <w:lang w:val="en-CA"/>
        </w:rPr>
        <w:t xml:space="preserve">Act respecting school elections to elect certain members of the boards of directors of </w:t>
      </w:r>
      <w:r w:rsidR="00AE3408">
        <w:rPr>
          <w:i/>
          <w:iCs/>
          <w:lang w:val="en-CA"/>
        </w:rPr>
        <w:t>English</w:t>
      </w:r>
      <w:r w:rsidR="00AE3408">
        <w:rPr>
          <w:i/>
          <w:iCs/>
          <w:lang w:val="en-CA"/>
        </w:rPr>
        <w:noBreakHyphen/>
        <w:t>language</w:t>
      </w:r>
      <w:r w:rsidRPr="000A0EA1">
        <w:rPr>
          <w:i/>
          <w:iCs/>
          <w:lang w:val="en-CA"/>
        </w:rPr>
        <w:t xml:space="preserve"> school service centres</w:t>
      </w:r>
      <w:r w:rsidRPr="000A0EA1">
        <w:rPr>
          <w:lang w:val="en-CA"/>
        </w:rPr>
        <w:t xml:space="preserve"> infringes the rights guaranteed by </w:t>
      </w:r>
      <w:r w:rsidR="0062160E">
        <w:rPr>
          <w:lang w:val="en-CA"/>
        </w:rPr>
        <w:t>s. 2</w:t>
      </w:r>
      <w:r w:rsidRPr="000A0EA1">
        <w:rPr>
          <w:lang w:val="en-CA"/>
        </w:rPr>
        <w:t xml:space="preserve">3 of the </w:t>
      </w:r>
      <w:r w:rsidRPr="000A0EA1">
        <w:rPr>
          <w:i/>
          <w:iCs/>
          <w:lang w:val="en-CA"/>
        </w:rPr>
        <w:t>Canadian Charter of Rights and Freedoms</w:t>
      </w:r>
      <w:r w:rsidRPr="000A0EA1">
        <w:rPr>
          <w:lang w:val="en-CA"/>
        </w:rPr>
        <w:t xml:space="preserve"> to the sole extent that it allows an individual who is not part of Quebec</w:t>
      </w:r>
      <w:r w:rsidR="00E46AFD">
        <w:rPr>
          <w:lang w:val="en-CA"/>
        </w:rPr>
        <w:t>’</w:t>
      </w:r>
      <w:r w:rsidRPr="000A0EA1">
        <w:rPr>
          <w:lang w:val="en-CA"/>
        </w:rPr>
        <w:t xml:space="preserve">s linguistic minority to vote in school elections within the </w:t>
      </w:r>
      <w:r w:rsidR="00AE3408">
        <w:rPr>
          <w:lang w:val="en-CA"/>
        </w:rPr>
        <w:t>English</w:t>
      </w:r>
      <w:r w:rsidR="00AE3408">
        <w:rPr>
          <w:lang w:val="en-CA"/>
        </w:rPr>
        <w:noBreakHyphen/>
        <w:t>language</w:t>
      </w:r>
      <w:r w:rsidRPr="000A0EA1">
        <w:rPr>
          <w:lang w:val="en-CA"/>
        </w:rPr>
        <w:t xml:space="preserve"> school system</w:t>
      </w:r>
      <w:r w:rsidR="00044C14">
        <w:rPr>
          <w:lang w:val="en-CA"/>
        </w:rPr>
        <w:t>;</w:t>
      </w:r>
      <w:r w:rsidRPr="000A0EA1">
        <w:rPr>
          <w:lang w:val="en-CA"/>
        </w:rPr>
        <w:t xml:space="preserve"> </w:t>
      </w:r>
      <w:r w:rsidRPr="000A0EA1">
        <w:rPr>
          <w:b/>
          <w:bCs/>
          <w:lang w:val="en-CA"/>
        </w:rPr>
        <w:t>DECLARES</w:t>
      </w:r>
      <w:r w:rsidRPr="000A0EA1">
        <w:rPr>
          <w:lang w:val="en-CA"/>
        </w:rPr>
        <w:t xml:space="preserve"> this section inoperative solely to that extent</w:t>
      </w:r>
      <w:r w:rsidR="009E3789">
        <w:rPr>
          <w:lang w:val="en-CA"/>
        </w:rPr>
        <w:t>;</w:t>
      </w:r>
      <w:r w:rsidRPr="000A0EA1">
        <w:rPr>
          <w:lang w:val="en-CA"/>
        </w:rPr>
        <w:t xml:space="preserve"> and </w:t>
      </w:r>
      <w:r w:rsidRPr="000A0EA1">
        <w:rPr>
          <w:b/>
          <w:bCs/>
          <w:lang w:val="en-CA"/>
        </w:rPr>
        <w:lastRenderedPageBreak/>
        <w:t>SUSPENDS</w:t>
      </w:r>
      <w:r w:rsidRPr="000A0EA1">
        <w:rPr>
          <w:lang w:val="en-CA"/>
        </w:rPr>
        <w:t xml:space="preserve"> such declaration of inoperability for a period ending no later than 18 months after any proceedings to appeal this judgment have been exhausted;</w:t>
      </w:r>
    </w:p>
    <w:bookmarkEnd w:id="73"/>
    <w:p w14:paraId="17F5F3F9" w14:textId="77777777" w:rsidR="004C7649" w:rsidRPr="000A0EA1" w:rsidRDefault="00B02E00" w:rsidP="00B70A57">
      <w:pPr>
        <w:pStyle w:val="Paragraphe"/>
        <w:spacing w:before="240" w:line="240" w:lineRule="auto"/>
        <w:rPr>
          <w:lang w:val="en-CA"/>
        </w:rPr>
      </w:pPr>
      <w:r w:rsidRPr="000A0EA1">
        <w:rPr>
          <w:b/>
          <w:bCs/>
          <w:lang w:val="en-CA"/>
        </w:rPr>
        <w:t>SETS ASIDE</w:t>
      </w:r>
      <w:r w:rsidRPr="000A0EA1">
        <w:rPr>
          <w:lang w:val="en-CA"/>
        </w:rPr>
        <w:t xml:space="preserve"> paragraph [445] as well as the Schedule to the trial judgment and </w:t>
      </w:r>
      <w:r w:rsidRPr="000A0EA1">
        <w:rPr>
          <w:b/>
          <w:bCs/>
          <w:lang w:val="en-CA"/>
        </w:rPr>
        <w:t>REPLACES</w:t>
      </w:r>
      <w:r w:rsidRPr="000A0EA1">
        <w:rPr>
          <w:lang w:val="en-CA"/>
        </w:rPr>
        <w:t xml:space="preserve"> them with the following:</w:t>
      </w:r>
    </w:p>
    <w:p w14:paraId="17F5F3FA" w14:textId="1BF816FE" w:rsidR="004C7649" w:rsidRPr="000A0EA1" w:rsidRDefault="00B02E00" w:rsidP="00B255B8">
      <w:pPr>
        <w:pStyle w:val="Paragraphe"/>
        <w:numPr>
          <w:ilvl w:val="0"/>
          <w:numId w:val="0"/>
        </w:numPr>
        <w:spacing w:line="240" w:lineRule="auto"/>
        <w:ind w:left="720"/>
        <w:rPr>
          <w:lang w:val="en-CA"/>
        </w:rPr>
      </w:pPr>
      <w:r w:rsidRPr="000A0EA1">
        <w:rPr>
          <w:lang w:val="en-CA"/>
        </w:rPr>
        <w:t xml:space="preserve">[445] </w:t>
      </w:r>
      <w:r w:rsidRPr="000A0EA1">
        <w:rPr>
          <w:lang w:val="en-CA"/>
        </w:rPr>
        <w:tab/>
      </w:r>
      <w:r w:rsidRPr="000A0EA1">
        <w:rPr>
          <w:b/>
          <w:bCs/>
          <w:lang w:val="en-CA"/>
        </w:rPr>
        <w:t xml:space="preserve">DECLARES </w:t>
      </w:r>
      <w:r w:rsidRPr="000A0EA1">
        <w:rPr>
          <w:lang w:val="en-CA"/>
        </w:rPr>
        <w:t xml:space="preserve">that the following provisions of the </w:t>
      </w:r>
      <w:r w:rsidRPr="000A0EA1">
        <w:rPr>
          <w:i/>
          <w:iCs/>
          <w:lang w:val="en-CA"/>
        </w:rPr>
        <w:t>Act to amend mainly the Education Act with regard to school organization and governance</w:t>
      </w:r>
      <w:r w:rsidRPr="000A0EA1">
        <w:rPr>
          <w:lang w:val="en-CA"/>
        </w:rPr>
        <w:t xml:space="preserve"> are inoperative with respect to Quebec</w:t>
      </w:r>
      <w:r w:rsidR="00E46AFD">
        <w:rPr>
          <w:lang w:val="en-CA"/>
        </w:rPr>
        <w:t>’</w:t>
      </w:r>
      <w:r w:rsidRPr="000A0EA1">
        <w:rPr>
          <w:lang w:val="en-CA"/>
        </w:rPr>
        <w:t xml:space="preserve">s </w:t>
      </w:r>
      <w:r w:rsidR="00AE3408">
        <w:rPr>
          <w:lang w:val="en-CA"/>
        </w:rPr>
        <w:t>English</w:t>
      </w:r>
      <w:r w:rsidR="00AE3408">
        <w:rPr>
          <w:lang w:val="en-CA"/>
        </w:rPr>
        <w:noBreakHyphen/>
        <w:t>language</w:t>
      </w:r>
      <w:r w:rsidRPr="000A0EA1">
        <w:rPr>
          <w:lang w:val="en-CA"/>
        </w:rPr>
        <w:t xml:space="preserve"> school boards because they are inextricably linked to the sections listed in paragraph [439] of this judgment: s</w:t>
      </w:r>
      <w:r w:rsidR="0062160E">
        <w:rPr>
          <w:lang w:val="en-CA"/>
        </w:rPr>
        <w:t>s. 3</w:t>
      </w:r>
      <w:r w:rsidRPr="000A0EA1">
        <w:rPr>
          <w:lang w:val="en-CA"/>
        </w:rPr>
        <w:t>, 11(3), 51 (insofar as it repeals s</w:t>
      </w:r>
      <w:r w:rsidR="0062160E">
        <w:rPr>
          <w:lang w:val="en-CA"/>
        </w:rPr>
        <w:t>s. 1</w:t>
      </w:r>
      <w:r w:rsidRPr="000A0EA1">
        <w:rPr>
          <w:lang w:val="en-CA"/>
        </w:rPr>
        <w:t xml:space="preserve">45 to 148 of the </w:t>
      </w:r>
      <w:r w:rsidRPr="000A0EA1">
        <w:rPr>
          <w:i/>
          <w:iCs/>
          <w:lang w:val="en-CA"/>
        </w:rPr>
        <w:t>Education Act</w:t>
      </w:r>
      <w:r w:rsidRPr="000A0EA1">
        <w:rPr>
          <w:lang w:val="en-CA"/>
        </w:rPr>
        <w:t xml:space="preserve">), 53, 54, 55, 56, 57, 65(1), 67(1), 67(2)(a), 67(2)(c), 69(1), 70, 71, 73(2), 76, 80(1)(c), 88(2), 92, 94, 98, 101(2), 115(2), 129, 137, 139 (insofar as it interferes with the provisions of </w:t>
      </w:r>
      <w:r w:rsidR="0062160E">
        <w:rPr>
          <w:lang w:val="en-CA"/>
        </w:rPr>
        <w:t>s. 4</w:t>
      </w:r>
      <w:r w:rsidRPr="000A0EA1">
        <w:rPr>
          <w:lang w:val="en-CA"/>
        </w:rPr>
        <w:t xml:space="preserve">57.8 of the </w:t>
      </w:r>
      <w:r w:rsidRPr="000A0EA1">
        <w:rPr>
          <w:i/>
          <w:iCs/>
          <w:lang w:val="en-CA"/>
        </w:rPr>
        <w:t>Education Act</w:t>
      </w:r>
      <w:r w:rsidRPr="000A0EA1">
        <w:rPr>
          <w:lang w:val="en-CA"/>
        </w:rPr>
        <w:t>), 140(1), 191, 193, 194, 195, 197, 198, 199, 200, 201, 203, 204, 205, 207(2), 218, 222, 223, 224, 225, 226, 227, 228, 229(1)(b), 229(2), 230, 231, 232(1), 233(1), 234(1)(b), 235, 236(1), 242(1), 242(4), 242(5), 243(1), 244(1), 249, 251(1)(b)(ii), 254(1), 254(3), 255, 260, 261, 262(2), 263, 328(3), 328(4) and 335 (insofar as it provides for the coming into force of provisions that have been ruled inoperative)</w:t>
      </w:r>
      <w:r w:rsidR="00B70A57">
        <w:rPr>
          <w:lang w:val="en-CA"/>
        </w:rPr>
        <w:t>;</w:t>
      </w:r>
    </w:p>
    <w:p w14:paraId="17F5F3FB" w14:textId="77777777" w:rsidR="004C7649" w:rsidRPr="000A0EA1" w:rsidRDefault="00B02E00" w:rsidP="00B70A57">
      <w:pPr>
        <w:pStyle w:val="Paragraphe"/>
        <w:spacing w:before="240" w:line="240" w:lineRule="auto"/>
        <w:rPr>
          <w:lang w:val="en-CA"/>
        </w:rPr>
      </w:pPr>
      <w:r w:rsidRPr="000A0EA1">
        <w:rPr>
          <w:b/>
          <w:bCs/>
          <w:lang w:val="en-CA"/>
        </w:rPr>
        <w:t>SETS ASIDE</w:t>
      </w:r>
      <w:r w:rsidRPr="000A0EA1">
        <w:rPr>
          <w:lang w:val="en-CA"/>
        </w:rPr>
        <w:t xml:space="preserve"> paragraph [446] of the trial judgment;</w:t>
      </w:r>
    </w:p>
    <w:p w14:paraId="17F5F3FC" w14:textId="7CCE3472" w:rsidR="004C7649" w:rsidRPr="000A0EA1" w:rsidRDefault="00B02E00" w:rsidP="00B70A57">
      <w:pPr>
        <w:pStyle w:val="Paragraphe"/>
        <w:spacing w:before="240" w:line="240" w:lineRule="auto"/>
        <w:rPr>
          <w:lang w:val="en-CA"/>
        </w:rPr>
      </w:pPr>
      <w:r w:rsidRPr="000A0EA1">
        <w:rPr>
          <w:b/>
          <w:bCs/>
          <w:lang w:val="en-CA"/>
        </w:rPr>
        <w:t>THE WHOLE</w:t>
      </w:r>
      <w:r w:rsidR="00EA33B2">
        <w:rPr>
          <w:lang w:val="en-CA"/>
        </w:rPr>
        <w:t xml:space="preserve">, </w:t>
      </w:r>
      <w:r w:rsidRPr="000A0EA1">
        <w:rPr>
          <w:lang w:val="en-CA"/>
        </w:rPr>
        <w:t>without legal costs on appeal.</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4682"/>
        <w:gridCol w:w="4680"/>
      </w:tblGrid>
      <w:tr w:rsidR="004936F2" w:rsidRPr="00403CE7" w14:paraId="17F5F3FE" w14:textId="77777777" w:rsidTr="003E3239">
        <w:trPr>
          <w:trHeight w:val="576"/>
        </w:trPr>
        <w:tc>
          <w:tcPr>
            <w:tcW w:w="9362" w:type="dxa"/>
            <w:gridSpan w:val="2"/>
            <w:tcBorders>
              <w:top w:val="nil"/>
              <w:bottom w:val="nil"/>
            </w:tcBorders>
          </w:tcPr>
          <w:p w14:paraId="17F5F3FD" w14:textId="77777777" w:rsidR="008F364A" w:rsidRPr="000A0EA1" w:rsidRDefault="008F364A" w:rsidP="00B255B8">
            <w:pPr>
              <w:keepNext/>
              <w:spacing w:line="240" w:lineRule="auto"/>
              <w:rPr>
                <w:lang w:val="en-CA"/>
              </w:rPr>
            </w:pPr>
          </w:p>
        </w:tc>
      </w:tr>
      <w:tr w:rsidR="004936F2" w:rsidRPr="00403CE7" w14:paraId="17F5F401" w14:textId="77777777" w:rsidTr="00117914">
        <w:trPr>
          <w:trHeight w:val="283"/>
        </w:trPr>
        <w:tc>
          <w:tcPr>
            <w:tcW w:w="4682" w:type="dxa"/>
            <w:tcBorders>
              <w:top w:val="nil"/>
              <w:bottom w:val="nil"/>
            </w:tcBorders>
          </w:tcPr>
          <w:p w14:paraId="17F5F3FF" w14:textId="77777777" w:rsidR="008F364A" w:rsidRPr="000A0EA1" w:rsidRDefault="008F364A" w:rsidP="00B255B8">
            <w:pPr>
              <w:keepNext/>
              <w:spacing w:line="240" w:lineRule="auto"/>
              <w:rPr>
                <w:lang w:val="en-CA"/>
              </w:rPr>
            </w:pPr>
          </w:p>
        </w:tc>
        <w:tc>
          <w:tcPr>
            <w:tcW w:w="4680" w:type="dxa"/>
            <w:tcBorders>
              <w:top w:val="nil"/>
              <w:bottom w:val="single" w:sz="8" w:space="0" w:color="auto"/>
            </w:tcBorders>
          </w:tcPr>
          <w:p w14:paraId="17F5F400" w14:textId="77777777" w:rsidR="008F364A" w:rsidRPr="000A0EA1" w:rsidRDefault="008F364A" w:rsidP="00B255B8">
            <w:pPr>
              <w:keepNext/>
              <w:spacing w:line="240" w:lineRule="auto"/>
              <w:rPr>
                <w:lang w:val="en-CA"/>
              </w:rPr>
            </w:pPr>
          </w:p>
        </w:tc>
      </w:tr>
      <w:tr w:rsidR="004936F2" w:rsidRPr="000A0EA1" w14:paraId="17F5F404" w14:textId="77777777" w:rsidTr="00117914">
        <w:trPr>
          <w:trHeight w:val="283"/>
        </w:trPr>
        <w:tc>
          <w:tcPr>
            <w:tcW w:w="4682" w:type="dxa"/>
            <w:tcBorders>
              <w:top w:val="nil"/>
            </w:tcBorders>
          </w:tcPr>
          <w:p w14:paraId="17F5F402" w14:textId="77777777" w:rsidR="008F364A" w:rsidRPr="000A0EA1" w:rsidRDefault="008F364A" w:rsidP="00B255B8">
            <w:pPr>
              <w:keepNext/>
              <w:spacing w:line="240" w:lineRule="auto"/>
              <w:rPr>
                <w:lang w:val="en-CA"/>
              </w:rPr>
            </w:pPr>
          </w:p>
        </w:tc>
        <w:tc>
          <w:tcPr>
            <w:tcW w:w="4680" w:type="dxa"/>
            <w:tcBorders>
              <w:top w:val="single" w:sz="8" w:space="0" w:color="auto"/>
            </w:tcBorders>
          </w:tcPr>
          <w:p w14:paraId="17F5F403" w14:textId="75B95FFB" w:rsidR="008F364A" w:rsidRPr="007D51DF" w:rsidRDefault="00D2227D" w:rsidP="00B255B8">
            <w:pPr>
              <w:spacing w:line="240" w:lineRule="auto"/>
            </w:pPr>
            <w:r w:rsidRPr="007D51DF">
              <w:t>ROBERT M. MAINVILLE, J.A.</w:t>
            </w:r>
          </w:p>
        </w:tc>
      </w:tr>
      <w:tr w:rsidR="004936F2" w:rsidRPr="000A0EA1" w14:paraId="17F5F407" w14:textId="77777777" w:rsidTr="00117914">
        <w:trPr>
          <w:trHeight w:val="283"/>
        </w:trPr>
        <w:tc>
          <w:tcPr>
            <w:tcW w:w="4682" w:type="dxa"/>
            <w:tcBorders>
              <w:top w:val="nil"/>
            </w:tcBorders>
          </w:tcPr>
          <w:p w14:paraId="17F5F405" w14:textId="77777777" w:rsidR="008F364A" w:rsidRPr="007D51DF" w:rsidRDefault="008F364A" w:rsidP="00B255B8">
            <w:pPr>
              <w:keepNext/>
              <w:spacing w:line="240" w:lineRule="auto"/>
            </w:pPr>
            <w:bookmarkStart w:id="74" w:name="Signature2"/>
          </w:p>
        </w:tc>
        <w:tc>
          <w:tcPr>
            <w:tcW w:w="4680" w:type="dxa"/>
            <w:tcBorders>
              <w:top w:val="nil"/>
            </w:tcBorders>
          </w:tcPr>
          <w:p w14:paraId="17F5F406" w14:textId="77777777" w:rsidR="008F364A" w:rsidRPr="007D51DF" w:rsidRDefault="008F364A" w:rsidP="00B255B8">
            <w:pPr>
              <w:keepNext/>
              <w:spacing w:line="240" w:lineRule="auto"/>
            </w:pPr>
          </w:p>
        </w:tc>
      </w:tr>
      <w:tr w:rsidR="004936F2" w:rsidRPr="000A0EA1" w14:paraId="17F5F40A" w14:textId="77777777" w:rsidTr="00117914">
        <w:trPr>
          <w:trHeight w:val="283"/>
        </w:trPr>
        <w:tc>
          <w:tcPr>
            <w:tcW w:w="4682" w:type="dxa"/>
            <w:tcBorders>
              <w:top w:val="nil"/>
              <w:bottom w:val="nil"/>
            </w:tcBorders>
          </w:tcPr>
          <w:p w14:paraId="17F5F408" w14:textId="77777777" w:rsidR="008F364A" w:rsidRPr="007D51DF" w:rsidRDefault="008F364A" w:rsidP="00B255B8">
            <w:pPr>
              <w:keepNext/>
              <w:spacing w:line="240" w:lineRule="auto"/>
            </w:pPr>
          </w:p>
        </w:tc>
        <w:tc>
          <w:tcPr>
            <w:tcW w:w="4680" w:type="dxa"/>
            <w:tcBorders>
              <w:top w:val="nil"/>
              <w:bottom w:val="single" w:sz="8" w:space="0" w:color="auto"/>
            </w:tcBorders>
          </w:tcPr>
          <w:p w14:paraId="17F5F409" w14:textId="77777777" w:rsidR="008F364A" w:rsidRPr="007D51DF" w:rsidRDefault="008F364A" w:rsidP="00B255B8">
            <w:pPr>
              <w:keepNext/>
              <w:spacing w:line="240" w:lineRule="auto"/>
            </w:pPr>
          </w:p>
        </w:tc>
      </w:tr>
      <w:tr w:rsidR="004936F2" w:rsidRPr="000A0EA1" w14:paraId="17F5F40D" w14:textId="77777777" w:rsidTr="00117914">
        <w:trPr>
          <w:trHeight w:val="283"/>
        </w:trPr>
        <w:tc>
          <w:tcPr>
            <w:tcW w:w="4682" w:type="dxa"/>
            <w:tcBorders>
              <w:top w:val="nil"/>
            </w:tcBorders>
          </w:tcPr>
          <w:p w14:paraId="17F5F40B" w14:textId="77777777" w:rsidR="008F364A" w:rsidRPr="007D51DF" w:rsidRDefault="008F364A" w:rsidP="00B255B8">
            <w:pPr>
              <w:keepNext/>
              <w:spacing w:line="240" w:lineRule="auto"/>
            </w:pPr>
          </w:p>
        </w:tc>
        <w:tc>
          <w:tcPr>
            <w:tcW w:w="4680" w:type="dxa"/>
            <w:tcBorders>
              <w:top w:val="single" w:sz="8" w:space="0" w:color="auto"/>
            </w:tcBorders>
          </w:tcPr>
          <w:p w14:paraId="17F5F40C" w14:textId="1B7592A4" w:rsidR="008F364A" w:rsidRPr="000A0EA1" w:rsidRDefault="00D2227D" w:rsidP="00B255B8">
            <w:pPr>
              <w:keepNext/>
              <w:spacing w:line="240" w:lineRule="auto"/>
              <w:rPr>
                <w:lang w:val="en-CA"/>
              </w:rPr>
            </w:pPr>
            <w:r w:rsidRPr="000A0EA1">
              <w:rPr>
                <w:lang w:val="en-CA"/>
              </w:rPr>
              <w:t>CHRISTINE BAUDOUIN, J.A.</w:t>
            </w:r>
          </w:p>
        </w:tc>
      </w:tr>
      <w:tr w:rsidR="004936F2" w:rsidRPr="000A0EA1" w14:paraId="17F5F410" w14:textId="77777777" w:rsidTr="00117914">
        <w:trPr>
          <w:trHeight w:val="283"/>
        </w:trPr>
        <w:tc>
          <w:tcPr>
            <w:tcW w:w="4682" w:type="dxa"/>
            <w:tcBorders>
              <w:top w:val="nil"/>
            </w:tcBorders>
          </w:tcPr>
          <w:p w14:paraId="17F5F40E" w14:textId="77777777" w:rsidR="008F364A" w:rsidRPr="000A0EA1" w:rsidRDefault="008F364A" w:rsidP="00B255B8">
            <w:pPr>
              <w:keepNext/>
              <w:spacing w:line="240" w:lineRule="auto"/>
              <w:rPr>
                <w:lang w:val="en-CA"/>
              </w:rPr>
            </w:pPr>
            <w:bookmarkStart w:id="75" w:name="Signature3"/>
            <w:bookmarkEnd w:id="74"/>
          </w:p>
        </w:tc>
        <w:tc>
          <w:tcPr>
            <w:tcW w:w="4680" w:type="dxa"/>
            <w:tcBorders>
              <w:top w:val="nil"/>
            </w:tcBorders>
          </w:tcPr>
          <w:p w14:paraId="17F5F40F" w14:textId="77777777" w:rsidR="008F364A" w:rsidRPr="000A0EA1" w:rsidRDefault="008F364A" w:rsidP="00B255B8">
            <w:pPr>
              <w:keepNext/>
              <w:spacing w:line="240" w:lineRule="auto"/>
              <w:rPr>
                <w:lang w:val="en-CA"/>
              </w:rPr>
            </w:pPr>
          </w:p>
        </w:tc>
      </w:tr>
      <w:tr w:rsidR="004936F2" w:rsidRPr="000A0EA1" w14:paraId="17F5F413" w14:textId="77777777" w:rsidTr="00117914">
        <w:trPr>
          <w:trHeight w:val="283"/>
        </w:trPr>
        <w:tc>
          <w:tcPr>
            <w:tcW w:w="4682" w:type="dxa"/>
            <w:tcBorders>
              <w:top w:val="nil"/>
              <w:bottom w:val="nil"/>
            </w:tcBorders>
          </w:tcPr>
          <w:p w14:paraId="17F5F411" w14:textId="77777777" w:rsidR="008F364A" w:rsidRPr="000A0EA1" w:rsidRDefault="008F364A" w:rsidP="00B255B8">
            <w:pPr>
              <w:keepNext/>
              <w:spacing w:line="240" w:lineRule="auto"/>
              <w:rPr>
                <w:lang w:val="en-CA"/>
              </w:rPr>
            </w:pPr>
          </w:p>
        </w:tc>
        <w:tc>
          <w:tcPr>
            <w:tcW w:w="4680" w:type="dxa"/>
            <w:tcBorders>
              <w:top w:val="nil"/>
              <w:bottom w:val="single" w:sz="8" w:space="0" w:color="auto"/>
            </w:tcBorders>
          </w:tcPr>
          <w:p w14:paraId="17F5F412" w14:textId="77777777" w:rsidR="008F364A" w:rsidRPr="000A0EA1" w:rsidRDefault="008F364A" w:rsidP="00B255B8">
            <w:pPr>
              <w:keepNext/>
              <w:spacing w:line="240" w:lineRule="auto"/>
              <w:rPr>
                <w:lang w:val="en-CA"/>
              </w:rPr>
            </w:pPr>
          </w:p>
        </w:tc>
      </w:tr>
      <w:tr w:rsidR="004936F2" w:rsidRPr="000A0EA1" w14:paraId="17F5F416" w14:textId="77777777" w:rsidTr="00117914">
        <w:trPr>
          <w:trHeight w:val="283"/>
        </w:trPr>
        <w:tc>
          <w:tcPr>
            <w:tcW w:w="4682" w:type="dxa"/>
            <w:tcBorders>
              <w:top w:val="nil"/>
            </w:tcBorders>
          </w:tcPr>
          <w:p w14:paraId="17F5F414" w14:textId="77777777" w:rsidR="008F364A" w:rsidRPr="000A0EA1" w:rsidRDefault="008F364A" w:rsidP="00B255B8">
            <w:pPr>
              <w:keepNext/>
              <w:spacing w:line="240" w:lineRule="auto"/>
              <w:rPr>
                <w:lang w:val="en-CA"/>
              </w:rPr>
            </w:pPr>
          </w:p>
        </w:tc>
        <w:tc>
          <w:tcPr>
            <w:tcW w:w="4680" w:type="dxa"/>
            <w:tcBorders>
              <w:top w:val="single" w:sz="8" w:space="0" w:color="auto"/>
            </w:tcBorders>
          </w:tcPr>
          <w:p w14:paraId="17F5F415" w14:textId="2086D6D5" w:rsidR="008F364A" w:rsidRPr="000A0EA1" w:rsidRDefault="00D2227D" w:rsidP="00B255B8">
            <w:pPr>
              <w:keepNext/>
              <w:spacing w:line="240" w:lineRule="auto"/>
              <w:rPr>
                <w:lang w:val="en-CA"/>
              </w:rPr>
            </w:pPr>
            <w:r w:rsidRPr="000A0EA1">
              <w:rPr>
                <w:lang w:val="en-CA"/>
              </w:rPr>
              <w:t>JUDITH HARVIE, J.A.</w:t>
            </w:r>
          </w:p>
        </w:tc>
      </w:tr>
      <w:bookmarkEnd w:id="75"/>
      <w:tr w:rsidR="004936F2" w:rsidRPr="000A0EA1" w14:paraId="17F5F418" w14:textId="77777777" w:rsidTr="00423DF1">
        <w:tc>
          <w:tcPr>
            <w:tcW w:w="9362" w:type="dxa"/>
            <w:gridSpan w:val="2"/>
          </w:tcPr>
          <w:p w14:paraId="17F5F417" w14:textId="77777777" w:rsidR="005A78BF" w:rsidRPr="000A0EA1" w:rsidRDefault="005A78BF" w:rsidP="00B255B8">
            <w:pPr>
              <w:spacing w:line="240" w:lineRule="auto"/>
              <w:rPr>
                <w:lang w:val="en-CA"/>
              </w:rPr>
            </w:pPr>
          </w:p>
        </w:tc>
      </w:tr>
      <w:tr w:rsidR="00B70A57" w:rsidRPr="000A0EA1" w14:paraId="63B0CB1E" w14:textId="77777777" w:rsidTr="00423DF1">
        <w:tc>
          <w:tcPr>
            <w:tcW w:w="9362" w:type="dxa"/>
            <w:gridSpan w:val="2"/>
          </w:tcPr>
          <w:p w14:paraId="5C9BE519" w14:textId="77777777" w:rsidR="00B70A57" w:rsidRPr="000A0EA1" w:rsidRDefault="00B70A57" w:rsidP="00B255B8">
            <w:pPr>
              <w:spacing w:line="240" w:lineRule="auto"/>
              <w:rPr>
                <w:lang w:val="en-CA"/>
              </w:rPr>
            </w:pPr>
          </w:p>
        </w:tc>
      </w:tr>
      <w:tr w:rsidR="00B70A57" w:rsidRPr="000A0EA1" w14:paraId="7F850B02" w14:textId="77777777" w:rsidTr="00423DF1">
        <w:tc>
          <w:tcPr>
            <w:tcW w:w="9362" w:type="dxa"/>
            <w:gridSpan w:val="2"/>
          </w:tcPr>
          <w:p w14:paraId="17ADBEFF" w14:textId="77777777" w:rsidR="00B70A57" w:rsidRPr="000A0EA1" w:rsidRDefault="00B70A57" w:rsidP="00B255B8">
            <w:pPr>
              <w:spacing w:line="240" w:lineRule="auto"/>
              <w:rPr>
                <w:lang w:val="en-CA"/>
              </w:rPr>
            </w:pPr>
          </w:p>
        </w:tc>
      </w:tr>
      <w:tr w:rsidR="00B70A57" w:rsidRPr="000A0EA1" w14:paraId="3ACA5F93" w14:textId="77777777" w:rsidTr="00423DF1">
        <w:tc>
          <w:tcPr>
            <w:tcW w:w="9362" w:type="dxa"/>
            <w:gridSpan w:val="2"/>
          </w:tcPr>
          <w:p w14:paraId="38B60AD5" w14:textId="77777777" w:rsidR="00B70A57" w:rsidRPr="000A0EA1" w:rsidRDefault="00B70A57" w:rsidP="00B255B8">
            <w:pPr>
              <w:spacing w:line="240" w:lineRule="auto"/>
              <w:rPr>
                <w:lang w:val="en-CA"/>
              </w:rPr>
            </w:pPr>
          </w:p>
        </w:tc>
      </w:tr>
      <w:tr w:rsidR="00B70A57" w:rsidRPr="000A0EA1" w14:paraId="6730AE47" w14:textId="77777777" w:rsidTr="00423DF1">
        <w:tc>
          <w:tcPr>
            <w:tcW w:w="9362" w:type="dxa"/>
            <w:gridSpan w:val="2"/>
          </w:tcPr>
          <w:p w14:paraId="46312A4D" w14:textId="77777777" w:rsidR="00B70A57" w:rsidRPr="000A0EA1" w:rsidRDefault="00B70A57" w:rsidP="00B255B8">
            <w:pPr>
              <w:spacing w:line="240" w:lineRule="auto"/>
              <w:rPr>
                <w:lang w:val="en-CA"/>
              </w:rPr>
            </w:pPr>
          </w:p>
        </w:tc>
      </w:tr>
      <w:tr w:rsidR="00B70A57" w:rsidRPr="000A0EA1" w14:paraId="3D30FC4C" w14:textId="77777777" w:rsidTr="00423DF1">
        <w:tc>
          <w:tcPr>
            <w:tcW w:w="9362" w:type="dxa"/>
            <w:gridSpan w:val="2"/>
          </w:tcPr>
          <w:p w14:paraId="3656DB8A" w14:textId="77777777" w:rsidR="00B70A57" w:rsidRPr="000A0EA1" w:rsidRDefault="00B70A57" w:rsidP="00B255B8">
            <w:pPr>
              <w:spacing w:line="240" w:lineRule="auto"/>
              <w:rPr>
                <w:lang w:val="en-CA"/>
              </w:rPr>
            </w:pPr>
          </w:p>
        </w:tc>
      </w:tr>
      <w:tr w:rsidR="00B70A57" w:rsidRPr="000A0EA1" w14:paraId="3B35D484" w14:textId="77777777" w:rsidTr="00423DF1">
        <w:tc>
          <w:tcPr>
            <w:tcW w:w="9362" w:type="dxa"/>
            <w:gridSpan w:val="2"/>
          </w:tcPr>
          <w:p w14:paraId="17733E9D" w14:textId="77777777" w:rsidR="00B70A57" w:rsidRPr="000A0EA1" w:rsidRDefault="00B70A57" w:rsidP="00B255B8">
            <w:pPr>
              <w:spacing w:line="240" w:lineRule="auto"/>
              <w:rPr>
                <w:lang w:val="en-CA"/>
              </w:rPr>
            </w:pPr>
          </w:p>
        </w:tc>
      </w:tr>
      <w:tr w:rsidR="00B70A57" w:rsidRPr="000A0EA1" w14:paraId="350E82C4" w14:textId="77777777" w:rsidTr="00423DF1">
        <w:tc>
          <w:tcPr>
            <w:tcW w:w="9362" w:type="dxa"/>
            <w:gridSpan w:val="2"/>
          </w:tcPr>
          <w:p w14:paraId="2D1C62FE" w14:textId="77777777" w:rsidR="00B70A57" w:rsidRPr="000A0EA1" w:rsidRDefault="00B70A57" w:rsidP="00B255B8">
            <w:pPr>
              <w:spacing w:line="240" w:lineRule="auto"/>
              <w:rPr>
                <w:lang w:val="en-CA"/>
              </w:rPr>
            </w:pPr>
          </w:p>
        </w:tc>
      </w:tr>
      <w:tr w:rsidR="003D6559" w:rsidRPr="000A0EA1" w14:paraId="23E362A1" w14:textId="77777777" w:rsidTr="003D6559">
        <w:tc>
          <w:tcPr>
            <w:tcW w:w="9362" w:type="dxa"/>
            <w:gridSpan w:val="2"/>
            <w:tcBorders>
              <w:bottom w:val="nil"/>
            </w:tcBorders>
          </w:tcPr>
          <w:p w14:paraId="55BBE23F" w14:textId="77777777" w:rsidR="003D6559" w:rsidRPr="000A0EA1" w:rsidRDefault="003D6559" w:rsidP="00B255B8">
            <w:pPr>
              <w:spacing w:line="240" w:lineRule="auto"/>
              <w:rPr>
                <w:lang w:val="en-CA"/>
              </w:rPr>
            </w:pPr>
          </w:p>
        </w:tc>
      </w:tr>
      <w:tr w:rsidR="00B70A57" w:rsidRPr="000A0EA1" w14:paraId="18AA9075" w14:textId="77777777" w:rsidTr="003D6559">
        <w:tc>
          <w:tcPr>
            <w:tcW w:w="9362" w:type="dxa"/>
            <w:gridSpan w:val="2"/>
            <w:tcBorders>
              <w:top w:val="nil"/>
              <w:bottom w:val="nil"/>
            </w:tcBorders>
          </w:tcPr>
          <w:p w14:paraId="4830F16C" w14:textId="77777777" w:rsidR="00B70A57" w:rsidRPr="000A0EA1" w:rsidRDefault="00B70A57" w:rsidP="00B255B8">
            <w:pPr>
              <w:spacing w:line="240" w:lineRule="auto"/>
              <w:rPr>
                <w:lang w:val="en-CA"/>
              </w:rPr>
            </w:pPr>
          </w:p>
        </w:tc>
      </w:tr>
      <w:tr w:rsidR="004936F2" w:rsidRPr="000A0EA1" w14:paraId="17F5F457" w14:textId="77777777" w:rsidTr="00423DF1">
        <w:tc>
          <w:tcPr>
            <w:tcW w:w="9362" w:type="dxa"/>
            <w:gridSpan w:val="2"/>
          </w:tcPr>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7365"/>
            </w:tblGrid>
            <w:tr w:rsidR="004936F2" w:rsidRPr="000A0EA1" w14:paraId="17F5F426" w14:textId="77777777" w:rsidTr="00314739">
              <w:tc>
                <w:tcPr>
                  <w:tcW w:w="9362" w:type="dxa"/>
                  <w:gridSpan w:val="2"/>
                  <w:tcBorders>
                    <w:top w:val="nil"/>
                  </w:tcBorders>
                </w:tcPr>
                <w:p w14:paraId="17F5F425" w14:textId="77777777" w:rsidR="001A27BD" w:rsidRPr="000A0EA1" w:rsidRDefault="00B02E00" w:rsidP="00B255B8">
                  <w:pPr>
                    <w:spacing w:line="240" w:lineRule="auto"/>
                    <w:rPr>
                      <w:lang w:val="en-CA"/>
                    </w:rPr>
                  </w:pPr>
                  <w:proofErr w:type="spellStart"/>
                  <w:r w:rsidRPr="000A0EA1">
                    <w:rPr>
                      <w:lang w:val="en-CA"/>
                    </w:rPr>
                    <w:t>Mtre</w:t>
                  </w:r>
                  <w:proofErr w:type="spellEnd"/>
                  <w:r w:rsidRPr="000A0EA1">
                    <w:rPr>
                      <w:lang w:val="en-CA"/>
                    </w:rPr>
                    <w:t xml:space="preserve"> Samuel </w:t>
                  </w:r>
                  <w:proofErr w:type="spellStart"/>
                  <w:r w:rsidRPr="000A0EA1">
                    <w:rPr>
                      <w:lang w:val="en-CA"/>
                    </w:rPr>
                    <w:t>Chayer</w:t>
                  </w:r>
                  <w:proofErr w:type="spellEnd"/>
                </w:p>
              </w:tc>
            </w:tr>
            <w:tr w:rsidR="004936F2" w:rsidRPr="000A0EA1" w14:paraId="17F5F428" w14:textId="77777777" w:rsidTr="00314739">
              <w:tc>
                <w:tcPr>
                  <w:tcW w:w="9362" w:type="dxa"/>
                  <w:gridSpan w:val="2"/>
                </w:tcPr>
                <w:p w14:paraId="17F5F427" w14:textId="77777777" w:rsidR="001A27BD" w:rsidRPr="000A0EA1" w:rsidRDefault="00B02E00" w:rsidP="00B255B8">
                  <w:pPr>
                    <w:spacing w:line="240" w:lineRule="auto"/>
                    <w:rPr>
                      <w:lang w:val="en-CA"/>
                    </w:rPr>
                  </w:pPr>
                  <w:r w:rsidRPr="000A0EA1">
                    <w:rPr>
                      <w:lang w:val="en-CA"/>
                    </w:rPr>
                    <w:t>Mtre Vicky Samson</w:t>
                  </w:r>
                </w:p>
              </w:tc>
            </w:tr>
            <w:tr w:rsidR="004936F2" w:rsidRPr="000A0EA1" w14:paraId="17F5F42A" w14:textId="77777777" w:rsidTr="00314739">
              <w:tc>
                <w:tcPr>
                  <w:tcW w:w="9362" w:type="dxa"/>
                  <w:gridSpan w:val="2"/>
                </w:tcPr>
                <w:p w14:paraId="17F5F429" w14:textId="77777777" w:rsidR="001A27BD" w:rsidRPr="000A0EA1" w:rsidRDefault="00B02E00" w:rsidP="00B255B8">
                  <w:pPr>
                    <w:spacing w:line="240" w:lineRule="auto"/>
                    <w:rPr>
                      <w:smallCaps/>
                      <w:lang w:val="en-CA"/>
                    </w:rPr>
                  </w:pPr>
                  <w:proofErr w:type="spellStart"/>
                  <w:r w:rsidRPr="000A0EA1">
                    <w:rPr>
                      <w:smallCaps/>
                      <w:lang w:val="en-CA"/>
                    </w:rPr>
                    <w:t>bernard</w:t>
                  </w:r>
                  <w:proofErr w:type="spellEnd"/>
                  <w:r w:rsidRPr="000A0EA1">
                    <w:rPr>
                      <w:smallCaps/>
                      <w:lang w:val="en-CA"/>
                    </w:rPr>
                    <w:t xml:space="preserve">, </w:t>
                  </w:r>
                  <w:proofErr w:type="spellStart"/>
                  <w:r w:rsidRPr="000A0EA1">
                    <w:rPr>
                      <w:smallCaps/>
                      <w:lang w:val="en-CA"/>
                    </w:rPr>
                    <w:t>roy</w:t>
                  </w:r>
                  <w:proofErr w:type="spellEnd"/>
                  <w:r w:rsidRPr="000A0EA1">
                    <w:rPr>
                      <w:smallCaps/>
                      <w:lang w:val="en-CA"/>
                    </w:rPr>
                    <w:t xml:space="preserve"> (justice-</w:t>
                  </w:r>
                  <w:proofErr w:type="spellStart"/>
                  <w:r w:rsidRPr="000A0EA1">
                    <w:rPr>
                      <w:smallCaps/>
                      <w:lang w:val="en-CA"/>
                    </w:rPr>
                    <w:t>québec</w:t>
                  </w:r>
                  <w:proofErr w:type="spellEnd"/>
                  <w:r w:rsidRPr="000A0EA1">
                    <w:rPr>
                      <w:smallCaps/>
                      <w:lang w:val="en-CA"/>
                    </w:rPr>
                    <w:t>)</w:t>
                  </w:r>
                </w:p>
              </w:tc>
            </w:tr>
            <w:tr w:rsidR="004936F2" w:rsidRPr="00403CE7" w14:paraId="17F5F42C" w14:textId="77777777" w:rsidTr="00314739">
              <w:tc>
                <w:tcPr>
                  <w:tcW w:w="9362" w:type="dxa"/>
                  <w:gridSpan w:val="2"/>
                </w:tcPr>
                <w:p w14:paraId="17F5F42B" w14:textId="77777777" w:rsidR="001A27BD" w:rsidRPr="000A0EA1" w:rsidRDefault="00B02E00" w:rsidP="00B255B8">
                  <w:pPr>
                    <w:spacing w:line="240" w:lineRule="auto"/>
                    <w:rPr>
                      <w:lang w:val="en-CA"/>
                    </w:rPr>
                  </w:pPr>
                  <w:r w:rsidRPr="000A0EA1">
                    <w:rPr>
                      <w:lang w:val="en-CA"/>
                    </w:rPr>
                    <w:t>For the Attorney General of Quebec</w:t>
                  </w:r>
                </w:p>
              </w:tc>
            </w:tr>
            <w:tr w:rsidR="004936F2" w:rsidRPr="00403CE7" w14:paraId="17F5F42E" w14:textId="77777777" w:rsidTr="00314739">
              <w:tc>
                <w:tcPr>
                  <w:tcW w:w="9362" w:type="dxa"/>
                  <w:gridSpan w:val="2"/>
                </w:tcPr>
                <w:p w14:paraId="17F5F42D" w14:textId="77777777" w:rsidR="001A27BD" w:rsidRPr="000A0EA1" w:rsidRDefault="001A27BD" w:rsidP="00B255B8">
                  <w:pPr>
                    <w:spacing w:line="240" w:lineRule="auto"/>
                    <w:rPr>
                      <w:lang w:val="en-CA"/>
                    </w:rPr>
                  </w:pPr>
                </w:p>
              </w:tc>
            </w:tr>
            <w:tr w:rsidR="004936F2" w:rsidRPr="000A0EA1" w14:paraId="17F5F430" w14:textId="77777777" w:rsidTr="00314739">
              <w:tc>
                <w:tcPr>
                  <w:tcW w:w="9362" w:type="dxa"/>
                  <w:gridSpan w:val="2"/>
                </w:tcPr>
                <w:p w14:paraId="17F5F42F" w14:textId="77777777" w:rsidR="001A27BD" w:rsidRPr="000A0EA1" w:rsidRDefault="00B02E00" w:rsidP="00B255B8">
                  <w:pPr>
                    <w:spacing w:line="240" w:lineRule="auto"/>
                    <w:rPr>
                      <w:lang w:val="en-CA"/>
                    </w:rPr>
                  </w:pPr>
                  <w:proofErr w:type="spellStart"/>
                  <w:r w:rsidRPr="000A0EA1">
                    <w:rPr>
                      <w:lang w:val="en-CA"/>
                    </w:rPr>
                    <w:t>Mtre</w:t>
                  </w:r>
                  <w:proofErr w:type="spellEnd"/>
                  <w:r w:rsidRPr="000A0EA1">
                    <w:rPr>
                      <w:lang w:val="en-CA"/>
                    </w:rPr>
                    <w:t xml:space="preserve"> Perri </w:t>
                  </w:r>
                  <w:proofErr w:type="spellStart"/>
                  <w:r w:rsidRPr="000A0EA1">
                    <w:rPr>
                      <w:lang w:val="en-CA"/>
                    </w:rPr>
                    <w:t>Ravon</w:t>
                  </w:r>
                  <w:proofErr w:type="spellEnd"/>
                </w:p>
              </w:tc>
            </w:tr>
            <w:tr w:rsidR="004936F2" w:rsidRPr="000A0EA1" w14:paraId="17F5F432" w14:textId="77777777" w:rsidTr="00314739">
              <w:tc>
                <w:tcPr>
                  <w:tcW w:w="9362" w:type="dxa"/>
                  <w:gridSpan w:val="2"/>
                </w:tcPr>
                <w:p w14:paraId="17F5F431" w14:textId="77777777" w:rsidR="001A27BD" w:rsidRPr="000A0EA1" w:rsidRDefault="00B02E00" w:rsidP="00B255B8">
                  <w:pPr>
                    <w:spacing w:line="240" w:lineRule="auto"/>
                    <w:rPr>
                      <w:lang w:val="en-CA"/>
                    </w:rPr>
                  </w:pPr>
                  <w:proofErr w:type="spellStart"/>
                  <w:r w:rsidRPr="000A0EA1">
                    <w:rPr>
                      <w:lang w:val="en-CA"/>
                    </w:rPr>
                    <w:t>Mtre</w:t>
                  </w:r>
                  <w:proofErr w:type="spellEnd"/>
                  <w:r w:rsidRPr="000A0EA1">
                    <w:rPr>
                      <w:lang w:val="en-CA"/>
                    </w:rPr>
                    <w:t xml:space="preserve"> Audrey </w:t>
                  </w:r>
                  <w:proofErr w:type="spellStart"/>
                  <w:r w:rsidRPr="000A0EA1">
                    <w:rPr>
                      <w:lang w:val="en-CA"/>
                    </w:rPr>
                    <w:t>Mayrand</w:t>
                  </w:r>
                  <w:proofErr w:type="spellEnd"/>
                </w:p>
              </w:tc>
            </w:tr>
            <w:tr w:rsidR="004936F2" w:rsidRPr="000A0EA1" w14:paraId="17F5F434" w14:textId="77777777" w:rsidTr="00314739">
              <w:tc>
                <w:tcPr>
                  <w:tcW w:w="9362" w:type="dxa"/>
                  <w:gridSpan w:val="2"/>
                </w:tcPr>
                <w:p w14:paraId="17F5F433" w14:textId="77777777" w:rsidR="001A27BD" w:rsidRPr="000A0EA1" w:rsidRDefault="00B02E00" w:rsidP="00B255B8">
                  <w:pPr>
                    <w:spacing w:line="240" w:lineRule="auto"/>
                    <w:rPr>
                      <w:lang w:val="en-CA"/>
                    </w:rPr>
                  </w:pPr>
                  <w:r w:rsidRPr="000A0EA1">
                    <w:rPr>
                      <w:lang w:val="en-CA"/>
                    </w:rPr>
                    <w:t>Mtre Mark Power</w:t>
                  </w:r>
                </w:p>
              </w:tc>
            </w:tr>
            <w:tr w:rsidR="004936F2" w:rsidRPr="000A0EA1" w14:paraId="17F5F436" w14:textId="77777777" w:rsidTr="00314739">
              <w:tc>
                <w:tcPr>
                  <w:tcW w:w="9362" w:type="dxa"/>
                  <w:gridSpan w:val="2"/>
                  <w:tcBorders>
                    <w:bottom w:val="nil"/>
                  </w:tcBorders>
                </w:tcPr>
                <w:p w14:paraId="17F5F435" w14:textId="4C4611D2" w:rsidR="001A27BD" w:rsidRPr="000A0EA1" w:rsidRDefault="00403CE7" w:rsidP="00B255B8">
                  <w:pPr>
                    <w:spacing w:line="240" w:lineRule="auto"/>
                    <w:rPr>
                      <w:smallCaps/>
                      <w:lang w:val="en-CA"/>
                    </w:rPr>
                  </w:pPr>
                  <w:r>
                    <w:rPr>
                      <w:smallCaps/>
                      <w:lang w:val="en-CA"/>
                    </w:rPr>
                    <w:t>power law</w:t>
                  </w:r>
                </w:p>
              </w:tc>
            </w:tr>
            <w:tr w:rsidR="004936F2" w:rsidRPr="00403CE7" w14:paraId="17F5F438" w14:textId="77777777" w:rsidTr="00314739">
              <w:tc>
                <w:tcPr>
                  <w:tcW w:w="9362" w:type="dxa"/>
                  <w:gridSpan w:val="2"/>
                  <w:tcBorders>
                    <w:top w:val="nil"/>
                  </w:tcBorders>
                </w:tcPr>
                <w:p w14:paraId="17F5F437" w14:textId="65DC985E" w:rsidR="001A27BD" w:rsidRPr="000A0EA1" w:rsidRDefault="00B02E00" w:rsidP="00B255B8">
                  <w:pPr>
                    <w:pStyle w:val="zSoquijdatNomProcureurDem"/>
                    <w:spacing w:line="240" w:lineRule="auto"/>
                    <w:jc w:val="both"/>
                    <w:rPr>
                      <w:lang w:val="en-CA"/>
                    </w:rPr>
                  </w:pPr>
                  <w:r w:rsidRPr="000A0EA1">
                    <w:rPr>
                      <w:lang w:val="en-CA"/>
                    </w:rPr>
                    <w:t>For the Quebec English School Boards Association, Lester B. Pearson School Board, Adam Gordon, English</w:t>
                  </w:r>
                  <w:r w:rsidR="00704B93">
                    <w:rPr>
                      <w:lang w:val="en-CA"/>
                    </w:rPr>
                    <w:t>-</w:t>
                  </w:r>
                  <w:r w:rsidRPr="000A0EA1">
                    <w:rPr>
                      <w:lang w:val="en-CA"/>
                    </w:rPr>
                    <w:t>Montreal School Board, Western Qu</w:t>
                  </w:r>
                  <w:r w:rsidR="00403CE7">
                    <w:rPr>
                      <w:lang w:val="en-CA"/>
                    </w:rPr>
                    <w:t>e</w:t>
                  </w:r>
                  <w:r w:rsidRPr="000A0EA1">
                    <w:rPr>
                      <w:lang w:val="en-CA"/>
                    </w:rPr>
                    <w:t>bec School Board, Riverside School Board, Eastern Townships School Board, Sir Wilfrid Laurier School Board, Eastern Shores School Board and Central Qu</w:t>
                  </w:r>
                  <w:r w:rsidR="00403CE7">
                    <w:rPr>
                      <w:lang w:val="en-CA"/>
                    </w:rPr>
                    <w:t>e</w:t>
                  </w:r>
                  <w:r w:rsidRPr="000A0EA1">
                    <w:rPr>
                      <w:lang w:val="en-CA"/>
                    </w:rPr>
                    <w:t>bec School Board</w:t>
                  </w:r>
                </w:p>
              </w:tc>
            </w:tr>
            <w:tr w:rsidR="004936F2" w:rsidRPr="00403CE7" w14:paraId="17F5F43A" w14:textId="77777777" w:rsidTr="00314739">
              <w:tc>
                <w:tcPr>
                  <w:tcW w:w="9362" w:type="dxa"/>
                  <w:gridSpan w:val="2"/>
                </w:tcPr>
                <w:p w14:paraId="17F5F439" w14:textId="77777777" w:rsidR="001A27BD" w:rsidRPr="000A0EA1" w:rsidRDefault="001A27BD" w:rsidP="00B255B8">
                  <w:pPr>
                    <w:pStyle w:val="zSoquijdatNomProcureurDem"/>
                    <w:spacing w:line="240" w:lineRule="auto"/>
                    <w:rPr>
                      <w:lang w:val="en-CA"/>
                    </w:rPr>
                  </w:pPr>
                </w:p>
              </w:tc>
            </w:tr>
            <w:tr w:rsidR="004936F2" w:rsidRPr="000A0EA1" w14:paraId="17F5F43C" w14:textId="77777777" w:rsidTr="00314739">
              <w:tc>
                <w:tcPr>
                  <w:tcW w:w="9362" w:type="dxa"/>
                  <w:gridSpan w:val="2"/>
                </w:tcPr>
                <w:p w14:paraId="17F5F43B" w14:textId="77777777" w:rsidR="001A27BD" w:rsidRPr="000A0EA1" w:rsidRDefault="00B02E00" w:rsidP="00B255B8">
                  <w:pPr>
                    <w:pStyle w:val="zSoquijdatNomProcureurDem"/>
                    <w:spacing w:line="240" w:lineRule="auto"/>
                    <w:rPr>
                      <w:lang w:val="en-CA"/>
                    </w:rPr>
                  </w:pPr>
                  <w:r w:rsidRPr="000A0EA1">
                    <w:rPr>
                      <w:lang w:val="en-CA"/>
                    </w:rPr>
                    <w:t>Mtre Marion Sandilands</w:t>
                  </w:r>
                </w:p>
              </w:tc>
            </w:tr>
            <w:tr w:rsidR="004936F2" w:rsidRPr="000A0EA1" w14:paraId="17F5F43E" w14:textId="77777777" w:rsidTr="00314739">
              <w:tc>
                <w:tcPr>
                  <w:tcW w:w="9362" w:type="dxa"/>
                  <w:gridSpan w:val="2"/>
                </w:tcPr>
                <w:p w14:paraId="17F5F43D" w14:textId="77777777" w:rsidR="001A27BD" w:rsidRPr="000A0EA1" w:rsidRDefault="00B02E00" w:rsidP="00B255B8">
                  <w:pPr>
                    <w:pStyle w:val="zSoquijdatNomProcureurDem"/>
                    <w:spacing w:line="240" w:lineRule="auto"/>
                    <w:rPr>
                      <w:lang w:val="en-CA"/>
                    </w:rPr>
                  </w:pPr>
                  <w:r w:rsidRPr="000A0EA1">
                    <w:rPr>
                      <w:lang w:val="en-CA"/>
                    </w:rPr>
                    <w:t>Mtre Logan Stack</w:t>
                  </w:r>
                </w:p>
              </w:tc>
            </w:tr>
            <w:tr w:rsidR="004936F2" w:rsidRPr="000A0EA1" w14:paraId="17F5F440" w14:textId="77777777" w:rsidTr="00314739">
              <w:tc>
                <w:tcPr>
                  <w:tcW w:w="9362" w:type="dxa"/>
                  <w:gridSpan w:val="2"/>
                </w:tcPr>
                <w:p w14:paraId="17F5F43F" w14:textId="77777777" w:rsidR="001A27BD" w:rsidRPr="000A0EA1" w:rsidRDefault="00B02E00" w:rsidP="00B255B8">
                  <w:pPr>
                    <w:pStyle w:val="zSoquijdatCabinetProcureurDem"/>
                    <w:spacing w:line="240" w:lineRule="auto"/>
                    <w:rPr>
                      <w:smallCaps/>
                      <w:lang w:val="en-CA"/>
                    </w:rPr>
                  </w:pPr>
                  <w:proofErr w:type="spellStart"/>
                  <w:r w:rsidRPr="000A0EA1">
                    <w:rPr>
                      <w:smallCaps/>
                      <w:lang w:val="en-CA"/>
                    </w:rPr>
                    <w:t>conway</w:t>
                  </w:r>
                  <w:proofErr w:type="spellEnd"/>
                  <w:r w:rsidRPr="000A0EA1">
                    <w:rPr>
                      <w:smallCaps/>
                      <w:lang w:val="en-CA"/>
                    </w:rPr>
                    <w:t xml:space="preserve"> </w:t>
                  </w:r>
                  <w:proofErr w:type="spellStart"/>
                  <w:r w:rsidRPr="000A0EA1">
                    <w:rPr>
                      <w:smallCaps/>
                      <w:lang w:val="en-CA"/>
                    </w:rPr>
                    <w:t>baxter</w:t>
                  </w:r>
                  <w:proofErr w:type="spellEnd"/>
                  <w:r w:rsidRPr="000A0EA1">
                    <w:rPr>
                      <w:smallCaps/>
                      <w:lang w:val="en-CA"/>
                    </w:rPr>
                    <w:t xml:space="preserve"> </w:t>
                  </w:r>
                  <w:proofErr w:type="spellStart"/>
                  <w:r w:rsidRPr="000A0EA1">
                    <w:rPr>
                      <w:smallCaps/>
                      <w:lang w:val="en-CA"/>
                    </w:rPr>
                    <w:t>wilson</w:t>
                  </w:r>
                  <w:proofErr w:type="spellEnd"/>
                </w:p>
              </w:tc>
            </w:tr>
            <w:tr w:rsidR="004936F2" w:rsidRPr="00403CE7" w14:paraId="17F5F442" w14:textId="77777777" w:rsidTr="00314739">
              <w:tc>
                <w:tcPr>
                  <w:tcW w:w="9362" w:type="dxa"/>
                  <w:gridSpan w:val="2"/>
                </w:tcPr>
                <w:p w14:paraId="17F5F441" w14:textId="7532630E" w:rsidR="001A27BD" w:rsidRPr="000A0EA1" w:rsidRDefault="00B02E00" w:rsidP="00B255B8">
                  <w:pPr>
                    <w:pStyle w:val="zSoquijlblProcureurDem"/>
                    <w:spacing w:line="240" w:lineRule="auto"/>
                    <w:rPr>
                      <w:lang w:val="en-CA"/>
                    </w:rPr>
                  </w:pPr>
                  <w:r w:rsidRPr="000A0EA1">
                    <w:rPr>
                      <w:lang w:val="en-CA"/>
                    </w:rPr>
                    <w:t xml:space="preserve">For the </w:t>
                  </w:r>
                  <w:r w:rsidR="009977CC">
                    <w:rPr>
                      <w:lang w:val="en-CA"/>
                    </w:rPr>
                    <w:t>Quebe</w:t>
                  </w:r>
                  <w:r w:rsidR="00704B93">
                    <w:rPr>
                      <w:lang w:val="en-CA"/>
                    </w:rPr>
                    <w:t>c Community Groups Network</w:t>
                  </w:r>
                </w:p>
              </w:tc>
            </w:tr>
            <w:tr w:rsidR="004936F2" w:rsidRPr="00403CE7" w14:paraId="17F5F444" w14:textId="77777777" w:rsidTr="00314739">
              <w:tc>
                <w:tcPr>
                  <w:tcW w:w="9362" w:type="dxa"/>
                  <w:gridSpan w:val="2"/>
                  <w:tcBorders>
                    <w:bottom w:val="nil"/>
                  </w:tcBorders>
                </w:tcPr>
                <w:p w14:paraId="17F5F443" w14:textId="77777777" w:rsidR="001A27BD" w:rsidRPr="000A0EA1" w:rsidRDefault="001A27BD" w:rsidP="00B255B8">
                  <w:pPr>
                    <w:spacing w:line="240" w:lineRule="auto"/>
                    <w:rPr>
                      <w:lang w:val="en-CA"/>
                    </w:rPr>
                  </w:pPr>
                </w:p>
              </w:tc>
            </w:tr>
            <w:tr w:rsidR="004936F2" w:rsidRPr="000A0EA1" w14:paraId="17F5F446" w14:textId="77777777" w:rsidTr="00314739">
              <w:tc>
                <w:tcPr>
                  <w:tcW w:w="9362" w:type="dxa"/>
                  <w:gridSpan w:val="2"/>
                  <w:tcBorders>
                    <w:top w:val="nil"/>
                  </w:tcBorders>
                </w:tcPr>
                <w:p w14:paraId="17F5F445" w14:textId="77777777" w:rsidR="001A27BD" w:rsidRPr="000A0EA1" w:rsidRDefault="00B02E00" w:rsidP="00B255B8">
                  <w:pPr>
                    <w:pStyle w:val="zSoquijdatNomProcureurDef"/>
                    <w:spacing w:line="240" w:lineRule="auto"/>
                    <w:rPr>
                      <w:smallCaps/>
                      <w:lang w:val="en-CA"/>
                    </w:rPr>
                  </w:pPr>
                  <w:r w:rsidRPr="000A0EA1">
                    <w:rPr>
                      <w:lang w:val="en-CA"/>
                    </w:rPr>
                    <w:t xml:space="preserve">Mtre Jacques S. </w:t>
                  </w:r>
                  <w:proofErr w:type="spellStart"/>
                  <w:r w:rsidRPr="000A0EA1">
                    <w:rPr>
                      <w:lang w:val="en-CA"/>
                    </w:rPr>
                    <w:t>Darche</w:t>
                  </w:r>
                  <w:proofErr w:type="spellEnd"/>
                </w:p>
              </w:tc>
            </w:tr>
            <w:tr w:rsidR="004936F2" w:rsidRPr="000A0EA1" w14:paraId="17F5F448" w14:textId="77777777" w:rsidTr="00314739">
              <w:tc>
                <w:tcPr>
                  <w:tcW w:w="9362" w:type="dxa"/>
                  <w:gridSpan w:val="2"/>
                </w:tcPr>
                <w:p w14:paraId="17F5F447" w14:textId="77777777" w:rsidR="001A27BD" w:rsidRPr="000A0EA1" w:rsidRDefault="00B02E00" w:rsidP="00B255B8">
                  <w:pPr>
                    <w:pStyle w:val="zSoquijdatCabinetProcureurDef"/>
                    <w:spacing w:line="240" w:lineRule="auto"/>
                    <w:rPr>
                      <w:smallCaps/>
                      <w:lang w:val="en-CA"/>
                    </w:rPr>
                  </w:pPr>
                  <w:proofErr w:type="spellStart"/>
                  <w:r w:rsidRPr="000A0EA1">
                    <w:rPr>
                      <w:smallCaps/>
                      <w:lang w:val="en-CA"/>
                    </w:rPr>
                    <w:t>borden</w:t>
                  </w:r>
                  <w:proofErr w:type="spellEnd"/>
                  <w:r w:rsidRPr="000A0EA1">
                    <w:rPr>
                      <w:smallCaps/>
                      <w:lang w:val="en-CA"/>
                    </w:rPr>
                    <w:t xml:space="preserve"> </w:t>
                  </w:r>
                  <w:proofErr w:type="spellStart"/>
                  <w:r w:rsidRPr="000A0EA1">
                    <w:rPr>
                      <w:smallCaps/>
                      <w:lang w:val="en-CA"/>
                    </w:rPr>
                    <w:t>ladner</w:t>
                  </w:r>
                  <w:proofErr w:type="spellEnd"/>
                  <w:r w:rsidRPr="000A0EA1">
                    <w:rPr>
                      <w:smallCaps/>
                      <w:lang w:val="en-CA"/>
                    </w:rPr>
                    <w:t xml:space="preserve"> </w:t>
                  </w:r>
                  <w:proofErr w:type="spellStart"/>
                  <w:r w:rsidRPr="000A0EA1">
                    <w:rPr>
                      <w:smallCaps/>
                      <w:lang w:val="en-CA"/>
                    </w:rPr>
                    <w:t>gervais</w:t>
                  </w:r>
                  <w:proofErr w:type="spellEnd"/>
                </w:p>
              </w:tc>
            </w:tr>
            <w:tr w:rsidR="004936F2" w:rsidRPr="00403CE7" w14:paraId="17F5F44A" w14:textId="77777777" w:rsidTr="00314739">
              <w:tc>
                <w:tcPr>
                  <w:tcW w:w="9362" w:type="dxa"/>
                  <w:gridSpan w:val="2"/>
                </w:tcPr>
                <w:p w14:paraId="17F5F449" w14:textId="77777777" w:rsidR="001A27BD" w:rsidRPr="000A0EA1" w:rsidRDefault="00B02E00" w:rsidP="00B255B8">
                  <w:pPr>
                    <w:pStyle w:val="zSoquijlblProcureurDef"/>
                    <w:spacing w:line="240" w:lineRule="auto"/>
                    <w:rPr>
                      <w:lang w:val="en-CA"/>
                    </w:rPr>
                  </w:pPr>
                  <w:r w:rsidRPr="000A0EA1">
                    <w:rPr>
                      <w:lang w:val="en-CA"/>
                    </w:rPr>
                    <w:t>For the New Frontiers School Board and Shannon Keyes</w:t>
                  </w:r>
                </w:p>
              </w:tc>
            </w:tr>
            <w:tr w:rsidR="004936F2" w:rsidRPr="00403CE7" w14:paraId="17F5F44C" w14:textId="77777777" w:rsidTr="00314739">
              <w:tc>
                <w:tcPr>
                  <w:tcW w:w="9362" w:type="dxa"/>
                  <w:gridSpan w:val="2"/>
                </w:tcPr>
                <w:p w14:paraId="17F5F44B" w14:textId="77777777" w:rsidR="001A27BD" w:rsidRPr="000A0EA1" w:rsidRDefault="001A27BD" w:rsidP="00B255B8">
                  <w:pPr>
                    <w:spacing w:line="240" w:lineRule="auto"/>
                    <w:rPr>
                      <w:lang w:val="en-CA"/>
                    </w:rPr>
                  </w:pPr>
                </w:p>
              </w:tc>
            </w:tr>
            <w:tr w:rsidR="004936F2" w:rsidRPr="000A0EA1" w14:paraId="17F5F44E" w14:textId="77777777" w:rsidTr="00314739">
              <w:tc>
                <w:tcPr>
                  <w:tcW w:w="9362" w:type="dxa"/>
                  <w:gridSpan w:val="2"/>
                </w:tcPr>
                <w:p w14:paraId="17F5F44D" w14:textId="77777777" w:rsidR="001A27BD" w:rsidRPr="000A0EA1" w:rsidRDefault="00B02E00" w:rsidP="00B255B8">
                  <w:pPr>
                    <w:spacing w:line="240" w:lineRule="auto"/>
                    <w:rPr>
                      <w:lang w:val="en-CA"/>
                    </w:rPr>
                  </w:pPr>
                  <w:r w:rsidRPr="000A0EA1">
                    <w:rPr>
                      <w:lang w:val="en-CA"/>
                    </w:rPr>
                    <w:t>Chris Eustace</w:t>
                  </w:r>
                </w:p>
              </w:tc>
            </w:tr>
            <w:tr w:rsidR="004936F2" w:rsidRPr="000A0EA1" w14:paraId="17F5F450" w14:textId="77777777" w:rsidTr="00314739">
              <w:tc>
                <w:tcPr>
                  <w:tcW w:w="9362" w:type="dxa"/>
                  <w:gridSpan w:val="2"/>
                </w:tcPr>
                <w:p w14:paraId="17F5F44F" w14:textId="77777777" w:rsidR="001A27BD" w:rsidRPr="000A0EA1" w:rsidRDefault="00B02E00" w:rsidP="00B255B8">
                  <w:pPr>
                    <w:spacing w:line="240" w:lineRule="auto"/>
                    <w:rPr>
                      <w:lang w:val="en-CA"/>
                    </w:rPr>
                  </w:pPr>
                  <w:r w:rsidRPr="000A0EA1">
                    <w:rPr>
                      <w:lang w:val="en-CA"/>
                    </w:rPr>
                    <w:t>Unrepresented</w:t>
                  </w:r>
                </w:p>
              </w:tc>
            </w:tr>
            <w:tr w:rsidR="004936F2" w:rsidRPr="000A0EA1" w14:paraId="17F5F452" w14:textId="77777777" w:rsidTr="00314739">
              <w:tc>
                <w:tcPr>
                  <w:tcW w:w="9362" w:type="dxa"/>
                  <w:gridSpan w:val="2"/>
                </w:tcPr>
                <w:p w14:paraId="17F5F451" w14:textId="77777777" w:rsidR="001A27BD" w:rsidRPr="000A0EA1" w:rsidRDefault="001A27BD" w:rsidP="00B255B8">
                  <w:pPr>
                    <w:spacing w:line="240" w:lineRule="auto"/>
                    <w:rPr>
                      <w:lang w:val="en-CA"/>
                    </w:rPr>
                  </w:pPr>
                </w:p>
              </w:tc>
            </w:tr>
            <w:tr w:rsidR="004936F2" w:rsidRPr="000A0EA1" w14:paraId="17F5F455" w14:textId="77777777" w:rsidTr="00B70A57">
              <w:tc>
                <w:tcPr>
                  <w:tcW w:w="1997" w:type="dxa"/>
                </w:tcPr>
                <w:p w14:paraId="17F5F453" w14:textId="430285B7" w:rsidR="001A27BD" w:rsidRPr="000A0EA1" w:rsidRDefault="00B02E00" w:rsidP="00B255B8">
                  <w:pPr>
                    <w:pStyle w:val="zSoquijlblDateAudience"/>
                    <w:spacing w:line="240" w:lineRule="auto"/>
                    <w:rPr>
                      <w:lang w:val="en-CA"/>
                    </w:rPr>
                  </w:pPr>
                  <w:r w:rsidRPr="000A0EA1">
                    <w:rPr>
                      <w:lang w:val="en-CA"/>
                    </w:rPr>
                    <w:t>Hearing dates:</w:t>
                  </w:r>
                  <w:r w:rsidR="00AC60FF">
                    <w:rPr>
                      <w:lang w:val="en-CA"/>
                    </w:rPr>
                    <w:t xml:space="preserve"> </w:t>
                  </w:r>
                </w:p>
              </w:tc>
              <w:tc>
                <w:tcPr>
                  <w:tcW w:w="7365" w:type="dxa"/>
                  <w:tcBorders>
                    <w:top w:val="nil"/>
                  </w:tcBorders>
                </w:tcPr>
                <w:p w14:paraId="17F5F454" w14:textId="77777777" w:rsidR="001A27BD" w:rsidRPr="000A0EA1" w:rsidRDefault="00B02E00" w:rsidP="00B255B8">
                  <w:pPr>
                    <w:pStyle w:val="zSoquijdatDateAudience"/>
                    <w:spacing w:line="240" w:lineRule="auto"/>
                    <w:rPr>
                      <w:lang w:val="en-CA"/>
                    </w:rPr>
                  </w:pPr>
                  <w:r w:rsidRPr="000A0EA1">
                    <w:rPr>
                      <w:lang w:val="en-CA"/>
                    </w:rPr>
                    <w:t xml:space="preserve"> January 27, 28 and 29, 2025</w:t>
                  </w:r>
                </w:p>
              </w:tc>
            </w:tr>
          </w:tbl>
          <w:p w14:paraId="17F5F456" w14:textId="77777777" w:rsidR="00B05482" w:rsidRPr="000A0EA1" w:rsidRDefault="00B05482" w:rsidP="00B255B8">
            <w:pPr>
              <w:spacing w:line="240" w:lineRule="auto"/>
              <w:rPr>
                <w:lang w:val="en-CA"/>
              </w:rPr>
            </w:pPr>
          </w:p>
        </w:tc>
      </w:tr>
      <w:tr w:rsidR="004936F2" w:rsidRPr="000A0EA1" w14:paraId="17F5F459" w14:textId="77777777" w:rsidTr="00423DF1">
        <w:tc>
          <w:tcPr>
            <w:tcW w:w="9362" w:type="dxa"/>
            <w:gridSpan w:val="2"/>
          </w:tcPr>
          <w:p w14:paraId="17F5F458" w14:textId="77777777" w:rsidR="00B05482" w:rsidRPr="000A0EA1" w:rsidRDefault="00B05482" w:rsidP="00B255B8">
            <w:pPr>
              <w:spacing w:line="240" w:lineRule="auto"/>
              <w:rPr>
                <w:lang w:val="en-CA"/>
              </w:rPr>
            </w:pPr>
          </w:p>
        </w:tc>
      </w:tr>
      <w:tr w:rsidR="004936F2" w:rsidRPr="000A0EA1" w14:paraId="17F5F45B" w14:textId="77777777" w:rsidTr="00423DF1">
        <w:tc>
          <w:tcPr>
            <w:tcW w:w="9362" w:type="dxa"/>
            <w:gridSpan w:val="2"/>
          </w:tcPr>
          <w:p w14:paraId="17F5F45A" w14:textId="77777777" w:rsidR="00B05482" w:rsidRPr="000A0EA1" w:rsidRDefault="00B05482" w:rsidP="00B255B8">
            <w:pPr>
              <w:pStyle w:val="zSoquijdatNomProcureurDem"/>
              <w:spacing w:line="240" w:lineRule="auto"/>
              <w:rPr>
                <w:lang w:val="en-CA"/>
              </w:rPr>
            </w:pPr>
          </w:p>
        </w:tc>
      </w:tr>
      <w:tr w:rsidR="004936F2" w:rsidRPr="000A0EA1" w14:paraId="17F5F45D" w14:textId="77777777" w:rsidTr="00423DF1">
        <w:tc>
          <w:tcPr>
            <w:tcW w:w="9362" w:type="dxa"/>
            <w:gridSpan w:val="2"/>
          </w:tcPr>
          <w:p w14:paraId="17F5F45C" w14:textId="77777777" w:rsidR="00B05482" w:rsidRPr="000A0EA1" w:rsidRDefault="00B05482" w:rsidP="00B255B8">
            <w:pPr>
              <w:pStyle w:val="zSoquijdatNomProcureurDem"/>
              <w:spacing w:line="240" w:lineRule="auto"/>
              <w:rPr>
                <w:lang w:val="en-CA"/>
              </w:rPr>
            </w:pPr>
          </w:p>
        </w:tc>
      </w:tr>
      <w:tr w:rsidR="004936F2" w:rsidRPr="000A0EA1" w14:paraId="17F5F45F" w14:textId="77777777" w:rsidTr="00423DF1">
        <w:tc>
          <w:tcPr>
            <w:tcW w:w="9362" w:type="dxa"/>
            <w:gridSpan w:val="2"/>
          </w:tcPr>
          <w:p w14:paraId="17F5F45E" w14:textId="77777777" w:rsidR="00B05482" w:rsidRPr="000A0EA1" w:rsidRDefault="00B05482" w:rsidP="00B255B8">
            <w:pPr>
              <w:pStyle w:val="zSoquijdatNomProcureurDem"/>
              <w:spacing w:line="240" w:lineRule="auto"/>
              <w:rPr>
                <w:lang w:val="en-CA"/>
              </w:rPr>
            </w:pPr>
          </w:p>
        </w:tc>
      </w:tr>
      <w:tr w:rsidR="004936F2" w:rsidRPr="000A0EA1" w14:paraId="17F5F461" w14:textId="77777777" w:rsidTr="00423DF1">
        <w:tc>
          <w:tcPr>
            <w:tcW w:w="9362" w:type="dxa"/>
            <w:gridSpan w:val="2"/>
          </w:tcPr>
          <w:p w14:paraId="17F5F460" w14:textId="77777777" w:rsidR="00B05482" w:rsidRPr="000A0EA1" w:rsidRDefault="00B05482" w:rsidP="00B255B8">
            <w:pPr>
              <w:pStyle w:val="zSoquijdatCabinetProcureurDem"/>
              <w:spacing w:line="240" w:lineRule="auto"/>
              <w:rPr>
                <w:lang w:val="en-CA"/>
              </w:rPr>
            </w:pPr>
          </w:p>
        </w:tc>
      </w:tr>
      <w:tr w:rsidR="004936F2" w:rsidRPr="000A0EA1" w14:paraId="17F5F463" w14:textId="77777777" w:rsidTr="00423DF1">
        <w:tc>
          <w:tcPr>
            <w:tcW w:w="9362" w:type="dxa"/>
            <w:gridSpan w:val="2"/>
          </w:tcPr>
          <w:p w14:paraId="17F5F462" w14:textId="77777777" w:rsidR="00B05482" w:rsidRPr="000A0EA1" w:rsidRDefault="00B05482" w:rsidP="00B255B8">
            <w:pPr>
              <w:pStyle w:val="zSoquijlblProcureurDem"/>
              <w:spacing w:line="240" w:lineRule="auto"/>
              <w:rPr>
                <w:lang w:val="en-CA"/>
              </w:rPr>
            </w:pPr>
          </w:p>
        </w:tc>
      </w:tr>
      <w:tr w:rsidR="004936F2" w:rsidRPr="000A0EA1" w14:paraId="17F5F465" w14:textId="77777777" w:rsidTr="00423DF1">
        <w:tc>
          <w:tcPr>
            <w:tcW w:w="9362" w:type="dxa"/>
            <w:gridSpan w:val="2"/>
          </w:tcPr>
          <w:p w14:paraId="17F5F464" w14:textId="77777777" w:rsidR="00B05482" w:rsidRPr="000A0EA1" w:rsidRDefault="00B05482" w:rsidP="00B255B8">
            <w:pPr>
              <w:spacing w:line="240" w:lineRule="auto"/>
              <w:rPr>
                <w:lang w:val="en-CA"/>
              </w:rPr>
            </w:pPr>
          </w:p>
        </w:tc>
      </w:tr>
      <w:tr w:rsidR="004936F2" w:rsidRPr="000A0EA1" w14:paraId="17F5F467" w14:textId="77777777" w:rsidTr="00423DF1">
        <w:tc>
          <w:tcPr>
            <w:tcW w:w="9362" w:type="dxa"/>
            <w:gridSpan w:val="2"/>
          </w:tcPr>
          <w:p w14:paraId="17F5F466" w14:textId="77777777" w:rsidR="00B05482" w:rsidRPr="000A0EA1" w:rsidRDefault="00B05482" w:rsidP="00B255B8">
            <w:pPr>
              <w:pStyle w:val="zSoquijdatNomProcureurDef"/>
              <w:spacing w:line="240" w:lineRule="auto"/>
              <w:rPr>
                <w:lang w:val="en-CA"/>
              </w:rPr>
            </w:pPr>
          </w:p>
        </w:tc>
      </w:tr>
      <w:tr w:rsidR="004936F2" w:rsidRPr="000A0EA1" w14:paraId="17F5F469" w14:textId="77777777" w:rsidTr="00423DF1">
        <w:tc>
          <w:tcPr>
            <w:tcW w:w="9362" w:type="dxa"/>
            <w:gridSpan w:val="2"/>
          </w:tcPr>
          <w:p w14:paraId="17F5F468" w14:textId="77777777" w:rsidR="00B05482" w:rsidRPr="000A0EA1" w:rsidRDefault="00B05482" w:rsidP="00B255B8">
            <w:pPr>
              <w:pStyle w:val="zSoquijdatCabinetProcureurDef"/>
              <w:spacing w:line="240" w:lineRule="auto"/>
              <w:rPr>
                <w:lang w:val="en-CA"/>
              </w:rPr>
            </w:pPr>
          </w:p>
        </w:tc>
      </w:tr>
      <w:tr w:rsidR="00B70A57" w:rsidRPr="000A0EA1" w14:paraId="4C431E9D" w14:textId="77777777" w:rsidTr="00423DF1">
        <w:tc>
          <w:tcPr>
            <w:tcW w:w="9362" w:type="dxa"/>
            <w:gridSpan w:val="2"/>
          </w:tcPr>
          <w:p w14:paraId="190ABEB7" w14:textId="77777777" w:rsidR="00B70A57" w:rsidRPr="000A0EA1" w:rsidRDefault="00B70A57" w:rsidP="00B255B8">
            <w:pPr>
              <w:pStyle w:val="zSoquijdatCabinetProcureurDef"/>
              <w:spacing w:line="240" w:lineRule="auto"/>
              <w:rPr>
                <w:lang w:val="en-CA"/>
              </w:rPr>
            </w:pPr>
          </w:p>
        </w:tc>
      </w:tr>
      <w:tr w:rsidR="004936F2" w:rsidRPr="000A0EA1" w14:paraId="17F5F46B" w14:textId="77777777" w:rsidTr="00423DF1">
        <w:tc>
          <w:tcPr>
            <w:tcW w:w="9362" w:type="dxa"/>
            <w:gridSpan w:val="2"/>
          </w:tcPr>
          <w:p w14:paraId="17F5F46A" w14:textId="77777777" w:rsidR="00B05482" w:rsidRPr="000A0EA1" w:rsidRDefault="00B05482" w:rsidP="00B255B8">
            <w:pPr>
              <w:pStyle w:val="zSoquijlblProcureurDef"/>
              <w:spacing w:line="240" w:lineRule="auto"/>
              <w:rPr>
                <w:lang w:val="en-CA"/>
              </w:rPr>
            </w:pPr>
          </w:p>
        </w:tc>
      </w:tr>
      <w:tr w:rsidR="004936F2" w:rsidRPr="000A0EA1" w14:paraId="17F5F46D" w14:textId="77777777" w:rsidTr="00423DF1">
        <w:tc>
          <w:tcPr>
            <w:tcW w:w="9362" w:type="dxa"/>
            <w:gridSpan w:val="2"/>
          </w:tcPr>
          <w:p w14:paraId="17F5F46C" w14:textId="77777777" w:rsidR="00B05482" w:rsidRPr="000A0EA1" w:rsidRDefault="00B05482" w:rsidP="00B255B8">
            <w:pPr>
              <w:spacing w:line="240" w:lineRule="auto"/>
              <w:rPr>
                <w:lang w:val="en-CA"/>
              </w:rPr>
            </w:pPr>
          </w:p>
        </w:tc>
      </w:tr>
      <w:bookmarkEnd w:id="8"/>
    </w:tbl>
    <w:p w14:paraId="17F5F471" w14:textId="77777777" w:rsidR="00740A17" w:rsidRPr="000A0EA1" w:rsidRDefault="00740A17" w:rsidP="00B255B8">
      <w:pPr>
        <w:spacing w:line="240" w:lineRule="auto"/>
        <w:rPr>
          <w:lang w:val="en-CA"/>
        </w:rPr>
      </w:pPr>
    </w:p>
    <w:sectPr w:rsidR="00740A17" w:rsidRPr="000A0EA1" w:rsidSect="00B05482">
      <w:headerReference w:type="default" r:id="rId10"/>
      <w:footerReference w:type="default" r:id="rId11"/>
      <w:pgSz w:w="12242" w:h="15842" w:code="1"/>
      <w:pgMar w:top="1440" w:right="1008" w:bottom="1440" w:left="1872" w:header="1440" w:footer="7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B7E0" w14:textId="77777777" w:rsidR="000F5168" w:rsidRDefault="000F5168">
      <w:pPr>
        <w:spacing w:line="240" w:lineRule="auto"/>
      </w:pPr>
      <w:r>
        <w:separator/>
      </w:r>
    </w:p>
  </w:endnote>
  <w:endnote w:type="continuationSeparator" w:id="0">
    <w:p w14:paraId="078BBAA0" w14:textId="77777777" w:rsidR="000F5168" w:rsidRDefault="000F5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DIDLYbol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17B" w14:textId="08782511" w:rsidR="00E86980" w:rsidRPr="007D51DF" w:rsidRDefault="00E86980" w:rsidP="00E86980">
    <w:pPr>
      <w:pStyle w:val="Pieddepage"/>
      <w:jc w:val="right"/>
      <w:rPr>
        <w:b/>
        <w:bCs/>
        <w:lang w:val="en-CA"/>
      </w:rPr>
    </w:pPr>
    <w:r w:rsidRPr="007D51DF">
      <w:rPr>
        <w:b/>
        <w:bCs/>
        <w:lang w:val="en-CA"/>
      </w:rPr>
      <w:t>English translation of the judgment of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B7FB0" w14:textId="77777777" w:rsidR="000F5168" w:rsidRDefault="000F5168">
      <w:r>
        <w:separator/>
      </w:r>
    </w:p>
  </w:footnote>
  <w:footnote w:type="continuationSeparator" w:id="0">
    <w:p w14:paraId="37A91735" w14:textId="77777777" w:rsidR="000F5168" w:rsidRDefault="000F5168">
      <w:r>
        <w:continuationSeparator/>
      </w:r>
    </w:p>
  </w:footnote>
  <w:footnote w:id="1">
    <w:p w14:paraId="17F5F476" w14:textId="7F152F8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Quebec English School Boards Association c. Procureur général du Québec</w:t>
      </w:r>
      <w:r w:rsidRPr="000A0EA1">
        <w:rPr>
          <w:lang w:val="en-CA"/>
        </w:rPr>
        <w:t>, 2023 QCCS 2965 (the</w:t>
      </w:r>
      <w:r w:rsidR="00941113">
        <w:rPr>
          <w:lang w:val="en-CA"/>
        </w:rPr>
        <w:t> </w:t>
      </w:r>
      <w:r w:rsidR="00E46AFD">
        <w:rPr>
          <w:lang w:val="en-CA"/>
        </w:rPr>
        <w:t>“</w:t>
      </w:r>
      <w:r w:rsidRPr="000A0EA1">
        <w:rPr>
          <w:lang w:val="en-CA"/>
        </w:rPr>
        <w:t>trial judgment</w:t>
      </w:r>
      <w:r w:rsidR="00E46AFD">
        <w:rPr>
          <w:lang w:val="en-CA"/>
        </w:rPr>
        <w:t>”</w:t>
      </w:r>
      <w:r w:rsidRPr="000A0EA1">
        <w:rPr>
          <w:lang w:val="en-CA"/>
        </w:rPr>
        <w:t>).</w:t>
      </w:r>
    </w:p>
  </w:footnote>
  <w:footnote w:id="2">
    <w:p w14:paraId="17F5F477" w14:textId="091E520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9" w:name="_Hlk187053303"/>
      <w:r w:rsidRPr="000A0EA1">
        <w:rPr>
          <w:i/>
          <w:iCs/>
          <w:lang w:val="en-CA"/>
        </w:rPr>
        <w:t>An Act to amend mainly the Education Act with regard to school organization and governance</w:t>
      </w:r>
      <w:r w:rsidRPr="000A0EA1">
        <w:rPr>
          <w:lang w:val="en-CA"/>
        </w:rPr>
        <w:t>, S.Q.</w:t>
      </w:r>
      <w:r w:rsidR="006E2285">
        <w:rPr>
          <w:lang w:val="en-CA"/>
        </w:rPr>
        <w:t> </w:t>
      </w:r>
      <w:r w:rsidRPr="000A0EA1">
        <w:rPr>
          <w:lang w:val="en-CA"/>
        </w:rPr>
        <w:t>2020, c. 1</w:t>
      </w:r>
      <w:bookmarkEnd w:id="9"/>
      <w:r w:rsidRPr="000A0EA1">
        <w:rPr>
          <w:lang w:val="en-CA"/>
        </w:rPr>
        <w:t>.</w:t>
      </w:r>
    </w:p>
  </w:footnote>
  <w:footnote w:id="3">
    <w:p w14:paraId="17F5F478"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Education Act</w:t>
      </w:r>
      <w:r w:rsidRPr="000A0EA1">
        <w:rPr>
          <w:lang w:val="en-CA"/>
        </w:rPr>
        <w:t xml:space="preserve">, </w:t>
      </w:r>
      <w:bookmarkStart w:id="10" w:name="_Hlk193799011"/>
      <w:r w:rsidRPr="000A0EA1">
        <w:rPr>
          <w:lang w:val="en-CA"/>
        </w:rPr>
        <w:t>CQLR, c. I-13.3.</w:t>
      </w:r>
      <w:bookmarkEnd w:id="10"/>
    </w:p>
  </w:footnote>
  <w:footnote w:id="4">
    <w:p w14:paraId="17F5F479" w14:textId="48A2DAB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This refers to the following provisions of </w:t>
      </w:r>
      <w:r w:rsidR="00C33BBC">
        <w:rPr>
          <w:i/>
          <w:iCs/>
          <w:lang w:val="en-CA"/>
        </w:rPr>
        <w:t>Bill 40</w:t>
      </w:r>
      <w:r w:rsidRPr="000A0EA1">
        <w:rPr>
          <w:lang w:val="en-CA"/>
        </w:rPr>
        <w:t>: s</w:t>
      </w:r>
      <w:r w:rsidR="0062160E">
        <w:rPr>
          <w:lang w:val="en-CA"/>
        </w:rPr>
        <w:t>s. 3</w:t>
      </w:r>
      <w:r w:rsidRPr="000A0EA1">
        <w:rPr>
          <w:lang w:val="en-CA"/>
        </w:rPr>
        <w:t>, 11(3), 51 (insofar as it repeals s</w:t>
      </w:r>
      <w:r w:rsidR="0062160E">
        <w:rPr>
          <w:lang w:val="en-CA"/>
        </w:rPr>
        <w:t>s. 1</w:t>
      </w:r>
      <w:r w:rsidRPr="000A0EA1">
        <w:rPr>
          <w:lang w:val="en-CA"/>
        </w:rPr>
        <w:t>45 to</w:t>
      </w:r>
      <w:r w:rsidR="00AC60FF">
        <w:rPr>
          <w:lang w:val="en-CA"/>
        </w:rPr>
        <w:t xml:space="preserve"> </w:t>
      </w:r>
      <w:r w:rsidRPr="000A0EA1">
        <w:rPr>
          <w:lang w:val="en-CA"/>
        </w:rPr>
        <w:t xml:space="preserve">148 of the </w:t>
      </w:r>
      <w:r w:rsidRPr="000A0EA1">
        <w:rPr>
          <w:i/>
          <w:iCs/>
          <w:lang w:val="en-CA"/>
        </w:rPr>
        <w:t>EA</w:t>
      </w:r>
      <w:r w:rsidRPr="000A0EA1">
        <w:rPr>
          <w:lang w:val="en-CA"/>
        </w:rPr>
        <w:t xml:space="preserve">), 53, 54, 55, 56, 57, 65(1), 67(1), 67(2)(a), 67(2)(c), 69(1), 70, 71, 73(2), 76, 80(1)(c), 88(2), 92, 93(1), 94, 98, 101(2), 115(2), 129, 137, 139 (insofar as it interferes with the provisions of </w:t>
      </w:r>
      <w:r w:rsidR="0062160E">
        <w:rPr>
          <w:lang w:val="en-CA"/>
        </w:rPr>
        <w:t>s. 4</w:t>
      </w:r>
      <w:r w:rsidRPr="000A0EA1">
        <w:rPr>
          <w:lang w:val="en-CA"/>
        </w:rPr>
        <w:t xml:space="preserve">57.8 of the </w:t>
      </w:r>
      <w:r w:rsidRPr="000A0EA1">
        <w:rPr>
          <w:i/>
          <w:iCs/>
          <w:lang w:val="en-CA"/>
        </w:rPr>
        <w:t>EA</w:t>
      </w:r>
      <w:r w:rsidRPr="000A0EA1">
        <w:rPr>
          <w:lang w:val="en-CA"/>
        </w:rPr>
        <w:t>), 140(1), 191, 193, 194, 195, 197, 198, 199, 200, 201, 203, 204, 205, 207(2), 217, 218, 222, 223, 224, 225, 226, 227, 228, 229(1)(b), 229(2), 230, 231, 232(1), 233(1), 234(1)(b), 235, 236(1), 242(1), 242(4), 242(5), 243(1), 244(1), 249, 251(1)(b)(ii), 254(1), 254(3), 255, 260, 261, 262(2), 263, 328(3), 328(4) and 335 (insofar as it provides for the coming into force of provisions that have been ruled inoperative or have been suspended).</w:t>
      </w:r>
    </w:p>
  </w:footnote>
  <w:footnote w:id="5">
    <w:p w14:paraId="17F5F47A"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Quebec Community Groups Network v. Quebec English School Boards Association</w:t>
      </w:r>
      <w:r w:rsidRPr="000A0EA1">
        <w:rPr>
          <w:lang w:val="en-CA"/>
        </w:rPr>
        <w:t>, 2024 QCCA 897.</w:t>
      </w:r>
    </w:p>
  </w:footnote>
  <w:footnote w:id="6">
    <w:p w14:paraId="412CF0F8" w14:textId="77777777" w:rsidR="00DA0570" w:rsidRPr="000A0EA1" w:rsidRDefault="00DA0570" w:rsidP="00DA0570">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As the Supreme Court noted in </w:t>
      </w:r>
      <w:r w:rsidRPr="000A0EA1">
        <w:rPr>
          <w:i/>
          <w:iCs/>
          <w:lang w:val="en-CA"/>
        </w:rPr>
        <w:t>Yukon Francophone School Board, Education Area #23 v. Yukon (Attorney General)</w:t>
      </w:r>
      <w:r w:rsidRPr="000A0EA1">
        <w:rPr>
          <w:lang w:val="en-CA"/>
        </w:rPr>
        <w:t>, 2015 SCC 25, [2015] 2</w:t>
      </w:r>
      <w:r>
        <w:rPr>
          <w:lang w:val="en-CA"/>
        </w:rPr>
        <w:t> S.C.R. </w:t>
      </w:r>
      <w:r w:rsidRPr="000A0EA1">
        <w:rPr>
          <w:lang w:val="en-CA"/>
        </w:rPr>
        <w:t xml:space="preserve">282, </w:t>
      </w:r>
      <w:r>
        <w:rPr>
          <w:lang w:val="en-CA"/>
        </w:rPr>
        <w:t>para. 6</w:t>
      </w:r>
      <w:r w:rsidRPr="000A0EA1">
        <w:rPr>
          <w:lang w:val="en-CA"/>
        </w:rPr>
        <w:t xml:space="preserve">8, footnote 2: </w:t>
      </w:r>
      <w:r>
        <w:rPr>
          <w:lang w:val="en-CA"/>
        </w:rPr>
        <w:t>“</w:t>
      </w:r>
      <w:r w:rsidRPr="000A0EA1">
        <w:rPr>
          <w:lang w:val="en-CA"/>
        </w:rPr>
        <w:t>Section 93 applies directly to Ontario, Nova Scotia, New Brunswick, British Columbia and Prince Edward Island. Section 93 also applies to Quebec, but [since 1997] not s</w:t>
      </w:r>
      <w:r>
        <w:rPr>
          <w:lang w:val="en-CA"/>
        </w:rPr>
        <w:t>s. 9</w:t>
      </w:r>
      <w:r w:rsidRPr="000A0EA1">
        <w:rPr>
          <w:lang w:val="en-CA"/>
        </w:rPr>
        <w:t>3(1) to 93(4): </w:t>
      </w:r>
      <w:r w:rsidRPr="000A0EA1">
        <w:rPr>
          <w:i/>
          <w:iCs/>
          <w:color w:val="000000"/>
          <w:shd w:val="clear" w:color="auto" w:fill="FFFFFF"/>
          <w:lang w:val="en-CA"/>
        </w:rPr>
        <w:t>Constitution Amendment, 1997 (Quebec)</w:t>
      </w:r>
      <w:r w:rsidRPr="000A0EA1">
        <w:rPr>
          <w:iCs/>
          <w:color w:val="000000"/>
          <w:shd w:val="clear" w:color="auto" w:fill="FFFFFF"/>
          <w:lang w:val="en-CA"/>
        </w:rPr>
        <w:t xml:space="preserve">, SI/97-141, </w:t>
      </w:r>
      <w:r>
        <w:rPr>
          <w:iCs/>
          <w:color w:val="000000"/>
          <w:shd w:val="clear" w:color="auto" w:fill="FFFFFF"/>
          <w:lang w:val="en-CA"/>
        </w:rPr>
        <w:t>s. 1</w:t>
      </w:r>
      <w:r w:rsidRPr="000A0EA1">
        <w:rPr>
          <w:iCs/>
          <w:color w:val="000000"/>
          <w:shd w:val="clear" w:color="auto" w:fill="FFFFFF"/>
          <w:lang w:val="en-CA"/>
        </w:rPr>
        <w:t>; </w:t>
      </w:r>
      <w:r>
        <w:rPr>
          <w:iCs/>
          <w:color w:val="000000"/>
          <w:shd w:val="clear" w:color="auto" w:fill="FFFFFF"/>
          <w:lang w:val="en-CA"/>
        </w:rPr>
        <w:t>s. 9</w:t>
      </w:r>
      <w:r w:rsidRPr="000A0EA1">
        <w:rPr>
          <w:iCs/>
          <w:color w:val="000000"/>
          <w:shd w:val="clear" w:color="auto" w:fill="FFFFFF"/>
          <w:lang w:val="en-CA"/>
        </w:rPr>
        <w:t>3A</w:t>
      </w:r>
      <w:r w:rsidRPr="000A0EA1">
        <w:rPr>
          <w:color w:val="000000"/>
          <w:sz w:val="16"/>
          <w:szCs w:val="16"/>
          <w:shd w:val="clear" w:color="auto" w:fill="FFFFFF"/>
          <w:lang w:val="en-CA"/>
        </w:rPr>
        <w:t> </w:t>
      </w:r>
      <w:r w:rsidRPr="000A0EA1">
        <w:rPr>
          <w:color w:val="000000"/>
          <w:shd w:val="clear" w:color="auto" w:fill="FFFFFF"/>
          <w:lang w:val="en-CA"/>
        </w:rPr>
        <w:t xml:space="preserve">of the </w:t>
      </w:r>
      <w:r w:rsidRPr="000A0EA1">
        <w:rPr>
          <w:i/>
          <w:iCs/>
          <w:color w:val="000000"/>
          <w:shd w:val="clear" w:color="auto" w:fill="FFFFFF"/>
          <w:lang w:val="en-CA"/>
        </w:rPr>
        <w:t>Constitution Act, 1867</w:t>
      </w:r>
      <w:r w:rsidRPr="000A0EA1">
        <w:rPr>
          <w:color w:val="000000"/>
          <w:shd w:val="clear" w:color="auto" w:fill="FFFFFF"/>
          <w:lang w:val="en-CA"/>
        </w:rPr>
        <w:t xml:space="preserve">. Modified versions of </w:t>
      </w:r>
      <w:r>
        <w:rPr>
          <w:color w:val="000000"/>
          <w:shd w:val="clear" w:color="auto" w:fill="FFFFFF"/>
          <w:lang w:val="en-CA"/>
        </w:rPr>
        <w:t>s. 9</w:t>
      </w:r>
      <w:r w:rsidRPr="000A0EA1">
        <w:rPr>
          <w:color w:val="000000"/>
          <w:shd w:val="clear" w:color="auto" w:fill="FFFFFF"/>
          <w:lang w:val="en-CA"/>
        </w:rPr>
        <w:t xml:space="preserve">3 apply in the other provinces and the territories: </w:t>
      </w:r>
      <w:r w:rsidRPr="000A0EA1">
        <w:rPr>
          <w:i/>
          <w:iCs/>
          <w:color w:val="000000"/>
          <w:shd w:val="clear" w:color="auto" w:fill="FFFFFF"/>
          <w:lang w:val="en-CA"/>
        </w:rPr>
        <w:t>Manitoba Act, 1870</w:t>
      </w:r>
      <w:r w:rsidRPr="000A0EA1">
        <w:rPr>
          <w:color w:val="000000"/>
          <w:shd w:val="clear" w:color="auto" w:fill="FFFFFF"/>
          <w:lang w:val="en-CA"/>
        </w:rPr>
        <w:t xml:space="preserve">, S.C. 1870, c. 3, </w:t>
      </w:r>
      <w:r>
        <w:rPr>
          <w:color w:val="000000"/>
          <w:shd w:val="clear" w:color="auto" w:fill="FFFFFF"/>
          <w:lang w:val="en-CA"/>
        </w:rPr>
        <w:t>s. 2</w:t>
      </w:r>
      <w:r w:rsidRPr="000A0EA1">
        <w:rPr>
          <w:color w:val="000000"/>
          <w:shd w:val="clear" w:color="auto" w:fill="FFFFFF"/>
          <w:lang w:val="en-CA"/>
        </w:rPr>
        <w:t>2; </w:t>
      </w:r>
      <w:r w:rsidRPr="000A0EA1">
        <w:rPr>
          <w:i/>
          <w:iCs/>
          <w:color w:val="000000"/>
          <w:shd w:val="clear" w:color="auto" w:fill="FFFFFF"/>
          <w:lang w:val="en-CA"/>
        </w:rPr>
        <w:t>Saskatchewan Act</w:t>
      </w:r>
      <w:r w:rsidRPr="000A0EA1">
        <w:rPr>
          <w:color w:val="000000"/>
          <w:shd w:val="clear" w:color="auto" w:fill="FFFFFF"/>
          <w:lang w:val="en-CA"/>
        </w:rPr>
        <w:t xml:space="preserve">, S.C. 1905, c. 42, </w:t>
      </w:r>
      <w:r>
        <w:rPr>
          <w:color w:val="000000"/>
          <w:shd w:val="clear" w:color="auto" w:fill="FFFFFF"/>
          <w:lang w:val="en-CA"/>
        </w:rPr>
        <w:t>s. 1</w:t>
      </w:r>
      <w:r w:rsidRPr="000A0EA1">
        <w:rPr>
          <w:color w:val="000000"/>
          <w:shd w:val="clear" w:color="auto" w:fill="FFFFFF"/>
          <w:lang w:val="en-CA"/>
        </w:rPr>
        <w:t>7; </w:t>
      </w:r>
      <w:r w:rsidRPr="000A0EA1">
        <w:rPr>
          <w:i/>
          <w:iCs/>
          <w:color w:val="000000"/>
          <w:shd w:val="clear" w:color="auto" w:fill="FFFFFF"/>
          <w:lang w:val="en-CA"/>
        </w:rPr>
        <w:t>Alberta Act</w:t>
      </w:r>
      <w:r w:rsidRPr="000A0EA1">
        <w:rPr>
          <w:color w:val="000000"/>
          <w:shd w:val="clear" w:color="auto" w:fill="FFFFFF"/>
          <w:lang w:val="en-CA"/>
        </w:rPr>
        <w:t xml:space="preserve">, S.C. 1905, c. 3, </w:t>
      </w:r>
      <w:r>
        <w:rPr>
          <w:color w:val="000000"/>
          <w:shd w:val="clear" w:color="auto" w:fill="FFFFFF"/>
          <w:lang w:val="en-CA"/>
        </w:rPr>
        <w:t>s. 1</w:t>
      </w:r>
      <w:r w:rsidRPr="000A0EA1">
        <w:rPr>
          <w:color w:val="000000"/>
          <w:shd w:val="clear" w:color="auto" w:fill="FFFFFF"/>
          <w:lang w:val="en-CA"/>
        </w:rPr>
        <w:t>7;</w:t>
      </w:r>
      <w:r w:rsidRPr="000A0EA1">
        <w:rPr>
          <w:lang w:val="en-CA"/>
        </w:rPr>
        <w:t xml:space="preserve"> </w:t>
      </w:r>
      <w:r w:rsidRPr="000A0EA1">
        <w:rPr>
          <w:i/>
          <w:iCs/>
          <w:lang w:val="en-CA"/>
        </w:rPr>
        <w:t>Constitution Amendment, 1998 (Newfoundland Act)</w:t>
      </w:r>
      <w:r w:rsidRPr="000A0EA1">
        <w:rPr>
          <w:lang w:val="en-CA"/>
        </w:rPr>
        <w:t xml:space="preserve">, SI/98-25, </w:t>
      </w:r>
      <w:r>
        <w:rPr>
          <w:lang w:val="en-CA"/>
        </w:rPr>
        <w:t>s. 1</w:t>
      </w:r>
      <w:r w:rsidRPr="000A0EA1">
        <w:rPr>
          <w:lang w:val="en-CA"/>
        </w:rPr>
        <w:t>(2); </w:t>
      </w:r>
      <w:r w:rsidRPr="000A0EA1">
        <w:rPr>
          <w:i/>
          <w:iCs/>
          <w:lang w:val="en-CA"/>
        </w:rPr>
        <w:t>Northwest Territories Act</w:t>
      </w:r>
      <w:r w:rsidRPr="000A0EA1">
        <w:rPr>
          <w:lang w:val="en-CA"/>
        </w:rPr>
        <w:t xml:space="preserve">, S.C. 2014, c. 2 [as en. by the </w:t>
      </w:r>
      <w:r w:rsidRPr="000A0EA1">
        <w:rPr>
          <w:i/>
          <w:iCs/>
          <w:lang w:val="en-CA"/>
        </w:rPr>
        <w:t>Northwest Territories Devolution Act</w:t>
      </w:r>
      <w:r w:rsidRPr="000A0EA1">
        <w:rPr>
          <w:lang w:val="en-CA"/>
        </w:rPr>
        <w:t xml:space="preserve">], </w:t>
      </w:r>
      <w:r>
        <w:rPr>
          <w:lang w:val="en-CA"/>
        </w:rPr>
        <w:t>s. 1</w:t>
      </w:r>
      <w:r w:rsidRPr="000A0EA1">
        <w:rPr>
          <w:lang w:val="en-CA"/>
        </w:rPr>
        <w:t>8(1)(o); </w:t>
      </w:r>
      <w:r w:rsidRPr="000A0EA1">
        <w:rPr>
          <w:i/>
          <w:iCs/>
          <w:lang w:val="en-CA"/>
        </w:rPr>
        <w:t>Yukon Act</w:t>
      </w:r>
      <w:r w:rsidRPr="000A0EA1">
        <w:rPr>
          <w:lang w:val="en-CA"/>
        </w:rPr>
        <w:t xml:space="preserve">, S.C. 2002, c. 7, </w:t>
      </w:r>
      <w:r>
        <w:rPr>
          <w:lang w:val="en-CA"/>
        </w:rPr>
        <w:t>s. 1</w:t>
      </w:r>
      <w:r w:rsidRPr="000A0EA1">
        <w:rPr>
          <w:lang w:val="en-CA"/>
        </w:rPr>
        <w:t>8(1)</w:t>
      </w:r>
      <w:r w:rsidRPr="000A0EA1">
        <w:rPr>
          <w:sz w:val="16"/>
          <w:szCs w:val="16"/>
          <w:lang w:val="en-CA"/>
        </w:rPr>
        <w:t> </w:t>
      </w:r>
      <w:r w:rsidRPr="000A0EA1">
        <w:rPr>
          <w:lang w:val="en-CA"/>
        </w:rPr>
        <w:t>(o); </w:t>
      </w:r>
      <w:r w:rsidRPr="000A0EA1">
        <w:rPr>
          <w:i/>
          <w:iCs/>
          <w:lang w:val="en-CA"/>
        </w:rPr>
        <w:t>Nunavut Act</w:t>
      </w:r>
      <w:r w:rsidRPr="000A0EA1">
        <w:rPr>
          <w:lang w:val="en-CA"/>
        </w:rPr>
        <w:t xml:space="preserve">, S.C. 1993, c. 28, </w:t>
      </w:r>
      <w:r>
        <w:rPr>
          <w:lang w:val="en-CA"/>
        </w:rPr>
        <w:t>s. 2</w:t>
      </w:r>
      <w:r w:rsidRPr="000A0EA1">
        <w:rPr>
          <w:lang w:val="en-CA"/>
        </w:rPr>
        <w:t>3(1)</w:t>
      </w:r>
      <w:r w:rsidRPr="000A0EA1">
        <w:rPr>
          <w:sz w:val="16"/>
          <w:szCs w:val="16"/>
          <w:lang w:val="en-CA"/>
        </w:rPr>
        <w:t> </w:t>
      </w:r>
      <w:r w:rsidRPr="000A0EA1">
        <w:rPr>
          <w:lang w:val="en-CA"/>
        </w:rPr>
        <w:t>(m).</w:t>
      </w:r>
      <w:r>
        <w:rPr>
          <w:lang w:val="en-CA"/>
        </w:rPr>
        <w:t>”</w:t>
      </w:r>
      <w:r w:rsidRPr="000A0EA1">
        <w:rPr>
          <w:lang w:val="en-CA"/>
        </w:rPr>
        <w:t xml:space="preserve"> </w:t>
      </w:r>
    </w:p>
  </w:footnote>
  <w:footnote w:id="7">
    <w:p w14:paraId="17F5F47C" w14:textId="56C7308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This overlap is far from perfect; the cases of Catholics from England and Ireland, as well as French Huguenots and </w:t>
      </w:r>
      <w:r w:rsidR="00312FD9">
        <w:rPr>
          <w:lang w:val="en-CA"/>
        </w:rPr>
        <w:t>French</w:t>
      </w:r>
      <w:r w:rsidR="00312FD9">
        <w:rPr>
          <w:lang w:val="en-CA"/>
        </w:rPr>
        <w:noBreakHyphen/>
        <w:t>speaking</w:t>
      </w:r>
      <w:r w:rsidRPr="000A0EA1">
        <w:rPr>
          <w:lang w:val="en-CA"/>
        </w:rPr>
        <w:t xml:space="preserve"> Swiss Protestants come to mind.</w:t>
      </w:r>
    </w:p>
  </w:footnote>
  <w:footnote w:id="8">
    <w:p w14:paraId="17F5F47D" w14:textId="42329D3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11" w:name="_Hlk190078299"/>
      <w:r w:rsidRPr="000A0EA1">
        <w:rPr>
          <w:i/>
          <w:iCs/>
          <w:lang w:val="en-CA"/>
        </w:rPr>
        <w:t>The Board of Trustees of the Roman Catholic Separate Schools of the City of Ottawa</w:t>
      </w:r>
      <w:bookmarkEnd w:id="11"/>
      <w:r w:rsidRPr="000A0EA1">
        <w:rPr>
          <w:i/>
          <w:iCs/>
          <w:lang w:val="en-CA"/>
        </w:rPr>
        <w:t xml:space="preserve"> v. Mackell </w:t>
      </w:r>
      <w:r w:rsidRPr="000A0EA1">
        <w:rPr>
          <w:lang w:val="en-CA"/>
        </w:rPr>
        <w:t>(1916), [1917] A.C. 62 (P.C.) (</w:t>
      </w:r>
      <w:r w:rsidR="00E46AFD">
        <w:rPr>
          <w:lang w:val="en-CA"/>
        </w:rPr>
        <w:t>“</w:t>
      </w:r>
      <w:r w:rsidRPr="000A0EA1">
        <w:rPr>
          <w:i/>
          <w:iCs/>
          <w:lang w:val="en-CA"/>
        </w:rPr>
        <w:t>Mackell</w:t>
      </w:r>
      <w:r w:rsidR="00E46AFD">
        <w:rPr>
          <w:lang w:val="en-CA"/>
        </w:rPr>
        <w:t>”</w:t>
      </w:r>
      <w:r w:rsidRPr="000A0EA1">
        <w:rPr>
          <w:lang w:val="en-CA"/>
        </w:rPr>
        <w:t>).</w:t>
      </w:r>
    </w:p>
  </w:footnote>
  <w:footnote w:id="9">
    <w:p w14:paraId="17F5F47E" w14:textId="1B7739E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See, in particular: </w:t>
      </w:r>
      <w:r w:rsidRPr="000A0EA1">
        <w:rPr>
          <w:i/>
          <w:iCs/>
          <w:lang w:val="en-CA"/>
        </w:rPr>
        <w:t>Ottawa Separate Schools Trustees v. Ottawa Corporation</w:t>
      </w:r>
      <w:r w:rsidRPr="000A0EA1">
        <w:rPr>
          <w:lang w:val="en-CA"/>
        </w:rPr>
        <w:t xml:space="preserve"> (1916), [1917] A.C. </w:t>
      </w:r>
      <w:r w:rsidR="004309C1">
        <w:rPr>
          <w:lang w:val="en-CA"/>
        </w:rPr>
        <w:t>76</w:t>
      </w:r>
      <w:r w:rsidRPr="000A0EA1">
        <w:rPr>
          <w:lang w:val="en-CA"/>
        </w:rPr>
        <w:t xml:space="preserve"> (P.C.); </w:t>
      </w:r>
      <w:r w:rsidRPr="000A0EA1">
        <w:rPr>
          <w:i/>
          <w:iCs/>
          <w:lang w:val="en-CA"/>
        </w:rPr>
        <w:t xml:space="preserve">The Board of Trustees of the Roman Catholic Separate Schools of the City of Ottawa v. Mackell </w:t>
      </w:r>
      <w:r w:rsidRPr="000A0EA1">
        <w:rPr>
          <w:lang w:val="en-CA"/>
        </w:rPr>
        <w:t xml:space="preserve">(1916), [1917] A.C. 62 (P.C.); </w:t>
      </w:r>
      <w:r w:rsidRPr="000A0EA1">
        <w:rPr>
          <w:i/>
          <w:iCs/>
          <w:lang w:val="en-CA"/>
        </w:rPr>
        <w:t>Hirsch v. Protestant School Commissioners of Montreal</w:t>
      </w:r>
      <w:r w:rsidRPr="000A0EA1">
        <w:rPr>
          <w:lang w:val="en-CA"/>
        </w:rPr>
        <w:t xml:space="preserve">, [1928] A.C. 200 (P.C.); </w:t>
      </w:r>
      <w:r w:rsidRPr="000A0EA1">
        <w:rPr>
          <w:i/>
          <w:iCs/>
          <w:lang w:val="en-CA"/>
        </w:rPr>
        <w:t>Reference re Bill 30, An Act to Amend the Education Act (Ont.)</w:t>
      </w:r>
      <w:r w:rsidRPr="000A0EA1">
        <w:rPr>
          <w:lang w:val="en-CA"/>
        </w:rPr>
        <w:t>, [1987] 1</w:t>
      </w:r>
      <w:r w:rsidR="00956B70">
        <w:rPr>
          <w:lang w:val="en-CA"/>
        </w:rPr>
        <w:t> S.C.R. </w:t>
      </w:r>
      <w:r w:rsidRPr="000A0EA1">
        <w:rPr>
          <w:lang w:val="en-CA"/>
        </w:rPr>
        <w:t xml:space="preserve">1148; </w:t>
      </w:r>
      <w:r w:rsidRPr="000A0EA1">
        <w:rPr>
          <w:i/>
          <w:iCs/>
          <w:lang w:val="en-CA"/>
        </w:rPr>
        <w:t>Reference re: Education Act (Que.)</w:t>
      </w:r>
      <w:r w:rsidRPr="000A0EA1">
        <w:rPr>
          <w:lang w:val="en-CA"/>
        </w:rPr>
        <w:t>, [1993] 2</w:t>
      </w:r>
      <w:r w:rsidR="00956B70">
        <w:rPr>
          <w:lang w:val="en-CA"/>
        </w:rPr>
        <w:t> S.C.R. </w:t>
      </w:r>
      <w:r w:rsidRPr="000A0EA1">
        <w:rPr>
          <w:lang w:val="en-CA"/>
        </w:rPr>
        <w:t>511;</w:t>
      </w:r>
      <w:r w:rsidRPr="000A0EA1">
        <w:rPr>
          <w:i/>
          <w:iCs/>
          <w:lang w:val="en-CA"/>
        </w:rPr>
        <w:t xml:space="preserve"> Ontario English Catholic Teachers</w:t>
      </w:r>
      <w:r w:rsidR="00E46AFD">
        <w:rPr>
          <w:i/>
          <w:iCs/>
          <w:lang w:val="en-CA"/>
        </w:rPr>
        <w:t>’</w:t>
      </w:r>
      <w:r w:rsidRPr="000A0EA1">
        <w:rPr>
          <w:i/>
          <w:iCs/>
          <w:lang w:val="en-CA"/>
        </w:rPr>
        <w:t xml:space="preserve"> Assn. v. Ontario (Attorney General)</w:t>
      </w:r>
      <w:r w:rsidRPr="000A0EA1">
        <w:rPr>
          <w:lang w:val="en-CA"/>
        </w:rPr>
        <w:t>, 2001 SCC 15, [2001] 1</w:t>
      </w:r>
      <w:r w:rsidR="00956B70">
        <w:rPr>
          <w:lang w:val="en-CA"/>
        </w:rPr>
        <w:t> S.C.R. </w:t>
      </w:r>
      <w:r w:rsidRPr="000A0EA1">
        <w:rPr>
          <w:lang w:val="en-CA"/>
        </w:rPr>
        <w:t>470.</w:t>
      </w:r>
    </w:p>
  </w:footnote>
  <w:footnote w:id="10">
    <w:p w14:paraId="18E76284" w14:textId="1065E3FE" w:rsidR="002031E7" w:rsidRPr="002207E8" w:rsidRDefault="002031E7">
      <w:pPr>
        <w:pStyle w:val="Notedebasdepage"/>
        <w:rPr>
          <w:lang w:val="en-CA"/>
        </w:rPr>
      </w:pPr>
      <w:r>
        <w:rPr>
          <w:rStyle w:val="Appelnotedebasdep"/>
        </w:rPr>
        <w:footnoteRef/>
      </w:r>
      <w:r w:rsidRPr="002207E8">
        <w:rPr>
          <w:lang w:val="en-CA"/>
        </w:rPr>
        <w:t xml:space="preserve"> </w:t>
      </w:r>
      <w:r w:rsidRPr="002207E8">
        <w:rPr>
          <w:lang w:val="en-CA"/>
        </w:rPr>
        <w:tab/>
      </w:r>
      <w:r w:rsidRPr="002207E8">
        <w:rPr>
          <w:i/>
          <w:iCs/>
          <w:lang w:val="en-CA"/>
        </w:rPr>
        <w:t>Organisation mondiale sikhe du Canada c. Procureur général du Québec</w:t>
      </w:r>
      <w:r w:rsidRPr="002207E8">
        <w:rPr>
          <w:lang w:val="en-CA"/>
        </w:rPr>
        <w:t>, 2024 QCCA 254, par. 545</w:t>
      </w:r>
      <w:r w:rsidR="002207E8" w:rsidRPr="002207E8">
        <w:rPr>
          <w:lang w:val="en-CA"/>
        </w:rPr>
        <w:t xml:space="preserve">, </w:t>
      </w:r>
      <w:r w:rsidR="004F0C14">
        <w:rPr>
          <w:lang w:val="en-CA"/>
        </w:rPr>
        <w:t xml:space="preserve">applications for </w:t>
      </w:r>
      <w:r w:rsidR="002207E8" w:rsidRPr="002207E8">
        <w:rPr>
          <w:lang w:val="en-CA"/>
        </w:rPr>
        <w:t>leave to ap</w:t>
      </w:r>
      <w:r w:rsidR="002207E8">
        <w:rPr>
          <w:lang w:val="en-CA"/>
        </w:rPr>
        <w:t>p</w:t>
      </w:r>
      <w:r w:rsidR="002207E8" w:rsidRPr="002207E8">
        <w:rPr>
          <w:lang w:val="en-CA"/>
        </w:rPr>
        <w:t xml:space="preserve">eal to the Supreme Court of </w:t>
      </w:r>
      <w:r w:rsidR="002207E8">
        <w:rPr>
          <w:lang w:val="en-CA"/>
        </w:rPr>
        <w:t xml:space="preserve">Canada granted, January </w:t>
      </w:r>
      <w:r w:rsidR="00075DD2">
        <w:rPr>
          <w:lang w:val="en-CA"/>
        </w:rPr>
        <w:t xml:space="preserve">23, </w:t>
      </w:r>
      <w:r w:rsidR="002207E8">
        <w:rPr>
          <w:lang w:val="en-CA"/>
        </w:rPr>
        <w:t xml:space="preserve">2025, </w:t>
      </w:r>
      <w:r w:rsidR="00075DD2">
        <w:rPr>
          <w:lang w:val="en-CA"/>
        </w:rPr>
        <w:t>F</w:t>
      </w:r>
      <w:r w:rsidR="002207E8">
        <w:rPr>
          <w:lang w:val="en-CA"/>
        </w:rPr>
        <w:t xml:space="preserve">ile </w:t>
      </w:r>
      <w:r w:rsidR="00075DD2">
        <w:rPr>
          <w:lang w:val="en-CA"/>
        </w:rPr>
        <w:t>No.</w:t>
      </w:r>
      <w:r w:rsidR="00941113">
        <w:rPr>
          <w:lang w:val="en-CA"/>
        </w:rPr>
        <w:t> </w:t>
      </w:r>
      <w:r w:rsidR="002207E8">
        <w:rPr>
          <w:lang w:val="en-CA"/>
        </w:rPr>
        <w:t>41231.</w:t>
      </w:r>
    </w:p>
  </w:footnote>
  <w:footnote w:id="11">
    <w:p w14:paraId="17F5F47F" w14:textId="62DB432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12" w:name="_Hlk187990622"/>
      <w:r w:rsidRPr="000A0EA1">
        <w:rPr>
          <w:i/>
          <w:iCs/>
          <w:lang w:val="en-CA"/>
        </w:rPr>
        <w:t>Attorney General of Quebec v. Quebec Association of Protestant School Boards</w:t>
      </w:r>
      <w:r w:rsidRPr="000A0EA1">
        <w:rPr>
          <w:lang w:val="en-CA"/>
        </w:rPr>
        <w:t>, [1984] 2</w:t>
      </w:r>
      <w:r w:rsidR="00956B70">
        <w:rPr>
          <w:lang w:val="en-CA"/>
        </w:rPr>
        <w:t> S.C.R. </w:t>
      </w:r>
      <w:r w:rsidRPr="000A0EA1">
        <w:rPr>
          <w:lang w:val="en-CA"/>
        </w:rPr>
        <w:t>66 (</w:t>
      </w:r>
      <w:r w:rsidR="00E46AFD">
        <w:rPr>
          <w:lang w:val="en-CA"/>
        </w:rPr>
        <w:t>“</w:t>
      </w:r>
      <w:r w:rsidRPr="000A0EA1">
        <w:rPr>
          <w:i/>
          <w:iCs/>
          <w:lang w:val="en-CA"/>
        </w:rPr>
        <w:t>Quebec Association of Protestant School Boards</w:t>
      </w:r>
      <w:r w:rsidR="00E46AFD">
        <w:rPr>
          <w:lang w:val="en-CA"/>
        </w:rPr>
        <w:t>”</w:t>
      </w:r>
      <w:r w:rsidRPr="000A0EA1">
        <w:rPr>
          <w:lang w:val="en-CA"/>
        </w:rPr>
        <w:t>).</w:t>
      </w:r>
      <w:bookmarkEnd w:id="12"/>
    </w:p>
  </w:footnote>
  <w:footnote w:id="12">
    <w:p w14:paraId="17F5F480"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An Act to promote the French language in Québec</w:t>
      </w:r>
      <w:r w:rsidRPr="000A0EA1">
        <w:rPr>
          <w:lang w:val="en-CA"/>
        </w:rPr>
        <w:t>, S.Q. 1969, c. 9.</w:t>
      </w:r>
    </w:p>
  </w:footnote>
  <w:footnote w:id="13">
    <w:p w14:paraId="17F5F481"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Charter of the French Language</w:t>
      </w:r>
      <w:r w:rsidRPr="000A0EA1">
        <w:rPr>
          <w:lang w:val="en-CA"/>
        </w:rPr>
        <w:t>, CQLR, c. C-11.</w:t>
      </w:r>
    </w:p>
  </w:footnote>
  <w:footnote w:id="14">
    <w:p w14:paraId="17F5F482" w14:textId="09B107D0" w:rsidR="00F75613" w:rsidRPr="000A0EA1" w:rsidRDefault="00B02E00" w:rsidP="00F75613">
      <w:pPr>
        <w:pStyle w:val="Notedebasdepage"/>
        <w:rPr>
          <w:lang w:val="en-CA"/>
        </w:rPr>
      </w:pPr>
      <w:r w:rsidRPr="000A0EA1">
        <w:rPr>
          <w:rStyle w:val="Appelnotedebasdep"/>
          <w:lang w:val="en-CA"/>
        </w:rPr>
        <w:footnoteRef/>
      </w:r>
      <w:r w:rsidR="00AC60FF">
        <w:rPr>
          <w:lang w:val="en-CA"/>
        </w:rPr>
        <w:t xml:space="preserve"> </w:t>
      </w:r>
      <w:r w:rsidRPr="000A0EA1">
        <w:rPr>
          <w:i/>
          <w:iCs/>
          <w:lang w:val="en-CA"/>
        </w:rPr>
        <w:tab/>
        <w:t>Solski (Tutor of) v. Quebec (Attorney General)</w:t>
      </w:r>
      <w:r w:rsidRPr="000A0EA1">
        <w:rPr>
          <w:lang w:val="en-CA"/>
        </w:rPr>
        <w:t>, 2005 SCC 14, [2005] 1</w:t>
      </w:r>
      <w:r w:rsidR="00956B70">
        <w:rPr>
          <w:lang w:val="en-CA"/>
        </w:rPr>
        <w:t> S.C.R. </w:t>
      </w:r>
      <w:r w:rsidRPr="000A0EA1">
        <w:rPr>
          <w:lang w:val="en-CA"/>
        </w:rPr>
        <w:t>201 (</w:t>
      </w:r>
      <w:r w:rsidR="00E46AFD">
        <w:rPr>
          <w:lang w:val="en-CA"/>
        </w:rPr>
        <w:t>“</w:t>
      </w:r>
      <w:r w:rsidRPr="000A0EA1">
        <w:rPr>
          <w:i/>
          <w:iCs/>
          <w:lang w:val="en-CA"/>
        </w:rPr>
        <w:t>Solski</w:t>
      </w:r>
      <w:r w:rsidR="00E46AFD">
        <w:rPr>
          <w:lang w:val="en-CA"/>
        </w:rPr>
        <w:t>”</w:t>
      </w:r>
      <w:r w:rsidRPr="000A0EA1">
        <w:rPr>
          <w:lang w:val="en-CA"/>
        </w:rPr>
        <w:t>), para</w:t>
      </w:r>
      <w:r w:rsidR="0062160E">
        <w:rPr>
          <w:lang w:val="en-CA"/>
        </w:rPr>
        <w:t>s. 9</w:t>
      </w:r>
      <w:r w:rsidRPr="000A0EA1">
        <w:rPr>
          <w:lang w:val="en-CA"/>
        </w:rPr>
        <w:t xml:space="preserve"> and 21; </w:t>
      </w:r>
      <w:r w:rsidRPr="000A0EA1">
        <w:rPr>
          <w:i/>
          <w:iCs/>
          <w:lang w:val="en-CA"/>
        </w:rPr>
        <w:t>Attorney General of Quebec v. Quebec Association of Protestant School Boards</w:t>
      </w:r>
      <w:r w:rsidRPr="000A0EA1">
        <w:rPr>
          <w:lang w:val="en-CA"/>
        </w:rPr>
        <w:t>, [1984]</w:t>
      </w:r>
      <w:r w:rsidR="00B70466">
        <w:rPr>
          <w:lang w:val="en-CA"/>
        </w:rPr>
        <w:t> </w:t>
      </w:r>
      <w:r w:rsidRPr="000A0EA1">
        <w:rPr>
          <w:lang w:val="en-CA"/>
        </w:rPr>
        <w:t>2</w:t>
      </w:r>
      <w:r w:rsidR="00956B70">
        <w:rPr>
          <w:lang w:val="en-CA"/>
        </w:rPr>
        <w:t> S.C.R. </w:t>
      </w:r>
      <w:r w:rsidRPr="000A0EA1">
        <w:rPr>
          <w:lang w:val="en-CA"/>
        </w:rPr>
        <w:t>66, pp.</w:t>
      </w:r>
      <w:r w:rsidR="00ED699B">
        <w:rPr>
          <w:lang w:val="en-CA"/>
        </w:rPr>
        <w:t> </w:t>
      </w:r>
      <w:r w:rsidRPr="000A0EA1">
        <w:rPr>
          <w:lang w:val="en-CA"/>
        </w:rPr>
        <w:t>79-80 and 84.</w:t>
      </w:r>
    </w:p>
  </w:footnote>
  <w:footnote w:id="15">
    <w:p w14:paraId="17F5F483" w14:textId="3644889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342 (</w:t>
      </w:r>
      <w:r w:rsidR="00E46AFD">
        <w:rPr>
          <w:lang w:val="en-CA"/>
        </w:rPr>
        <w:t>“</w:t>
      </w:r>
      <w:r w:rsidRPr="000A0EA1">
        <w:rPr>
          <w:i/>
          <w:iCs/>
          <w:lang w:val="en-CA"/>
        </w:rPr>
        <w:t>Mahe</w:t>
      </w:r>
      <w:r w:rsidR="00E46AFD">
        <w:rPr>
          <w:lang w:val="en-CA"/>
        </w:rPr>
        <w:t>”</w:t>
      </w:r>
      <w:r w:rsidRPr="000A0EA1">
        <w:rPr>
          <w:lang w:val="en-CA"/>
        </w:rPr>
        <w:t xml:space="preserve">), </w:t>
      </w:r>
      <w:r w:rsidR="00E95DC2">
        <w:rPr>
          <w:lang w:val="en-CA"/>
        </w:rPr>
        <w:t>p. </w:t>
      </w:r>
      <w:r w:rsidRPr="000A0EA1">
        <w:rPr>
          <w:lang w:val="en-CA"/>
        </w:rPr>
        <w:t>362.</w:t>
      </w:r>
    </w:p>
  </w:footnote>
  <w:footnote w:id="16">
    <w:p w14:paraId="17F5F484" w14:textId="7D0C3E9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E95DC2">
        <w:rPr>
          <w:lang w:val="en-CA"/>
        </w:rPr>
        <w:t>p. </w:t>
      </w:r>
      <w:r w:rsidRPr="000A0EA1">
        <w:rPr>
          <w:lang w:val="en-CA"/>
        </w:rPr>
        <w:t>377.</w:t>
      </w:r>
    </w:p>
  </w:footnote>
  <w:footnote w:id="17">
    <w:p w14:paraId="17F5F485"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18">
    <w:p w14:paraId="17F5F486"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19">
    <w:p w14:paraId="17F5F487" w14:textId="0804839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Reference re: Education Act (Que.)</w:t>
      </w:r>
      <w:r w:rsidRPr="000A0EA1">
        <w:rPr>
          <w:lang w:val="en-CA"/>
        </w:rPr>
        <w:t>, [1993] 2</w:t>
      </w:r>
      <w:r w:rsidR="00956B70">
        <w:rPr>
          <w:lang w:val="en-CA"/>
        </w:rPr>
        <w:t> S.C.R. </w:t>
      </w:r>
      <w:r w:rsidRPr="000A0EA1">
        <w:rPr>
          <w:lang w:val="en-CA"/>
        </w:rPr>
        <w:t>511.</w:t>
      </w:r>
    </w:p>
  </w:footnote>
  <w:footnote w:id="20">
    <w:p w14:paraId="17F5F488" w14:textId="0A38643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16" w:name="_Hlk187324454"/>
      <w:r w:rsidR="00826446">
        <w:rPr>
          <w:lang w:val="en-CA"/>
        </w:rPr>
        <w:t xml:space="preserve">Exhibit PGQ-19: </w:t>
      </w:r>
      <w:r w:rsidRPr="000A0EA1">
        <w:rPr>
          <w:lang w:val="en-CA"/>
        </w:rPr>
        <w:t xml:space="preserve">National Assembly, </w:t>
      </w:r>
      <w:r w:rsidRPr="000A0EA1">
        <w:rPr>
          <w:i/>
          <w:iCs/>
          <w:lang w:val="en-CA"/>
        </w:rPr>
        <w:t>Journal des débats</w:t>
      </w:r>
      <w:r w:rsidRPr="000A0EA1">
        <w:rPr>
          <w:lang w:val="en-CA"/>
        </w:rPr>
        <w:t xml:space="preserve">, 35th Leg., 2nd Sess., </w:t>
      </w:r>
      <w:r w:rsidR="007B29F6">
        <w:rPr>
          <w:lang w:val="en-CA"/>
        </w:rPr>
        <w:t>vol. </w:t>
      </w:r>
      <w:r w:rsidRPr="000A0EA1">
        <w:rPr>
          <w:lang w:val="en-CA"/>
        </w:rPr>
        <w:t xml:space="preserve">35, </w:t>
      </w:r>
      <w:r w:rsidR="00BA4C33">
        <w:rPr>
          <w:lang w:val="en-CA"/>
        </w:rPr>
        <w:t>No. </w:t>
      </w:r>
      <w:r w:rsidRPr="000A0EA1">
        <w:rPr>
          <w:lang w:val="en-CA"/>
        </w:rPr>
        <w:t xml:space="preserve">83, March 26, 1997, </w:t>
      </w:r>
      <w:r w:rsidR="00E95DC2">
        <w:rPr>
          <w:lang w:val="en-CA"/>
        </w:rPr>
        <w:t>p. </w:t>
      </w:r>
      <w:r w:rsidRPr="000A0EA1">
        <w:rPr>
          <w:lang w:val="en-CA"/>
        </w:rPr>
        <w:t>6014 (</w:t>
      </w:r>
      <w:r w:rsidR="00E95DC2">
        <w:rPr>
          <w:lang w:val="en-CA"/>
        </w:rPr>
        <w:t>P. </w:t>
      </w:r>
      <w:r w:rsidRPr="000A0EA1">
        <w:rPr>
          <w:lang w:val="en-CA"/>
        </w:rPr>
        <w:t>Marois)</w:t>
      </w:r>
      <w:r w:rsidR="00826446">
        <w:rPr>
          <w:lang w:val="en-CA"/>
        </w:rPr>
        <w:t>.</w:t>
      </w:r>
      <w:r w:rsidRPr="000A0EA1">
        <w:rPr>
          <w:lang w:val="en-CA"/>
        </w:rPr>
        <w:t xml:space="preserve"> </w:t>
      </w:r>
      <w:bookmarkEnd w:id="16"/>
    </w:p>
  </w:footnote>
  <w:footnote w:id="21">
    <w:p w14:paraId="17F5F489" w14:textId="30FC9E64" w:rsidR="00F75613" w:rsidRPr="000A0EA1" w:rsidRDefault="00B02E00" w:rsidP="00F055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17" w:name="_Hlk188252298"/>
      <w:r w:rsidRPr="000A0EA1">
        <w:rPr>
          <w:lang w:val="en-CA"/>
        </w:rPr>
        <w:t xml:space="preserve">National Assembly, </w:t>
      </w:r>
      <w:r w:rsidRPr="000A0EA1">
        <w:rPr>
          <w:i/>
          <w:iCs/>
          <w:lang w:val="en-CA"/>
        </w:rPr>
        <w:t>Journal des débats</w:t>
      </w:r>
      <w:r w:rsidRPr="000A0EA1">
        <w:rPr>
          <w:lang w:val="en-CA"/>
        </w:rPr>
        <w:t xml:space="preserve">, 35th Leg., 2nd Sess., </w:t>
      </w:r>
      <w:r w:rsidR="007B29F6">
        <w:rPr>
          <w:lang w:val="en-CA"/>
        </w:rPr>
        <w:t>vol. </w:t>
      </w:r>
      <w:r w:rsidRPr="000A0EA1">
        <w:rPr>
          <w:lang w:val="en-CA"/>
        </w:rPr>
        <w:t xml:space="preserve">35, </w:t>
      </w:r>
      <w:r w:rsidR="00BA4C33">
        <w:rPr>
          <w:lang w:val="en-CA"/>
        </w:rPr>
        <w:t>No. </w:t>
      </w:r>
      <w:r w:rsidRPr="000A0EA1">
        <w:rPr>
          <w:lang w:val="en-CA"/>
        </w:rPr>
        <w:t>88, April 15, 1997, p</w:t>
      </w:r>
      <w:r w:rsidR="00E95DC2">
        <w:rPr>
          <w:lang w:val="en-CA"/>
        </w:rPr>
        <w:t>p. </w:t>
      </w:r>
      <w:r w:rsidRPr="000A0EA1">
        <w:rPr>
          <w:lang w:val="en-CA"/>
        </w:rPr>
        <w:t>6245</w:t>
      </w:r>
      <w:r w:rsidR="00740EA8">
        <w:rPr>
          <w:lang w:val="en-CA"/>
        </w:rPr>
        <w:noBreakHyphen/>
      </w:r>
      <w:r w:rsidRPr="000A0EA1">
        <w:rPr>
          <w:lang w:val="en-CA"/>
        </w:rPr>
        <w:t xml:space="preserve">6247; Secrétariat du Québec aux relations canadiennes, </w:t>
      </w:r>
      <w:r w:rsidRPr="000A0EA1">
        <w:rPr>
          <w:i/>
          <w:iCs/>
          <w:lang w:val="en-CA"/>
        </w:rPr>
        <w:t>Québec</w:t>
      </w:r>
      <w:r w:rsidR="00E46AFD">
        <w:rPr>
          <w:i/>
          <w:iCs/>
          <w:lang w:val="en-CA"/>
        </w:rPr>
        <w:t>’</w:t>
      </w:r>
      <w:r w:rsidRPr="000A0EA1">
        <w:rPr>
          <w:i/>
          <w:iCs/>
          <w:lang w:val="en-CA"/>
        </w:rPr>
        <w:t>s Positions on Constitutional and Intergovernmental Issues from 1936 to March 2001</w:t>
      </w:r>
      <w:r w:rsidRPr="000A0EA1">
        <w:rPr>
          <w:lang w:val="en-CA"/>
        </w:rPr>
        <w:t xml:space="preserve">, Part 3: Documents, Document 33: </w:t>
      </w:r>
      <w:r w:rsidR="00E46AFD">
        <w:rPr>
          <w:lang w:val="en-CA"/>
        </w:rPr>
        <w:t>“</w:t>
      </w:r>
      <w:r w:rsidRPr="000A0EA1">
        <w:rPr>
          <w:lang w:val="en-CA"/>
        </w:rPr>
        <w:t xml:space="preserve">Resolution of the Québec National Assembly authorizing the amendment of section 93 of the </w:t>
      </w:r>
      <w:r w:rsidRPr="000A0EA1">
        <w:rPr>
          <w:i/>
          <w:iCs/>
          <w:lang w:val="en-CA"/>
        </w:rPr>
        <w:t>Constitution Act, 1867</w:t>
      </w:r>
      <w:r w:rsidRPr="000A0EA1">
        <w:rPr>
          <w:lang w:val="en-CA"/>
        </w:rPr>
        <w:t>, April 15, 1997</w:t>
      </w:r>
      <w:r w:rsidR="00E46AFD">
        <w:rPr>
          <w:lang w:val="en-CA"/>
        </w:rPr>
        <w:t>”</w:t>
      </w:r>
      <w:r w:rsidRPr="000A0EA1">
        <w:rPr>
          <w:lang w:val="en-CA"/>
        </w:rPr>
        <w:t>, online: https://www.sqrc.gouv.qc.ca/documents/positions-historiques/positions-du-qc/part3/Document33_en.pdf.</w:t>
      </w:r>
      <w:bookmarkEnd w:id="17"/>
    </w:p>
  </w:footnote>
  <w:footnote w:id="22">
    <w:p w14:paraId="17F5F48A" w14:textId="2AA9DCD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D531D2">
        <w:rPr>
          <w:lang w:val="en-CA"/>
        </w:rPr>
        <w:t xml:space="preserve">Exhibit PGQ-22: </w:t>
      </w:r>
      <w:r w:rsidRPr="000A0EA1">
        <w:rPr>
          <w:lang w:val="en-CA"/>
        </w:rPr>
        <w:t xml:space="preserve">House of Commons, </w:t>
      </w:r>
      <w:r w:rsidRPr="000A0EA1">
        <w:rPr>
          <w:i/>
          <w:iCs/>
          <w:lang w:val="en-CA"/>
        </w:rPr>
        <w:t>House of Commons Debates.</w:t>
      </w:r>
      <w:r w:rsidRPr="000A0EA1">
        <w:rPr>
          <w:lang w:val="en-CA"/>
        </w:rPr>
        <w:t xml:space="preserve">, 36th Parl., 1st Sess., </w:t>
      </w:r>
      <w:r w:rsidR="007B29F6">
        <w:rPr>
          <w:lang w:val="en-CA"/>
        </w:rPr>
        <w:t>vol. </w:t>
      </w:r>
      <w:r w:rsidRPr="000A0EA1">
        <w:rPr>
          <w:lang w:val="en-CA"/>
        </w:rPr>
        <w:t xml:space="preserve">135, </w:t>
      </w:r>
      <w:r w:rsidR="00BA4C33">
        <w:rPr>
          <w:lang w:val="en-CA"/>
        </w:rPr>
        <w:t>No. </w:t>
      </w:r>
      <w:r w:rsidRPr="000A0EA1">
        <w:rPr>
          <w:lang w:val="en-CA"/>
        </w:rPr>
        <w:t>31, November</w:t>
      </w:r>
      <w:r w:rsidR="00740EA8">
        <w:rPr>
          <w:lang w:val="en-CA"/>
        </w:rPr>
        <w:t> </w:t>
      </w:r>
      <w:r w:rsidRPr="000A0EA1">
        <w:rPr>
          <w:lang w:val="en-CA"/>
        </w:rPr>
        <w:t xml:space="preserve">17, 1997, </w:t>
      </w:r>
      <w:r w:rsidR="00E95DC2">
        <w:rPr>
          <w:lang w:val="en-CA"/>
        </w:rPr>
        <w:t>p. </w:t>
      </w:r>
      <w:r w:rsidRPr="000A0EA1">
        <w:rPr>
          <w:lang w:val="en-CA"/>
        </w:rPr>
        <w:t>1743 (S. Dion)</w:t>
      </w:r>
      <w:r w:rsidR="00D531D2">
        <w:rPr>
          <w:lang w:val="en-CA"/>
        </w:rPr>
        <w:t>.</w:t>
      </w:r>
    </w:p>
  </w:footnote>
  <w:footnote w:id="23">
    <w:p w14:paraId="17F5F48B"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Constitution Amendment, 1997 (Quebec)</w:t>
      </w:r>
      <w:r w:rsidRPr="000A0EA1">
        <w:rPr>
          <w:lang w:val="en-CA"/>
        </w:rPr>
        <w:t>, SI/97-141.</w:t>
      </w:r>
    </w:p>
  </w:footnote>
  <w:footnote w:id="24">
    <w:p w14:paraId="53FA99E1" w14:textId="7EA660F0" w:rsidR="0097557D" w:rsidRPr="0097557D" w:rsidRDefault="0097557D">
      <w:pPr>
        <w:pStyle w:val="Notedebasdepage"/>
        <w:rPr>
          <w:lang w:val="en-CA"/>
        </w:rPr>
      </w:pPr>
      <w:r>
        <w:rPr>
          <w:rStyle w:val="Appelnotedebasdep"/>
        </w:rPr>
        <w:footnoteRef/>
      </w:r>
      <w:r w:rsidRPr="0097557D">
        <w:rPr>
          <w:lang w:val="en-CA"/>
        </w:rPr>
        <w:t xml:space="preserve"> </w:t>
      </w:r>
      <w:r>
        <w:rPr>
          <w:lang w:val="en-CA"/>
        </w:rPr>
        <w:tab/>
        <w:t xml:space="preserve">See, by analogy, </w:t>
      </w:r>
      <w:r w:rsidRPr="0097557D">
        <w:rPr>
          <w:i/>
          <w:iCs/>
          <w:lang w:val="en-CA"/>
        </w:rPr>
        <w:t>Ontario English Catholic Teachers’ Assn. v. Ontario (Attorney General)</w:t>
      </w:r>
      <w:r w:rsidRPr="0097557D">
        <w:rPr>
          <w:lang w:val="en-CA"/>
        </w:rPr>
        <w:t>, [2001] 1</w:t>
      </w:r>
      <w:r w:rsidR="00941113">
        <w:rPr>
          <w:lang w:val="en-CA"/>
        </w:rPr>
        <w:t> </w:t>
      </w:r>
      <w:r w:rsidRPr="0097557D">
        <w:rPr>
          <w:lang w:val="en-CA"/>
        </w:rPr>
        <w:t>S.C.R. 470, 2001 SCC 15</w:t>
      </w:r>
      <w:r>
        <w:rPr>
          <w:lang w:val="en-CA"/>
        </w:rPr>
        <w:t>, para. 29.</w:t>
      </w:r>
    </w:p>
  </w:footnote>
  <w:footnote w:id="25">
    <w:p w14:paraId="17F5F48C" w14:textId="2AAF25D6" w:rsidR="00F75613" w:rsidRPr="000A0EA1" w:rsidRDefault="00B02E00" w:rsidP="00F75613">
      <w:pPr>
        <w:pStyle w:val="Notedebasdepage"/>
        <w:ind w:left="357" w:hanging="357"/>
        <w:rPr>
          <w:lang w:val="en-CA"/>
        </w:rPr>
      </w:pPr>
      <w:r w:rsidRPr="000A0EA1">
        <w:rPr>
          <w:rStyle w:val="Appelnotedebasdep"/>
          <w:lang w:val="en-CA"/>
        </w:rPr>
        <w:footnoteRef/>
      </w:r>
      <w:r w:rsidRPr="000A0EA1">
        <w:rPr>
          <w:lang w:val="en-CA"/>
        </w:rPr>
        <w:t xml:space="preserve"> </w:t>
      </w:r>
      <w:r w:rsidRPr="000A0EA1">
        <w:rPr>
          <w:lang w:val="en-CA"/>
        </w:rPr>
        <w:tab/>
        <w:t xml:space="preserve">Exhibit P-11 establishes, among other things, that in the 2014 elections, the turnout rate for voters registered on the lists of electors for the </w:t>
      </w:r>
      <w:r w:rsidR="00AE3408">
        <w:rPr>
          <w:lang w:val="en-CA"/>
        </w:rPr>
        <w:t>French</w:t>
      </w:r>
      <w:r w:rsidR="00AE3408">
        <w:rPr>
          <w:lang w:val="en-CA"/>
        </w:rPr>
        <w:noBreakHyphen/>
        <w:t>language</w:t>
      </w:r>
      <w:r w:rsidRPr="000A0EA1">
        <w:rPr>
          <w:lang w:val="en-CA"/>
        </w:rPr>
        <w:t xml:space="preserve"> school boards was only 4.87%, whereas it was 16.68% for the </w:t>
      </w:r>
      <w:r w:rsidR="00AE3408">
        <w:rPr>
          <w:lang w:val="en-CA"/>
        </w:rPr>
        <w:t>English</w:t>
      </w:r>
      <w:r w:rsidR="00AE3408">
        <w:rPr>
          <w:lang w:val="en-CA"/>
        </w:rPr>
        <w:noBreakHyphen/>
        <w:t>language</w:t>
      </w:r>
      <w:r w:rsidRPr="000A0EA1">
        <w:rPr>
          <w:lang w:val="en-CA"/>
        </w:rPr>
        <w:t xml:space="preserve"> school boards: Exhibit P-11, Statistics regarding the 2014, 2007 and 2003 school board elections obtained from the Ministry of Education and Higher Education.</w:t>
      </w:r>
    </w:p>
  </w:footnote>
  <w:footnote w:id="26">
    <w:p w14:paraId="17F5F48D" w14:textId="6D9FFE78" w:rsidR="00F75613" w:rsidRPr="007D51DF" w:rsidRDefault="00B02E00" w:rsidP="00F75613">
      <w:pPr>
        <w:pStyle w:val="Notedebasdepage"/>
      </w:pPr>
      <w:r w:rsidRPr="000A0EA1">
        <w:rPr>
          <w:rStyle w:val="Appelnotedebasdep"/>
          <w:lang w:val="en-CA"/>
        </w:rPr>
        <w:footnoteRef/>
      </w:r>
      <w:r w:rsidRPr="007D51DF">
        <w:t xml:space="preserve"> </w:t>
      </w:r>
      <w:r w:rsidRPr="007D51DF">
        <w:tab/>
        <w:t>Exhibit GDB-15, Coalition Avenir Québec</w:t>
      </w:r>
      <w:r w:rsidR="00E46AFD" w:rsidRPr="007D51DF">
        <w:t>’</w:t>
      </w:r>
      <w:r w:rsidRPr="007D51DF">
        <w:t xml:space="preserve">s </w:t>
      </w:r>
      <w:r w:rsidR="00E46AFD" w:rsidRPr="007D51DF">
        <w:t>“</w:t>
      </w:r>
      <w:r w:rsidRPr="007D51DF">
        <w:t>Plan de gouvernance scolaire : Remettre l</w:t>
      </w:r>
      <w:r w:rsidR="00E46AFD" w:rsidRPr="007D51DF">
        <w:t>’</w:t>
      </w:r>
      <w:r w:rsidRPr="007D51DF">
        <w:t>école entre les mains de sa communauté, janvier 2018</w:t>
      </w:r>
      <w:r w:rsidR="00E46AFD" w:rsidRPr="007D51DF">
        <w:t>”</w:t>
      </w:r>
      <w:r w:rsidRPr="007D51DF">
        <w:t>.</w:t>
      </w:r>
    </w:p>
  </w:footnote>
  <w:footnote w:id="27">
    <w:p w14:paraId="17F5F48E"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Act respecting school elections</w:t>
      </w:r>
      <w:r w:rsidRPr="000A0EA1">
        <w:rPr>
          <w:lang w:val="en-CA"/>
        </w:rPr>
        <w:t>, CQLR, c. E-2.3.</w:t>
      </w:r>
    </w:p>
  </w:footnote>
  <w:footnote w:id="28">
    <w:p w14:paraId="17F5F48F" w14:textId="009CACF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C33BBC">
        <w:rPr>
          <w:i/>
          <w:iCs/>
          <w:lang w:val="en-CA"/>
        </w:rPr>
        <w:t>Bill 40</w:t>
      </w:r>
      <w:r w:rsidRPr="000A0EA1">
        <w:rPr>
          <w:lang w:val="en-CA"/>
        </w:rPr>
        <w:t xml:space="preserve">, </w:t>
      </w:r>
      <w:r w:rsidR="0062160E">
        <w:rPr>
          <w:lang w:val="en-CA"/>
        </w:rPr>
        <w:t>s. 1</w:t>
      </w:r>
      <w:r w:rsidRPr="000A0EA1">
        <w:rPr>
          <w:lang w:val="en-CA"/>
        </w:rPr>
        <w:t>90.</w:t>
      </w:r>
    </w:p>
  </w:footnote>
  <w:footnote w:id="29">
    <w:p w14:paraId="17F5F490" w14:textId="1456147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C92DA6">
        <w:rPr>
          <w:i/>
          <w:iCs/>
          <w:lang w:val="en-CA"/>
        </w:rPr>
        <w:t>Id.</w:t>
      </w:r>
      <w:r w:rsidRPr="000A0EA1">
        <w:rPr>
          <w:lang w:val="en-CA"/>
        </w:rPr>
        <w:t xml:space="preserve">, </w:t>
      </w:r>
      <w:r w:rsidR="0062160E">
        <w:rPr>
          <w:lang w:val="en-CA"/>
        </w:rPr>
        <w:t>s. 3</w:t>
      </w:r>
      <w:r w:rsidRPr="000A0EA1">
        <w:rPr>
          <w:lang w:val="en-CA"/>
        </w:rPr>
        <w:t>35.</w:t>
      </w:r>
    </w:p>
  </w:footnote>
  <w:footnote w:id="30">
    <w:p w14:paraId="17F5F491"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Quebec English School Boards Association c. Procureur général du Québec</w:t>
      </w:r>
      <w:r w:rsidRPr="000A0EA1">
        <w:rPr>
          <w:lang w:val="en-CA"/>
        </w:rPr>
        <w:t>, 2020 QCCS 2444.</w:t>
      </w:r>
    </w:p>
  </w:footnote>
  <w:footnote w:id="31">
    <w:p w14:paraId="17F5F492" w14:textId="21F054A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Procureur général du Québec c. Quebec English </w:t>
      </w:r>
      <w:r w:rsidRPr="00D531D2">
        <w:rPr>
          <w:i/>
          <w:iCs/>
          <w:lang w:val="en-CA"/>
        </w:rPr>
        <w:t>School Board</w:t>
      </w:r>
      <w:r w:rsidR="00D531D2">
        <w:rPr>
          <w:i/>
          <w:iCs/>
          <w:lang w:val="en-CA"/>
        </w:rPr>
        <w:t>[s]</w:t>
      </w:r>
      <w:r w:rsidRPr="000A0EA1">
        <w:rPr>
          <w:i/>
          <w:iCs/>
          <w:lang w:val="en-CA"/>
        </w:rPr>
        <w:t xml:space="preserve"> Association</w:t>
      </w:r>
      <w:r w:rsidRPr="000A0EA1">
        <w:rPr>
          <w:lang w:val="en-CA"/>
        </w:rPr>
        <w:t>, 2020 QCCA 1171.</w:t>
      </w:r>
    </w:p>
  </w:footnote>
  <w:footnote w:id="32">
    <w:p w14:paraId="17F5F493" w14:textId="18736B9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Regulation respecting the application of provisions of the Act to amend mainly the Education Act with regard to school organization and governance to </w:t>
      </w:r>
      <w:r w:rsidR="00AE3408">
        <w:rPr>
          <w:i/>
          <w:iCs/>
          <w:lang w:val="en-CA"/>
        </w:rPr>
        <w:t>English</w:t>
      </w:r>
      <w:r w:rsidR="00AE3408">
        <w:rPr>
          <w:i/>
          <w:iCs/>
          <w:lang w:val="en-CA"/>
        </w:rPr>
        <w:noBreakHyphen/>
        <w:t>language</w:t>
      </w:r>
      <w:r w:rsidRPr="000A0EA1">
        <w:rPr>
          <w:i/>
          <w:iCs/>
          <w:lang w:val="en-CA"/>
        </w:rPr>
        <w:t xml:space="preserve"> school service centres</w:t>
      </w:r>
      <w:r w:rsidRPr="000A0EA1">
        <w:rPr>
          <w:lang w:val="en-CA"/>
        </w:rPr>
        <w:t>, (2021)</w:t>
      </w:r>
      <w:r w:rsidR="00740EA8">
        <w:rPr>
          <w:lang w:val="en-CA"/>
        </w:rPr>
        <w:t> </w:t>
      </w:r>
      <w:r w:rsidRPr="000A0EA1">
        <w:rPr>
          <w:lang w:val="en-CA"/>
        </w:rPr>
        <w:t>153</w:t>
      </w:r>
      <w:r w:rsidR="00740EA8">
        <w:rPr>
          <w:lang w:val="en-CA"/>
        </w:rPr>
        <w:t> </w:t>
      </w:r>
      <w:r w:rsidRPr="000A0EA1">
        <w:rPr>
          <w:lang w:val="en-CA"/>
        </w:rPr>
        <w:t>G.O.Q.</w:t>
      </w:r>
      <w:r w:rsidR="00740EA8">
        <w:rPr>
          <w:lang w:val="en-CA"/>
        </w:rPr>
        <w:t> </w:t>
      </w:r>
      <w:r w:rsidRPr="000A0EA1">
        <w:rPr>
          <w:lang w:val="en-CA"/>
        </w:rPr>
        <w:t xml:space="preserve">II, </w:t>
      </w:r>
      <w:r w:rsidR="00BA4C33">
        <w:rPr>
          <w:lang w:val="en-CA"/>
        </w:rPr>
        <w:t>No. </w:t>
      </w:r>
      <w:r w:rsidRPr="000A0EA1">
        <w:rPr>
          <w:lang w:val="en-CA"/>
        </w:rPr>
        <w:t xml:space="preserve">32, 3369, </w:t>
      </w:r>
      <w:r w:rsidR="00E95DC2">
        <w:rPr>
          <w:lang w:val="en-CA"/>
        </w:rPr>
        <w:t>p. </w:t>
      </w:r>
      <w:r w:rsidRPr="000A0EA1">
        <w:rPr>
          <w:lang w:val="en-CA"/>
        </w:rPr>
        <w:t>3370.</w:t>
      </w:r>
    </w:p>
  </w:footnote>
  <w:footnote w:id="33">
    <w:p w14:paraId="17F5F494" w14:textId="331A90A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19" w:name="_Hlk189468191"/>
      <w:r w:rsidRPr="000A0EA1">
        <w:rPr>
          <w:lang w:val="en-CA"/>
        </w:rPr>
        <w:t xml:space="preserve">National Assembly, </w:t>
      </w:r>
      <w:r w:rsidRPr="000A0EA1">
        <w:rPr>
          <w:i/>
          <w:iCs/>
          <w:lang w:val="en-CA"/>
        </w:rPr>
        <w:t>Commission de la culture et de l</w:t>
      </w:r>
      <w:r w:rsidR="00E46AFD">
        <w:rPr>
          <w:i/>
          <w:iCs/>
          <w:lang w:val="en-CA"/>
        </w:rPr>
        <w:t>’</w:t>
      </w:r>
      <w:r w:rsidRPr="000A0EA1">
        <w:rPr>
          <w:i/>
          <w:iCs/>
          <w:lang w:val="en-CA"/>
        </w:rPr>
        <w:t>éducation</w:t>
      </w:r>
      <w:r w:rsidRPr="000A0EA1">
        <w:rPr>
          <w:lang w:val="en-CA"/>
        </w:rPr>
        <w:t xml:space="preserve">, Journal des débats, 42nd Leg., </w:t>
      </w:r>
      <w:r w:rsidR="00C37810">
        <w:rPr>
          <w:lang w:val="en-CA"/>
        </w:rPr>
        <w:t>1st</w:t>
      </w:r>
      <w:r w:rsidR="00740EA8">
        <w:rPr>
          <w:lang w:val="en-CA"/>
        </w:rPr>
        <w:t> </w:t>
      </w:r>
      <w:r w:rsidRPr="000A0EA1">
        <w:rPr>
          <w:lang w:val="en-CA"/>
        </w:rPr>
        <w:t xml:space="preserve">Sess., </w:t>
      </w:r>
      <w:r w:rsidR="007B29F6">
        <w:rPr>
          <w:lang w:val="en-CA"/>
        </w:rPr>
        <w:t>vol. </w:t>
      </w:r>
      <w:r w:rsidRPr="000A0EA1">
        <w:rPr>
          <w:lang w:val="en-CA"/>
        </w:rPr>
        <w:t xml:space="preserve">45, </w:t>
      </w:r>
      <w:r w:rsidR="00BA4C33">
        <w:rPr>
          <w:lang w:val="en-CA"/>
        </w:rPr>
        <w:t>No. </w:t>
      </w:r>
      <w:r w:rsidRPr="000A0EA1">
        <w:rPr>
          <w:lang w:val="en-CA"/>
        </w:rPr>
        <w:t>44, November</w:t>
      </w:r>
      <w:r w:rsidR="00740EA8">
        <w:rPr>
          <w:lang w:val="en-CA"/>
        </w:rPr>
        <w:t> </w:t>
      </w:r>
      <w:r w:rsidRPr="000A0EA1">
        <w:rPr>
          <w:lang w:val="en-CA"/>
        </w:rPr>
        <w:t xml:space="preserve">6, 2019, </w:t>
      </w:r>
      <w:r w:rsidR="00E95DC2">
        <w:rPr>
          <w:lang w:val="en-CA"/>
        </w:rPr>
        <w:t>p. </w:t>
      </w:r>
      <w:r w:rsidRPr="000A0EA1">
        <w:rPr>
          <w:lang w:val="en-CA"/>
        </w:rPr>
        <w:t>5 (J.-F. Roberge); Exhibit P-1, Extract of the transcript of the November</w:t>
      </w:r>
      <w:r w:rsidR="00740EA8">
        <w:rPr>
          <w:lang w:val="en-CA"/>
        </w:rPr>
        <w:t> </w:t>
      </w:r>
      <w:r w:rsidRPr="000A0EA1">
        <w:rPr>
          <w:lang w:val="en-CA"/>
        </w:rPr>
        <w:t xml:space="preserve">6, 2019 session of consultations on </w:t>
      </w:r>
      <w:r w:rsidR="00C33BBC">
        <w:rPr>
          <w:lang w:val="en-CA"/>
        </w:rPr>
        <w:t>Bill 40</w:t>
      </w:r>
      <w:r w:rsidRPr="000A0EA1">
        <w:rPr>
          <w:lang w:val="en-CA"/>
        </w:rPr>
        <w:t xml:space="preserve"> in the Committee on Culture and Education at the National Assembly.</w:t>
      </w:r>
      <w:bookmarkEnd w:id="19"/>
    </w:p>
  </w:footnote>
  <w:footnote w:id="34">
    <w:p w14:paraId="17F5F495" w14:textId="237EBE0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DC35EC">
        <w:rPr>
          <w:lang w:val="en-CA"/>
        </w:rPr>
        <w:t xml:space="preserve">In the French text of </w:t>
      </w:r>
      <w:r w:rsidR="00C33BBC" w:rsidRPr="00DC35EC">
        <w:rPr>
          <w:i/>
          <w:iCs/>
          <w:lang w:val="en-CA"/>
        </w:rPr>
        <w:t>Bill 40</w:t>
      </w:r>
      <w:r w:rsidRPr="00DC35EC">
        <w:rPr>
          <w:lang w:val="en-CA"/>
        </w:rPr>
        <w:t xml:space="preserve">, the word </w:t>
      </w:r>
      <w:r w:rsidR="00E46AFD" w:rsidRPr="00DC35EC">
        <w:rPr>
          <w:lang w:val="en-CA"/>
        </w:rPr>
        <w:t>“</w:t>
      </w:r>
      <w:r w:rsidRPr="00DC35EC">
        <w:rPr>
          <w:lang w:val="en-CA"/>
        </w:rPr>
        <w:t>scolaire</w:t>
      </w:r>
      <w:r w:rsidR="00E46AFD" w:rsidRPr="00DC35EC">
        <w:rPr>
          <w:lang w:val="en-CA"/>
        </w:rPr>
        <w:t>”</w:t>
      </w:r>
      <w:r w:rsidRPr="00DC35EC">
        <w:rPr>
          <w:lang w:val="en-CA"/>
        </w:rPr>
        <w:t xml:space="preserve"> does not qualify the word </w:t>
      </w:r>
      <w:r w:rsidR="00E46AFD" w:rsidRPr="00DC35EC">
        <w:rPr>
          <w:lang w:val="en-CA"/>
        </w:rPr>
        <w:t>“</w:t>
      </w:r>
      <w:r w:rsidRPr="00DC35EC">
        <w:rPr>
          <w:lang w:val="en-CA"/>
        </w:rPr>
        <w:t>services</w:t>
      </w:r>
      <w:r w:rsidR="00E46AFD" w:rsidRPr="00DC35EC">
        <w:rPr>
          <w:lang w:val="en-CA"/>
        </w:rPr>
        <w:t>”</w:t>
      </w:r>
      <w:r w:rsidRPr="00DC35EC">
        <w:rPr>
          <w:lang w:val="en-CA"/>
        </w:rPr>
        <w:t xml:space="preserve">, but rather the word </w:t>
      </w:r>
      <w:r w:rsidR="00E46AFD" w:rsidRPr="00DC35EC">
        <w:rPr>
          <w:lang w:val="en-CA"/>
        </w:rPr>
        <w:t>“</w:t>
      </w:r>
      <w:r w:rsidRPr="00DC35EC">
        <w:rPr>
          <w:lang w:val="en-CA"/>
        </w:rPr>
        <w:t>centre</w:t>
      </w:r>
      <w:r w:rsidR="00E46AFD" w:rsidRPr="00DC35EC">
        <w:rPr>
          <w:lang w:val="en-CA"/>
        </w:rPr>
        <w:t>”</w:t>
      </w:r>
      <w:r w:rsidRPr="00DC35EC">
        <w:rPr>
          <w:lang w:val="en-CA"/>
        </w:rPr>
        <w:t xml:space="preserve">. Consequently, the French text of </w:t>
      </w:r>
      <w:r w:rsidR="00C33BBC" w:rsidRPr="00DC35EC">
        <w:rPr>
          <w:i/>
          <w:iCs/>
          <w:lang w:val="en-CA"/>
        </w:rPr>
        <w:t>Bill 40</w:t>
      </w:r>
      <w:r w:rsidRPr="00DC35EC">
        <w:rPr>
          <w:lang w:val="en-CA"/>
        </w:rPr>
        <w:t xml:space="preserve"> uses the expression </w:t>
      </w:r>
      <w:r w:rsidR="00E46AFD" w:rsidRPr="00DC35EC">
        <w:rPr>
          <w:lang w:val="en-CA"/>
        </w:rPr>
        <w:t>“</w:t>
      </w:r>
      <w:r w:rsidRPr="00DC35EC">
        <w:rPr>
          <w:lang w:val="en-CA"/>
        </w:rPr>
        <w:t>centre de services scolaire</w:t>
      </w:r>
      <w:r w:rsidR="00E46AFD" w:rsidRPr="00DC35EC">
        <w:rPr>
          <w:lang w:val="en-CA"/>
        </w:rPr>
        <w:t>”</w:t>
      </w:r>
      <w:r w:rsidRPr="00DC35EC">
        <w:rPr>
          <w:lang w:val="en-CA"/>
        </w:rPr>
        <w:t xml:space="preserve"> in the singular and </w:t>
      </w:r>
      <w:r w:rsidR="00E46AFD" w:rsidRPr="00DC35EC">
        <w:rPr>
          <w:lang w:val="en-CA"/>
        </w:rPr>
        <w:t>“</w:t>
      </w:r>
      <w:r w:rsidRPr="00DC35EC">
        <w:rPr>
          <w:lang w:val="en-CA"/>
        </w:rPr>
        <w:t>centres de services scolaires</w:t>
      </w:r>
      <w:r w:rsidR="00E46AFD" w:rsidRPr="00DC35EC">
        <w:rPr>
          <w:lang w:val="en-CA"/>
        </w:rPr>
        <w:t>”</w:t>
      </w:r>
      <w:r w:rsidRPr="00DC35EC">
        <w:rPr>
          <w:lang w:val="en-CA"/>
        </w:rPr>
        <w:t xml:space="preserve"> in the plural.</w:t>
      </w:r>
    </w:p>
  </w:footnote>
  <w:footnote w:id="35">
    <w:p w14:paraId="17F5F496" w14:textId="203393F7" w:rsidR="00F75613" w:rsidRPr="000A0EA1" w:rsidRDefault="00B02E00" w:rsidP="00F75613">
      <w:pPr>
        <w:pStyle w:val="Notedebasdepage"/>
        <w:rPr>
          <w:lang w:val="en-CA"/>
        </w:rPr>
      </w:pPr>
      <w:r w:rsidRPr="000A0EA1">
        <w:rPr>
          <w:rStyle w:val="Appelnotedebasdep"/>
          <w:lang w:val="en-CA"/>
        </w:rPr>
        <w:footnoteRef/>
      </w:r>
      <w:r w:rsidRPr="00933318">
        <w:t xml:space="preserve"> </w:t>
      </w:r>
      <w:r w:rsidRPr="00933318">
        <w:tab/>
        <w:t xml:space="preserve">National Assembly, </w:t>
      </w:r>
      <w:r w:rsidRPr="00933318">
        <w:rPr>
          <w:i/>
          <w:iCs/>
        </w:rPr>
        <w:t>Commission de la culture et de l</w:t>
      </w:r>
      <w:r w:rsidR="00E46AFD" w:rsidRPr="00933318">
        <w:rPr>
          <w:i/>
          <w:iCs/>
        </w:rPr>
        <w:t>’</w:t>
      </w:r>
      <w:r w:rsidRPr="00933318">
        <w:rPr>
          <w:i/>
          <w:iCs/>
        </w:rPr>
        <w:t>éducation</w:t>
      </w:r>
      <w:r w:rsidRPr="00933318">
        <w:t xml:space="preserve">, Journal des débats, 42nd Leg., </w:t>
      </w:r>
      <w:r w:rsidR="00C37810" w:rsidRPr="00933318">
        <w:t xml:space="preserve">1st </w:t>
      </w:r>
      <w:r w:rsidRPr="00933318">
        <w:t xml:space="preserve">Sess., </w:t>
      </w:r>
      <w:r w:rsidR="007B29F6" w:rsidRPr="00933318">
        <w:t>vol. </w:t>
      </w:r>
      <w:r w:rsidRPr="00933318">
        <w:t xml:space="preserve">45, </w:t>
      </w:r>
      <w:r w:rsidR="00BA4C33" w:rsidRPr="00933318">
        <w:t>No. </w:t>
      </w:r>
      <w:r w:rsidRPr="00933318">
        <w:t>44, November</w:t>
      </w:r>
      <w:r w:rsidR="00740EA8" w:rsidRPr="00933318">
        <w:t> </w:t>
      </w:r>
      <w:r w:rsidRPr="00933318">
        <w:t xml:space="preserve">6, 2019, </w:t>
      </w:r>
      <w:r w:rsidR="00E95DC2" w:rsidRPr="00933318">
        <w:t>p. </w:t>
      </w:r>
      <w:r w:rsidRPr="00933318">
        <w:t xml:space="preserve">5 (J.-F. Roberge). </w:t>
      </w:r>
      <w:r w:rsidRPr="000A0EA1">
        <w:rPr>
          <w:lang w:val="en-CA"/>
        </w:rPr>
        <w:t>A fuller extract of the Minister</w:t>
      </w:r>
      <w:r w:rsidR="00E46AFD">
        <w:rPr>
          <w:lang w:val="en-CA"/>
        </w:rPr>
        <w:t>’</w:t>
      </w:r>
      <w:r w:rsidRPr="000A0EA1">
        <w:rPr>
          <w:lang w:val="en-CA"/>
        </w:rPr>
        <w:t>s remarks is reproduced earlier in these reasons.</w:t>
      </w:r>
    </w:p>
  </w:footnote>
  <w:footnote w:id="36">
    <w:p w14:paraId="17F5F497" w14:textId="327AADAE"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t xml:space="preserve">Section 143 </w:t>
      </w:r>
      <w:bookmarkStart w:id="23" w:name="_Hlk188022442"/>
      <w:r w:rsidRPr="000A0EA1">
        <w:rPr>
          <w:lang w:val="en-CA"/>
        </w:rPr>
        <w:t xml:space="preserve">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w:t>
      </w:r>
      <w:r w:rsidRPr="000A0EA1">
        <w:rPr>
          <w:i/>
          <w:iCs/>
          <w:lang w:val="en-CA"/>
        </w:rPr>
        <w:t>.</w:t>
      </w:r>
      <w:bookmarkEnd w:id="23"/>
    </w:p>
  </w:footnote>
  <w:footnote w:id="37">
    <w:p w14:paraId="17F5F498" w14:textId="07126AE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 </w:t>
      </w:r>
      <w:r w:rsidR="0062160E">
        <w:rPr>
          <w:lang w:val="en-CA"/>
        </w:rPr>
        <w:t>para. 1</w:t>
      </w:r>
      <w:r w:rsidRPr="000A0EA1">
        <w:rPr>
          <w:lang w:val="en-CA"/>
        </w:rPr>
        <w:t xml:space="preserve"> subpara. (1)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w:t>
      </w:r>
    </w:p>
  </w:footnote>
  <w:footnote w:id="38">
    <w:p w14:paraId="17F5F499" w14:textId="35E56D9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47 </w:t>
      </w:r>
      <w:r w:rsidR="0062160E">
        <w:rPr>
          <w:lang w:val="en-CA"/>
        </w:rPr>
        <w:t>para. 3</w:t>
      </w:r>
      <w:r w:rsidRPr="000A0EA1">
        <w:rPr>
          <w:lang w:val="en-CA"/>
        </w:rPr>
        <w:t xml:space="preserve"> and </w:t>
      </w:r>
      <w:r w:rsidR="0062160E">
        <w:rPr>
          <w:lang w:val="en-CA"/>
        </w:rPr>
        <w:t>s. 1</w:t>
      </w:r>
      <w:r w:rsidRPr="000A0EA1">
        <w:rPr>
          <w:lang w:val="en-CA"/>
        </w:rPr>
        <w:t xml:space="preserve">89 of the </w:t>
      </w:r>
      <w:r w:rsidRPr="000A0EA1">
        <w:rPr>
          <w:i/>
          <w:iCs/>
          <w:lang w:val="en-CA"/>
        </w:rPr>
        <w:t>EA</w:t>
      </w:r>
      <w:r w:rsidRPr="000A0EA1">
        <w:rPr>
          <w:lang w:val="en-CA"/>
        </w:rPr>
        <w:t xml:space="preserve"> (as amended by s</w:t>
      </w:r>
      <w:r w:rsidR="0062160E">
        <w:rPr>
          <w:lang w:val="en-CA"/>
        </w:rPr>
        <w:t>s. 1</w:t>
      </w:r>
      <w:r w:rsidRPr="000A0EA1">
        <w:rPr>
          <w:lang w:val="en-CA"/>
        </w:rPr>
        <w:t xml:space="preserve">1 and 312 of </w:t>
      </w:r>
      <w:r w:rsidR="00C33BBC">
        <w:rPr>
          <w:i/>
          <w:iCs/>
          <w:lang w:val="en-CA"/>
        </w:rPr>
        <w:t>Bill 40</w:t>
      </w:r>
      <w:r w:rsidRPr="000A0EA1">
        <w:rPr>
          <w:lang w:val="en-CA"/>
        </w:rPr>
        <w:t>).</w:t>
      </w:r>
    </w:p>
  </w:footnote>
  <w:footnote w:id="39">
    <w:p w14:paraId="17F5F49A" w14:textId="6507039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 </w:t>
      </w:r>
      <w:r w:rsidR="0062160E">
        <w:rPr>
          <w:lang w:val="en-CA"/>
        </w:rPr>
        <w:t>para. 1</w:t>
      </w:r>
      <w:r w:rsidRPr="000A0EA1">
        <w:rPr>
          <w:lang w:val="en-CA"/>
        </w:rPr>
        <w:t xml:space="preserve"> subpara. (1)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w:t>
      </w:r>
    </w:p>
  </w:footnote>
  <w:footnote w:id="40">
    <w:p w14:paraId="17F5F49B" w14:textId="42854459"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t xml:space="preserve">Sections 143.6 to 143.9 of the </w:t>
      </w:r>
      <w:r w:rsidRPr="000A0EA1">
        <w:rPr>
          <w:i/>
          <w:iCs/>
          <w:lang w:val="en-CA"/>
        </w:rPr>
        <w:t>EA</w:t>
      </w:r>
      <w:r w:rsidRPr="000A0EA1">
        <w:rPr>
          <w:lang w:val="en-CA"/>
        </w:rPr>
        <w:t xml:space="preserve"> (as enacted by </w:t>
      </w:r>
      <w:r w:rsidR="0062160E">
        <w:rPr>
          <w:lang w:val="en-CA"/>
        </w:rPr>
        <w:t>s. 5</w:t>
      </w:r>
      <w:r w:rsidRPr="000A0EA1">
        <w:rPr>
          <w:lang w:val="en-CA"/>
        </w:rPr>
        <w:t xml:space="preserve">0 of </w:t>
      </w:r>
      <w:r w:rsidR="00C33BBC">
        <w:rPr>
          <w:i/>
          <w:iCs/>
          <w:lang w:val="en-CA"/>
        </w:rPr>
        <w:t>Bill 40</w:t>
      </w:r>
      <w:r w:rsidRPr="000A0EA1">
        <w:rPr>
          <w:lang w:val="en-CA"/>
        </w:rPr>
        <w:t>) and s</w:t>
      </w:r>
      <w:r w:rsidR="0062160E">
        <w:rPr>
          <w:lang w:val="en-CA"/>
        </w:rPr>
        <w:t>s. 7</w:t>
      </w:r>
      <w:r w:rsidRPr="000A0EA1">
        <w:rPr>
          <w:lang w:val="en-CA"/>
        </w:rPr>
        <w:t xml:space="preserve"> to 17 of the </w:t>
      </w:r>
      <w:r w:rsidRPr="000A0EA1">
        <w:rPr>
          <w:i/>
          <w:iCs/>
          <w:lang w:val="en-CA"/>
        </w:rPr>
        <w:t>Regulation respecting the designation of members of the boards of directors of school service centres</w:t>
      </w:r>
      <w:r w:rsidRPr="000A0EA1">
        <w:rPr>
          <w:lang w:val="en-CA"/>
        </w:rPr>
        <w:t>, CQLR,</w:t>
      </w:r>
      <w:r w:rsidR="001A6B55">
        <w:rPr>
          <w:lang w:val="en-CA"/>
        </w:rPr>
        <w:t> </w:t>
      </w:r>
      <w:r w:rsidRPr="000A0EA1">
        <w:rPr>
          <w:lang w:val="en-CA"/>
        </w:rPr>
        <w:t>c.</w:t>
      </w:r>
      <w:r w:rsidR="001A6B55">
        <w:rPr>
          <w:lang w:val="en-CA"/>
        </w:rPr>
        <w:t> </w:t>
      </w:r>
      <w:r w:rsidRPr="000A0EA1">
        <w:rPr>
          <w:lang w:val="en-CA"/>
        </w:rPr>
        <w:t>I</w:t>
      </w:r>
      <w:r w:rsidR="001A6B55">
        <w:rPr>
          <w:lang w:val="en-CA"/>
        </w:rPr>
        <w:noBreakHyphen/>
      </w:r>
      <w:r w:rsidRPr="000A0EA1">
        <w:rPr>
          <w:lang w:val="en-CA"/>
        </w:rPr>
        <w:t>13.3, r.</w:t>
      </w:r>
      <w:r w:rsidR="001A6B55">
        <w:rPr>
          <w:lang w:val="en-CA"/>
        </w:rPr>
        <w:t> </w:t>
      </w:r>
      <w:r w:rsidRPr="000A0EA1">
        <w:rPr>
          <w:lang w:val="en-CA"/>
        </w:rPr>
        <w:t xml:space="preserve">5.1. </w:t>
      </w:r>
    </w:p>
  </w:footnote>
  <w:footnote w:id="41">
    <w:p w14:paraId="17F5F49C" w14:textId="6983149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 </w:t>
      </w:r>
      <w:r w:rsidR="0062160E">
        <w:rPr>
          <w:lang w:val="en-CA"/>
        </w:rPr>
        <w:t>para. 1</w:t>
      </w:r>
      <w:r w:rsidRPr="000A0EA1">
        <w:rPr>
          <w:lang w:val="en-CA"/>
        </w:rPr>
        <w:t xml:space="preserve"> subpara. (2)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w:t>
      </w:r>
    </w:p>
  </w:footnote>
  <w:footnote w:id="42">
    <w:p w14:paraId="17F5F49D" w14:textId="633AC1B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24" w:name="_Hlk188022699"/>
      <w:r w:rsidRPr="000A0EA1">
        <w:rPr>
          <w:lang w:val="en-CA"/>
        </w:rPr>
        <w:t xml:space="preserve">Sections 143.10 to 143.12 of the </w:t>
      </w:r>
      <w:r w:rsidRPr="000A0EA1">
        <w:rPr>
          <w:i/>
          <w:iCs/>
          <w:lang w:val="en-CA"/>
        </w:rPr>
        <w:t>EA</w:t>
      </w:r>
      <w:r w:rsidRPr="000A0EA1">
        <w:rPr>
          <w:lang w:val="en-CA"/>
        </w:rPr>
        <w:t xml:space="preserve"> (as enacted by </w:t>
      </w:r>
      <w:r w:rsidR="0062160E">
        <w:rPr>
          <w:lang w:val="en-CA"/>
        </w:rPr>
        <w:t>s. 5</w:t>
      </w:r>
      <w:r w:rsidRPr="000A0EA1">
        <w:rPr>
          <w:lang w:val="en-CA"/>
        </w:rPr>
        <w:t xml:space="preserve">0 of </w:t>
      </w:r>
      <w:r w:rsidR="00C33BBC">
        <w:rPr>
          <w:i/>
          <w:iCs/>
          <w:lang w:val="en-CA"/>
        </w:rPr>
        <w:t>Bill 40</w:t>
      </w:r>
      <w:r w:rsidRPr="000A0EA1">
        <w:rPr>
          <w:lang w:val="en-CA"/>
        </w:rPr>
        <w:t>) and s</w:t>
      </w:r>
      <w:r w:rsidR="0062160E">
        <w:rPr>
          <w:lang w:val="en-CA"/>
        </w:rPr>
        <w:t>s. 1</w:t>
      </w:r>
      <w:r w:rsidRPr="000A0EA1">
        <w:rPr>
          <w:lang w:val="en-CA"/>
        </w:rPr>
        <w:t xml:space="preserve">8 to 24 of the </w:t>
      </w:r>
      <w:r w:rsidRPr="000A0EA1">
        <w:rPr>
          <w:i/>
          <w:iCs/>
          <w:lang w:val="en-CA"/>
        </w:rPr>
        <w:t>Regulation respecting the designation of members of the boards of directors of school service centres</w:t>
      </w:r>
      <w:r w:rsidRPr="000A0EA1">
        <w:rPr>
          <w:lang w:val="en-CA"/>
        </w:rPr>
        <w:t>, CQLR,</w:t>
      </w:r>
      <w:r w:rsidR="001A6B55">
        <w:rPr>
          <w:lang w:val="en-CA"/>
        </w:rPr>
        <w:t> </w:t>
      </w:r>
      <w:r w:rsidRPr="000A0EA1">
        <w:rPr>
          <w:lang w:val="en-CA"/>
        </w:rPr>
        <w:t>c.</w:t>
      </w:r>
      <w:r w:rsidR="001A6B55">
        <w:rPr>
          <w:lang w:val="en-CA"/>
        </w:rPr>
        <w:t> </w:t>
      </w:r>
      <w:r w:rsidRPr="000A0EA1">
        <w:rPr>
          <w:lang w:val="en-CA"/>
        </w:rPr>
        <w:t>I</w:t>
      </w:r>
      <w:r w:rsidR="001A6B55">
        <w:rPr>
          <w:lang w:val="en-CA"/>
        </w:rPr>
        <w:noBreakHyphen/>
      </w:r>
      <w:r w:rsidRPr="000A0EA1">
        <w:rPr>
          <w:lang w:val="en-CA"/>
        </w:rPr>
        <w:t>13.3, r.</w:t>
      </w:r>
      <w:r w:rsidR="001A6B55">
        <w:rPr>
          <w:lang w:val="en-CA"/>
        </w:rPr>
        <w:t> </w:t>
      </w:r>
      <w:r w:rsidRPr="000A0EA1">
        <w:rPr>
          <w:lang w:val="en-CA"/>
        </w:rPr>
        <w:t>5.1.</w:t>
      </w:r>
      <w:bookmarkEnd w:id="24"/>
    </w:p>
  </w:footnote>
  <w:footnote w:id="43">
    <w:p w14:paraId="17F5F49E" w14:textId="70C9DB0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 </w:t>
      </w:r>
      <w:r w:rsidR="0062160E">
        <w:rPr>
          <w:lang w:val="en-CA"/>
        </w:rPr>
        <w:t>para. 1</w:t>
      </w:r>
      <w:r w:rsidRPr="000A0EA1">
        <w:rPr>
          <w:lang w:val="en-CA"/>
        </w:rPr>
        <w:t xml:space="preserve"> subpara. (3)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 xml:space="preserve">): </w:t>
      </w:r>
      <w:r w:rsidR="00E46AFD">
        <w:rPr>
          <w:lang w:val="en-CA"/>
        </w:rPr>
        <w:t>“</w:t>
      </w:r>
      <w:r w:rsidRPr="000A0EA1">
        <w:rPr>
          <w:i/>
          <w:iCs/>
          <w:lang w:val="en-CA"/>
        </w:rPr>
        <w:t>(a</w:t>
      </w:r>
      <w:r w:rsidRPr="000A0EA1">
        <w:rPr>
          <w:lang w:val="en-CA"/>
        </w:rPr>
        <w:t>)</w:t>
      </w:r>
      <w:r w:rsidR="001F5BE3">
        <w:rPr>
          <w:lang w:val="en-CA"/>
        </w:rPr>
        <w:t> </w:t>
      </w:r>
      <w:r w:rsidRPr="000A0EA1">
        <w:rPr>
          <w:lang w:val="en-CA"/>
        </w:rPr>
        <w:t xml:space="preserve">one person with expertise in governance, in ethics, in risk management or in human resources management; </w:t>
      </w:r>
      <w:r w:rsidRPr="000A0EA1">
        <w:rPr>
          <w:i/>
          <w:iCs/>
          <w:lang w:val="en-CA"/>
        </w:rPr>
        <w:t>(b</w:t>
      </w:r>
      <w:r w:rsidRPr="000A0EA1">
        <w:rPr>
          <w:lang w:val="en-CA"/>
        </w:rPr>
        <w:t>)</w:t>
      </w:r>
      <w:r w:rsidR="001F5BE3">
        <w:rPr>
          <w:lang w:val="en-CA"/>
        </w:rPr>
        <w:t> </w:t>
      </w:r>
      <w:r w:rsidRPr="000A0EA1">
        <w:rPr>
          <w:lang w:val="en-CA"/>
        </w:rPr>
        <w:t xml:space="preserve">one person with expertise in finance or accounting or in financial or physical resources management; </w:t>
      </w:r>
      <w:r w:rsidRPr="000A0EA1">
        <w:rPr>
          <w:i/>
          <w:iCs/>
          <w:lang w:val="en-CA"/>
        </w:rPr>
        <w:t>(c</w:t>
      </w:r>
      <w:r w:rsidRPr="000A0EA1">
        <w:rPr>
          <w:lang w:val="en-CA"/>
        </w:rPr>
        <w:t>)</w:t>
      </w:r>
      <w:r w:rsidR="001F5BE3">
        <w:rPr>
          <w:lang w:val="en-CA"/>
        </w:rPr>
        <w:t> </w:t>
      </w:r>
      <w:r w:rsidRPr="000A0EA1">
        <w:rPr>
          <w:lang w:val="en-CA"/>
        </w:rPr>
        <w:t xml:space="preserve">one person from the community, sport or cultural sector; </w:t>
      </w:r>
      <w:r w:rsidRPr="000A0EA1">
        <w:rPr>
          <w:i/>
          <w:iCs/>
          <w:lang w:val="en-CA"/>
        </w:rPr>
        <w:t>(d</w:t>
      </w:r>
      <w:r w:rsidRPr="000A0EA1">
        <w:rPr>
          <w:lang w:val="en-CA"/>
        </w:rPr>
        <w:t>)</w:t>
      </w:r>
      <w:r w:rsidR="001F5BE3">
        <w:rPr>
          <w:lang w:val="en-CA"/>
        </w:rPr>
        <w:t> </w:t>
      </w:r>
      <w:r w:rsidRPr="000A0EA1">
        <w:rPr>
          <w:lang w:val="en-CA"/>
        </w:rPr>
        <w:t xml:space="preserve">one person from the municipal, health, social services or business sector; and </w:t>
      </w:r>
      <w:r w:rsidRPr="000A0EA1">
        <w:rPr>
          <w:i/>
          <w:iCs/>
          <w:lang w:val="en-CA"/>
        </w:rPr>
        <w:t>(e</w:t>
      </w:r>
      <w:r w:rsidRPr="000A0EA1">
        <w:rPr>
          <w:lang w:val="en-CA"/>
        </w:rPr>
        <w:t>)</w:t>
      </w:r>
      <w:r w:rsidR="001F5BE3">
        <w:rPr>
          <w:lang w:val="en-CA"/>
        </w:rPr>
        <w:t> </w:t>
      </w:r>
      <w:r w:rsidRPr="000A0EA1">
        <w:rPr>
          <w:lang w:val="en-CA"/>
        </w:rPr>
        <w:t>one person aged 18 to 35</w:t>
      </w:r>
      <w:r w:rsidR="00E46AFD">
        <w:rPr>
          <w:lang w:val="en-CA"/>
        </w:rPr>
        <w:t>”</w:t>
      </w:r>
      <w:r w:rsidRPr="000A0EA1">
        <w:rPr>
          <w:lang w:val="en-CA"/>
        </w:rPr>
        <w:t>.</w:t>
      </w:r>
    </w:p>
  </w:footnote>
  <w:footnote w:id="44">
    <w:p w14:paraId="17F5F49F" w14:textId="75C0A97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143.13 to 143.15 of the </w:t>
      </w:r>
      <w:r w:rsidRPr="000A0EA1">
        <w:rPr>
          <w:i/>
          <w:iCs/>
          <w:lang w:val="en-CA"/>
        </w:rPr>
        <w:t>EA</w:t>
      </w:r>
      <w:r w:rsidRPr="000A0EA1">
        <w:rPr>
          <w:lang w:val="en-CA"/>
        </w:rPr>
        <w:t xml:space="preserve"> (as enacted by </w:t>
      </w:r>
      <w:r w:rsidR="0062160E">
        <w:rPr>
          <w:lang w:val="en-CA"/>
        </w:rPr>
        <w:t>s. 5</w:t>
      </w:r>
      <w:r w:rsidRPr="000A0EA1">
        <w:rPr>
          <w:lang w:val="en-CA"/>
        </w:rPr>
        <w:t xml:space="preserve">0 of </w:t>
      </w:r>
      <w:r w:rsidR="00C33BBC">
        <w:rPr>
          <w:i/>
          <w:iCs/>
          <w:lang w:val="en-CA"/>
        </w:rPr>
        <w:t>Bill 40</w:t>
      </w:r>
      <w:r w:rsidRPr="000A0EA1">
        <w:rPr>
          <w:lang w:val="en-CA"/>
        </w:rPr>
        <w:t>) and s</w:t>
      </w:r>
      <w:r w:rsidR="0062160E">
        <w:rPr>
          <w:lang w:val="en-CA"/>
        </w:rPr>
        <w:t>s. 2</w:t>
      </w:r>
      <w:r w:rsidRPr="000A0EA1">
        <w:rPr>
          <w:lang w:val="en-CA"/>
        </w:rPr>
        <w:t xml:space="preserve">5 to 33 of the </w:t>
      </w:r>
      <w:r w:rsidRPr="000A0EA1">
        <w:rPr>
          <w:i/>
          <w:iCs/>
          <w:lang w:val="en-CA"/>
        </w:rPr>
        <w:t>Regulation respecting the designation of members of the boards of directors of school service centres</w:t>
      </w:r>
      <w:r w:rsidRPr="000A0EA1">
        <w:rPr>
          <w:lang w:val="en-CA"/>
        </w:rPr>
        <w:t>, CQLR,</w:t>
      </w:r>
      <w:r w:rsidR="00365FD1">
        <w:rPr>
          <w:lang w:val="en-CA"/>
        </w:rPr>
        <w:t> </w:t>
      </w:r>
      <w:r w:rsidRPr="000A0EA1">
        <w:rPr>
          <w:lang w:val="en-CA"/>
        </w:rPr>
        <w:t>c.</w:t>
      </w:r>
      <w:r w:rsidR="00365FD1">
        <w:rPr>
          <w:lang w:val="en-CA"/>
        </w:rPr>
        <w:t> </w:t>
      </w:r>
      <w:r w:rsidRPr="000A0EA1">
        <w:rPr>
          <w:lang w:val="en-CA"/>
        </w:rPr>
        <w:t>I</w:t>
      </w:r>
      <w:r w:rsidR="00365FD1">
        <w:rPr>
          <w:lang w:val="en-CA"/>
        </w:rPr>
        <w:noBreakHyphen/>
      </w:r>
      <w:r w:rsidRPr="000A0EA1">
        <w:rPr>
          <w:lang w:val="en-CA"/>
        </w:rPr>
        <w:t>13.3, r.</w:t>
      </w:r>
      <w:r w:rsidR="00365FD1">
        <w:rPr>
          <w:lang w:val="en-CA"/>
        </w:rPr>
        <w:t> </w:t>
      </w:r>
      <w:r w:rsidRPr="000A0EA1">
        <w:rPr>
          <w:lang w:val="en-CA"/>
        </w:rPr>
        <w:t>5.1.</w:t>
      </w:r>
    </w:p>
  </w:footnote>
  <w:footnote w:id="45">
    <w:p w14:paraId="17F5F4A0" w14:textId="0E2C6E5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26" w:name="_Hlk188024296"/>
      <w:r w:rsidRPr="000A0EA1">
        <w:rPr>
          <w:lang w:val="en-CA"/>
        </w:rPr>
        <w:t xml:space="preserve">Section 143.1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w:t>
      </w:r>
      <w:bookmarkEnd w:id="26"/>
      <w:r w:rsidRPr="000A0EA1">
        <w:rPr>
          <w:lang w:val="en-CA"/>
        </w:rPr>
        <w:t xml:space="preserve"> </w:t>
      </w:r>
    </w:p>
  </w:footnote>
  <w:footnote w:id="46">
    <w:p w14:paraId="17F5F4A1" w14:textId="5E27916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143.1 </w:t>
      </w:r>
      <w:r w:rsidR="0062160E">
        <w:rPr>
          <w:lang w:val="en-CA"/>
        </w:rPr>
        <w:t>para. 1</w:t>
      </w:r>
      <w:r w:rsidRPr="000A0EA1">
        <w:rPr>
          <w:lang w:val="en-CA"/>
        </w:rPr>
        <w:t xml:space="preserve"> subpara. (1)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 xml:space="preserve">). See also: </w:t>
      </w:r>
      <w:r w:rsidR="0062160E">
        <w:rPr>
          <w:lang w:val="en-CA"/>
        </w:rPr>
        <w:t>s. 2</w:t>
      </w:r>
      <w:r w:rsidRPr="000A0EA1">
        <w:rPr>
          <w:lang w:val="en-CA"/>
        </w:rPr>
        <w:t xml:space="preserve">0 of the </w:t>
      </w:r>
      <w:r w:rsidRPr="000A0EA1">
        <w:rPr>
          <w:i/>
          <w:iCs/>
          <w:lang w:val="en-CA"/>
        </w:rPr>
        <w:t>New Act respecting school elections</w:t>
      </w:r>
      <w:r w:rsidRPr="000A0EA1">
        <w:rPr>
          <w:lang w:val="en-CA"/>
        </w:rPr>
        <w:t xml:space="preserve"> (as amended by </w:t>
      </w:r>
      <w:r w:rsidR="0062160E">
        <w:rPr>
          <w:lang w:val="en-CA"/>
        </w:rPr>
        <w:t>s. 2</w:t>
      </w:r>
      <w:r w:rsidRPr="000A0EA1">
        <w:rPr>
          <w:lang w:val="en-CA"/>
        </w:rPr>
        <w:t xml:space="preserve">16 of </w:t>
      </w:r>
      <w:r w:rsidR="00C33BBC">
        <w:rPr>
          <w:i/>
          <w:iCs/>
          <w:lang w:val="en-CA"/>
        </w:rPr>
        <w:t>Bill 40</w:t>
      </w:r>
      <w:r w:rsidRPr="000A0EA1">
        <w:rPr>
          <w:lang w:val="en-CA"/>
        </w:rPr>
        <w:t>).</w:t>
      </w:r>
    </w:p>
  </w:footnote>
  <w:footnote w:id="47">
    <w:p w14:paraId="17F5F4A2" w14:textId="7B3258D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4.1 to 7.6 of the </w:t>
      </w:r>
      <w:bookmarkStart w:id="28" w:name="_Hlk188025426"/>
      <w:r w:rsidRPr="000A0EA1">
        <w:rPr>
          <w:i/>
          <w:iCs/>
          <w:lang w:val="en-CA"/>
        </w:rPr>
        <w:t>New Act respecting school elections</w:t>
      </w:r>
      <w:r w:rsidRPr="000A0EA1">
        <w:rPr>
          <w:lang w:val="en-CA"/>
        </w:rPr>
        <w:t xml:space="preserve"> (</w:t>
      </w:r>
      <w:r w:rsidRPr="004457BB">
        <w:rPr>
          <w:lang w:val="en-CA"/>
        </w:rPr>
        <w:t xml:space="preserve">see </w:t>
      </w:r>
      <w:r w:rsidRPr="000A0EA1">
        <w:rPr>
          <w:lang w:val="en-CA"/>
        </w:rPr>
        <w:t>s</w:t>
      </w:r>
      <w:r w:rsidR="0062160E">
        <w:rPr>
          <w:lang w:val="en-CA"/>
        </w:rPr>
        <w:t>s. 1</w:t>
      </w:r>
      <w:r w:rsidRPr="000A0EA1">
        <w:rPr>
          <w:lang w:val="en-CA"/>
        </w:rPr>
        <w:t xml:space="preserve">96 to 201 of </w:t>
      </w:r>
      <w:r w:rsidR="00C33BBC">
        <w:rPr>
          <w:i/>
          <w:iCs/>
          <w:lang w:val="en-CA"/>
        </w:rPr>
        <w:t>Bill 40</w:t>
      </w:r>
      <w:r w:rsidRPr="000A0EA1">
        <w:rPr>
          <w:lang w:val="en-CA"/>
        </w:rPr>
        <w:t>).</w:t>
      </w:r>
      <w:bookmarkEnd w:id="28"/>
    </w:p>
  </w:footnote>
  <w:footnote w:id="48">
    <w:p w14:paraId="17F5F4A3" w14:textId="5E8D5AE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To calculate the number of community representative positions, see </w:t>
      </w:r>
      <w:r w:rsidR="0062160E">
        <w:rPr>
          <w:lang w:val="en-CA"/>
        </w:rPr>
        <w:t>s. 1</w:t>
      </w:r>
      <w:r w:rsidRPr="000A0EA1">
        <w:rPr>
          <w:lang w:val="en-CA"/>
        </w:rPr>
        <w:t xml:space="preserve">1.0.1 of the </w:t>
      </w:r>
      <w:r w:rsidRPr="000A0EA1">
        <w:rPr>
          <w:i/>
          <w:iCs/>
          <w:lang w:val="en-CA"/>
        </w:rPr>
        <w:t>New Act respecting school elections</w:t>
      </w:r>
      <w:r w:rsidRPr="000A0EA1">
        <w:rPr>
          <w:lang w:val="en-CA"/>
        </w:rPr>
        <w:t xml:space="preserve"> (as enacted by </w:t>
      </w:r>
      <w:r w:rsidR="0062160E">
        <w:rPr>
          <w:lang w:val="en-CA"/>
        </w:rPr>
        <w:t>s. 2</w:t>
      </w:r>
      <w:r w:rsidRPr="000A0EA1">
        <w:rPr>
          <w:lang w:val="en-CA"/>
        </w:rPr>
        <w:t xml:space="preserve">08 of </w:t>
      </w:r>
      <w:r w:rsidR="00C33BBC">
        <w:rPr>
          <w:i/>
          <w:iCs/>
          <w:lang w:val="en-CA"/>
        </w:rPr>
        <w:t>Bill 40</w:t>
      </w:r>
      <w:r w:rsidRPr="000A0EA1">
        <w:rPr>
          <w:lang w:val="en-CA"/>
        </w:rPr>
        <w:t>).</w:t>
      </w:r>
    </w:p>
  </w:footnote>
  <w:footnote w:id="49">
    <w:p w14:paraId="17F5F4A4" w14:textId="58C12CA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143.1 </w:t>
      </w:r>
      <w:r w:rsidR="0062160E">
        <w:rPr>
          <w:lang w:val="en-CA"/>
        </w:rPr>
        <w:t>para. 1</w:t>
      </w:r>
      <w:r w:rsidRPr="000A0EA1">
        <w:rPr>
          <w:lang w:val="en-CA"/>
        </w:rPr>
        <w:t xml:space="preserve"> subpara. (2)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 xml:space="preserve">) and </w:t>
      </w:r>
      <w:r w:rsidR="0062160E">
        <w:rPr>
          <w:lang w:val="en-CA"/>
        </w:rPr>
        <w:t>s. 2</w:t>
      </w:r>
      <w:r w:rsidRPr="000A0EA1">
        <w:rPr>
          <w:lang w:val="en-CA"/>
        </w:rPr>
        <w:t xml:space="preserve">0.1 of the </w:t>
      </w:r>
      <w:r w:rsidRPr="000A0EA1">
        <w:rPr>
          <w:i/>
          <w:iCs/>
          <w:lang w:val="en-CA"/>
        </w:rPr>
        <w:t>New Act respecting school elections</w:t>
      </w:r>
      <w:r w:rsidRPr="000A0EA1">
        <w:rPr>
          <w:lang w:val="en-CA"/>
        </w:rPr>
        <w:t xml:space="preserve"> (as enacted by </w:t>
      </w:r>
      <w:r w:rsidR="0062160E">
        <w:rPr>
          <w:lang w:val="en-CA"/>
        </w:rPr>
        <w:t>s. 2</w:t>
      </w:r>
      <w:r w:rsidRPr="000A0EA1">
        <w:rPr>
          <w:lang w:val="en-CA"/>
        </w:rPr>
        <w:t xml:space="preserve">16 of </w:t>
      </w:r>
      <w:r w:rsidR="00C33BBC">
        <w:rPr>
          <w:i/>
          <w:iCs/>
          <w:lang w:val="en-CA"/>
        </w:rPr>
        <w:t>Bill 40</w:t>
      </w:r>
      <w:r w:rsidRPr="000A0EA1">
        <w:rPr>
          <w:lang w:val="en-CA"/>
        </w:rPr>
        <w:t xml:space="preserve">). The order in which these expertise profiles are attributed is set out in </w:t>
      </w:r>
      <w:r w:rsidR="0062160E">
        <w:rPr>
          <w:lang w:val="en-CA"/>
        </w:rPr>
        <w:t>s. 1</w:t>
      </w:r>
      <w:r w:rsidRPr="000A0EA1">
        <w:rPr>
          <w:lang w:val="en-CA"/>
        </w:rPr>
        <w:t xml:space="preserve">1.0.2 of the </w:t>
      </w:r>
      <w:r w:rsidRPr="000A0EA1">
        <w:rPr>
          <w:i/>
          <w:iCs/>
          <w:lang w:val="en-CA"/>
        </w:rPr>
        <w:t xml:space="preserve">New Act respecting school elections </w:t>
      </w:r>
      <w:r w:rsidRPr="000A0EA1">
        <w:rPr>
          <w:lang w:val="en-CA"/>
        </w:rPr>
        <w:t xml:space="preserve">(as enacted by </w:t>
      </w:r>
      <w:r w:rsidR="0062160E">
        <w:rPr>
          <w:lang w:val="en-CA"/>
        </w:rPr>
        <w:t>s. 2</w:t>
      </w:r>
      <w:r w:rsidRPr="000A0EA1">
        <w:rPr>
          <w:lang w:val="en-CA"/>
        </w:rPr>
        <w:t xml:space="preserve">08 of </w:t>
      </w:r>
      <w:r w:rsidR="00C33BBC">
        <w:rPr>
          <w:i/>
          <w:iCs/>
          <w:lang w:val="en-CA"/>
        </w:rPr>
        <w:t>Bill 40</w:t>
      </w:r>
      <w:r w:rsidRPr="000A0EA1">
        <w:rPr>
          <w:lang w:val="en-CA"/>
        </w:rPr>
        <w:t>).</w:t>
      </w:r>
    </w:p>
  </w:footnote>
  <w:footnote w:id="50">
    <w:p w14:paraId="17F5F4A5" w14:textId="47504BD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4.1 </w:t>
      </w:r>
      <w:r w:rsidR="0062160E">
        <w:rPr>
          <w:lang w:val="en-CA"/>
        </w:rPr>
        <w:t>para. 2</w:t>
      </w:r>
      <w:r w:rsidRPr="000A0EA1">
        <w:rPr>
          <w:lang w:val="en-CA"/>
        </w:rPr>
        <w:t xml:space="preserve"> of the </w:t>
      </w:r>
      <w:r w:rsidRPr="000A0EA1">
        <w:rPr>
          <w:i/>
          <w:iCs/>
          <w:lang w:val="en-CA"/>
        </w:rPr>
        <w:t>New Act respecting school elections</w:t>
      </w:r>
      <w:r w:rsidRPr="000A0EA1">
        <w:rPr>
          <w:lang w:val="en-CA"/>
        </w:rPr>
        <w:t xml:space="preserve"> (as amended by </w:t>
      </w:r>
      <w:r w:rsidR="0062160E">
        <w:rPr>
          <w:lang w:val="en-CA"/>
        </w:rPr>
        <w:t>s. 1</w:t>
      </w:r>
      <w:r w:rsidRPr="000A0EA1">
        <w:rPr>
          <w:lang w:val="en-CA"/>
        </w:rPr>
        <w:t xml:space="preserve">96 of </w:t>
      </w:r>
      <w:r w:rsidR="00C33BBC">
        <w:rPr>
          <w:i/>
          <w:iCs/>
          <w:lang w:val="en-CA"/>
        </w:rPr>
        <w:t>Bill 40</w:t>
      </w:r>
      <w:r w:rsidRPr="000A0EA1">
        <w:rPr>
          <w:lang w:val="en-CA"/>
        </w:rPr>
        <w:t>).</w:t>
      </w:r>
    </w:p>
  </w:footnote>
  <w:footnote w:id="51">
    <w:p w14:paraId="17F5F4A6" w14:textId="7A2CFA7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143.1 </w:t>
      </w:r>
      <w:r w:rsidR="0062160E">
        <w:rPr>
          <w:lang w:val="en-CA"/>
        </w:rPr>
        <w:t>para. 1</w:t>
      </w:r>
      <w:r w:rsidRPr="000A0EA1">
        <w:rPr>
          <w:lang w:val="en-CA"/>
        </w:rPr>
        <w:t xml:space="preserve"> subpara. (3) and </w:t>
      </w:r>
      <w:r w:rsidR="0062160E">
        <w:rPr>
          <w:lang w:val="en-CA"/>
        </w:rPr>
        <w:t>para. 2</w:t>
      </w:r>
      <w:r w:rsidRPr="000A0EA1">
        <w:rPr>
          <w:lang w:val="en-CA"/>
        </w:rPr>
        <w:t xml:space="preserve"> and </w:t>
      </w:r>
      <w:r w:rsidR="0062160E">
        <w:rPr>
          <w:lang w:val="en-CA"/>
        </w:rPr>
        <w:t>s. 1</w:t>
      </w:r>
      <w:r w:rsidRPr="000A0EA1">
        <w:rPr>
          <w:lang w:val="en-CA"/>
        </w:rPr>
        <w:t xml:space="preserve">43.2 of the </w:t>
      </w:r>
      <w:r w:rsidRPr="000A0EA1">
        <w:rPr>
          <w:i/>
          <w:iCs/>
          <w:lang w:val="en-CA"/>
        </w:rPr>
        <w:t>EA</w:t>
      </w:r>
      <w:r w:rsidRPr="000A0EA1">
        <w:rPr>
          <w:lang w:val="en-CA"/>
        </w:rPr>
        <w:t xml:space="preserve"> (as amended by </w:t>
      </w:r>
      <w:r w:rsidR="0062160E">
        <w:rPr>
          <w:lang w:val="en-CA"/>
        </w:rPr>
        <w:t>s. 5</w:t>
      </w:r>
      <w:r w:rsidRPr="000A0EA1">
        <w:rPr>
          <w:lang w:val="en-CA"/>
        </w:rPr>
        <w:t xml:space="preserve">0 of </w:t>
      </w:r>
      <w:r w:rsidR="00C33BBC">
        <w:rPr>
          <w:i/>
          <w:iCs/>
          <w:lang w:val="en-CA"/>
        </w:rPr>
        <w:t>Bill 40</w:t>
      </w:r>
      <w:r w:rsidRPr="000A0EA1">
        <w:rPr>
          <w:lang w:val="en-CA"/>
        </w:rPr>
        <w:t>) and s</w:t>
      </w:r>
      <w:r w:rsidR="0062160E">
        <w:rPr>
          <w:lang w:val="en-CA"/>
        </w:rPr>
        <w:t>s. 1</w:t>
      </w:r>
      <w:r w:rsidRPr="000A0EA1">
        <w:rPr>
          <w:lang w:val="en-CA"/>
        </w:rPr>
        <w:t xml:space="preserve">8 to 24 of the </w:t>
      </w:r>
      <w:r w:rsidRPr="000A0EA1">
        <w:rPr>
          <w:i/>
          <w:iCs/>
          <w:lang w:val="en-CA"/>
        </w:rPr>
        <w:t>Regulation respecting the designation of members of the boards of directors of school service centres</w:t>
      </w:r>
      <w:r w:rsidRPr="000A0EA1">
        <w:rPr>
          <w:lang w:val="en-CA"/>
        </w:rPr>
        <w:t>, CQLR,</w:t>
      </w:r>
      <w:r w:rsidR="003D5956">
        <w:rPr>
          <w:lang w:val="en-CA"/>
        </w:rPr>
        <w:t> </w:t>
      </w:r>
      <w:r w:rsidRPr="000A0EA1">
        <w:rPr>
          <w:lang w:val="en-CA"/>
        </w:rPr>
        <w:t>c.</w:t>
      </w:r>
      <w:r w:rsidR="003D5956">
        <w:rPr>
          <w:lang w:val="en-CA"/>
        </w:rPr>
        <w:t> </w:t>
      </w:r>
      <w:r w:rsidRPr="000A0EA1">
        <w:rPr>
          <w:lang w:val="en-CA"/>
        </w:rPr>
        <w:t>I</w:t>
      </w:r>
      <w:r w:rsidR="003D5956">
        <w:rPr>
          <w:lang w:val="en-CA"/>
        </w:rPr>
        <w:noBreakHyphen/>
      </w:r>
      <w:r w:rsidRPr="000A0EA1">
        <w:rPr>
          <w:lang w:val="en-CA"/>
        </w:rPr>
        <w:t>13.3, r.</w:t>
      </w:r>
      <w:r w:rsidR="003D5956">
        <w:rPr>
          <w:lang w:val="en-CA"/>
        </w:rPr>
        <w:t> </w:t>
      </w:r>
      <w:r w:rsidRPr="000A0EA1">
        <w:rPr>
          <w:lang w:val="en-CA"/>
        </w:rPr>
        <w:t>5.1.</w:t>
      </w:r>
    </w:p>
  </w:footnote>
  <w:footnote w:id="52">
    <w:p w14:paraId="17F5F4A7" w14:textId="4BC501E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76 of </w:t>
      </w:r>
      <w:r w:rsidR="00C33BBC">
        <w:rPr>
          <w:i/>
          <w:iCs/>
          <w:lang w:val="en-CA"/>
        </w:rPr>
        <w:t>Bill 40</w:t>
      </w:r>
      <w:r w:rsidRPr="000A0EA1">
        <w:rPr>
          <w:lang w:val="en-CA"/>
        </w:rPr>
        <w:t>, which repeals s</w:t>
      </w:r>
      <w:r w:rsidR="0062160E">
        <w:rPr>
          <w:lang w:val="en-CA"/>
        </w:rPr>
        <w:t>s. 1</w:t>
      </w:r>
      <w:r w:rsidRPr="000A0EA1">
        <w:rPr>
          <w:lang w:val="en-CA"/>
        </w:rPr>
        <w:t xml:space="preserve">79 to 182 of the </w:t>
      </w:r>
      <w:r w:rsidRPr="000A0EA1">
        <w:rPr>
          <w:i/>
          <w:iCs/>
          <w:lang w:val="en-CA"/>
        </w:rPr>
        <w:t xml:space="preserve">EA </w:t>
      </w:r>
      <w:r w:rsidRPr="000A0EA1">
        <w:rPr>
          <w:lang w:val="en-CA"/>
        </w:rPr>
        <w:t>dealing with the executive committee of the council of commissioners.</w:t>
      </w:r>
    </w:p>
  </w:footnote>
  <w:footnote w:id="53">
    <w:p w14:paraId="17F5F4A8" w14:textId="4876CD9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52 of </w:t>
      </w:r>
      <w:r w:rsidR="00C33BBC">
        <w:rPr>
          <w:i/>
          <w:iCs/>
          <w:lang w:val="en-CA"/>
        </w:rPr>
        <w:t>Bill 40</w:t>
      </w:r>
      <w:r w:rsidRPr="000A0EA1">
        <w:rPr>
          <w:lang w:val="en-CA"/>
        </w:rPr>
        <w:t xml:space="preserve">, which replaces </w:t>
      </w:r>
      <w:r w:rsidR="0062160E">
        <w:rPr>
          <w:lang w:val="en-CA"/>
        </w:rPr>
        <w:t>s. 1</w:t>
      </w:r>
      <w:r w:rsidRPr="000A0EA1">
        <w:rPr>
          <w:lang w:val="en-CA"/>
        </w:rPr>
        <w:t xml:space="preserve">55 of the </w:t>
      </w:r>
      <w:r w:rsidRPr="000A0EA1">
        <w:rPr>
          <w:i/>
          <w:iCs/>
          <w:lang w:val="en-CA"/>
        </w:rPr>
        <w:t>EA</w:t>
      </w:r>
      <w:r w:rsidRPr="000A0EA1">
        <w:rPr>
          <w:lang w:val="en-CA"/>
        </w:rPr>
        <w:t>.</w:t>
      </w:r>
    </w:p>
  </w:footnote>
  <w:footnote w:id="54">
    <w:p w14:paraId="17F5F4A9" w14:textId="45966A1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66 of </w:t>
      </w:r>
      <w:r w:rsidR="00C33BBC">
        <w:rPr>
          <w:i/>
          <w:iCs/>
          <w:lang w:val="en-CA"/>
        </w:rPr>
        <w:t>Bill 40</w:t>
      </w:r>
      <w:r w:rsidRPr="000A0EA1">
        <w:rPr>
          <w:lang w:val="en-CA"/>
        </w:rPr>
        <w:t xml:space="preserve">, which replaces </w:t>
      </w:r>
      <w:r w:rsidR="0062160E">
        <w:rPr>
          <w:lang w:val="en-CA"/>
        </w:rPr>
        <w:t>s. 1</w:t>
      </w:r>
      <w:r w:rsidRPr="000A0EA1">
        <w:rPr>
          <w:lang w:val="en-CA"/>
        </w:rPr>
        <w:t xml:space="preserve">75 of the </w:t>
      </w:r>
      <w:r w:rsidRPr="000A0EA1">
        <w:rPr>
          <w:i/>
          <w:iCs/>
          <w:lang w:val="en-CA"/>
        </w:rPr>
        <w:t>EA</w:t>
      </w:r>
      <w:r w:rsidRPr="000A0EA1">
        <w:rPr>
          <w:lang w:val="en-CA"/>
        </w:rPr>
        <w:t>.</w:t>
      </w:r>
    </w:p>
  </w:footnote>
  <w:footnote w:id="55">
    <w:p w14:paraId="17F5F4AA" w14:textId="7B3F147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93 of </w:t>
      </w:r>
      <w:r w:rsidR="00C33BBC">
        <w:rPr>
          <w:i/>
          <w:iCs/>
          <w:lang w:val="en-CA"/>
        </w:rPr>
        <w:t>Bill 40</w:t>
      </w:r>
      <w:r w:rsidRPr="000A0EA1">
        <w:rPr>
          <w:lang w:val="en-CA"/>
        </w:rPr>
        <w:t xml:space="preserve">, which amends </w:t>
      </w:r>
      <w:r w:rsidR="0062160E">
        <w:rPr>
          <w:lang w:val="en-CA"/>
        </w:rPr>
        <w:t>s. 2</w:t>
      </w:r>
      <w:r w:rsidRPr="000A0EA1">
        <w:rPr>
          <w:lang w:val="en-CA"/>
        </w:rPr>
        <w:t xml:space="preserve">01 of the </w:t>
      </w:r>
      <w:r w:rsidRPr="000A0EA1">
        <w:rPr>
          <w:i/>
          <w:iCs/>
          <w:lang w:val="en-CA"/>
        </w:rPr>
        <w:t>EA</w:t>
      </w:r>
      <w:r w:rsidRPr="000A0EA1">
        <w:rPr>
          <w:lang w:val="en-CA"/>
        </w:rPr>
        <w:t>.</w:t>
      </w:r>
    </w:p>
  </w:footnote>
  <w:footnote w:id="56">
    <w:p w14:paraId="17F5F4AB" w14:textId="6C030F7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91 and 98 of </w:t>
      </w:r>
      <w:r w:rsidR="00C33BBC">
        <w:rPr>
          <w:i/>
          <w:iCs/>
          <w:lang w:val="en-CA"/>
        </w:rPr>
        <w:t>Bill 40</w:t>
      </w:r>
      <w:r w:rsidRPr="000A0EA1">
        <w:rPr>
          <w:lang w:val="en-CA"/>
        </w:rPr>
        <w:t xml:space="preserve"> (which add s</w:t>
      </w:r>
      <w:r w:rsidR="0062160E">
        <w:rPr>
          <w:lang w:val="en-CA"/>
        </w:rPr>
        <w:t>s. 1</w:t>
      </w:r>
      <w:r w:rsidRPr="000A0EA1">
        <w:rPr>
          <w:lang w:val="en-CA"/>
        </w:rPr>
        <w:t xml:space="preserve">93.6 to 193.9 to the </w:t>
      </w:r>
      <w:r w:rsidRPr="000A0EA1">
        <w:rPr>
          <w:i/>
          <w:iCs/>
          <w:lang w:val="en-CA"/>
        </w:rPr>
        <w:t>EA</w:t>
      </w:r>
      <w:r w:rsidRPr="000A0EA1">
        <w:rPr>
          <w:lang w:val="en-CA"/>
        </w:rPr>
        <w:t xml:space="preserve"> and amend </w:t>
      </w:r>
      <w:r w:rsidR="0062160E">
        <w:rPr>
          <w:lang w:val="en-CA"/>
        </w:rPr>
        <w:t>s. 2</w:t>
      </w:r>
      <w:r w:rsidRPr="000A0EA1">
        <w:rPr>
          <w:lang w:val="en-CA"/>
        </w:rPr>
        <w:t xml:space="preserve">09.1 of the </w:t>
      </w:r>
      <w:r w:rsidRPr="000A0EA1">
        <w:rPr>
          <w:i/>
          <w:iCs/>
          <w:lang w:val="en-CA"/>
        </w:rPr>
        <w:t>EA</w:t>
      </w:r>
      <w:r w:rsidRPr="000A0EA1">
        <w:rPr>
          <w:lang w:val="en-CA"/>
        </w:rPr>
        <w:t>).</w:t>
      </w:r>
    </w:p>
  </w:footnote>
  <w:footnote w:id="57">
    <w:p w14:paraId="17F5F4AC" w14:textId="072C364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This provision is not yet in force for the </w:t>
      </w:r>
      <w:r w:rsidR="00312FD9">
        <w:rPr>
          <w:lang w:val="en-CA"/>
        </w:rPr>
        <w:t>English</w:t>
      </w:r>
      <w:r w:rsidR="00312FD9">
        <w:rPr>
          <w:lang w:val="en-CA"/>
        </w:rPr>
        <w:noBreakHyphen/>
        <w:t>speaking</w:t>
      </w:r>
      <w:r w:rsidRPr="000A0EA1">
        <w:rPr>
          <w:lang w:val="en-CA"/>
        </w:rPr>
        <w:t xml:space="preserve"> sector, presumably pending the outcome of the present dispute: </w:t>
      </w:r>
      <w:r w:rsidR="0062160E">
        <w:rPr>
          <w:lang w:val="en-CA"/>
        </w:rPr>
        <w:t>s. 8</w:t>
      </w:r>
      <w:r w:rsidRPr="000A0EA1">
        <w:rPr>
          <w:lang w:val="en-CA"/>
        </w:rPr>
        <w:t xml:space="preserve">5 subpara. (2) of the </w:t>
      </w:r>
      <w:r w:rsidRPr="000A0EA1">
        <w:rPr>
          <w:i/>
          <w:iCs/>
          <w:lang w:val="en-CA"/>
        </w:rPr>
        <w:t>Act to amend mainly the Education Act and to enact the Act respecting the Institut national d</w:t>
      </w:r>
      <w:r w:rsidR="00E46AFD">
        <w:rPr>
          <w:i/>
          <w:iCs/>
          <w:lang w:val="en-CA"/>
        </w:rPr>
        <w:t>’</w:t>
      </w:r>
      <w:r w:rsidRPr="000A0EA1">
        <w:rPr>
          <w:i/>
          <w:iCs/>
          <w:lang w:val="en-CA"/>
        </w:rPr>
        <w:t>excellence en éducation</w:t>
      </w:r>
      <w:r w:rsidRPr="000A0EA1">
        <w:rPr>
          <w:lang w:val="en-CA"/>
        </w:rPr>
        <w:t>, S.Q.,</w:t>
      </w:r>
      <w:r w:rsidR="009B2E39">
        <w:rPr>
          <w:lang w:val="en-CA"/>
        </w:rPr>
        <w:t> </w:t>
      </w:r>
      <w:r w:rsidRPr="000A0EA1">
        <w:rPr>
          <w:lang w:val="en-CA"/>
        </w:rPr>
        <w:t>c.</w:t>
      </w:r>
      <w:r w:rsidR="009B2E39">
        <w:rPr>
          <w:lang w:val="en-CA"/>
        </w:rPr>
        <w:t> </w:t>
      </w:r>
      <w:r w:rsidRPr="000A0EA1">
        <w:rPr>
          <w:lang w:val="en-CA"/>
        </w:rPr>
        <w:t>2023, c.</w:t>
      </w:r>
      <w:r w:rsidR="009B2E39">
        <w:rPr>
          <w:lang w:val="en-CA"/>
        </w:rPr>
        <w:t> </w:t>
      </w:r>
      <w:r w:rsidRPr="000A0EA1">
        <w:rPr>
          <w:lang w:val="en-CA"/>
        </w:rPr>
        <w:t>32.</w:t>
      </w:r>
    </w:p>
  </w:footnote>
  <w:footnote w:id="58">
    <w:p w14:paraId="17F5F4AD" w14:textId="77777777"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p>
  </w:footnote>
  <w:footnote w:id="59">
    <w:p w14:paraId="17F5F4AE" w14:textId="1EEAFC5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53 of the </w:t>
      </w:r>
      <w:r w:rsidRPr="000A0EA1">
        <w:rPr>
          <w:i/>
          <w:iCs/>
          <w:lang w:val="en-CA"/>
        </w:rPr>
        <w:t>Act to amend the Education Act</w:t>
      </w:r>
      <w:r w:rsidRPr="000A0EA1">
        <w:rPr>
          <w:lang w:val="en-CA"/>
        </w:rPr>
        <w:t>, S.Q.</w:t>
      </w:r>
      <w:r w:rsidR="009B2E39">
        <w:rPr>
          <w:lang w:val="en-CA"/>
        </w:rPr>
        <w:t> </w:t>
      </w:r>
      <w:r w:rsidRPr="000A0EA1">
        <w:rPr>
          <w:lang w:val="en-CA"/>
        </w:rPr>
        <w:t>2016, c.</w:t>
      </w:r>
      <w:r w:rsidR="009B2E39">
        <w:rPr>
          <w:lang w:val="en-CA"/>
        </w:rPr>
        <w:t> </w:t>
      </w:r>
      <w:r w:rsidRPr="000A0EA1">
        <w:rPr>
          <w:lang w:val="en-CA"/>
        </w:rPr>
        <w:t>26.</w:t>
      </w:r>
    </w:p>
  </w:footnote>
  <w:footnote w:id="60">
    <w:p w14:paraId="17F5F4AF" w14:textId="13A8ADE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Amended Application for Judicial Review and Declaratory Judgment, Notice of Constitutional Question, June 23, 2021.</w:t>
      </w:r>
    </w:p>
  </w:footnote>
  <w:footnote w:id="61">
    <w:p w14:paraId="17F5F4B0" w14:textId="08EE52B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4</w:t>
      </w:r>
      <w:r w:rsidRPr="000A0EA1">
        <w:rPr>
          <w:lang w:val="en-CA"/>
        </w:rPr>
        <w:t>1.</w:t>
      </w:r>
    </w:p>
  </w:footnote>
  <w:footnote w:id="62">
    <w:p w14:paraId="17F5F4B1" w14:textId="161C2EB3"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 xml:space="preserve">2, citing </w:t>
      </w:r>
      <w:r w:rsidRPr="000A0EA1">
        <w:rPr>
          <w:i/>
          <w:iCs/>
          <w:lang w:val="en-CA"/>
        </w:rPr>
        <w:t>Arsenault-Cameron v. Prince Edward Island</w:t>
      </w:r>
      <w:r w:rsidRPr="000A0EA1">
        <w:rPr>
          <w:lang w:val="en-CA"/>
        </w:rPr>
        <w:t>, 2000</w:t>
      </w:r>
      <w:r w:rsidR="000F7923">
        <w:rPr>
          <w:lang w:val="en-CA"/>
        </w:rPr>
        <w:t> </w:t>
      </w:r>
      <w:r w:rsidRPr="000A0EA1">
        <w:rPr>
          <w:lang w:val="en-CA"/>
        </w:rPr>
        <w:t>SCC</w:t>
      </w:r>
      <w:r w:rsidR="000F7923">
        <w:rPr>
          <w:lang w:val="en-CA"/>
        </w:rPr>
        <w:t> </w:t>
      </w:r>
      <w:r w:rsidRPr="000A0EA1">
        <w:rPr>
          <w:lang w:val="en-CA"/>
        </w:rPr>
        <w:t>1, [2000] 1</w:t>
      </w:r>
      <w:r w:rsidR="00956B70">
        <w:rPr>
          <w:lang w:val="en-CA"/>
        </w:rPr>
        <w:t> S.C.R. </w:t>
      </w:r>
      <w:r w:rsidRPr="000A0EA1">
        <w:rPr>
          <w:lang w:val="en-CA"/>
        </w:rPr>
        <w:t>3 (</w:t>
      </w:r>
      <w:r w:rsidR="00E46AFD">
        <w:rPr>
          <w:lang w:val="en-CA"/>
        </w:rPr>
        <w:t>“</w:t>
      </w:r>
      <w:r w:rsidRPr="000A0EA1">
        <w:rPr>
          <w:i/>
          <w:iCs/>
          <w:lang w:val="en-CA"/>
        </w:rPr>
        <w:t>Arsenault</w:t>
      </w:r>
      <w:r w:rsidR="000F7923">
        <w:rPr>
          <w:i/>
          <w:iCs/>
          <w:lang w:val="en-CA"/>
        </w:rPr>
        <w:noBreakHyphen/>
      </w:r>
      <w:r w:rsidRPr="000A0EA1">
        <w:rPr>
          <w:i/>
          <w:iCs/>
          <w:lang w:val="en-CA"/>
        </w:rPr>
        <w:t>Cameron</w:t>
      </w:r>
      <w:r w:rsidR="00E46AFD">
        <w:rPr>
          <w:lang w:val="en-CA"/>
        </w:rPr>
        <w:t>”</w:t>
      </w:r>
      <w:r w:rsidRPr="000A0EA1">
        <w:rPr>
          <w:lang w:val="en-CA"/>
        </w:rPr>
        <w:t xml:space="preserve">), </w:t>
      </w:r>
      <w:r w:rsidR="0062160E">
        <w:rPr>
          <w:lang w:val="en-CA"/>
        </w:rPr>
        <w:t>para. </w:t>
      </w:r>
      <w:r w:rsidR="0062160E" w:rsidRPr="007D51DF">
        <w:t>5</w:t>
      </w:r>
      <w:r w:rsidRPr="007D51DF">
        <w:t>7.</w:t>
      </w:r>
    </w:p>
  </w:footnote>
  <w:footnote w:id="63">
    <w:p w14:paraId="17F5F4B2" w14:textId="4F4232A9"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t xml:space="preserve">Trial judgment, </w:t>
      </w:r>
      <w:r w:rsidR="0062160E" w:rsidRPr="007D51DF">
        <w:t>para. 4</w:t>
      </w:r>
      <w:r w:rsidRPr="007D51DF">
        <w:t xml:space="preserve">2, citing </w:t>
      </w:r>
      <w:r w:rsidRPr="007D51DF">
        <w:rPr>
          <w:i/>
          <w:iCs/>
        </w:rPr>
        <w:t>Conseil scolaire francophone de la Colombie</w:t>
      </w:r>
      <w:r w:rsidR="000F35C2" w:rsidRPr="007D51DF">
        <w:rPr>
          <w:i/>
          <w:iCs/>
        </w:rPr>
        <w:noBreakHyphen/>
      </w:r>
      <w:r w:rsidRPr="007D51DF">
        <w:rPr>
          <w:i/>
          <w:iCs/>
        </w:rPr>
        <w:t>Britannique v. British Columbia</w:t>
      </w:r>
      <w:r w:rsidRPr="007D51DF">
        <w:t>, 2020 SCC 13, [2020] 1</w:t>
      </w:r>
      <w:r w:rsidR="00956B70" w:rsidRPr="007D51DF">
        <w:t> S.C.R. </w:t>
      </w:r>
      <w:r w:rsidRPr="007D51DF">
        <w:t>678 (</w:t>
      </w:r>
      <w:r w:rsidR="00E46AFD" w:rsidRPr="007D51DF">
        <w:t>“</w:t>
      </w:r>
      <w:r w:rsidRPr="007D51DF">
        <w:rPr>
          <w:i/>
          <w:iCs/>
        </w:rPr>
        <w:t>Conseil scolaire francophone de la Colombie</w:t>
      </w:r>
      <w:r w:rsidR="000F35C2" w:rsidRPr="007D51DF">
        <w:rPr>
          <w:i/>
          <w:iCs/>
        </w:rPr>
        <w:noBreakHyphen/>
      </w:r>
      <w:r w:rsidRPr="007D51DF">
        <w:rPr>
          <w:i/>
          <w:iCs/>
        </w:rPr>
        <w:t>Britannique</w:t>
      </w:r>
      <w:r w:rsidR="00E46AFD" w:rsidRPr="007D51DF">
        <w:t>”</w:t>
      </w:r>
      <w:r w:rsidRPr="007D51DF">
        <w:t xml:space="preserve">), </w:t>
      </w:r>
      <w:r w:rsidR="0062160E" w:rsidRPr="007D51DF">
        <w:t>para. </w:t>
      </w:r>
      <w:r w:rsidR="0062160E">
        <w:rPr>
          <w:lang w:val="en-CA"/>
        </w:rPr>
        <w:t>1</w:t>
      </w:r>
      <w:r w:rsidRPr="000A0EA1">
        <w:rPr>
          <w:lang w:val="en-CA"/>
        </w:rPr>
        <w:t>49.</w:t>
      </w:r>
    </w:p>
  </w:footnote>
  <w:footnote w:id="64">
    <w:p w14:paraId="17F5F4B3" w14:textId="2C965AC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4</w:t>
      </w:r>
      <w:r w:rsidRPr="000A0EA1">
        <w:rPr>
          <w:lang w:val="en-CA"/>
        </w:rPr>
        <w:t xml:space="preserve">3. </w:t>
      </w:r>
    </w:p>
  </w:footnote>
  <w:footnote w:id="65">
    <w:p w14:paraId="17F5F4B4" w14:textId="7E921FB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7.</w:t>
      </w:r>
    </w:p>
  </w:footnote>
  <w:footnote w:id="66">
    <w:p w14:paraId="17F5F4B5" w14:textId="1589AD83" w:rsidR="00F75613" w:rsidRPr="000A0EA1" w:rsidRDefault="00B02E00" w:rsidP="00422239">
      <w:pPr>
        <w:pStyle w:val="Notedebasdepage"/>
        <w:ind w:left="357" w:hanging="357"/>
        <w:rPr>
          <w:lang w:val="en-CA"/>
        </w:rPr>
      </w:pPr>
      <w:r w:rsidRPr="000A0EA1">
        <w:rPr>
          <w:rStyle w:val="Appelnotedebasdep"/>
          <w:lang w:val="en-CA"/>
        </w:rPr>
        <w:footnoteRef/>
      </w:r>
      <w:r w:rsidRPr="000A0EA1">
        <w:rPr>
          <w:i/>
          <w:iCs/>
          <w:lang w:val="en-CA"/>
        </w:rPr>
        <w:t xml:space="preserve"> </w:t>
      </w:r>
      <w:r w:rsidRPr="000A0EA1">
        <w:rPr>
          <w:i/>
          <w:iCs/>
          <w:lang w:val="en-CA"/>
        </w:rPr>
        <w:tab/>
        <w:t>Id.</w:t>
      </w:r>
      <w:r w:rsidRPr="000A0EA1">
        <w:rPr>
          <w:lang w:val="en-CA"/>
        </w:rPr>
        <w:t xml:space="preserve">, </w:t>
      </w:r>
      <w:r w:rsidR="0062160E">
        <w:rPr>
          <w:lang w:val="en-CA"/>
        </w:rPr>
        <w:t>para. 5</w:t>
      </w:r>
      <w:r w:rsidRPr="000A0EA1">
        <w:rPr>
          <w:lang w:val="en-CA"/>
        </w:rPr>
        <w:t>6.</w:t>
      </w:r>
    </w:p>
  </w:footnote>
  <w:footnote w:id="67">
    <w:p w14:paraId="17F5F4B6" w14:textId="5A35411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47.</w:t>
      </w:r>
    </w:p>
  </w:footnote>
  <w:footnote w:id="68">
    <w:p w14:paraId="17F5F4B7" w14:textId="3AA14D8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67, citing Exhibit P</w:t>
      </w:r>
      <w:r w:rsidR="000F35C2">
        <w:rPr>
          <w:lang w:val="en-CA"/>
        </w:rPr>
        <w:noBreakHyphen/>
      </w:r>
      <w:r w:rsidRPr="000A0EA1">
        <w:rPr>
          <w:lang w:val="en-CA"/>
        </w:rPr>
        <w:t>78, Reply to Expert Report of Professor Termote</w:t>
      </w:r>
      <w:r w:rsidR="00E46AFD">
        <w:rPr>
          <w:lang w:val="en-CA"/>
        </w:rPr>
        <w:t>’</w:t>
      </w:r>
      <w:r w:rsidRPr="000A0EA1">
        <w:rPr>
          <w:lang w:val="en-CA"/>
        </w:rPr>
        <w:t>s by Diane Gérin-Lajoie, Professor of University of Toronto, dated April</w:t>
      </w:r>
      <w:r w:rsidR="000F35C2">
        <w:rPr>
          <w:lang w:val="en-CA"/>
        </w:rPr>
        <w:t> </w:t>
      </w:r>
      <w:r w:rsidRPr="000A0EA1">
        <w:rPr>
          <w:lang w:val="en-CA"/>
        </w:rPr>
        <w:t>7, 20</w:t>
      </w:r>
      <w:r w:rsidR="007A75C6">
        <w:rPr>
          <w:lang w:val="en-CA"/>
        </w:rPr>
        <w:t>21</w:t>
      </w:r>
      <w:r w:rsidRPr="000A0EA1">
        <w:rPr>
          <w:lang w:val="en-CA"/>
        </w:rPr>
        <w:t>.</w:t>
      </w:r>
    </w:p>
  </w:footnote>
  <w:footnote w:id="69">
    <w:p w14:paraId="17F5F4B8" w14:textId="0EE75529" w:rsidR="00F75613" w:rsidRPr="000A0EA1" w:rsidRDefault="00B02E00" w:rsidP="00422239">
      <w:pPr>
        <w:pStyle w:val="Notedebasdepage"/>
        <w:ind w:left="357" w:hanging="357"/>
        <w:rPr>
          <w:i/>
          <w:iCs/>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1</w:t>
      </w:r>
      <w:r w:rsidRPr="000A0EA1">
        <w:rPr>
          <w:lang w:val="en-CA"/>
        </w:rPr>
        <w:t>68.</w:t>
      </w:r>
    </w:p>
  </w:footnote>
  <w:footnote w:id="70">
    <w:p w14:paraId="17F5F4B9" w14:textId="06E0F37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08-309.</w:t>
      </w:r>
    </w:p>
  </w:footnote>
  <w:footnote w:id="71">
    <w:p w14:paraId="17F5F4BA" w14:textId="242FD12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88.</w:t>
      </w:r>
    </w:p>
  </w:footnote>
  <w:footnote w:id="72">
    <w:p w14:paraId="17F5F4BB" w14:textId="5AC03C8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91.</w:t>
      </w:r>
    </w:p>
  </w:footnote>
  <w:footnote w:id="73">
    <w:p w14:paraId="17F5F4BC" w14:textId="65AC160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12.</w:t>
      </w:r>
    </w:p>
  </w:footnote>
  <w:footnote w:id="74">
    <w:p w14:paraId="17F5F4BD" w14:textId="275120C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13.</w:t>
      </w:r>
    </w:p>
  </w:footnote>
  <w:footnote w:id="75">
    <w:p w14:paraId="17F5F4BE" w14:textId="4CF7357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36.</w:t>
      </w:r>
    </w:p>
  </w:footnote>
  <w:footnote w:id="76">
    <w:p w14:paraId="17F5F4BF" w14:textId="6F2EE39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38.</w:t>
      </w:r>
    </w:p>
  </w:footnote>
  <w:footnote w:id="77">
    <w:p w14:paraId="17F5F4C0" w14:textId="6E4F291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w:t>
      </w:r>
      <w:r w:rsidR="0062160E">
        <w:rPr>
          <w:lang w:val="en-CA"/>
        </w:rPr>
        <w:t>para. 2</w:t>
      </w:r>
      <w:r w:rsidRPr="000A0EA1">
        <w:rPr>
          <w:lang w:val="en-CA"/>
        </w:rPr>
        <w:t>39.</w:t>
      </w:r>
    </w:p>
  </w:footnote>
  <w:footnote w:id="78">
    <w:p w14:paraId="17F5F4C1" w14:textId="6A64525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43.</w:t>
      </w:r>
    </w:p>
  </w:footnote>
  <w:footnote w:id="79">
    <w:p w14:paraId="17F5F4C2" w14:textId="40D9EA7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48.</w:t>
      </w:r>
    </w:p>
  </w:footnote>
  <w:footnote w:id="80">
    <w:p w14:paraId="17F5F4C3" w14:textId="072F537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59.</w:t>
      </w:r>
    </w:p>
  </w:footnote>
  <w:footnote w:id="81">
    <w:p w14:paraId="17F5F4C4" w14:textId="616DAE83" w:rsidR="009F573C" w:rsidRPr="000A0EA1" w:rsidRDefault="00B02E00" w:rsidP="009F573C">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70.</w:t>
      </w:r>
    </w:p>
  </w:footnote>
  <w:footnote w:id="82">
    <w:p w14:paraId="17F5F4C5" w14:textId="12D3B9B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78.</w:t>
      </w:r>
    </w:p>
  </w:footnote>
  <w:footnote w:id="83">
    <w:p w14:paraId="17F5F4C6" w14:textId="248AD42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79.</w:t>
      </w:r>
    </w:p>
  </w:footnote>
  <w:footnote w:id="84">
    <w:p w14:paraId="17F5F4C7" w14:textId="40AE61AC"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2</w:t>
      </w:r>
      <w:r w:rsidRPr="000A0EA1">
        <w:rPr>
          <w:lang w:val="en-CA"/>
        </w:rPr>
        <w:t>84-285.</w:t>
      </w:r>
    </w:p>
  </w:footnote>
  <w:footnote w:id="85">
    <w:p w14:paraId="17F5F4C8" w14:textId="3E2C9E7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Act to amend the Education Act</w:t>
      </w:r>
      <w:r w:rsidRPr="000A0EA1">
        <w:rPr>
          <w:lang w:val="en-CA"/>
        </w:rPr>
        <w:t xml:space="preserve">, S.Q. 2016, c. 26, </w:t>
      </w:r>
      <w:r w:rsidR="0062160E">
        <w:rPr>
          <w:lang w:val="en-CA"/>
        </w:rPr>
        <w:t>s. 5</w:t>
      </w:r>
      <w:r w:rsidRPr="000A0EA1">
        <w:rPr>
          <w:lang w:val="en-CA"/>
        </w:rPr>
        <w:t>3.</w:t>
      </w:r>
    </w:p>
  </w:footnote>
  <w:footnote w:id="86">
    <w:p w14:paraId="17F5F4C9" w14:textId="29B8D43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93.</w:t>
      </w:r>
    </w:p>
  </w:footnote>
  <w:footnote w:id="87">
    <w:p w14:paraId="17F5F4CA" w14:textId="1746636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2</w:t>
      </w:r>
      <w:r w:rsidRPr="000A0EA1">
        <w:rPr>
          <w:lang w:val="en-CA"/>
        </w:rPr>
        <w:t>94-297.</w:t>
      </w:r>
    </w:p>
  </w:footnote>
  <w:footnote w:id="88">
    <w:p w14:paraId="17F5F4CB" w14:textId="6A912D7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para</w:t>
      </w:r>
      <w:r w:rsidR="0062160E">
        <w:rPr>
          <w:lang w:val="en-CA"/>
        </w:rPr>
        <w:t>s. 3</w:t>
      </w:r>
      <w:r w:rsidRPr="000A0EA1">
        <w:rPr>
          <w:lang w:val="en-CA"/>
        </w:rPr>
        <w:t>03-304.</w:t>
      </w:r>
    </w:p>
  </w:footnote>
  <w:footnote w:id="89">
    <w:p w14:paraId="17F5F4CC" w14:textId="5B434AA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07.</w:t>
      </w:r>
    </w:p>
  </w:footnote>
  <w:footnote w:id="90">
    <w:p w14:paraId="17F5F4CD" w14:textId="1AED025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13-316.</w:t>
      </w:r>
    </w:p>
  </w:footnote>
  <w:footnote w:id="91">
    <w:p w14:paraId="17F5F4CE" w14:textId="1FEDA5A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18.</w:t>
      </w:r>
    </w:p>
  </w:footnote>
  <w:footnote w:id="92">
    <w:p w14:paraId="17F5F4CF" w14:textId="51973055" w:rsidR="0042416B" w:rsidRPr="000A0EA1" w:rsidRDefault="00B02E00">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43.</w:t>
      </w:r>
    </w:p>
  </w:footnote>
  <w:footnote w:id="93">
    <w:p w14:paraId="17F5F4D0" w14:textId="5C3907E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21.</w:t>
      </w:r>
    </w:p>
  </w:footnote>
  <w:footnote w:id="94">
    <w:p w14:paraId="17F5F4D1" w14:textId="5136340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23-324.</w:t>
      </w:r>
    </w:p>
  </w:footnote>
  <w:footnote w:id="95">
    <w:p w14:paraId="17F5F4D2" w14:textId="1874A74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27 and 371-372.</w:t>
      </w:r>
    </w:p>
  </w:footnote>
  <w:footnote w:id="96">
    <w:p w14:paraId="17F5F4D3" w14:textId="574D82E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R. v. Oakes</w:t>
      </w:r>
      <w:r w:rsidRPr="000A0EA1">
        <w:rPr>
          <w:lang w:val="en-CA"/>
        </w:rPr>
        <w:t>, [1986] 1</w:t>
      </w:r>
      <w:r w:rsidR="00956B70">
        <w:rPr>
          <w:lang w:val="en-CA"/>
        </w:rPr>
        <w:t> S.C.R. </w:t>
      </w:r>
      <w:r w:rsidRPr="000A0EA1">
        <w:rPr>
          <w:lang w:val="en-CA"/>
        </w:rPr>
        <w:t>103 (</w:t>
      </w:r>
      <w:r w:rsidR="00E46AFD">
        <w:rPr>
          <w:lang w:val="en-CA"/>
        </w:rPr>
        <w:t>“</w:t>
      </w:r>
      <w:r w:rsidRPr="000A0EA1">
        <w:rPr>
          <w:i/>
          <w:iCs/>
          <w:lang w:val="en-CA"/>
        </w:rPr>
        <w:t>Oakes</w:t>
      </w:r>
      <w:r w:rsidR="00E46AFD">
        <w:rPr>
          <w:lang w:val="en-CA"/>
        </w:rPr>
        <w:t>”</w:t>
      </w:r>
      <w:r w:rsidRPr="000A0EA1">
        <w:rPr>
          <w:lang w:val="en-CA"/>
        </w:rPr>
        <w:t>).</w:t>
      </w:r>
    </w:p>
  </w:footnote>
  <w:footnote w:id="97">
    <w:p w14:paraId="17F5F4D4" w14:textId="234E0B5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83.</w:t>
      </w:r>
    </w:p>
  </w:footnote>
  <w:footnote w:id="98">
    <w:p w14:paraId="17F5F4D5" w14:textId="7B1B1CC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92.</w:t>
      </w:r>
    </w:p>
  </w:footnote>
  <w:footnote w:id="99">
    <w:p w14:paraId="17F5F4D6" w14:textId="5E4BEAE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93.</w:t>
      </w:r>
    </w:p>
  </w:footnote>
  <w:footnote w:id="100">
    <w:p w14:paraId="17F5F4D7" w14:textId="4374EB0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04-408.</w:t>
      </w:r>
    </w:p>
  </w:footnote>
  <w:footnote w:id="101">
    <w:p w14:paraId="17F5F4D8" w14:textId="23EA205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91.</w:t>
      </w:r>
    </w:p>
  </w:footnote>
  <w:footnote w:id="102">
    <w:p w14:paraId="17F5F4D9" w14:textId="3861F23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10-418.</w:t>
      </w:r>
    </w:p>
  </w:footnote>
  <w:footnote w:id="103">
    <w:p w14:paraId="17F5F4DA" w14:textId="14046C3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20 and 439-441.</w:t>
      </w:r>
    </w:p>
  </w:footnote>
  <w:footnote w:id="104">
    <w:p w14:paraId="17F5F4DB" w14:textId="206C4627" w:rsidR="00F76C21" w:rsidRPr="000A0EA1" w:rsidRDefault="00B02E00" w:rsidP="00F76C21">
      <w:pPr>
        <w:pStyle w:val="Notedebasdepage"/>
        <w:rPr>
          <w:lang w:val="en-CA"/>
        </w:rPr>
      </w:pPr>
      <w:r w:rsidRPr="000A0EA1">
        <w:rPr>
          <w:rStyle w:val="Appelnotedebasdep"/>
          <w:lang w:val="en-CA"/>
        </w:rPr>
        <w:footnoteRef/>
      </w:r>
      <w:r w:rsidRPr="000A0EA1">
        <w:rPr>
          <w:lang w:val="en-CA"/>
        </w:rPr>
        <w:t xml:space="preserve"> </w:t>
      </w:r>
      <w:r w:rsidRPr="000A0EA1">
        <w:rPr>
          <w:lang w:val="en-CA"/>
        </w:rPr>
        <w:tab/>
        <w:t>It is clear from the judge</w:t>
      </w:r>
      <w:r w:rsidR="00E46AFD">
        <w:rPr>
          <w:lang w:val="en-CA"/>
        </w:rPr>
        <w:t>’</w:t>
      </w:r>
      <w:r w:rsidRPr="000A0EA1">
        <w:rPr>
          <w:lang w:val="en-CA"/>
        </w:rPr>
        <w:t xml:space="preserve">s reasons and conclusions that he suspended the application of the replacement of </w:t>
      </w:r>
      <w:r w:rsidR="0062160E">
        <w:rPr>
          <w:lang w:val="en-CA"/>
        </w:rPr>
        <w:t>s. 1</w:t>
      </w:r>
      <w:r w:rsidRPr="000A0EA1">
        <w:rPr>
          <w:lang w:val="en-CA"/>
        </w:rPr>
        <w:t xml:space="preserve">55 of the </w:t>
      </w:r>
      <w:r w:rsidRPr="000A0EA1">
        <w:rPr>
          <w:i/>
          <w:iCs/>
          <w:lang w:val="en-CA"/>
        </w:rPr>
        <w:t>EA</w:t>
      </w:r>
      <w:r w:rsidRPr="000A0EA1">
        <w:rPr>
          <w:lang w:val="en-CA"/>
        </w:rPr>
        <w:t xml:space="preserve"> provided for by </w:t>
      </w:r>
      <w:r w:rsidR="0062160E">
        <w:rPr>
          <w:lang w:val="en-CA"/>
        </w:rPr>
        <w:t>s. 5</w:t>
      </w:r>
      <w:r w:rsidRPr="000A0EA1">
        <w:rPr>
          <w:lang w:val="en-CA"/>
        </w:rPr>
        <w:t xml:space="preserve">2 of </w:t>
      </w:r>
      <w:r w:rsidR="00C33BBC">
        <w:rPr>
          <w:i/>
          <w:iCs/>
          <w:lang w:val="en-CA"/>
        </w:rPr>
        <w:t>Bill 40</w:t>
      </w:r>
      <w:r w:rsidRPr="000A0EA1">
        <w:rPr>
          <w:lang w:val="en-CA"/>
        </w:rPr>
        <w:t xml:space="preserve">, so as to revive </w:t>
      </w:r>
      <w:r w:rsidR="0062160E">
        <w:rPr>
          <w:lang w:val="en-CA"/>
        </w:rPr>
        <w:t>s. 1</w:t>
      </w:r>
      <w:r w:rsidRPr="000A0EA1">
        <w:rPr>
          <w:lang w:val="en-CA"/>
        </w:rPr>
        <w:t>55 of the</w:t>
      </w:r>
      <w:r w:rsidRPr="000A0EA1">
        <w:rPr>
          <w:i/>
          <w:iCs/>
          <w:lang w:val="en-CA"/>
        </w:rPr>
        <w:t xml:space="preserve"> EA</w:t>
      </w:r>
      <w:r w:rsidRPr="000A0EA1">
        <w:rPr>
          <w:lang w:val="en-CA"/>
        </w:rPr>
        <w:t xml:space="preserve"> as previously worded, which section prescribed in particular that the </w:t>
      </w:r>
      <w:r w:rsidR="00E46AFD">
        <w:rPr>
          <w:lang w:val="en-CA"/>
        </w:rPr>
        <w:t>“</w:t>
      </w:r>
      <w:r w:rsidRPr="000A0EA1">
        <w:rPr>
          <w:lang w:val="en-CA"/>
        </w:rPr>
        <w:t>chair shall see to the proper operation of the school board</w:t>
      </w:r>
      <w:r w:rsidR="00E46AFD">
        <w:rPr>
          <w:lang w:val="en-CA"/>
        </w:rPr>
        <w:t>”</w:t>
      </w:r>
      <w:r w:rsidRPr="000A0EA1">
        <w:rPr>
          <w:lang w:val="en-CA"/>
        </w:rPr>
        <w:t xml:space="preserve"> and </w:t>
      </w:r>
      <w:r w:rsidR="00E46AFD">
        <w:rPr>
          <w:lang w:val="en-CA"/>
        </w:rPr>
        <w:t>“</w:t>
      </w:r>
      <w:r w:rsidR="00504964">
        <w:rPr>
          <w:lang w:val="en-CA"/>
        </w:rPr>
        <w:t xml:space="preserve">shall […] </w:t>
      </w:r>
      <w:r w:rsidRPr="000A0EA1">
        <w:rPr>
          <w:lang w:val="en-CA"/>
        </w:rPr>
        <w:t>ensure that all applicable legislative and regulatory provisions and all decisions of the council of commissioners are carried out faithfully and impartially</w:t>
      </w:r>
      <w:r w:rsidR="00E46AFD">
        <w:rPr>
          <w:lang w:val="en-CA"/>
        </w:rPr>
        <w:t>”</w:t>
      </w:r>
      <w:r w:rsidRPr="000A0EA1">
        <w:rPr>
          <w:lang w:val="en-CA"/>
        </w:rPr>
        <w:t xml:space="preserve">, and which also conferred on the chair the role of </w:t>
      </w:r>
      <w:r w:rsidR="00E46AFD">
        <w:rPr>
          <w:lang w:val="en-CA"/>
        </w:rPr>
        <w:t>“</w:t>
      </w:r>
      <w:r w:rsidRPr="000A0EA1">
        <w:rPr>
          <w:lang w:val="en-CA"/>
        </w:rPr>
        <w:t>official spokesman for the school board</w:t>
      </w:r>
      <w:r w:rsidR="00E46AFD">
        <w:rPr>
          <w:lang w:val="en-CA"/>
        </w:rPr>
        <w:t>”</w:t>
      </w:r>
      <w:r w:rsidRPr="000A0EA1">
        <w:rPr>
          <w:lang w:val="en-CA"/>
        </w:rPr>
        <w:t>.</w:t>
      </w:r>
    </w:p>
  </w:footnote>
  <w:footnote w:id="105">
    <w:p w14:paraId="17F5F4DC" w14:textId="3B56526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Trial judgment, para</w:t>
      </w:r>
      <w:r w:rsidR="0062160E">
        <w:rPr>
          <w:lang w:val="en-CA"/>
        </w:rPr>
        <w:t>s. 4</w:t>
      </w:r>
      <w:r w:rsidRPr="000A0EA1">
        <w:rPr>
          <w:lang w:val="en-CA"/>
        </w:rPr>
        <w:t>29-431 and 445.</w:t>
      </w:r>
    </w:p>
  </w:footnote>
  <w:footnote w:id="106">
    <w:p w14:paraId="17F5F4DD" w14:textId="3D18D6B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As noted above, this refers to the following provisions of </w:t>
      </w:r>
      <w:r w:rsidR="00C33BBC">
        <w:rPr>
          <w:i/>
          <w:iCs/>
          <w:lang w:val="en-CA"/>
        </w:rPr>
        <w:t>Bill 40</w:t>
      </w:r>
      <w:r w:rsidRPr="000A0EA1">
        <w:rPr>
          <w:lang w:val="en-CA"/>
        </w:rPr>
        <w:t>: s</w:t>
      </w:r>
      <w:r w:rsidR="0062160E">
        <w:rPr>
          <w:lang w:val="en-CA"/>
        </w:rPr>
        <w:t>s. 3</w:t>
      </w:r>
      <w:r w:rsidRPr="000A0EA1">
        <w:rPr>
          <w:lang w:val="en-CA"/>
        </w:rPr>
        <w:t>, 11(3), 51 (insofar as it repeals s</w:t>
      </w:r>
      <w:r w:rsidR="0062160E">
        <w:rPr>
          <w:lang w:val="en-CA"/>
        </w:rPr>
        <w:t>s. 1</w:t>
      </w:r>
      <w:r w:rsidRPr="000A0EA1">
        <w:rPr>
          <w:lang w:val="en-CA"/>
        </w:rPr>
        <w:t>45 to</w:t>
      </w:r>
      <w:r w:rsidR="00AC60FF">
        <w:rPr>
          <w:lang w:val="en-CA"/>
        </w:rPr>
        <w:t xml:space="preserve"> </w:t>
      </w:r>
      <w:r w:rsidRPr="000A0EA1">
        <w:rPr>
          <w:lang w:val="en-CA"/>
        </w:rPr>
        <w:t xml:space="preserve">148 of the </w:t>
      </w:r>
      <w:r w:rsidRPr="000A0EA1">
        <w:rPr>
          <w:i/>
          <w:iCs/>
          <w:lang w:val="en-CA"/>
        </w:rPr>
        <w:t>EA</w:t>
      </w:r>
      <w:r w:rsidRPr="000A0EA1">
        <w:rPr>
          <w:lang w:val="en-CA"/>
        </w:rPr>
        <w:t xml:space="preserve">), 53, 54, 55, 56, 57, 65(1), 67(1), 67(2)(a), 67(2)(c), 69(1), 70, 71, 73(2), 76, 80(1)(c), 88(2), 92, 93(1), 94, 98, 101(2), 115(2), 129, 137, 139 (insofar as it interferes with the provisions of </w:t>
      </w:r>
      <w:r w:rsidR="0062160E">
        <w:rPr>
          <w:lang w:val="en-CA"/>
        </w:rPr>
        <w:t>s. 4</w:t>
      </w:r>
      <w:r w:rsidRPr="000A0EA1">
        <w:rPr>
          <w:lang w:val="en-CA"/>
        </w:rPr>
        <w:t xml:space="preserve">57.8 of the </w:t>
      </w:r>
      <w:r w:rsidRPr="000A0EA1">
        <w:rPr>
          <w:i/>
          <w:iCs/>
          <w:lang w:val="en-CA"/>
        </w:rPr>
        <w:t>EA</w:t>
      </w:r>
      <w:r w:rsidRPr="000A0EA1">
        <w:rPr>
          <w:lang w:val="en-CA"/>
        </w:rPr>
        <w:t>), 140(1), 191, 193, 194, 195, 197, 198, 199, 200, 201, 203, 204, 205, 207(2), 217, 218, 222, 223, 224, 225, 226, 227, 228, 229(1)(b), 229(2), 230, 231, 232(1), 233(1), 234(1)(b), 235, 236(1), 242(1), 242(4), 242(5), 243(1), 244(1), 249, 251(1)(b)(ii), 254(1), 254(3), 255, 260, 261, 262(2), 263, 328(3), 328(4) and 335 (insofar as it provides for the coming into force of provisions that have been ruled inoperative or have been suspended).</w:t>
      </w:r>
    </w:p>
  </w:footnote>
  <w:footnote w:id="107">
    <w:p w14:paraId="17F5F4DE" w14:textId="4D7EEF2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Trial judgment, para</w:t>
      </w:r>
      <w:r w:rsidR="0062160E">
        <w:rPr>
          <w:lang w:val="en-CA"/>
        </w:rPr>
        <w:t>s. 4</w:t>
      </w:r>
      <w:r w:rsidRPr="000A0EA1">
        <w:rPr>
          <w:lang w:val="en-CA"/>
        </w:rPr>
        <w:t>32 and 445.</w:t>
      </w:r>
    </w:p>
  </w:footnote>
  <w:footnote w:id="108">
    <w:p w14:paraId="17F5F4DF" w14:textId="2BE4231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25-426 and 446.</w:t>
      </w:r>
    </w:p>
  </w:footnote>
  <w:footnote w:id="109">
    <w:p w14:paraId="17F5F4E0" w14:textId="3DCE332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 xml:space="preserve">43. </w:t>
      </w:r>
    </w:p>
  </w:footnote>
  <w:footnote w:id="110">
    <w:p w14:paraId="17F5F4E1" w14:textId="15558C2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44.</w:t>
      </w:r>
    </w:p>
  </w:footnote>
  <w:footnote w:id="111">
    <w:p w14:paraId="17F5F4E2" w14:textId="3C8FFED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47.</w:t>
      </w:r>
    </w:p>
  </w:footnote>
  <w:footnote w:id="112">
    <w:p w14:paraId="17F5F4E3" w14:textId="7BFA1F1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45" w:name="_Hlk193795394"/>
      <w:r w:rsidR="00CE405E">
        <w:rPr>
          <w:lang w:val="en-CA"/>
        </w:rPr>
        <w:t>Argument in appellant’s brief</w:t>
      </w:r>
      <w:r w:rsidRPr="000A0EA1">
        <w:rPr>
          <w:lang w:val="en-CA"/>
        </w:rPr>
        <w:t xml:space="preserve">, </w:t>
      </w:r>
      <w:bookmarkEnd w:id="45"/>
      <w:r w:rsidR="0062160E">
        <w:rPr>
          <w:lang w:val="en-CA"/>
        </w:rPr>
        <w:t>para. 3</w:t>
      </w:r>
      <w:r w:rsidRPr="000A0EA1">
        <w:rPr>
          <w:lang w:val="en-CA"/>
        </w:rPr>
        <w:t>2.</w:t>
      </w:r>
    </w:p>
  </w:footnote>
  <w:footnote w:id="113">
    <w:p w14:paraId="187D0127" w14:textId="560CE76E" w:rsidR="00CE405E" w:rsidRPr="00CE405E" w:rsidRDefault="00CE405E">
      <w:pPr>
        <w:pStyle w:val="Notedebasdepage"/>
        <w:rPr>
          <w:lang w:val="en-CA"/>
        </w:rPr>
      </w:pPr>
      <w:r>
        <w:rPr>
          <w:rStyle w:val="Appelnotedebasdep"/>
        </w:rPr>
        <w:footnoteRef/>
      </w:r>
      <w:r w:rsidRPr="00CE405E">
        <w:rPr>
          <w:lang w:val="en-CA"/>
        </w:rPr>
        <w:t xml:space="preserve"> </w:t>
      </w:r>
      <w:r w:rsidRPr="00CE405E">
        <w:rPr>
          <w:lang w:val="en-CA"/>
        </w:rPr>
        <w:tab/>
        <w:t>This q</w:t>
      </w:r>
      <w:r>
        <w:rPr>
          <w:lang w:val="en-CA"/>
        </w:rPr>
        <w:t>uestion implicitly includes a challenge by the AGQ of the judge’s implicit conclusion as to the constitutional invalidity of s. 15 of</w:t>
      </w:r>
      <w:r w:rsidRPr="00CE405E">
        <w:rPr>
          <w:lang w:val="en-CA"/>
        </w:rPr>
        <w:t xml:space="preserve"> the </w:t>
      </w:r>
      <w:r w:rsidRPr="00CE405E">
        <w:rPr>
          <w:i/>
          <w:iCs/>
          <w:lang w:val="en-CA"/>
        </w:rPr>
        <w:t>New Act respecting school elections</w:t>
      </w:r>
      <w:r>
        <w:rPr>
          <w:lang w:val="en-CA"/>
        </w:rPr>
        <w:t>.</w:t>
      </w:r>
    </w:p>
  </w:footnote>
  <w:footnote w:id="114">
    <w:p w14:paraId="17F5F4E4" w14:textId="639093C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873265">
        <w:rPr>
          <w:lang w:val="en-CA"/>
        </w:rPr>
        <w:t>Argument in appellant’s brief</w:t>
      </w:r>
      <w:r w:rsidRPr="000A0EA1">
        <w:rPr>
          <w:lang w:val="en-CA"/>
        </w:rPr>
        <w:t xml:space="preserve">, </w:t>
      </w:r>
      <w:r w:rsidR="0062160E">
        <w:rPr>
          <w:lang w:val="en-CA"/>
        </w:rPr>
        <w:t>para. 3</w:t>
      </w:r>
      <w:r w:rsidRPr="000A0EA1">
        <w:rPr>
          <w:lang w:val="en-CA"/>
        </w:rPr>
        <w:t>6.</w:t>
      </w:r>
    </w:p>
  </w:footnote>
  <w:footnote w:id="115">
    <w:p w14:paraId="17F5F4E5" w14:textId="7BC91C0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i/>
          <w:iCs/>
          <w:lang w:val="en-CA"/>
        </w:rPr>
        <w:tab/>
        <w:t>Id</w:t>
      </w:r>
      <w:r w:rsidRPr="000A0EA1">
        <w:rPr>
          <w:lang w:val="en-CA"/>
        </w:rPr>
        <w:t xml:space="preserve">., </w:t>
      </w:r>
      <w:r w:rsidR="0062160E">
        <w:rPr>
          <w:lang w:val="en-CA"/>
        </w:rPr>
        <w:t>para. 1</w:t>
      </w:r>
      <w:r w:rsidRPr="000A0EA1">
        <w:rPr>
          <w:lang w:val="en-CA"/>
        </w:rPr>
        <w:t>63.</w:t>
      </w:r>
    </w:p>
  </w:footnote>
  <w:footnote w:id="116">
    <w:p w14:paraId="17F5F4E6" w14:textId="44CBA2B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title preceding </w:t>
      </w:r>
      <w:r w:rsidR="0062160E">
        <w:rPr>
          <w:lang w:val="en-CA"/>
        </w:rPr>
        <w:t>para. 3</w:t>
      </w:r>
      <w:r w:rsidRPr="000A0EA1">
        <w:rPr>
          <w:lang w:val="en-CA"/>
        </w:rPr>
        <w:t>6.</w:t>
      </w:r>
    </w:p>
  </w:footnote>
  <w:footnote w:id="117">
    <w:p w14:paraId="17F5F4E7" w14:textId="65D321E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9.</w:t>
      </w:r>
    </w:p>
  </w:footnote>
  <w:footnote w:id="118">
    <w:p w14:paraId="17F5F4E8" w14:textId="64DEE11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5</w:t>
      </w:r>
      <w:r w:rsidRPr="000A0EA1">
        <w:rPr>
          <w:lang w:val="en-CA"/>
        </w:rPr>
        <w:t>1.</w:t>
      </w:r>
    </w:p>
  </w:footnote>
  <w:footnote w:id="119">
    <w:p w14:paraId="17F5F4E9" w14:textId="0181D75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5</w:t>
      </w:r>
      <w:r w:rsidRPr="000A0EA1">
        <w:rPr>
          <w:lang w:val="en-CA"/>
        </w:rPr>
        <w:t>2.</w:t>
      </w:r>
    </w:p>
  </w:footnote>
  <w:footnote w:id="120">
    <w:p w14:paraId="17F5F4EA" w14:textId="353EFC2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5</w:t>
      </w:r>
      <w:r w:rsidRPr="000A0EA1">
        <w:rPr>
          <w:lang w:val="en-CA"/>
        </w:rPr>
        <w:t>3.</w:t>
      </w:r>
    </w:p>
  </w:footnote>
  <w:footnote w:id="121">
    <w:p w14:paraId="17F5F4EB" w14:textId="462321F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6</w:t>
      </w:r>
      <w:r w:rsidRPr="000A0EA1">
        <w:rPr>
          <w:lang w:val="en-CA"/>
        </w:rPr>
        <w:t>8.</w:t>
      </w:r>
    </w:p>
  </w:footnote>
  <w:footnote w:id="122">
    <w:p w14:paraId="17F5F4EC" w14:textId="11468BB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7</w:t>
      </w:r>
      <w:r w:rsidRPr="000A0EA1">
        <w:rPr>
          <w:lang w:val="en-CA"/>
        </w:rPr>
        <w:t>6.</w:t>
      </w:r>
    </w:p>
  </w:footnote>
  <w:footnote w:id="123">
    <w:p w14:paraId="17F5F4ED" w14:textId="2C9B141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7</w:t>
      </w:r>
      <w:r w:rsidRPr="000A0EA1">
        <w:rPr>
          <w:lang w:val="en-CA"/>
        </w:rPr>
        <w:t>4-81.</w:t>
      </w:r>
    </w:p>
  </w:footnote>
  <w:footnote w:id="124">
    <w:p w14:paraId="17F5F4EE" w14:textId="64AF5D2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7</w:t>
      </w:r>
      <w:r w:rsidRPr="000A0EA1">
        <w:rPr>
          <w:lang w:val="en-CA"/>
        </w:rPr>
        <w:t>1.</w:t>
      </w:r>
    </w:p>
  </w:footnote>
  <w:footnote w:id="125">
    <w:p w14:paraId="17F5F4EF" w14:textId="669DAAE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8</w:t>
      </w:r>
      <w:r w:rsidRPr="000A0EA1">
        <w:rPr>
          <w:lang w:val="en-CA"/>
        </w:rPr>
        <w:t>5.</w:t>
      </w:r>
    </w:p>
  </w:footnote>
  <w:footnote w:id="126">
    <w:p w14:paraId="17F5F4F0" w14:textId="28EA6D9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591F9A">
        <w:rPr>
          <w:lang w:val="en-CA"/>
        </w:rPr>
        <w:t>Argument in respondents</w:t>
      </w:r>
      <w:r w:rsidR="00B534EC">
        <w:rPr>
          <w:lang w:val="en-CA"/>
        </w:rPr>
        <w:t>’</w:t>
      </w:r>
      <w:r w:rsidR="00591F9A">
        <w:rPr>
          <w:lang w:val="en-CA"/>
        </w:rPr>
        <w:t xml:space="preserve"> brief</w:t>
      </w:r>
      <w:r w:rsidRPr="000A0EA1">
        <w:rPr>
          <w:lang w:val="en-CA"/>
        </w:rPr>
        <w:t xml:space="preserve">, </w:t>
      </w:r>
      <w:r w:rsidR="0062160E">
        <w:rPr>
          <w:lang w:val="en-CA"/>
        </w:rPr>
        <w:t>para. 2</w:t>
      </w:r>
      <w:r w:rsidRPr="000A0EA1">
        <w:rPr>
          <w:lang w:val="en-CA"/>
        </w:rPr>
        <w:t>8.</w:t>
      </w:r>
    </w:p>
  </w:footnote>
  <w:footnote w:id="127">
    <w:p w14:paraId="17F5F4F1" w14:textId="74F32EE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9.</w:t>
      </w:r>
    </w:p>
  </w:footnote>
  <w:footnote w:id="128">
    <w:p w14:paraId="17F5F4F2" w14:textId="4CEA8E5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1-33.</w:t>
      </w:r>
    </w:p>
  </w:footnote>
  <w:footnote w:id="129">
    <w:p w14:paraId="17F5F4F3" w14:textId="2E8C71C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3</w:t>
      </w:r>
      <w:r w:rsidRPr="000A0EA1">
        <w:rPr>
          <w:lang w:val="en-CA"/>
        </w:rPr>
        <w:t>5-36, 38-39 and 43-47.</w:t>
      </w:r>
    </w:p>
  </w:footnote>
  <w:footnote w:id="130">
    <w:p w14:paraId="17F5F4F4" w14:textId="08ACC71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0 and 50.</w:t>
      </w:r>
    </w:p>
  </w:footnote>
  <w:footnote w:id="131">
    <w:p w14:paraId="17F5F4F5" w14:textId="3DC1D1F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9</w:t>
      </w:r>
      <w:r w:rsidRPr="000A0EA1">
        <w:rPr>
          <w:lang w:val="en-CA"/>
        </w:rPr>
        <w:t>1-97.</w:t>
      </w:r>
    </w:p>
  </w:footnote>
  <w:footnote w:id="132">
    <w:p w14:paraId="17F5F4F6" w14:textId="5D4CBE0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Quebec Community Groups Network c. Quebec English School Boards Association</w:t>
      </w:r>
      <w:r w:rsidRPr="000A0EA1">
        <w:rPr>
          <w:lang w:val="en-CA"/>
        </w:rPr>
        <w:t xml:space="preserve">, 2024 QCCA 897, </w:t>
      </w:r>
      <w:r w:rsidR="0062160E">
        <w:rPr>
          <w:lang w:val="en-CA"/>
        </w:rPr>
        <w:t>para. 4</w:t>
      </w:r>
      <w:r w:rsidRPr="000A0EA1">
        <w:rPr>
          <w:lang w:val="en-CA"/>
        </w:rPr>
        <w:t>.</w:t>
      </w:r>
    </w:p>
  </w:footnote>
  <w:footnote w:id="133">
    <w:p w14:paraId="17F5F4F7" w14:textId="679FD32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50" w:name="_Hlk187791627"/>
      <w:r w:rsidRPr="000A0EA1">
        <w:rPr>
          <w:i/>
          <w:iCs/>
          <w:lang w:val="en-CA"/>
        </w:rPr>
        <w:t>R. v. Big M Drug Mart Ltd.</w:t>
      </w:r>
      <w:r w:rsidRPr="000A0EA1">
        <w:rPr>
          <w:lang w:val="en-CA"/>
        </w:rPr>
        <w:t>, [1985] 1</w:t>
      </w:r>
      <w:r w:rsidR="00956B70">
        <w:rPr>
          <w:lang w:val="en-CA"/>
        </w:rPr>
        <w:t> S.C.R. </w:t>
      </w:r>
      <w:r w:rsidRPr="000A0EA1">
        <w:rPr>
          <w:lang w:val="en-CA"/>
        </w:rPr>
        <w:t xml:space="preserve">295, </w:t>
      </w:r>
      <w:r w:rsidR="00E95DC2">
        <w:rPr>
          <w:lang w:val="en-CA"/>
        </w:rPr>
        <w:t>p. </w:t>
      </w:r>
      <w:r w:rsidRPr="000A0EA1">
        <w:rPr>
          <w:lang w:val="en-CA"/>
        </w:rPr>
        <w:t xml:space="preserve">344. See also: </w:t>
      </w:r>
      <w:r w:rsidRPr="000A0EA1">
        <w:rPr>
          <w:i/>
          <w:iCs/>
          <w:lang w:val="en-CA"/>
        </w:rPr>
        <w:t>Canada (Attorney General) v. Power</w:t>
      </w:r>
      <w:r w:rsidRPr="000A0EA1">
        <w:rPr>
          <w:lang w:val="en-CA"/>
        </w:rPr>
        <w:t xml:space="preserve">, 2024 SCC 26, </w:t>
      </w:r>
      <w:r w:rsidR="0062160E">
        <w:rPr>
          <w:lang w:val="en-CA"/>
        </w:rPr>
        <w:t>para. 2</w:t>
      </w:r>
      <w:r w:rsidRPr="000A0EA1">
        <w:rPr>
          <w:lang w:val="en-CA"/>
        </w:rPr>
        <w:t xml:space="preserve">6; </w:t>
      </w:r>
      <w:r w:rsidRPr="000A0EA1">
        <w:rPr>
          <w:i/>
          <w:iCs/>
          <w:lang w:val="en-CA"/>
        </w:rPr>
        <w:t>Québec (Attorney General) v. 9147-0732 Québec Inc</w:t>
      </w:r>
      <w:r w:rsidRPr="000A0EA1">
        <w:rPr>
          <w:lang w:val="en-CA"/>
        </w:rPr>
        <w:t>., 2020 SCC 32, [2020]</w:t>
      </w:r>
      <w:r w:rsidR="0059593C">
        <w:rPr>
          <w:lang w:val="en-CA"/>
        </w:rPr>
        <w:t> </w:t>
      </w:r>
      <w:r w:rsidRPr="000A0EA1">
        <w:rPr>
          <w:lang w:val="en-CA"/>
        </w:rPr>
        <w:t>3</w:t>
      </w:r>
      <w:r w:rsidR="00956B70">
        <w:rPr>
          <w:lang w:val="en-CA"/>
        </w:rPr>
        <w:t> S.C.R. </w:t>
      </w:r>
      <w:r w:rsidRPr="000A0EA1">
        <w:rPr>
          <w:lang w:val="en-CA"/>
        </w:rPr>
        <w:t xml:space="preserve">426, </w:t>
      </w:r>
      <w:r w:rsidR="0062160E">
        <w:rPr>
          <w:lang w:val="en-CA"/>
        </w:rPr>
        <w:t>para. </w:t>
      </w:r>
      <w:r w:rsidR="0062160E" w:rsidRPr="007D51DF">
        <w:t>7</w:t>
      </w:r>
      <w:r w:rsidRPr="007D51DF">
        <w:t xml:space="preserve">; </w:t>
      </w:r>
      <w:r w:rsidRPr="007D51DF">
        <w:rPr>
          <w:i/>
          <w:iCs/>
        </w:rPr>
        <w:t>Conseil scolaire francophone de la Colombie</w:t>
      </w:r>
      <w:r w:rsidR="0059593C" w:rsidRPr="007D51DF">
        <w:rPr>
          <w:i/>
          <w:iCs/>
        </w:rPr>
        <w:noBreakHyphen/>
      </w:r>
      <w:r w:rsidRPr="007D51DF">
        <w:rPr>
          <w:i/>
          <w:iCs/>
        </w:rPr>
        <w:t>Britannique v. British Columbia</w:t>
      </w:r>
      <w:r w:rsidRPr="007D51DF">
        <w:t>, 2020 SCC 13, [2020] 1</w:t>
      </w:r>
      <w:r w:rsidR="00956B70" w:rsidRPr="007D51DF">
        <w:t> S.C.R. </w:t>
      </w:r>
      <w:r w:rsidRPr="007D51DF">
        <w:t xml:space="preserve">678, </w:t>
      </w:r>
      <w:r w:rsidR="0062160E" w:rsidRPr="007D51DF">
        <w:t>para. </w:t>
      </w:r>
      <w:r w:rsidR="0062160E">
        <w:rPr>
          <w:lang w:val="en-CA"/>
        </w:rPr>
        <w:t>4</w:t>
      </w:r>
      <w:r w:rsidRPr="000A0EA1">
        <w:rPr>
          <w:lang w:val="en-CA"/>
        </w:rPr>
        <w:t xml:space="preserve">; </w:t>
      </w:r>
      <w:r w:rsidRPr="000A0EA1">
        <w:rPr>
          <w:i/>
          <w:iCs/>
          <w:lang w:val="en-CA"/>
        </w:rPr>
        <w:t>Divito v. Canada (Public Safety and Emergency Preparedness)</w:t>
      </w:r>
      <w:r w:rsidRPr="000A0EA1">
        <w:rPr>
          <w:lang w:val="en-CA"/>
        </w:rPr>
        <w:t>, 2013 SCC 47, [2013] 3</w:t>
      </w:r>
      <w:r w:rsidR="00956B70">
        <w:rPr>
          <w:lang w:val="en-CA"/>
        </w:rPr>
        <w:t> S.C.R. </w:t>
      </w:r>
      <w:r w:rsidRPr="000A0EA1">
        <w:rPr>
          <w:lang w:val="en-CA"/>
        </w:rPr>
        <w:t xml:space="preserve">157, </w:t>
      </w:r>
      <w:r w:rsidR="0062160E">
        <w:rPr>
          <w:lang w:val="en-CA"/>
        </w:rPr>
        <w:t>para. 1</w:t>
      </w:r>
      <w:r w:rsidRPr="000A0EA1">
        <w:rPr>
          <w:lang w:val="en-CA"/>
        </w:rPr>
        <w:t xml:space="preserve">9; </w:t>
      </w:r>
      <w:r w:rsidRPr="000A0EA1">
        <w:rPr>
          <w:i/>
          <w:iCs/>
          <w:lang w:val="en-CA"/>
        </w:rPr>
        <w:t>Doucet</w:t>
      </w:r>
      <w:r w:rsidR="0059593C">
        <w:rPr>
          <w:i/>
          <w:iCs/>
          <w:lang w:val="en-CA"/>
        </w:rPr>
        <w:noBreakHyphen/>
      </w:r>
      <w:r w:rsidRPr="000A0EA1">
        <w:rPr>
          <w:i/>
          <w:iCs/>
          <w:lang w:val="en-CA"/>
        </w:rPr>
        <w:t>Boudreau v. Nova Scotia (Minister of Education)</w:t>
      </w:r>
      <w:r w:rsidRPr="000A0EA1">
        <w:rPr>
          <w:lang w:val="en-CA"/>
        </w:rPr>
        <w:t>, 2003 SCC 62, [2003] 3</w:t>
      </w:r>
      <w:r w:rsidR="00956B70">
        <w:rPr>
          <w:lang w:val="en-CA"/>
        </w:rPr>
        <w:t> S.C.R. </w:t>
      </w:r>
      <w:r w:rsidRPr="000A0EA1">
        <w:rPr>
          <w:lang w:val="en-CA"/>
        </w:rPr>
        <w:t>3 (</w:t>
      </w:r>
      <w:r w:rsidR="00E46AFD">
        <w:rPr>
          <w:lang w:val="en-CA"/>
        </w:rPr>
        <w:t>“</w:t>
      </w:r>
      <w:r w:rsidRPr="000A0EA1">
        <w:rPr>
          <w:i/>
          <w:iCs/>
          <w:lang w:val="en-CA"/>
        </w:rPr>
        <w:t>Doucet</w:t>
      </w:r>
      <w:r w:rsidR="0059593C">
        <w:rPr>
          <w:i/>
          <w:iCs/>
          <w:lang w:val="en-CA"/>
        </w:rPr>
        <w:noBreakHyphen/>
      </w:r>
      <w:r w:rsidRPr="000A0EA1">
        <w:rPr>
          <w:i/>
          <w:iCs/>
          <w:lang w:val="en-CA"/>
        </w:rPr>
        <w:t>Boudreau</w:t>
      </w:r>
      <w:r w:rsidR="00E46AFD">
        <w:rPr>
          <w:lang w:val="en-CA"/>
        </w:rPr>
        <w:t>”</w:t>
      </w:r>
      <w:r w:rsidRPr="000A0EA1">
        <w:rPr>
          <w:lang w:val="en-CA"/>
        </w:rPr>
        <w:t xml:space="preserve">), </w:t>
      </w:r>
      <w:r w:rsidR="0062160E">
        <w:rPr>
          <w:lang w:val="en-CA"/>
        </w:rPr>
        <w:t>para. 2</w:t>
      </w:r>
      <w:r w:rsidRPr="000A0EA1">
        <w:rPr>
          <w:lang w:val="en-CA"/>
        </w:rPr>
        <w:t>3</w:t>
      </w:r>
      <w:bookmarkEnd w:id="50"/>
      <w:r w:rsidRPr="000A0EA1">
        <w:rPr>
          <w:lang w:val="en-CA"/>
        </w:rPr>
        <w:t>.</w:t>
      </w:r>
    </w:p>
  </w:footnote>
  <w:footnote w:id="134">
    <w:p w14:paraId="17F5F4F8" w14:textId="08C528F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Société des Acadiens du Nouveau</w:t>
      </w:r>
      <w:r w:rsidR="0059593C">
        <w:rPr>
          <w:i/>
          <w:iCs/>
          <w:lang w:val="en-CA"/>
        </w:rPr>
        <w:noBreakHyphen/>
      </w:r>
      <w:r w:rsidRPr="000A0EA1">
        <w:rPr>
          <w:i/>
          <w:iCs/>
          <w:lang w:val="en-CA"/>
        </w:rPr>
        <w:t>Brunswick Inc. v. Association of Parents for Fairness in Education</w:t>
      </w:r>
      <w:r w:rsidRPr="000A0EA1">
        <w:rPr>
          <w:lang w:val="en-CA"/>
        </w:rPr>
        <w:t>, [1986] 1</w:t>
      </w:r>
      <w:r w:rsidR="00956B70">
        <w:rPr>
          <w:lang w:val="en-CA"/>
        </w:rPr>
        <w:t> S.C.R. </w:t>
      </w:r>
      <w:r w:rsidRPr="000A0EA1">
        <w:rPr>
          <w:lang w:val="en-CA"/>
        </w:rPr>
        <w:t>549, p</w:t>
      </w:r>
      <w:r w:rsidR="00E95DC2">
        <w:rPr>
          <w:lang w:val="en-CA"/>
        </w:rPr>
        <w:t>p. </w:t>
      </w:r>
      <w:r w:rsidRPr="000A0EA1">
        <w:rPr>
          <w:lang w:val="en-CA"/>
        </w:rPr>
        <w:t xml:space="preserve">579-580; </w:t>
      </w:r>
      <w:r w:rsidRPr="000A0EA1">
        <w:rPr>
          <w:i/>
          <w:iCs/>
          <w:lang w:val="en-CA"/>
        </w:rPr>
        <w:t>MacDonald v. City of Montreal</w:t>
      </w:r>
      <w:r w:rsidRPr="000A0EA1">
        <w:rPr>
          <w:lang w:val="en-CA"/>
        </w:rPr>
        <w:t>, [1986] 1</w:t>
      </w:r>
      <w:r w:rsidR="00956B70">
        <w:rPr>
          <w:lang w:val="en-CA"/>
        </w:rPr>
        <w:t> S.C.R. </w:t>
      </w:r>
      <w:r w:rsidRPr="000A0EA1">
        <w:rPr>
          <w:lang w:val="en-CA"/>
        </w:rPr>
        <w:t xml:space="preserve">460; </w:t>
      </w:r>
      <w:r w:rsidRPr="000A0EA1">
        <w:rPr>
          <w:i/>
          <w:iCs/>
          <w:lang w:val="en-CA"/>
        </w:rPr>
        <w:t>Bilodeau v. Attorney General of Manitoba</w:t>
      </w:r>
      <w:r w:rsidRPr="000A0EA1">
        <w:rPr>
          <w:lang w:val="en-CA"/>
        </w:rPr>
        <w:t>, [1986] 1</w:t>
      </w:r>
      <w:r w:rsidR="00956B70">
        <w:rPr>
          <w:lang w:val="en-CA"/>
        </w:rPr>
        <w:t> S.C.R. </w:t>
      </w:r>
      <w:r w:rsidRPr="000A0EA1">
        <w:rPr>
          <w:lang w:val="en-CA"/>
        </w:rPr>
        <w:t>449.</w:t>
      </w:r>
    </w:p>
  </w:footnote>
  <w:footnote w:id="135">
    <w:p w14:paraId="17F5F4F9" w14:textId="27A435D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See, in particular, </w:t>
      </w:r>
      <w:r w:rsidR="0062160E">
        <w:rPr>
          <w:lang w:val="en-CA"/>
        </w:rPr>
        <w:t>s. 1</w:t>
      </w:r>
      <w:r w:rsidRPr="000A0EA1">
        <w:rPr>
          <w:lang w:val="en-CA"/>
        </w:rPr>
        <w:t xml:space="preserve">33 of the </w:t>
      </w:r>
      <w:r w:rsidRPr="000A0EA1">
        <w:rPr>
          <w:i/>
          <w:iCs/>
          <w:lang w:val="en-CA"/>
        </w:rPr>
        <w:t>Constitution Act,</w:t>
      </w:r>
      <w:r w:rsidR="00AF47D1">
        <w:rPr>
          <w:i/>
          <w:iCs/>
          <w:lang w:val="en-CA"/>
        </w:rPr>
        <w:t> </w:t>
      </w:r>
      <w:r w:rsidRPr="000A0EA1">
        <w:rPr>
          <w:i/>
          <w:iCs/>
          <w:lang w:val="en-CA"/>
        </w:rPr>
        <w:t>1867</w:t>
      </w:r>
      <w:r w:rsidRPr="000A0EA1">
        <w:rPr>
          <w:lang w:val="en-CA"/>
        </w:rPr>
        <w:t>.</w:t>
      </w:r>
    </w:p>
  </w:footnote>
  <w:footnote w:id="136">
    <w:p w14:paraId="17F5F4FA" w14:textId="2129BF56"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R. v. Beaulac</w:t>
      </w:r>
      <w:r w:rsidRPr="007D51DF">
        <w:t>, [1999] 1</w:t>
      </w:r>
      <w:r w:rsidR="00956B70" w:rsidRPr="007D51DF">
        <w:t> S.C.R. </w:t>
      </w:r>
      <w:r w:rsidRPr="007D51DF">
        <w:t xml:space="preserve">768, </w:t>
      </w:r>
      <w:r w:rsidR="0062160E" w:rsidRPr="007D51DF">
        <w:t>para. </w:t>
      </w:r>
      <w:r w:rsidR="0062160E">
        <w:rPr>
          <w:lang w:val="en-CA"/>
        </w:rPr>
        <w:t>2</w:t>
      </w:r>
      <w:r w:rsidRPr="000A0EA1">
        <w:rPr>
          <w:lang w:val="en-CA"/>
        </w:rPr>
        <w:t>4.</w:t>
      </w:r>
    </w:p>
  </w:footnote>
  <w:footnote w:id="137">
    <w:p w14:paraId="17F5F4FB" w14:textId="7E872EFA"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 xml:space="preserve">5 [underlining in the original]. </w:t>
      </w:r>
      <w:r w:rsidRPr="007D51DF">
        <w:t xml:space="preserve">See also: </w:t>
      </w:r>
      <w:r w:rsidRPr="007D51DF">
        <w:rPr>
          <w:i/>
          <w:iCs/>
        </w:rPr>
        <w:t>Conseil scolaire francophone de la Colombie</w:t>
      </w:r>
      <w:r w:rsidR="0007005B" w:rsidRPr="007D51DF">
        <w:rPr>
          <w:i/>
          <w:iCs/>
        </w:rPr>
        <w:noBreakHyphen/>
      </w:r>
      <w:r w:rsidRPr="007D51DF">
        <w:rPr>
          <w:i/>
          <w:iCs/>
        </w:rPr>
        <w:t>Britannique v. British Columbia</w:t>
      </w:r>
      <w:r w:rsidRPr="007D51DF">
        <w:t>, 2020 SCC 13, [2020] 1</w:t>
      </w:r>
      <w:r w:rsidR="00956B70" w:rsidRPr="007D51DF">
        <w:t> S.C.R. </w:t>
      </w:r>
      <w:r w:rsidRPr="007D51DF">
        <w:t xml:space="preserve">678, </w:t>
      </w:r>
      <w:r w:rsidR="0062160E" w:rsidRPr="007D51DF">
        <w:t>para. </w:t>
      </w:r>
      <w:r w:rsidR="0062160E">
        <w:rPr>
          <w:lang w:val="en-CA"/>
        </w:rPr>
        <w:t>1</w:t>
      </w:r>
      <w:r w:rsidRPr="000A0EA1">
        <w:rPr>
          <w:lang w:val="en-CA"/>
        </w:rPr>
        <w:t xml:space="preserve">8; </w:t>
      </w:r>
      <w:r w:rsidRPr="000A0EA1">
        <w:rPr>
          <w:i/>
          <w:iCs/>
          <w:lang w:val="en-CA"/>
        </w:rPr>
        <w:t>Nguyen v. Quebec (Education, Recreation and Sports)</w:t>
      </w:r>
      <w:r w:rsidRPr="000A0EA1">
        <w:rPr>
          <w:lang w:val="en-CA"/>
        </w:rPr>
        <w:t>, 2009 SCC 47, [2009] 3</w:t>
      </w:r>
      <w:r w:rsidR="00956B70">
        <w:rPr>
          <w:lang w:val="en-CA"/>
        </w:rPr>
        <w:t> S.C.R. </w:t>
      </w:r>
      <w:r w:rsidRPr="000A0EA1">
        <w:rPr>
          <w:lang w:val="en-CA"/>
        </w:rPr>
        <w:t xml:space="preserve">208, </w:t>
      </w:r>
      <w:r w:rsidR="0062160E">
        <w:rPr>
          <w:lang w:val="en-CA"/>
        </w:rPr>
        <w:t>para. 2</w:t>
      </w:r>
      <w:r w:rsidRPr="000A0EA1">
        <w:rPr>
          <w:lang w:val="en-CA"/>
        </w:rPr>
        <w:t xml:space="preserve">6; </w:t>
      </w:r>
      <w:r w:rsidRPr="000A0EA1">
        <w:rPr>
          <w:i/>
          <w:iCs/>
          <w:lang w:val="en-CA"/>
        </w:rPr>
        <w:t>Solski (Tutor of) v. Quebec (Attorney General)</w:t>
      </w:r>
      <w:r w:rsidRPr="000A0EA1">
        <w:rPr>
          <w:lang w:val="en-CA"/>
        </w:rPr>
        <w:t>, 2005 SCC 14, [2005] 1</w:t>
      </w:r>
      <w:r w:rsidR="00956B70">
        <w:rPr>
          <w:lang w:val="en-CA"/>
        </w:rPr>
        <w:t> S.C.R. </w:t>
      </w:r>
      <w:r w:rsidRPr="000A0EA1">
        <w:rPr>
          <w:lang w:val="en-CA"/>
        </w:rPr>
        <w:t xml:space="preserve">201, </w:t>
      </w:r>
      <w:r w:rsidR="0062160E">
        <w:rPr>
          <w:lang w:val="en-CA"/>
        </w:rPr>
        <w:t>para. </w:t>
      </w:r>
      <w:r w:rsidR="0062160E" w:rsidRPr="007D51DF">
        <w:t>2</w:t>
      </w:r>
      <w:r w:rsidRPr="007D51DF">
        <w:t xml:space="preserve">0; </w:t>
      </w:r>
      <w:r w:rsidRPr="007D51DF">
        <w:rPr>
          <w:i/>
          <w:iCs/>
        </w:rPr>
        <w:t>Doucet</w:t>
      </w:r>
      <w:r w:rsidR="00E76300" w:rsidRPr="007D51DF">
        <w:rPr>
          <w:i/>
          <w:iCs/>
        </w:rPr>
        <w:noBreakHyphen/>
      </w:r>
      <w:r w:rsidRPr="007D51DF">
        <w:rPr>
          <w:i/>
          <w:iCs/>
        </w:rPr>
        <w:t>Boudreau v. Nova Scotia (Minister of Education)</w:t>
      </w:r>
      <w:r w:rsidRPr="007D51DF">
        <w:t>, 2003 SCC 62, [2003] 3</w:t>
      </w:r>
      <w:r w:rsidR="00956B70" w:rsidRPr="007D51DF">
        <w:t> S.C.R. </w:t>
      </w:r>
      <w:r w:rsidRPr="007D51DF">
        <w:t>3, para</w:t>
      </w:r>
      <w:r w:rsidR="0062160E" w:rsidRPr="007D51DF">
        <w:t>s. 2</w:t>
      </w:r>
      <w:r w:rsidRPr="007D51DF">
        <w:t>3-24.</w:t>
      </w:r>
    </w:p>
  </w:footnote>
  <w:footnote w:id="138">
    <w:p w14:paraId="17F5F4FC" w14:textId="6B6438C0"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Conseil scolaire francophone de la Colombie</w:t>
      </w:r>
      <w:r w:rsidR="00FE5C95" w:rsidRPr="007D51DF">
        <w:rPr>
          <w:i/>
          <w:iCs/>
        </w:rPr>
        <w:noBreakHyphen/>
      </w:r>
      <w:r w:rsidRPr="007D51DF">
        <w:rPr>
          <w:i/>
          <w:iCs/>
        </w:rPr>
        <w:t>Britannique v. British Columbia</w:t>
      </w:r>
      <w:r w:rsidRPr="007D51DF">
        <w:t>, 2020 SCC 13, [2020]</w:t>
      </w:r>
      <w:r w:rsidR="00FE5C95" w:rsidRPr="007D51DF">
        <w:t> </w:t>
      </w:r>
      <w:r w:rsidRPr="007D51DF">
        <w:t>1</w:t>
      </w:r>
      <w:r w:rsidR="00956B70" w:rsidRPr="007D51DF">
        <w:t> S.C.R. </w:t>
      </w:r>
      <w:r w:rsidRPr="007D51DF">
        <w:t xml:space="preserve">678, </w:t>
      </w:r>
      <w:r w:rsidR="0062160E" w:rsidRPr="007D51DF">
        <w:t>para. </w:t>
      </w:r>
      <w:r w:rsidR="0062160E">
        <w:rPr>
          <w:lang w:val="en-CA"/>
        </w:rPr>
        <w:t>1</w:t>
      </w:r>
      <w:r w:rsidRPr="000A0EA1">
        <w:rPr>
          <w:lang w:val="en-CA"/>
        </w:rPr>
        <w:t>8.</w:t>
      </w:r>
    </w:p>
  </w:footnote>
  <w:footnote w:id="139">
    <w:p w14:paraId="17F5F4FD" w14:textId="4C421C9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Québec (Attorney General) v. 9147</w:t>
      </w:r>
      <w:r w:rsidR="00FE5C95">
        <w:rPr>
          <w:i/>
          <w:iCs/>
          <w:lang w:val="en-CA"/>
        </w:rPr>
        <w:noBreakHyphen/>
      </w:r>
      <w:r w:rsidRPr="000A0EA1">
        <w:rPr>
          <w:i/>
          <w:iCs/>
          <w:lang w:val="en-CA"/>
        </w:rPr>
        <w:t>0732 Québec Inc.</w:t>
      </w:r>
      <w:r w:rsidRPr="000A0EA1">
        <w:rPr>
          <w:lang w:val="en-CA"/>
        </w:rPr>
        <w:t>, 2020 SCC 32, [2020] 3</w:t>
      </w:r>
      <w:r w:rsidR="00956B70">
        <w:rPr>
          <w:lang w:val="en-CA"/>
        </w:rPr>
        <w:t> S.C.R. </w:t>
      </w:r>
      <w:r w:rsidRPr="000A0EA1">
        <w:rPr>
          <w:lang w:val="en-CA"/>
        </w:rPr>
        <w:t xml:space="preserve">426, </w:t>
      </w:r>
      <w:r w:rsidR="0062160E">
        <w:rPr>
          <w:lang w:val="en-CA"/>
        </w:rPr>
        <w:t>para. </w:t>
      </w:r>
      <w:r w:rsidR="0062160E" w:rsidRPr="007D51DF">
        <w:t>8</w:t>
      </w:r>
      <w:r w:rsidRPr="007D51DF">
        <w:t xml:space="preserve">; </w:t>
      </w:r>
      <w:r w:rsidRPr="007D51DF">
        <w:rPr>
          <w:i/>
          <w:iCs/>
        </w:rPr>
        <w:t>R.</w:t>
      </w:r>
      <w:r w:rsidR="00FE5C95" w:rsidRPr="007D51DF">
        <w:rPr>
          <w:i/>
          <w:iCs/>
        </w:rPr>
        <w:t> </w:t>
      </w:r>
      <w:r w:rsidRPr="007D51DF">
        <w:rPr>
          <w:i/>
          <w:iCs/>
        </w:rPr>
        <w:t>v. Poulin</w:t>
      </w:r>
      <w:r w:rsidRPr="007D51DF">
        <w:t xml:space="preserve">, </w:t>
      </w:r>
      <w:hyperlink r:id="rId1" w:history="1">
        <w:r w:rsidRPr="007D51DF">
          <w:rPr>
            <w:rStyle w:val="Hyperlien"/>
            <w:color w:val="auto"/>
            <w:u w:val="none"/>
          </w:rPr>
          <w:t>2019 SCC 47</w:t>
        </w:r>
      </w:hyperlink>
      <w:r w:rsidRPr="007D51DF">
        <w:t>, [2019] 3</w:t>
      </w:r>
      <w:r w:rsidR="00956B70" w:rsidRPr="007D51DF">
        <w:t> S.C.R. </w:t>
      </w:r>
      <w:r w:rsidRPr="007D51DF">
        <w:t xml:space="preserve">566, </w:t>
      </w:r>
      <w:r w:rsidR="0062160E" w:rsidRPr="007D51DF">
        <w:t>para. 6</w:t>
      </w:r>
      <w:r w:rsidRPr="007D51DF">
        <w:t xml:space="preserve">4; </w:t>
      </w:r>
      <w:r w:rsidRPr="007D51DF">
        <w:rPr>
          <w:i/>
          <w:iCs/>
        </w:rPr>
        <w:t>R. v. Grant</w:t>
      </w:r>
      <w:r w:rsidRPr="007D51DF">
        <w:t>, 2009 SCC 32, [2009] 2</w:t>
      </w:r>
      <w:r w:rsidR="00956B70" w:rsidRPr="007D51DF">
        <w:t> S.C.R. </w:t>
      </w:r>
      <w:r w:rsidRPr="007D51DF">
        <w:t xml:space="preserve">353, </w:t>
      </w:r>
      <w:r w:rsidR="0062160E" w:rsidRPr="007D51DF">
        <w:t>para. </w:t>
      </w:r>
      <w:r w:rsidR="0062160E">
        <w:rPr>
          <w:lang w:val="en-CA"/>
        </w:rPr>
        <w:t>1</w:t>
      </w:r>
      <w:r w:rsidRPr="000A0EA1">
        <w:rPr>
          <w:lang w:val="en-CA"/>
        </w:rPr>
        <w:t>5.</w:t>
      </w:r>
    </w:p>
  </w:footnote>
  <w:footnote w:id="140">
    <w:p w14:paraId="17F5F4FE" w14:textId="34A52D40" w:rsidR="00F75613" w:rsidRPr="00CD2F47"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Québec (Attorney General) v. 9147</w:t>
      </w:r>
      <w:r w:rsidR="00FE5C95">
        <w:rPr>
          <w:i/>
          <w:iCs/>
          <w:lang w:val="en-CA"/>
        </w:rPr>
        <w:noBreakHyphen/>
      </w:r>
      <w:r w:rsidRPr="000A0EA1">
        <w:rPr>
          <w:i/>
          <w:iCs/>
          <w:lang w:val="en-CA"/>
        </w:rPr>
        <w:t>0732 Québec Inc.</w:t>
      </w:r>
      <w:r w:rsidRPr="000A0EA1">
        <w:rPr>
          <w:lang w:val="en-CA"/>
        </w:rPr>
        <w:t>, 2020 SCC 32, [2020] 3</w:t>
      </w:r>
      <w:r w:rsidR="00956B70">
        <w:rPr>
          <w:lang w:val="en-CA"/>
        </w:rPr>
        <w:t> S.C.R. </w:t>
      </w:r>
      <w:r w:rsidRPr="000A0EA1">
        <w:rPr>
          <w:lang w:val="en-CA"/>
        </w:rPr>
        <w:t xml:space="preserve">426, </w:t>
      </w:r>
      <w:r w:rsidR="0062160E">
        <w:rPr>
          <w:lang w:val="en-CA"/>
        </w:rPr>
        <w:t>para. </w:t>
      </w:r>
      <w:r w:rsidR="0062160E" w:rsidRPr="00CD2F47">
        <w:rPr>
          <w:lang w:val="en-CA"/>
        </w:rPr>
        <w:t>1</w:t>
      </w:r>
      <w:r w:rsidRPr="00CD2F47">
        <w:rPr>
          <w:lang w:val="en-CA"/>
        </w:rPr>
        <w:t>0.</w:t>
      </w:r>
    </w:p>
  </w:footnote>
  <w:footnote w:id="141">
    <w:p w14:paraId="5E9FE863" w14:textId="7D06A201" w:rsidR="0063286D" w:rsidRPr="0063286D" w:rsidRDefault="0063286D">
      <w:pPr>
        <w:pStyle w:val="Notedebasdepage"/>
        <w:rPr>
          <w:lang w:val="en-CA"/>
        </w:rPr>
      </w:pPr>
      <w:r>
        <w:rPr>
          <w:rStyle w:val="Appelnotedebasdep"/>
        </w:rPr>
        <w:footnoteRef/>
      </w:r>
      <w:r w:rsidRPr="0063286D">
        <w:rPr>
          <w:lang w:val="en-CA"/>
        </w:rPr>
        <w:t xml:space="preserve"> </w:t>
      </w:r>
      <w:r w:rsidRPr="0063286D">
        <w:rPr>
          <w:lang w:val="en-CA"/>
        </w:rPr>
        <w:tab/>
      </w:r>
      <w:r w:rsidRPr="0063286D">
        <w:rPr>
          <w:i/>
          <w:iCs/>
          <w:lang w:val="en-CA"/>
        </w:rPr>
        <w:t>Act respecting the laicity of the State</w:t>
      </w:r>
      <w:r w:rsidR="006163C5">
        <w:rPr>
          <w:lang w:val="en-CA"/>
        </w:rPr>
        <w:t>,</w:t>
      </w:r>
      <w:r w:rsidR="006163C5" w:rsidRPr="006163C5">
        <w:rPr>
          <w:lang w:val="en-CA"/>
        </w:rPr>
        <w:t xml:space="preserve"> </w:t>
      </w:r>
      <w:r w:rsidR="006163C5" w:rsidRPr="000A0EA1">
        <w:rPr>
          <w:lang w:val="en-CA"/>
        </w:rPr>
        <w:t xml:space="preserve">CQLR, c. </w:t>
      </w:r>
      <w:r w:rsidR="006163C5">
        <w:rPr>
          <w:lang w:val="en-CA"/>
        </w:rPr>
        <w:t>L-0.3</w:t>
      </w:r>
      <w:r w:rsidR="006163C5" w:rsidRPr="000A0EA1">
        <w:rPr>
          <w:lang w:val="en-CA"/>
        </w:rPr>
        <w:t>.</w:t>
      </w:r>
    </w:p>
  </w:footnote>
  <w:footnote w:id="142">
    <w:p w14:paraId="17E1B5F5" w14:textId="658D3AB2" w:rsidR="0063286D" w:rsidRPr="00DE1465" w:rsidRDefault="0063286D">
      <w:pPr>
        <w:pStyle w:val="Notedebasdepage"/>
        <w:rPr>
          <w:lang w:val="en-CA"/>
        </w:rPr>
      </w:pPr>
      <w:r>
        <w:rPr>
          <w:rStyle w:val="Appelnotedebasdep"/>
        </w:rPr>
        <w:footnoteRef/>
      </w:r>
      <w:r>
        <w:t xml:space="preserve"> </w:t>
      </w:r>
      <w:r>
        <w:tab/>
      </w:r>
      <w:r w:rsidRPr="0063286D">
        <w:rPr>
          <w:i/>
          <w:iCs/>
        </w:rPr>
        <w:t>Organisation mondiale sikhe du Canada c. Procureur général du Québec,</w:t>
      </w:r>
      <w:r w:rsidRPr="0063286D">
        <w:t xml:space="preserve"> 2024 QCCA 254, par</w:t>
      </w:r>
      <w:r>
        <w:t>a</w:t>
      </w:r>
      <w:r w:rsidRPr="0063286D">
        <w:t xml:space="preserve">. </w:t>
      </w:r>
      <w:r w:rsidRPr="00DE1465">
        <w:rPr>
          <w:lang w:val="en-CA"/>
        </w:rPr>
        <w:t>614</w:t>
      </w:r>
      <w:r w:rsidR="00DE1465" w:rsidRPr="00DE1465">
        <w:rPr>
          <w:lang w:val="en-CA"/>
        </w:rPr>
        <w:t xml:space="preserve">, </w:t>
      </w:r>
      <w:r w:rsidR="00512190">
        <w:rPr>
          <w:lang w:val="en-CA"/>
        </w:rPr>
        <w:t xml:space="preserve">applications for </w:t>
      </w:r>
      <w:r w:rsidR="00DE1465" w:rsidRPr="00DE1465">
        <w:rPr>
          <w:lang w:val="en-CA"/>
        </w:rPr>
        <w:t>leave to appeal to t</w:t>
      </w:r>
      <w:r w:rsidR="00DE1465">
        <w:rPr>
          <w:lang w:val="en-CA"/>
        </w:rPr>
        <w:t>he</w:t>
      </w:r>
      <w:r w:rsidR="00DE1465" w:rsidRPr="00DE1465">
        <w:rPr>
          <w:lang w:val="en-CA"/>
        </w:rPr>
        <w:t xml:space="preserve"> Supreme Court of Canada g</w:t>
      </w:r>
      <w:r w:rsidR="00DE1465">
        <w:rPr>
          <w:lang w:val="en-CA"/>
        </w:rPr>
        <w:t>ranted</w:t>
      </w:r>
      <w:r w:rsidR="00512190">
        <w:rPr>
          <w:lang w:val="en-CA"/>
        </w:rPr>
        <w:t>,</w:t>
      </w:r>
      <w:r w:rsidR="00DE1465">
        <w:rPr>
          <w:lang w:val="en-CA"/>
        </w:rPr>
        <w:t xml:space="preserve"> January </w:t>
      </w:r>
      <w:r w:rsidR="00512190">
        <w:rPr>
          <w:lang w:val="en-CA"/>
        </w:rPr>
        <w:t xml:space="preserve">23, </w:t>
      </w:r>
      <w:r w:rsidR="00DE1465">
        <w:rPr>
          <w:lang w:val="en-CA"/>
        </w:rPr>
        <w:t xml:space="preserve">2025, </w:t>
      </w:r>
      <w:r w:rsidR="00512190">
        <w:rPr>
          <w:lang w:val="en-CA"/>
        </w:rPr>
        <w:t>F</w:t>
      </w:r>
      <w:r w:rsidR="00DE1465">
        <w:rPr>
          <w:lang w:val="en-CA"/>
        </w:rPr>
        <w:t xml:space="preserve">ile </w:t>
      </w:r>
      <w:r w:rsidR="00512190">
        <w:rPr>
          <w:lang w:val="en-CA"/>
        </w:rPr>
        <w:t>No.</w:t>
      </w:r>
      <w:r w:rsidR="00941113">
        <w:rPr>
          <w:lang w:val="en-CA"/>
        </w:rPr>
        <w:t> </w:t>
      </w:r>
      <w:r w:rsidR="00DE1465">
        <w:rPr>
          <w:lang w:val="en-CA"/>
        </w:rPr>
        <w:t>41231.</w:t>
      </w:r>
    </w:p>
  </w:footnote>
  <w:footnote w:id="143">
    <w:p w14:paraId="17F5F4FF" w14:textId="541EC1CB"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Association des parents de l</w:t>
      </w:r>
      <w:r w:rsidR="00E46AFD" w:rsidRPr="007D51DF">
        <w:rPr>
          <w:i/>
          <w:iCs/>
        </w:rPr>
        <w:t>’</w:t>
      </w:r>
      <w:r w:rsidRPr="007D51DF">
        <w:rPr>
          <w:i/>
          <w:iCs/>
        </w:rPr>
        <w:t>école Rose</w:t>
      </w:r>
      <w:r w:rsidR="00FE5C95" w:rsidRPr="007D51DF">
        <w:rPr>
          <w:i/>
          <w:iCs/>
        </w:rPr>
        <w:noBreakHyphen/>
      </w:r>
      <w:r w:rsidRPr="007D51DF">
        <w:rPr>
          <w:i/>
          <w:iCs/>
        </w:rPr>
        <w:t>des</w:t>
      </w:r>
      <w:r w:rsidR="00FE5C95" w:rsidRPr="007D51DF">
        <w:rPr>
          <w:i/>
          <w:iCs/>
        </w:rPr>
        <w:noBreakHyphen/>
      </w:r>
      <w:r w:rsidRPr="007D51DF">
        <w:rPr>
          <w:i/>
          <w:iCs/>
        </w:rPr>
        <w:t>vents v. British Columbia (Education)</w:t>
      </w:r>
      <w:r w:rsidRPr="007D51DF">
        <w:t>, 2015 SCC 21, [2015] 2</w:t>
      </w:r>
      <w:r w:rsidR="00956B70" w:rsidRPr="007D51DF">
        <w:t> S.C.R. </w:t>
      </w:r>
      <w:r w:rsidRPr="007D51DF">
        <w:t xml:space="preserve">139, </w:t>
      </w:r>
      <w:r w:rsidR="0062160E" w:rsidRPr="007D51DF">
        <w:t>para. </w:t>
      </w:r>
      <w:r w:rsidR="0062160E">
        <w:rPr>
          <w:lang w:val="en-CA"/>
        </w:rPr>
        <w:t>2</w:t>
      </w:r>
      <w:r w:rsidRPr="000A0EA1">
        <w:rPr>
          <w:lang w:val="en-CA"/>
        </w:rPr>
        <w:t xml:space="preserve">6; </w:t>
      </w:r>
      <w:r w:rsidRPr="000A0EA1">
        <w:rPr>
          <w:i/>
          <w:iCs/>
          <w:lang w:val="en-CA"/>
        </w:rPr>
        <w:t>Gosselin (Tutor of) v. Quebec (Attorney General)</w:t>
      </w:r>
      <w:r w:rsidRPr="000A0EA1">
        <w:rPr>
          <w:lang w:val="en-CA"/>
        </w:rPr>
        <w:t>, 2005 SCC 15, [2005] 1</w:t>
      </w:r>
      <w:r w:rsidR="00956B70">
        <w:rPr>
          <w:lang w:val="en-CA"/>
        </w:rPr>
        <w:t> S.C.R. </w:t>
      </w:r>
      <w:r w:rsidRPr="000A0EA1">
        <w:rPr>
          <w:lang w:val="en-CA"/>
        </w:rPr>
        <w:t xml:space="preserve">238, </w:t>
      </w:r>
      <w:r w:rsidR="0062160E">
        <w:rPr>
          <w:lang w:val="en-CA"/>
        </w:rPr>
        <w:t>para. 2</w:t>
      </w:r>
      <w:r w:rsidRPr="000A0EA1">
        <w:rPr>
          <w:lang w:val="en-CA"/>
        </w:rPr>
        <w:t xml:space="preserve">8; </w:t>
      </w:r>
      <w:r w:rsidRPr="000A0EA1">
        <w:rPr>
          <w:i/>
          <w:iCs/>
          <w:lang w:val="en-CA"/>
        </w:rPr>
        <w:t>Solski (Tutor of) v. Quebec (Attorney General)</w:t>
      </w:r>
      <w:r w:rsidRPr="000A0EA1">
        <w:rPr>
          <w:lang w:val="en-CA"/>
        </w:rPr>
        <w:t>, 2005 SCC 14, [2005]</w:t>
      </w:r>
      <w:r w:rsidR="00FE5C95">
        <w:rPr>
          <w:lang w:val="en-CA"/>
        </w:rPr>
        <w:t> </w:t>
      </w:r>
      <w:r w:rsidRPr="000A0EA1">
        <w:rPr>
          <w:lang w:val="en-CA"/>
        </w:rPr>
        <w:t>1</w:t>
      </w:r>
      <w:r w:rsidR="00956B70">
        <w:rPr>
          <w:lang w:val="en-CA"/>
        </w:rPr>
        <w:t> S.C.R. </w:t>
      </w:r>
      <w:r w:rsidRPr="000A0EA1">
        <w:rPr>
          <w:lang w:val="en-CA"/>
        </w:rPr>
        <w:t xml:space="preserve">201, </w:t>
      </w:r>
      <w:r w:rsidR="0062160E">
        <w:rPr>
          <w:lang w:val="en-CA"/>
        </w:rPr>
        <w:t>para. </w:t>
      </w:r>
      <w:r w:rsidR="0062160E" w:rsidRPr="007D51DF">
        <w:t>2</w:t>
      </w:r>
      <w:r w:rsidRPr="007D51DF">
        <w:t>3.</w:t>
      </w:r>
    </w:p>
  </w:footnote>
  <w:footnote w:id="144">
    <w:p w14:paraId="17F5F500" w14:textId="632FE24C"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Conseil scolaire francophone de la Colombie</w:t>
      </w:r>
      <w:r w:rsidR="00FE5C95" w:rsidRPr="007D51DF">
        <w:rPr>
          <w:i/>
          <w:iCs/>
        </w:rPr>
        <w:noBreakHyphen/>
      </w:r>
      <w:r w:rsidRPr="007D51DF">
        <w:rPr>
          <w:i/>
          <w:iCs/>
        </w:rPr>
        <w:t>Britannique v. British Columbia</w:t>
      </w:r>
      <w:r w:rsidRPr="007D51DF">
        <w:t>, 2020 SCC 13, [2020]</w:t>
      </w:r>
      <w:r w:rsidR="00FE5C95" w:rsidRPr="007D51DF">
        <w:t> </w:t>
      </w:r>
      <w:r w:rsidRPr="007D51DF">
        <w:t>1</w:t>
      </w:r>
      <w:r w:rsidR="00956B70" w:rsidRPr="007D51DF">
        <w:t> S.C.R. </w:t>
      </w:r>
      <w:r w:rsidRPr="007D51DF">
        <w:t xml:space="preserve">678, </w:t>
      </w:r>
      <w:r w:rsidR="0062160E" w:rsidRPr="007D51DF">
        <w:t>para. </w:t>
      </w:r>
      <w:r w:rsidR="0062160E">
        <w:rPr>
          <w:lang w:val="en-CA"/>
        </w:rPr>
        <w:t>1</w:t>
      </w:r>
      <w:r w:rsidRPr="000A0EA1">
        <w:rPr>
          <w:lang w:val="en-CA"/>
        </w:rPr>
        <w:t>5.</w:t>
      </w:r>
    </w:p>
  </w:footnote>
  <w:footnote w:id="145">
    <w:p w14:paraId="17F5F501" w14:textId="5B5635B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w:t>
      </w:r>
    </w:p>
  </w:footnote>
  <w:footnote w:id="146">
    <w:p w14:paraId="17F5F502" w14:textId="2C7F08BD"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 xml:space="preserve">57. See also: </w:t>
      </w:r>
      <w:r w:rsidRPr="000A0EA1">
        <w:rPr>
          <w:i/>
          <w:iCs/>
          <w:lang w:val="en-CA"/>
        </w:rPr>
        <w:t>Solski (Tutor of) v. Quebec (Attorney General)</w:t>
      </w:r>
      <w:r w:rsidRPr="000A0EA1">
        <w:rPr>
          <w:lang w:val="en-CA"/>
        </w:rPr>
        <w:t xml:space="preserve">, 2005 SCC 14, </w:t>
      </w:r>
      <w:bookmarkStart w:id="51" w:name="_Hlk188005597"/>
      <w:r w:rsidRPr="000A0EA1">
        <w:rPr>
          <w:lang w:val="en-CA"/>
        </w:rPr>
        <w:t>[2005] 1</w:t>
      </w:r>
      <w:r w:rsidR="00956B70">
        <w:rPr>
          <w:lang w:val="en-CA"/>
        </w:rPr>
        <w:t> S.C.R. </w:t>
      </w:r>
      <w:r w:rsidRPr="000A0EA1">
        <w:rPr>
          <w:lang w:val="en-CA"/>
        </w:rPr>
        <w:t>201</w:t>
      </w:r>
      <w:bookmarkEnd w:id="51"/>
      <w:r w:rsidRPr="000A0EA1">
        <w:rPr>
          <w:lang w:val="en-CA"/>
        </w:rPr>
        <w:t xml:space="preserve">, </w:t>
      </w:r>
      <w:r w:rsidR="0062160E">
        <w:rPr>
          <w:lang w:val="en-CA"/>
        </w:rPr>
        <w:t>para. </w:t>
      </w:r>
      <w:r w:rsidR="0062160E" w:rsidRPr="007D51DF">
        <w:t>7</w:t>
      </w:r>
      <w:r w:rsidRPr="007D51DF">
        <w:t>.</w:t>
      </w:r>
    </w:p>
  </w:footnote>
  <w:footnote w:id="147">
    <w:p w14:paraId="17F5F503" w14:textId="6CFD97AA"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Commission scolaire francophone des Territoires du Nord</w:t>
      </w:r>
      <w:r w:rsidR="00FE5C95" w:rsidRPr="007D51DF">
        <w:rPr>
          <w:i/>
          <w:iCs/>
        </w:rPr>
        <w:noBreakHyphen/>
      </w:r>
      <w:r w:rsidRPr="007D51DF">
        <w:rPr>
          <w:i/>
          <w:iCs/>
        </w:rPr>
        <w:t>Ouest v. Northwest Territories (Education, Culture and Employment)</w:t>
      </w:r>
      <w:r w:rsidRPr="007D51DF">
        <w:t xml:space="preserve">, 2023 SCC 31, </w:t>
      </w:r>
      <w:r w:rsidR="0062160E" w:rsidRPr="007D51DF">
        <w:t>para. </w:t>
      </w:r>
      <w:r w:rsidR="0062160E">
        <w:rPr>
          <w:lang w:val="en-CA"/>
        </w:rPr>
        <w:t>8</w:t>
      </w:r>
      <w:r w:rsidRPr="000A0EA1">
        <w:rPr>
          <w:lang w:val="en-CA"/>
        </w:rPr>
        <w:t xml:space="preserve">0; </w:t>
      </w:r>
      <w:r w:rsidRPr="000A0EA1">
        <w:rPr>
          <w:i/>
          <w:iCs/>
          <w:lang w:val="en-CA"/>
        </w:rPr>
        <w:t>Gosselin (Tutor of) v. Quebec (Attorney General)</w:t>
      </w:r>
      <w:r w:rsidRPr="000A0EA1">
        <w:rPr>
          <w:lang w:val="en-CA"/>
        </w:rPr>
        <w:t>, 2005 SCC 15, [2005] 1</w:t>
      </w:r>
      <w:r w:rsidR="00956B70">
        <w:rPr>
          <w:lang w:val="en-CA"/>
        </w:rPr>
        <w:t> S.C.R. </w:t>
      </w:r>
      <w:r w:rsidRPr="000A0EA1">
        <w:rPr>
          <w:lang w:val="en-CA"/>
        </w:rPr>
        <w:t xml:space="preserve">238, </w:t>
      </w:r>
      <w:r w:rsidR="0062160E">
        <w:rPr>
          <w:lang w:val="en-CA"/>
        </w:rPr>
        <w:t>para. 2</w:t>
      </w:r>
      <w:r w:rsidRPr="000A0EA1">
        <w:rPr>
          <w:lang w:val="en-CA"/>
        </w:rPr>
        <w:t xml:space="preserve">8; </w:t>
      </w:r>
      <w:r w:rsidRPr="000A0EA1">
        <w:rPr>
          <w:i/>
          <w:iCs/>
          <w:lang w:val="en-CA"/>
        </w:rPr>
        <w:t>Solski (Tutor of) v. Quebec (Attorney General)</w:t>
      </w:r>
      <w:r w:rsidRPr="000A0EA1">
        <w:rPr>
          <w:lang w:val="en-CA"/>
        </w:rPr>
        <w:t>, 2005 SCC 14, [2005] 1</w:t>
      </w:r>
      <w:r w:rsidR="00956B70">
        <w:rPr>
          <w:lang w:val="en-CA"/>
        </w:rPr>
        <w:t> S.C.R. </w:t>
      </w:r>
      <w:r w:rsidRPr="000A0EA1">
        <w:rPr>
          <w:lang w:val="en-CA"/>
        </w:rPr>
        <w:t xml:space="preserve">201, </w:t>
      </w:r>
      <w:r w:rsidR="0062160E">
        <w:rPr>
          <w:lang w:val="en-CA"/>
        </w:rPr>
        <w:t>para. 3</w:t>
      </w:r>
      <w:r w:rsidRPr="000A0EA1">
        <w:rPr>
          <w:lang w:val="en-CA"/>
        </w:rPr>
        <w:t xml:space="preserve">; </w:t>
      </w:r>
      <w:r w:rsidRPr="000A0EA1">
        <w:rPr>
          <w:i/>
          <w:iCs/>
          <w:lang w:val="en-CA"/>
        </w:rPr>
        <w:t>Doucet</w:t>
      </w:r>
      <w:r w:rsidR="00FE5C95">
        <w:rPr>
          <w:i/>
          <w:iCs/>
          <w:lang w:val="en-CA"/>
        </w:rPr>
        <w:noBreakHyphen/>
      </w:r>
      <w:r w:rsidRPr="000A0EA1">
        <w:rPr>
          <w:i/>
          <w:iCs/>
          <w:lang w:val="en-CA"/>
        </w:rPr>
        <w:t>Boudreau v. Nova Scotia (Minister of Education)</w:t>
      </w:r>
      <w:r w:rsidRPr="000A0EA1">
        <w:rPr>
          <w:lang w:val="en-CA"/>
        </w:rPr>
        <w:t>, 2003 SCC 62, [2003] 3</w:t>
      </w:r>
      <w:r w:rsidR="00956B70">
        <w:rPr>
          <w:lang w:val="en-CA"/>
        </w:rPr>
        <w:t> S.C.R. </w:t>
      </w:r>
      <w:r w:rsidRPr="000A0EA1">
        <w:rPr>
          <w:lang w:val="en-CA"/>
        </w:rPr>
        <w:t xml:space="preserve">3, </w:t>
      </w:r>
      <w:r w:rsidR="0062160E">
        <w:rPr>
          <w:lang w:val="en-CA"/>
        </w:rPr>
        <w:t>para. 2</w:t>
      </w:r>
      <w:r w:rsidRPr="000A0EA1">
        <w:rPr>
          <w:lang w:val="en-CA"/>
        </w:rPr>
        <w:t xml:space="preserve">6; </w:t>
      </w:r>
      <w:r w:rsidRPr="000A0EA1">
        <w:rPr>
          <w:i/>
          <w:iCs/>
          <w:lang w:val="en-CA"/>
        </w:rPr>
        <w:t xml:space="preserve">Reference re Public Schools Act (Man.), </w:t>
      </w:r>
      <w:r w:rsidR="0062160E">
        <w:rPr>
          <w:i/>
          <w:iCs/>
          <w:lang w:val="en-CA"/>
        </w:rPr>
        <w:t>s. 7</w:t>
      </w:r>
      <w:r w:rsidRPr="000A0EA1">
        <w:rPr>
          <w:i/>
          <w:iCs/>
          <w:lang w:val="en-CA"/>
        </w:rPr>
        <w:t>9(3), (4) and</w:t>
      </w:r>
      <w:r w:rsidR="00FE5C95">
        <w:rPr>
          <w:i/>
          <w:iCs/>
          <w:lang w:val="en-CA"/>
        </w:rPr>
        <w:t> </w:t>
      </w:r>
      <w:r w:rsidRPr="000A0EA1">
        <w:rPr>
          <w:i/>
          <w:iCs/>
          <w:lang w:val="en-CA"/>
        </w:rPr>
        <w:t>(7)</w:t>
      </w:r>
      <w:r w:rsidRPr="000A0EA1">
        <w:rPr>
          <w:lang w:val="en-CA"/>
        </w:rPr>
        <w:t>, [1993] 1</w:t>
      </w:r>
      <w:r w:rsidR="00956B70">
        <w:rPr>
          <w:lang w:val="en-CA"/>
        </w:rPr>
        <w:t> S.C.R. </w:t>
      </w:r>
      <w:r w:rsidRPr="000A0EA1">
        <w:rPr>
          <w:lang w:val="en-CA"/>
        </w:rPr>
        <w:t>839, p</w:t>
      </w:r>
      <w:r w:rsidR="00E95DC2">
        <w:rPr>
          <w:lang w:val="en-CA"/>
        </w:rPr>
        <w:t>p. </w:t>
      </w:r>
      <w:r w:rsidRPr="000A0EA1">
        <w:rPr>
          <w:lang w:val="en-CA"/>
        </w:rPr>
        <w:t xml:space="preserve">849-850; </w:t>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350.</w:t>
      </w:r>
    </w:p>
  </w:footnote>
  <w:footnote w:id="148">
    <w:p w14:paraId="17F5F504" w14:textId="3FCD0735"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Conseil scolaire francophone de la Colombie</w:t>
      </w:r>
      <w:r w:rsidR="00FE5C95" w:rsidRPr="007D51DF">
        <w:rPr>
          <w:i/>
          <w:iCs/>
        </w:rPr>
        <w:noBreakHyphen/>
      </w:r>
      <w:r w:rsidRPr="007D51DF">
        <w:rPr>
          <w:i/>
          <w:iCs/>
        </w:rPr>
        <w:t>Britannique v. British Columbia</w:t>
      </w:r>
      <w:r w:rsidRPr="007D51DF">
        <w:t>, 2020 SCC 13, [2020]</w:t>
      </w:r>
      <w:r w:rsidR="00FE5C95" w:rsidRPr="007D51DF">
        <w:t> </w:t>
      </w:r>
      <w:r w:rsidRPr="007D51DF">
        <w:t>1</w:t>
      </w:r>
      <w:r w:rsidR="00956B70" w:rsidRPr="007D51DF">
        <w:t> S.C.R. </w:t>
      </w:r>
      <w:r w:rsidRPr="007D51DF">
        <w:t xml:space="preserve">678, </w:t>
      </w:r>
      <w:r w:rsidR="0062160E" w:rsidRPr="007D51DF">
        <w:t>para. 1</w:t>
      </w:r>
      <w:r w:rsidRPr="007D51DF">
        <w:t xml:space="preserve">, cited in </w:t>
      </w:r>
      <w:r w:rsidRPr="007D51DF">
        <w:rPr>
          <w:i/>
          <w:iCs/>
        </w:rPr>
        <w:t>Commission scolaire francophone des Territoires du Nord</w:t>
      </w:r>
      <w:r w:rsidR="00FE5C95" w:rsidRPr="007D51DF">
        <w:rPr>
          <w:i/>
          <w:iCs/>
        </w:rPr>
        <w:noBreakHyphen/>
      </w:r>
      <w:r w:rsidRPr="007D51DF">
        <w:rPr>
          <w:i/>
          <w:iCs/>
        </w:rPr>
        <w:t>Ouest</w:t>
      </w:r>
      <w:r w:rsidR="00FE5C95" w:rsidRPr="007D51DF">
        <w:rPr>
          <w:i/>
          <w:iCs/>
        </w:rPr>
        <w:t> </w:t>
      </w:r>
      <w:r w:rsidRPr="007D51DF">
        <w:rPr>
          <w:i/>
          <w:iCs/>
        </w:rPr>
        <w:t>v. Northwest Territories (Education, Culture and Employment)</w:t>
      </w:r>
      <w:r w:rsidRPr="007D51DF">
        <w:t xml:space="preserve">, 2023 SCC 31, </w:t>
      </w:r>
      <w:r w:rsidR="0062160E" w:rsidRPr="007D51DF">
        <w:t>para. 8</w:t>
      </w:r>
      <w:r w:rsidRPr="007D51DF">
        <w:t>0.</w:t>
      </w:r>
    </w:p>
  </w:footnote>
  <w:footnote w:id="149">
    <w:p w14:paraId="17F5F505" w14:textId="6F1A610E"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Arsenault</w:t>
      </w:r>
      <w:r w:rsidR="00FE5C95" w:rsidRPr="007D51DF">
        <w:rPr>
          <w:i/>
          <w:iCs/>
        </w:rPr>
        <w:noBreakHyphen/>
      </w:r>
      <w:r w:rsidRPr="007D51DF">
        <w:rPr>
          <w:i/>
          <w:iCs/>
        </w:rPr>
        <w:t>Cameron v. Prince Edward Island</w:t>
      </w:r>
      <w:r w:rsidRPr="007D51DF">
        <w:t>, 2000 SCC 1, [2000] 1</w:t>
      </w:r>
      <w:r w:rsidR="00956B70" w:rsidRPr="007D51DF">
        <w:t> S.C.R. </w:t>
      </w:r>
      <w:r w:rsidRPr="007D51DF">
        <w:t xml:space="preserve">3, </w:t>
      </w:r>
      <w:r w:rsidR="0062160E" w:rsidRPr="007D51DF">
        <w:t>para. 2</w:t>
      </w:r>
      <w:r w:rsidRPr="007D51DF">
        <w:t>6. See also:</w:t>
      </w:r>
      <w:r w:rsidR="00FE5C95" w:rsidRPr="007D51DF">
        <w:t> </w:t>
      </w:r>
      <w:r w:rsidRPr="007D51DF">
        <w:rPr>
          <w:i/>
          <w:iCs/>
        </w:rPr>
        <w:t>Commission scolaire francophone des Territoires du Nord</w:t>
      </w:r>
      <w:r w:rsidR="00FE5C95" w:rsidRPr="007D51DF">
        <w:rPr>
          <w:i/>
          <w:iCs/>
        </w:rPr>
        <w:noBreakHyphen/>
      </w:r>
      <w:r w:rsidRPr="007D51DF">
        <w:rPr>
          <w:i/>
          <w:iCs/>
        </w:rPr>
        <w:t>Ouest v. Northwest Territories (Education, Culture and Employment)</w:t>
      </w:r>
      <w:r w:rsidRPr="007D51DF">
        <w:t xml:space="preserve">, 2023 SCC 31, </w:t>
      </w:r>
      <w:r w:rsidR="0062160E" w:rsidRPr="007D51DF">
        <w:t>para. 4</w:t>
      </w:r>
      <w:r w:rsidRPr="007D51DF">
        <w:t xml:space="preserve">; </w:t>
      </w:r>
      <w:r w:rsidRPr="007D51DF">
        <w:rPr>
          <w:i/>
          <w:iCs/>
        </w:rPr>
        <w:t>Conseil scolaire francophone de la Colombie</w:t>
      </w:r>
      <w:r w:rsidR="00FE5C95" w:rsidRPr="007D51DF">
        <w:rPr>
          <w:i/>
          <w:iCs/>
        </w:rPr>
        <w:noBreakHyphen/>
      </w:r>
      <w:r w:rsidRPr="007D51DF">
        <w:rPr>
          <w:i/>
          <w:iCs/>
        </w:rPr>
        <w:t>Britannique v. British Columbia</w:t>
      </w:r>
      <w:r w:rsidRPr="007D51DF">
        <w:t>, 2020 SCC 13</w:t>
      </w:r>
      <w:bookmarkStart w:id="52" w:name="_Hlk188005559"/>
      <w:r w:rsidRPr="007D51DF">
        <w:t>, [2020] 1</w:t>
      </w:r>
      <w:r w:rsidR="00956B70" w:rsidRPr="007D51DF">
        <w:t> S.C.R. </w:t>
      </w:r>
      <w:r w:rsidRPr="007D51DF">
        <w:t>678</w:t>
      </w:r>
      <w:bookmarkEnd w:id="52"/>
      <w:r w:rsidRPr="007D51DF">
        <w:t xml:space="preserve">, </w:t>
      </w:r>
      <w:r w:rsidR="0062160E" w:rsidRPr="007D51DF">
        <w:t>para. 2</w:t>
      </w:r>
      <w:r w:rsidRPr="007D51DF">
        <w:t>0.</w:t>
      </w:r>
    </w:p>
  </w:footnote>
  <w:footnote w:id="150">
    <w:p w14:paraId="17F5F506" w14:textId="4129183A"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Conseil scolaire francophone de la Colombie</w:t>
      </w:r>
      <w:r w:rsidR="00FE5C95" w:rsidRPr="007D51DF">
        <w:rPr>
          <w:i/>
          <w:iCs/>
        </w:rPr>
        <w:noBreakHyphen/>
      </w:r>
      <w:r w:rsidRPr="007D51DF">
        <w:rPr>
          <w:i/>
          <w:iCs/>
        </w:rPr>
        <w:t>Britannique v. British Columbia</w:t>
      </w:r>
      <w:r w:rsidRPr="007D51DF">
        <w:t>, 2020 SCC 13, [2020]</w:t>
      </w:r>
      <w:r w:rsidR="00FE5C95" w:rsidRPr="007D51DF">
        <w:t> </w:t>
      </w:r>
      <w:r w:rsidRPr="007D51DF">
        <w:t>1</w:t>
      </w:r>
      <w:r w:rsidR="00956B70" w:rsidRPr="007D51DF">
        <w:t> S.C.R. </w:t>
      </w:r>
      <w:r w:rsidRPr="007D51DF">
        <w:t xml:space="preserve">678, </w:t>
      </w:r>
      <w:r w:rsidR="0062160E" w:rsidRPr="007D51DF">
        <w:t>para. 1</w:t>
      </w:r>
      <w:r w:rsidRPr="007D51DF">
        <w:t>5.</w:t>
      </w:r>
    </w:p>
  </w:footnote>
  <w:footnote w:id="151">
    <w:p w14:paraId="17F5F507" w14:textId="1C0C34FA"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Mahe v. Alberta</w:t>
      </w:r>
      <w:r w:rsidRPr="007D51DF">
        <w:t>, [1990] 1</w:t>
      </w:r>
      <w:r w:rsidR="00956B70" w:rsidRPr="007D51DF">
        <w:t> S.C.R. </w:t>
      </w:r>
      <w:r w:rsidRPr="007D51DF">
        <w:t xml:space="preserve">342, </w:t>
      </w:r>
      <w:r w:rsidR="00E95DC2" w:rsidRPr="007D51DF">
        <w:t>p. </w:t>
      </w:r>
      <w:r w:rsidRPr="007D51DF">
        <w:t xml:space="preserve">350. See also: </w:t>
      </w:r>
      <w:r w:rsidRPr="007D51DF">
        <w:rPr>
          <w:i/>
          <w:iCs/>
        </w:rPr>
        <w:t>Conseil scolaire francophone de la Colombie</w:t>
      </w:r>
      <w:r w:rsidR="00C6166D" w:rsidRPr="007D51DF">
        <w:rPr>
          <w:i/>
          <w:iCs/>
        </w:rPr>
        <w:noBreakHyphen/>
      </w:r>
      <w:r w:rsidRPr="007D51DF">
        <w:rPr>
          <w:i/>
          <w:iCs/>
        </w:rPr>
        <w:t>Britannique v. British Columbia</w:t>
      </w:r>
      <w:r w:rsidRPr="007D51DF">
        <w:t>, 2020 SCC 13, [2020] 1</w:t>
      </w:r>
      <w:r w:rsidR="00956B70" w:rsidRPr="007D51DF">
        <w:t> S.C.R. </w:t>
      </w:r>
      <w:r w:rsidRPr="007D51DF">
        <w:t xml:space="preserve">678, </w:t>
      </w:r>
      <w:r w:rsidR="0062160E" w:rsidRPr="007D51DF">
        <w:t>para. 1</w:t>
      </w:r>
      <w:r w:rsidRPr="007D51DF">
        <w:t xml:space="preserve">2; </w:t>
      </w:r>
      <w:r w:rsidRPr="007D51DF">
        <w:rPr>
          <w:i/>
          <w:iCs/>
        </w:rPr>
        <w:t>Association des parents de l</w:t>
      </w:r>
      <w:r w:rsidR="00E46AFD" w:rsidRPr="007D51DF">
        <w:rPr>
          <w:i/>
          <w:iCs/>
        </w:rPr>
        <w:t>’</w:t>
      </w:r>
      <w:r w:rsidRPr="007D51DF">
        <w:rPr>
          <w:i/>
          <w:iCs/>
        </w:rPr>
        <w:t>école Rose</w:t>
      </w:r>
      <w:r w:rsidR="00C6166D" w:rsidRPr="007D51DF">
        <w:rPr>
          <w:i/>
          <w:iCs/>
        </w:rPr>
        <w:noBreakHyphen/>
      </w:r>
      <w:r w:rsidRPr="007D51DF">
        <w:rPr>
          <w:i/>
          <w:iCs/>
        </w:rPr>
        <w:t>des</w:t>
      </w:r>
      <w:r w:rsidR="00C6166D" w:rsidRPr="007D51DF">
        <w:rPr>
          <w:i/>
          <w:iCs/>
        </w:rPr>
        <w:noBreakHyphen/>
      </w:r>
      <w:r w:rsidRPr="007D51DF">
        <w:rPr>
          <w:i/>
          <w:iCs/>
        </w:rPr>
        <w:t>vents v. British Columbia (Education)</w:t>
      </w:r>
      <w:r w:rsidRPr="007D51DF">
        <w:t>, 2015 SCC 21, [2015]</w:t>
      </w:r>
      <w:r w:rsidR="00C6166D" w:rsidRPr="007D51DF">
        <w:t> </w:t>
      </w:r>
      <w:r w:rsidRPr="007D51DF">
        <w:t>2</w:t>
      </w:r>
      <w:r w:rsidR="00956B70" w:rsidRPr="007D51DF">
        <w:t> S.C.R. </w:t>
      </w:r>
      <w:r w:rsidRPr="007D51DF">
        <w:t xml:space="preserve">139, </w:t>
      </w:r>
      <w:r w:rsidR="0062160E" w:rsidRPr="007D51DF">
        <w:t>para. </w:t>
      </w:r>
      <w:r w:rsidR="0062160E">
        <w:rPr>
          <w:lang w:val="en-CA"/>
        </w:rPr>
        <w:t>2</w:t>
      </w:r>
      <w:r w:rsidRPr="000A0EA1">
        <w:rPr>
          <w:lang w:val="en-CA"/>
        </w:rPr>
        <w:t xml:space="preserve">5; </w:t>
      </w:r>
      <w:r w:rsidRPr="000A0EA1">
        <w:rPr>
          <w:i/>
          <w:iCs/>
          <w:lang w:val="en-CA"/>
        </w:rPr>
        <w:t>Solski (Tutor of) v. Quebec (Attorney General)</w:t>
      </w:r>
      <w:r w:rsidRPr="000A0EA1">
        <w:rPr>
          <w:lang w:val="en-CA"/>
        </w:rPr>
        <w:t>, 2005 SCC 14, [2005]</w:t>
      </w:r>
      <w:r w:rsidR="00C6166D">
        <w:rPr>
          <w:lang w:val="en-CA"/>
        </w:rPr>
        <w:t> </w:t>
      </w:r>
      <w:r w:rsidRPr="000A0EA1">
        <w:rPr>
          <w:lang w:val="en-CA"/>
        </w:rPr>
        <w:t>1</w:t>
      </w:r>
      <w:r w:rsidR="00956B70">
        <w:rPr>
          <w:lang w:val="en-CA"/>
        </w:rPr>
        <w:t> S.C.R. </w:t>
      </w:r>
      <w:r w:rsidRPr="000A0EA1">
        <w:rPr>
          <w:lang w:val="en-CA"/>
        </w:rPr>
        <w:t xml:space="preserve">201, </w:t>
      </w:r>
      <w:r w:rsidR="0062160E">
        <w:rPr>
          <w:lang w:val="en-CA"/>
        </w:rPr>
        <w:t>para. </w:t>
      </w:r>
      <w:r w:rsidR="0062160E" w:rsidRPr="007D51DF">
        <w:t>3</w:t>
      </w:r>
      <w:r w:rsidRPr="007D51DF">
        <w:t>.</w:t>
      </w:r>
    </w:p>
  </w:footnote>
  <w:footnote w:id="152">
    <w:p w14:paraId="17F5F508" w14:textId="3418B0E9"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Association des parents de l</w:t>
      </w:r>
      <w:r w:rsidR="00E46AFD" w:rsidRPr="007D51DF">
        <w:rPr>
          <w:i/>
          <w:iCs/>
        </w:rPr>
        <w:t>’</w:t>
      </w:r>
      <w:r w:rsidRPr="007D51DF">
        <w:rPr>
          <w:i/>
          <w:iCs/>
        </w:rPr>
        <w:t>école Rose</w:t>
      </w:r>
      <w:r w:rsidR="00C6166D" w:rsidRPr="007D51DF">
        <w:rPr>
          <w:i/>
          <w:iCs/>
        </w:rPr>
        <w:noBreakHyphen/>
      </w:r>
      <w:r w:rsidRPr="007D51DF">
        <w:rPr>
          <w:i/>
          <w:iCs/>
        </w:rPr>
        <w:t>des</w:t>
      </w:r>
      <w:r w:rsidR="00C6166D" w:rsidRPr="007D51DF">
        <w:rPr>
          <w:i/>
          <w:iCs/>
        </w:rPr>
        <w:noBreakHyphen/>
      </w:r>
      <w:r w:rsidRPr="007D51DF">
        <w:rPr>
          <w:i/>
          <w:iCs/>
        </w:rPr>
        <w:t>vents v. British Columbia (Education)</w:t>
      </w:r>
      <w:r w:rsidRPr="007D51DF">
        <w:t>, 2015 SCC 21, [2015] 2</w:t>
      </w:r>
      <w:r w:rsidR="00956B70" w:rsidRPr="007D51DF">
        <w:t> S.C.R. </w:t>
      </w:r>
      <w:r w:rsidRPr="007D51DF">
        <w:t xml:space="preserve">139, </w:t>
      </w:r>
      <w:r w:rsidR="0062160E" w:rsidRPr="007D51DF">
        <w:t>para. </w:t>
      </w:r>
      <w:r w:rsidR="0062160E">
        <w:rPr>
          <w:lang w:val="en-CA"/>
        </w:rPr>
        <w:t>2</w:t>
      </w:r>
      <w:r w:rsidRPr="000A0EA1">
        <w:rPr>
          <w:lang w:val="en-CA"/>
        </w:rPr>
        <w:t xml:space="preserve">5; </w:t>
      </w:r>
      <w:r w:rsidRPr="000A0EA1">
        <w:rPr>
          <w:i/>
          <w:iCs/>
          <w:lang w:val="en-CA"/>
        </w:rPr>
        <w:t>Doucet-Boudreau v. Nova Scotia (Minister of Education)</w:t>
      </w:r>
      <w:r w:rsidRPr="000A0EA1">
        <w:rPr>
          <w:lang w:val="en-CA"/>
        </w:rPr>
        <w:t>, 2003 SCC 62, [2003] 3</w:t>
      </w:r>
      <w:r w:rsidR="00956B70">
        <w:rPr>
          <w:lang w:val="en-CA"/>
        </w:rPr>
        <w:t> S.C.R. </w:t>
      </w:r>
      <w:r w:rsidRPr="000A0EA1">
        <w:rPr>
          <w:lang w:val="en-CA"/>
        </w:rPr>
        <w:t xml:space="preserve">3, </w:t>
      </w:r>
      <w:r w:rsidR="0062160E">
        <w:rPr>
          <w:lang w:val="en-CA"/>
        </w:rPr>
        <w:t>para. 2</w:t>
      </w:r>
      <w:r w:rsidRPr="000A0EA1">
        <w:rPr>
          <w:lang w:val="en-CA"/>
        </w:rPr>
        <w:t xml:space="preserve">8; </w:t>
      </w:r>
      <w:r w:rsidRPr="000A0EA1">
        <w:rPr>
          <w:i/>
          <w:iCs/>
          <w:lang w:val="en-CA"/>
        </w:rPr>
        <w:t>Attorney General of Quebec v. Quebec Association of Protestant School Boards</w:t>
      </w:r>
      <w:r w:rsidRPr="000A0EA1">
        <w:rPr>
          <w:lang w:val="en-CA"/>
        </w:rPr>
        <w:t>, [1984] 2</w:t>
      </w:r>
      <w:r w:rsidR="00956B70">
        <w:rPr>
          <w:lang w:val="en-CA"/>
        </w:rPr>
        <w:t> S.C.R. </w:t>
      </w:r>
      <w:r w:rsidRPr="000A0EA1">
        <w:rPr>
          <w:lang w:val="en-CA"/>
        </w:rPr>
        <w:t xml:space="preserve">66, </w:t>
      </w:r>
      <w:r w:rsidR="00E95DC2">
        <w:rPr>
          <w:lang w:val="en-CA"/>
        </w:rPr>
        <w:t>p. </w:t>
      </w:r>
      <w:r w:rsidRPr="000A0EA1">
        <w:rPr>
          <w:lang w:val="en-CA"/>
        </w:rPr>
        <w:t>79.</w:t>
      </w:r>
    </w:p>
  </w:footnote>
  <w:footnote w:id="153">
    <w:p w14:paraId="17F5F509" w14:textId="7958D20B"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r>
      <w:r w:rsidRPr="000A0EA1">
        <w:rPr>
          <w:i/>
          <w:iCs/>
          <w:lang w:val="en-CA"/>
        </w:rPr>
        <w:t>Nguyen v. Quebec (Education, Recreation and Sports)</w:t>
      </w:r>
      <w:r w:rsidRPr="000A0EA1">
        <w:rPr>
          <w:lang w:val="en-CA"/>
        </w:rPr>
        <w:t>, 2009 SCC 47, [2009] 3</w:t>
      </w:r>
      <w:r w:rsidR="00956B70">
        <w:rPr>
          <w:lang w:val="en-CA"/>
        </w:rPr>
        <w:t> S.C.R. </w:t>
      </w:r>
      <w:r w:rsidRPr="000A0EA1">
        <w:rPr>
          <w:lang w:val="en-CA"/>
        </w:rPr>
        <w:t xml:space="preserve">208, </w:t>
      </w:r>
      <w:r w:rsidR="0062160E">
        <w:rPr>
          <w:lang w:val="en-CA"/>
        </w:rPr>
        <w:t>para. </w:t>
      </w:r>
      <w:r w:rsidR="0062160E" w:rsidRPr="007D51DF">
        <w:t>2</w:t>
      </w:r>
      <w:r w:rsidRPr="007D51DF">
        <w:t>3.</w:t>
      </w:r>
    </w:p>
  </w:footnote>
  <w:footnote w:id="154">
    <w:p w14:paraId="17F5F50A" w14:textId="033D1239"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Commission scolaire francophone des Territoires du Nord</w:t>
      </w:r>
      <w:r w:rsidR="00C6166D" w:rsidRPr="007D51DF">
        <w:rPr>
          <w:i/>
          <w:iCs/>
        </w:rPr>
        <w:noBreakHyphen/>
      </w:r>
      <w:r w:rsidRPr="007D51DF">
        <w:rPr>
          <w:i/>
          <w:iCs/>
        </w:rPr>
        <w:t>Ouest v. Northwest Territories (Education, Culture and Employment)</w:t>
      </w:r>
      <w:r w:rsidRPr="007D51DF">
        <w:t xml:space="preserve">, 2023 SCC 31, </w:t>
      </w:r>
      <w:r w:rsidR="0062160E" w:rsidRPr="007D51DF">
        <w:t>para. 2</w:t>
      </w:r>
      <w:r w:rsidRPr="007D51DF">
        <w:t xml:space="preserve">; </w:t>
      </w:r>
      <w:r w:rsidRPr="007D51DF">
        <w:rPr>
          <w:i/>
          <w:iCs/>
        </w:rPr>
        <w:t>Mahe v. Alberta</w:t>
      </w:r>
      <w:r w:rsidRPr="007D51DF">
        <w:t>, [1990] 1</w:t>
      </w:r>
      <w:r w:rsidR="00956B70" w:rsidRPr="007D51DF">
        <w:t> S.C.R. </w:t>
      </w:r>
      <w:r w:rsidRPr="007D51DF">
        <w:t xml:space="preserve">342, </w:t>
      </w:r>
      <w:r w:rsidR="00E95DC2" w:rsidRPr="007D51DF">
        <w:t>p. </w:t>
      </w:r>
      <w:r w:rsidRPr="007D51DF">
        <w:t>365.</w:t>
      </w:r>
    </w:p>
  </w:footnote>
  <w:footnote w:id="155">
    <w:p w14:paraId="17F5F50B" w14:textId="3EC14E21"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Association des parents de l</w:t>
      </w:r>
      <w:r w:rsidR="00E46AFD" w:rsidRPr="007D51DF">
        <w:rPr>
          <w:i/>
          <w:iCs/>
        </w:rPr>
        <w:t>’</w:t>
      </w:r>
      <w:r w:rsidRPr="007D51DF">
        <w:rPr>
          <w:i/>
          <w:iCs/>
        </w:rPr>
        <w:t>école Rose</w:t>
      </w:r>
      <w:r w:rsidR="00C6166D" w:rsidRPr="007D51DF">
        <w:rPr>
          <w:i/>
          <w:iCs/>
        </w:rPr>
        <w:noBreakHyphen/>
      </w:r>
      <w:r w:rsidRPr="007D51DF">
        <w:rPr>
          <w:i/>
          <w:iCs/>
        </w:rPr>
        <w:t>des</w:t>
      </w:r>
      <w:r w:rsidR="00C6166D" w:rsidRPr="007D51DF">
        <w:rPr>
          <w:i/>
          <w:iCs/>
        </w:rPr>
        <w:noBreakHyphen/>
      </w:r>
      <w:r w:rsidRPr="007D51DF">
        <w:rPr>
          <w:i/>
          <w:iCs/>
        </w:rPr>
        <w:t>vents v. British Columbia (Education)</w:t>
      </w:r>
      <w:r w:rsidRPr="007D51DF">
        <w:t>, 2015 SCC 21, [2015] 2</w:t>
      </w:r>
      <w:r w:rsidR="00956B70" w:rsidRPr="007D51DF">
        <w:t> S.C.R. </w:t>
      </w:r>
      <w:r w:rsidRPr="007D51DF">
        <w:t xml:space="preserve">139, </w:t>
      </w:r>
      <w:r w:rsidR="0062160E" w:rsidRPr="007D51DF">
        <w:t>para. </w:t>
      </w:r>
      <w:r w:rsidR="0062160E">
        <w:rPr>
          <w:lang w:val="en-CA"/>
        </w:rPr>
        <w:t>2</w:t>
      </w:r>
      <w:r w:rsidRPr="000A0EA1">
        <w:rPr>
          <w:lang w:val="en-CA"/>
        </w:rPr>
        <w:t xml:space="preserve">5; </w:t>
      </w:r>
      <w:r w:rsidRPr="000A0EA1">
        <w:rPr>
          <w:i/>
          <w:iCs/>
          <w:lang w:val="en-CA"/>
        </w:rPr>
        <w:t>Arsenault</w:t>
      </w:r>
      <w:r w:rsidR="00C6166D">
        <w:rPr>
          <w:i/>
          <w:iCs/>
          <w:lang w:val="en-CA"/>
        </w:rPr>
        <w:noBreakHyphen/>
      </w:r>
      <w:r w:rsidRPr="000A0EA1">
        <w:rPr>
          <w:i/>
          <w:iCs/>
          <w:lang w:val="en-CA"/>
        </w:rPr>
        <w:t>Cameron v. Prince Edward Island</w:t>
      </w:r>
      <w:r w:rsidRPr="000A0EA1">
        <w:rPr>
          <w:lang w:val="en-CA"/>
        </w:rPr>
        <w:t>, 2000 SCC 1, [2000]</w:t>
      </w:r>
      <w:r w:rsidR="00C6166D">
        <w:rPr>
          <w:lang w:val="en-CA"/>
        </w:rPr>
        <w:t> </w:t>
      </w:r>
      <w:r w:rsidRPr="000A0EA1">
        <w:rPr>
          <w:lang w:val="en-CA"/>
        </w:rPr>
        <w:t>1</w:t>
      </w:r>
      <w:r w:rsidR="00956B70">
        <w:rPr>
          <w:lang w:val="en-CA"/>
        </w:rPr>
        <w:t> S.C.R. </w:t>
      </w:r>
      <w:r w:rsidRPr="000A0EA1">
        <w:rPr>
          <w:lang w:val="en-CA"/>
        </w:rPr>
        <w:t xml:space="preserve">3, </w:t>
      </w:r>
      <w:r w:rsidR="0062160E">
        <w:rPr>
          <w:lang w:val="en-CA"/>
        </w:rPr>
        <w:t>para. 2</w:t>
      </w:r>
      <w:r w:rsidRPr="000A0EA1">
        <w:rPr>
          <w:lang w:val="en-CA"/>
        </w:rPr>
        <w:t xml:space="preserve">6; </w:t>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367.</w:t>
      </w:r>
    </w:p>
  </w:footnote>
  <w:footnote w:id="156">
    <w:p w14:paraId="17F5F50C" w14:textId="432D132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Doucet</w:t>
      </w:r>
      <w:r w:rsidR="00C6166D">
        <w:rPr>
          <w:i/>
          <w:iCs/>
          <w:lang w:val="en-CA"/>
        </w:rPr>
        <w:noBreakHyphen/>
      </w:r>
      <w:r w:rsidRPr="000A0EA1">
        <w:rPr>
          <w:i/>
          <w:iCs/>
          <w:lang w:val="en-CA"/>
        </w:rPr>
        <w:t>Boudreau v. Nova Scotia (Minister of Education)</w:t>
      </w:r>
      <w:r w:rsidRPr="000A0EA1">
        <w:rPr>
          <w:lang w:val="en-CA"/>
        </w:rPr>
        <w:t>, 2003 SCC 62, [2003] 3</w:t>
      </w:r>
      <w:r w:rsidR="00956B70">
        <w:rPr>
          <w:lang w:val="en-CA"/>
        </w:rPr>
        <w:t> S.C.R. </w:t>
      </w:r>
      <w:r w:rsidRPr="000A0EA1">
        <w:rPr>
          <w:lang w:val="en-CA"/>
        </w:rPr>
        <w:t xml:space="preserve">3, </w:t>
      </w:r>
      <w:r w:rsidR="0062160E">
        <w:rPr>
          <w:lang w:val="en-CA"/>
        </w:rPr>
        <w:t>para. 2</w:t>
      </w:r>
      <w:r w:rsidRPr="000A0EA1">
        <w:rPr>
          <w:lang w:val="en-CA"/>
        </w:rPr>
        <w:t>8.</w:t>
      </w:r>
    </w:p>
  </w:footnote>
  <w:footnote w:id="157">
    <w:p w14:paraId="17F5F50D" w14:textId="33EEE8B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393.</w:t>
      </w:r>
    </w:p>
  </w:footnote>
  <w:footnote w:id="158">
    <w:p w14:paraId="17F5F50E" w14:textId="77777777"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1987 ABCA 158.</w:t>
      </w:r>
    </w:p>
  </w:footnote>
  <w:footnote w:id="159">
    <w:p w14:paraId="17F5F50F" w14:textId="5BD41AF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55" w:name="_Hlk187321130"/>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 xml:space="preserve">368, </w:t>
      </w:r>
      <w:bookmarkEnd w:id="55"/>
      <w:r w:rsidRPr="000A0EA1">
        <w:rPr>
          <w:lang w:val="en-CA"/>
        </w:rPr>
        <w:t xml:space="preserve">referring to </w:t>
      </w:r>
      <w:r w:rsidRPr="000A0EA1">
        <w:rPr>
          <w:i/>
          <w:iCs/>
          <w:lang w:val="en-CA"/>
        </w:rPr>
        <w:t xml:space="preserve">Reference Re Education Act of Ontario and Minority Language Education Rights </w:t>
      </w:r>
      <w:r w:rsidRPr="000A0EA1">
        <w:rPr>
          <w:lang w:val="en-CA"/>
        </w:rPr>
        <w:t xml:space="preserve">(1984), 10 D.L.R. (4th) 491 (Ont. C.A.); </w:t>
      </w:r>
      <w:r w:rsidRPr="000A0EA1">
        <w:rPr>
          <w:i/>
          <w:iCs/>
          <w:lang w:val="en-CA"/>
        </w:rPr>
        <w:t>Commission des Écoles Fransaskoises v. Saskatchewan</w:t>
      </w:r>
      <w:r w:rsidRPr="000A0EA1">
        <w:rPr>
          <w:lang w:val="en-CA"/>
        </w:rPr>
        <w:t xml:space="preserve"> (1988), 48 D.L.R. (4th) 315 (Sask. Q.B.); </w:t>
      </w:r>
      <w:r w:rsidRPr="000A0EA1">
        <w:rPr>
          <w:i/>
          <w:iCs/>
          <w:lang w:val="en-CA"/>
        </w:rPr>
        <w:t>Lavoie v. Nova Scotia (Attorney General)</w:t>
      </w:r>
      <w:r w:rsidRPr="000A0EA1">
        <w:rPr>
          <w:lang w:val="en-CA"/>
        </w:rPr>
        <w:t xml:space="preserve"> (1989), 91 N.S.R. (2d) 184 (N.S. C.A.); </w:t>
      </w:r>
      <w:r w:rsidRPr="000A0EA1">
        <w:rPr>
          <w:i/>
          <w:iCs/>
          <w:lang w:val="en-CA"/>
        </w:rPr>
        <w:t>Reference Re Minority Language Educational Rights (P.E.I.)</w:t>
      </w:r>
      <w:r w:rsidRPr="000A0EA1">
        <w:rPr>
          <w:lang w:val="en-CA"/>
        </w:rPr>
        <w:t xml:space="preserve"> (1988), 69 Nfld. &amp; P.E.I.R. 236 (P.E.I. S.C. (A.D.)).</w:t>
      </w:r>
    </w:p>
  </w:footnote>
  <w:footnote w:id="160">
    <w:p w14:paraId="17F5F510" w14:textId="065BD4DF"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342, p</w:t>
      </w:r>
      <w:r w:rsidR="00E95DC2">
        <w:rPr>
          <w:lang w:val="en-CA"/>
        </w:rPr>
        <w:t>p. </w:t>
      </w:r>
      <w:r w:rsidRPr="000A0EA1">
        <w:rPr>
          <w:lang w:val="en-CA"/>
        </w:rPr>
        <w:t>369-370.</w:t>
      </w:r>
    </w:p>
  </w:footnote>
  <w:footnote w:id="161">
    <w:p w14:paraId="17F5F511" w14:textId="471A7C4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w:t>
      </w:r>
      <w:r w:rsidR="00E95DC2">
        <w:rPr>
          <w:lang w:val="en-CA"/>
        </w:rPr>
        <w:t>p. </w:t>
      </w:r>
      <w:r w:rsidRPr="000A0EA1">
        <w:rPr>
          <w:lang w:val="en-CA"/>
        </w:rPr>
        <w:t>371-372 and 379.</w:t>
      </w:r>
    </w:p>
  </w:footnote>
  <w:footnote w:id="162">
    <w:p w14:paraId="17F5F512" w14:textId="694D2EC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w:t>
      </w:r>
      <w:r w:rsidR="00E95DC2">
        <w:rPr>
          <w:lang w:val="en-CA"/>
        </w:rPr>
        <w:t>p. </w:t>
      </w:r>
      <w:r w:rsidRPr="000A0EA1">
        <w:rPr>
          <w:lang w:val="en-CA"/>
        </w:rPr>
        <w:t>377-378.</w:t>
      </w:r>
    </w:p>
  </w:footnote>
  <w:footnote w:id="163">
    <w:p w14:paraId="17F5F513" w14:textId="0048CC5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Arsenault</w:t>
      </w:r>
      <w:r w:rsidR="00B525A4">
        <w:rPr>
          <w:rFonts w:ascii="Cambria Math" w:hAnsi="Cambria Math" w:cs="Cambria Math"/>
          <w:i/>
          <w:iCs/>
          <w:lang w:val="en-CA"/>
        </w:rPr>
        <w:noBreakHyphen/>
      </w:r>
      <w:r w:rsidRPr="000A0EA1">
        <w:rPr>
          <w:i/>
          <w:iCs/>
          <w:lang w:val="en-CA"/>
        </w:rPr>
        <w:t>Cameron v. Prince Edward Island</w:t>
      </w:r>
      <w:r w:rsidRPr="000A0EA1">
        <w:rPr>
          <w:lang w:val="en-CA"/>
        </w:rPr>
        <w:t>, 2000 SCC 1, [2000] 1</w:t>
      </w:r>
      <w:r w:rsidR="00956B70">
        <w:rPr>
          <w:lang w:val="en-CA"/>
        </w:rPr>
        <w:t> S.C.R. </w:t>
      </w:r>
      <w:r w:rsidRPr="000A0EA1">
        <w:rPr>
          <w:lang w:val="en-CA"/>
        </w:rPr>
        <w:t xml:space="preserve">3, </w:t>
      </w:r>
      <w:r w:rsidR="0062160E">
        <w:rPr>
          <w:lang w:val="en-CA"/>
        </w:rPr>
        <w:t>para. 4</w:t>
      </w:r>
      <w:r w:rsidRPr="000A0EA1">
        <w:rPr>
          <w:lang w:val="en-CA"/>
        </w:rPr>
        <w:t>2 [underlining added].</w:t>
      </w:r>
    </w:p>
  </w:footnote>
  <w:footnote w:id="164">
    <w:p w14:paraId="17F5F514" w14:textId="591CD21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 xml:space="preserve">377. </w:t>
      </w:r>
    </w:p>
  </w:footnote>
  <w:footnote w:id="165">
    <w:p w14:paraId="17F5F515" w14:textId="1EB53646"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Conseil scolaire francophone de la Colombie</w:t>
      </w:r>
      <w:r w:rsidR="00B525A4" w:rsidRPr="007D51DF">
        <w:rPr>
          <w:i/>
          <w:iCs/>
        </w:rPr>
        <w:noBreakHyphen/>
      </w:r>
      <w:r w:rsidRPr="007D51DF">
        <w:rPr>
          <w:i/>
          <w:iCs/>
        </w:rPr>
        <w:t>Britannique v. British Columbia</w:t>
      </w:r>
      <w:r w:rsidRPr="007D51DF">
        <w:t>, 2020 SCC 13, [2020]</w:t>
      </w:r>
      <w:r w:rsidR="00B525A4" w:rsidRPr="007D51DF">
        <w:t> </w:t>
      </w:r>
      <w:r w:rsidRPr="007D51DF">
        <w:t>1</w:t>
      </w:r>
      <w:r w:rsidR="00956B70" w:rsidRPr="007D51DF">
        <w:t> S.C.R. </w:t>
      </w:r>
      <w:r w:rsidRPr="007D51DF">
        <w:t>678.</w:t>
      </w:r>
    </w:p>
  </w:footnote>
  <w:footnote w:id="166">
    <w:p w14:paraId="17F5F516" w14:textId="76119D98"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Commission scolaire francophone des Territoires du Nord</w:t>
      </w:r>
      <w:r w:rsidR="005A633B" w:rsidRPr="007D51DF">
        <w:rPr>
          <w:i/>
          <w:iCs/>
        </w:rPr>
        <w:noBreakHyphen/>
      </w:r>
      <w:r w:rsidRPr="007D51DF">
        <w:rPr>
          <w:i/>
          <w:iCs/>
        </w:rPr>
        <w:t>Ouest v. Northwest Territories (Education, Culture and Employment)</w:t>
      </w:r>
      <w:r w:rsidRPr="007D51DF">
        <w:t xml:space="preserve">, 2023 SCC 31, </w:t>
      </w:r>
      <w:r w:rsidR="0062160E" w:rsidRPr="007D51DF">
        <w:t>para. </w:t>
      </w:r>
      <w:r w:rsidR="0062160E">
        <w:rPr>
          <w:lang w:val="en-CA"/>
        </w:rPr>
        <w:t>3</w:t>
      </w:r>
      <w:r w:rsidRPr="000A0EA1">
        <w:rPr>
          <w:lang w:val="en-CA"/>
        </w:rPr>
        <w:t>.</w:t>
      </w:r>
    </w:p>
  </w:footnote>
  <w:footnote w:id="167">
    <w:p w14:paraId="17F5F517" w14:textId="09CA5D7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 xml:space="preserve">; </w:t>
      </w:r>
      <w:r w:rsidRPr="000A0EA1">
        <w:rPr>
          <w:i/>
          <w:iCs/>
          <w:lang w:val="en-CA"/>
        </w:rPr>
        <w:t>Arsenault</w:t>
      </w:r>
      <w:r w:rsidR="005A633B">
        <w:rPr>
          <w:rFonts w:ascii="Cambria Math" w:hAnsi="Cambria Math" w:cs="Cambria Math"/>
          <w:i/>
          <w:iCs/>
          <w:lang w:val="en-CA"/>
        </w:rPr>
        <w:noBreakHyphen/>
      </w:r>
      <w:r w:rsidRPr="000A0EA1">
        <w:rPr>
          <w:i/>
          <w:iCs/>
          <w:lang w:val="en-CA"/>
        </w:rPr>
        <w:t>Cameron v. Prince Edward Island</w:t>
      </w:r>
      <w:r w:rsidRPr="000A0EA1">
        <w:rPr>
          <w:lang w:val="en-CA"/>
        </w:rPr>
        <w:t>, 2000 SCC 1, [2000] 1</w:t>
      </w:r>
      <w:r w:rsidR="00956B70">
        <w:rPr>
          <w:lang w:val="en-CA"/>
        </w:rPr>
        <w:t> S.C.R. </w:t>
      </w:r>
      <w:r w:rsidRPr="000A0EA1">
        <w:rPr>
          <w:lang w:val="en-CA"/>
        </w:rPr>
        <w:t xml:space="preserve">3, </w:t>
      </w:r>
      <w:r w:rsidR="0062160E">
        <w:rPr>
          <w:lang w:val="en-CA"/>
        </w:rPr>
        <w:t>para. 2</w:t>
      </w:r>
      <w:r w:rsidRPr="000A0EA1">
        <w:rPr>
          <w:lang w:val="en-CA"/>
        </w:rPr>
        <w:t>6.</w:t>
      </w:r>
    </w:p>
  </w:footnote>
  <w:footnote w:id="168">
    <w:p w14:paraId="17F5F518" w14:textId="6B4AE6D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Solski (Tutor of) v. Quebec (Attorney General)</w:t>
      </w:r>
      <w:r w:rsidRPr="000A0EA1">
        <w:rPr>
          <w:lang w:val="en-CA"/>
        </w:rPr>
        <w:t>, 2005 SCC 14, [2005] 1</w:t>
      </w:r>
      <w:r w:rsidR="00956B70">
        <w:rPr>
          <w:lang w:val="en-CA"/>
        </w:rPr>
        <w:t> S.C.R. </w:t>
      </w:r>
      <w:r w:rsidRPr="000A0EA1">
        <w:rPr>
          <w:lang w:val="en-CA"/>
        </w:rPr>
        <w:t xml:space="preserve">201, </w:t>
      </w:r>
      <w:r w:rsidR="0062160E">
        <w:rPr>
          <w:lang w:val="en-CA"/>
        </w:rPr>
        <w:t>para. 2</w:t>
      </w:r>
      <w:r w:rsidRPr="000A0EA1">
        <w:rPr>
          <w:lang w:val="en-CA"/>
        </w:rPr>
        <w:t>0 [underlining added].</w:t>
      </w:r>
    </w:p>
  </w:footnote>
  <w:footnote w:id="169">
    <w:p w14:paraId="17F5F519"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23(3)(</w:t>
      </w:r>
      <w:r w:rsidRPr="000A0EA1">
        <w:rPr>
          <w:i/>
          <w:iCs/>
          <w:lang w:val="en-CA"/>
        </w:rPr>
        <w:t>b</w:t>
      </w:r>
      <w:r w:rsidRPr="000A0EA1">
        <w:rPr>
          <w:lang w:val="en-CA"/>
        </w:rPr>
        <w:t xml:space="preserve">) of the </w:t>
      </w:r>
      <w:r w:rsidRPr="000A0EA1">
        <w:rPr>
          <w:i/>
          <w:iCs/>
          <w:lang w:val="en-CA"/>
        </w:rPr>
        <w:t xml:space="preserve">Charter </w:t>
      </w:r>
      <w:r w:rsidRPr="000A0EA1">
        <w:rPr>
          <w:lang w:val="en-CA"/>
        </w:rPr>
        <w:t>[underlining added].</w:t>
      </w:r>
    </w:p>
  </w:footnote>
  <w:footnote w:id="170">
    <w:p w14:paraId="17F5F51A" w14:textId="1BE6131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 xml:space="preserve">19, referring to British Columbia: </w:t>
      </w:r>
      <w:r w:rsidRPr="000A0EA1">
        <w:rPr>
          <w:i/>
          <w:iCs/>
          <w:lang w:val="en-CA"/>
        </w:rPr>
        <w:t>Conseil Scolaire Francophone de la Colombie</w:t>
      </w:r>
      <w:r w:rsidR="00B33942">
        <w:rPr>
          <w:i/>
          <w:iCs/>
          <w:lang w:val="en-CA"/>
        </w:rPr>
        <w:noBreakHyphen/>
      </w:r>
      <w:r w:rsidRPr="000A0EA1">
        <w:rPr>
          <w:i/>
          <w:iCs/>
          <w:lang w:val="en-CA"/>
        </w:rPr>
        <w:t>Britannique Regulation</w:t>
      </w:r>
      <w:r w:rsidRPr="000A0EA1">
        <w:rPr>
          <w:lang w:val="en-CA"/>
        </w:rPr>
        <w:t>, B.C.</w:t>
      </w:r>
      <w:r w:rsidR="00CB4355">
        <w:rPr>
          <w:lang w:val="en-CA"/>
        </w:rPr>
        <w:t> </w:t>
      </w:r>
      <w:r w:rsidRPr="000A0EA1">
        <w:rPr>
          <w:lang w:val="en-CA"/>
        </w:rPr>
        <w:t xml:space="preserve">Reg. 2013/99, </w:t>
      </w:r>
      <w:r w:rsidR="0062160E">
        <w:rPr>
          <w:lang w:val="en-CA"/>
        </w:rPr>
        <w:t>s.</w:t>
      </w:r>
      <w:r w:rsidR="00CB4355">
        <w:rPr>
          <w:lang w:val="en-CA"/>
        </w:rPr>
        <w:t> </w:t>
      </w:r>
      <w:r w:rsidR="0062160E">
        <w:rPr>
          <w:lang w:val="en-CA"/>
        </w:rPr>
        <w:t>6</w:t>
      </w:r>
      <w:r w:rsidRPr="000A0EA1">
        <w:rPr>
          <w:lang w:val="en-CA"/>
        </w:rPr>
        <w:t xml:space="preserve">; </w:t>
      </w:r>
      <w:r w:rsidRPr="000A0EA1">
        <w:rPr>
          <w:i/>
          <w:iCs/>
          <w:lang w:val="en-CA"/>
        </w:rPr>
        <w:t>Francophone Education Authorities Regulation</w:t>
      </w:r>
      <w:r w:rsidRPr="000A0EA1">
        <w:rPr>
          <w:lang w:val="en-CA"/>
        </w:rPr>
        <w:t>, B.C.</w:t>
      </w:r>
      <w:r w:rsidR="00CB4355">
        <w:rPr>
          <w:lang w:val="en-CA"/>
        </w:rPr>
        <w:t> </w:t>
      </w:r>
      <w:r w:rsidRPr="000A0EA1">
        <w:rPr>
          <w:lang w:val="en-CA"/>
        </w:rPr>
        <w:t>Reg</w:t>
      </w:r>
      <w:r w:rsidR="00CB4355">
        <w:rPr>
          <w:lang w:val="en-CA"/>
        </w:rPr>
        <w:t> </w:t>
      </w:r>
      <w:r w:rsidRPr="000A0EA1">
        <w:rPr>
          <w:lang w:val="en-CA"/>
        </w:rPr>
        <w:t>212/99, s</w:t>
      </w:r>
      <w:r w:rsidR="0062160E">
        <w:rPr>
          <w:lang w:val="en-CA"/>
        </w:rPr>
        <w:t>s. 2</w:t>
      </w:r>
      <w:r w:rsidRPr="000A0EA1">
        <w:rPr>
          <w:lang w:val="en-CA"/>
        </w:rPr>
        <w:t xml:space="preserve">-4; </w:t>
      </w:r>
      <w:r w:rsidRPr="000A0EA1">
        <w:rPr>
          <w:i/>
          <w:iCs/>
          <w:lang w:val="en-CA"/>
        </w:rPr>
        <w:t>School Act</w:t>
      </w:r>
      <w:r w:rsidRPr="000A0EA1">
        <w:rPr>
          <w:lang w:val="en-CA"/>
        </w:rPr>
        <w:t>, R.S.B.C.</w:t>
      </w:r>
      <w:r w:rsidR="00CB4355">
        <w:rPr>
          <w:lang w:val="en-CA"/>
        </w:rPr>
        <w:t> </w:t>
      </w:r>
      <w:r w:rsidRPr="000A0EA1">
        <w:rPr>
          <w:lang w:val="en-CA"/>
        </w:rPr>
        <w:t>1996, c.</w:t>
      </w:r>
      <w:r w:rsidR="00CB4355">
        <w:rPr>
          <w:lang w:val="en-CA"/>
        </w:rPr>
        <w:t> </w:t>
      </w:r>
      <w:r w:rsidRPr="000A0EA1">
        <w:rPr>
          <w:lang w:val="en-CA"/>
        </w:rPr>
        <w:t>412, s</w:t>
      </w:r>
      <w:r w:rsidR="0062160E">
        <w:rPr>
          <w:lang w:val="en-CA"/>
        </w:rPr>
        <w:t>s. 1</w:t>
      </w:r>
      <w:r w:rsidRPr="000A0EA1">
        <w:rPr>
          <w:lang w:val="en-CA"/>
        </w:rPr>
        <w:t xml:space="preserve">(1) (definition of </w:t>
      </w:r>
      <w:r w:rsidR="00E46AFD">
        <w:rPr>
          <w:lang w:val="en-CA"/>
        </w:rPr>
        <w:t>“</w:t>
      </w:r>
      <w:r w:rsidRPr="000A0EA1">
        <w:rPr>
          <w:lang w:val="en-CA"/>
        </w:rPr>
        <w:t>eligible person</w:t>
      </w:r>
      <w:r w:rsidR="00E46AFD">
        <w:rPr>
          <w:lang w:val="en-CA"/>
        </w:rPr>
        <w:t>”</w:t>
      </w:r>
      <w:r w:rsidRPr="000A0EA1">
        <w:rPr>
          <w:lang w:val="en-CA"/>
        </w:rPr>
        <w:t xml:space="preserve"> and </w:t>
      </w:r>
      <w:r w:rsidR="00E46AFD">
        <w:rPr>
          <w:lang w:val="en-CA"/>
        </w:rPr>
        <w:t>“</w:t>
      </w:r>
      <w:r w:rsidRPr="000A0EA1">
        <w:rPr>
          <w:lang w:val="en-CA"/>
        </w:rPr>
        <w:t>immigrant parent</w:t>
      </w:r>
      <w:r w:rsidR="00E46AFD">
        <w:rPr>
          <w:lang w:val="en-CA"/>
        </w:rPr>
        <w:t>”</w:t>
      </w:r>
      <w:r w:rsidRPr="000A0EA1">
        <w:rPr>
          <w:lang w:val="en-CA"/>
        </w:rPr>
        <w:t xml:space="preserve">), 166.13 and 166.14. Alberta: </w:t>
      </w:r>
      <w:r w:rsidRPr="000A0EA1">
        <w:rPr>
          <w:i/>
          <w:iCs/>
          <w:lang w:val="en-CA"/>
        </w:rPr>
        <w:t>Education Act</w:t>
      </w:r>
      <w:r w:rsidRPr="000A0EA1">
        <w:rPr>
          <w:lang w:val="en-CA"/>
        </w:rPr>
        <w:t>, S.A.</w:t>
      </w:r>
      <w:r w:rsidR="00CB4355">
        <w:rPr>
          <w:lang w:val="en-CA"/>
        </w:rPr>
        <w:t> </w:t>
      </w:r>
      <w:r w:rsidRPr="000A0EA1">
        <w:rPr>
          <w:lang w:val="en-CA"/>
        </w:rPr>
        <w:t>2012, c.</w:t>
      </w:r>
      <w:r w:rsidR="00CB4355">
        <w:rPr>
          <w:lang w:val="en-CA"/>
        </w:rPr>
        <w:t> </w:t>
      </w:r>
      <w:r w:rsidRPr="000A0EA1">
        <w:rPr>
          <w:lang w:val="en-CA"/>
        </w:rPr>
        <w:t>E</w:t>
      </w:r>
      <w:r w:rsidR="00CB4355">
        <w:rPr>
          <w:lang w:val="en-CA"/>
        </w:rPr>
        <w:noBreakHyphen/>
      </w:r>
      <w:r w:rsidRPr="000A0EA1">
        <w:rPr>
          <w:lang w:val="en-CA"/>
        </w:rPr>
        <w:t>0.3, s</w:t>
      </w:r>
      <w:r w:rsidR="0062160E">
        <w:rPr>
          <w:lang w:val="en-CA"/>
        </w:rPr>
        <w:t>s. 1</w:t>
      </w:r>
      <w:r w:rsidRPr="000A0EA1">
        <w:rPr>
          <w:lang w:val="en-CA"/>
        </w:rPr>
        <w:t xml:space="preserve">(1)(i), 87(1)(b) and 135(2). Saskatchewan: </w:t>
      </w:r>
      <w:r w:rsidRPr="000A0EA1">
        <w:rPr>
          <w:i/>
          <w:iCs/>
          <w:lang w:val="en-CA"/>
        </w:rPr>
        <w:t>The Education Act, 1995</w:t>
      </w:r>
      <w:r w:rsidRPr="000A0EA1">
        <w:rPr>
          <w:lang w:val="en-CA"/>
        </w:rPr>
        <w:t>, S.</w:t>
      </w:r>
      <w:r w:rsidR="0062160E">
        <w:rPr>
          <w:lang w:val="en-CA"/>
        </w:rPr>
        <w:t>S.</w:t>
      </w:r>
      <w:r w:rsidR="00CB4355">
        <w:rPr>
          <w:lang w:val="en-CA"/>
        </w:rPr>
        <w:t> </w:t>
      </w:r>
      <w:r w:rsidR="0062160E">
        <w:rPr>
          <w:lang w:val="en-CA"/>
        </w:rPr>
        <w:t>1</w:t>
      </w:r>
      <w:r w:rsidRPr="000A0EA1">
        <w:rPr>
          <w:lang w:val="en-CA"/>
        </w:rPr>
        <w:t>995, c.</w:t>
      </w:r>
      <w:r w:rsidR="00CB4355">
        <w:rPr>
          <w:lang w:val="en-CA"/>
        </w:rPr>
        <w:t> </w:t>
      </w:r>
      <w:r w:rsidRPr="000A0EA1">
        <w:rPr>
          <w:lang w:val="en-CA"/>
        </w:rPr>
        <w:t>E</w:t>
      </w:r>
      <w:r w:rsidR="00CB4355">
        <w:rPr>
          <w:lang w:val="en-CA"/>
        </w:rPr>
        <w:noBreakHyphen/>
      </w:r>
      <w:r w:rsidRPr="000A0EA1">
        <w:rPr>
          <w:lang w:val="en-CA"/>
        </w:rPr>
        <w:t xml:space="preserve">0.2, </w:t>
      </w:r>
      <w:r w:rsidR="0062160E">
        <w:rPr>
          <w:lang w:val="en-CA"/>
        </w:rPr>
        <w:t>s. 2</w:t>
      </w:r>
      <w:r w:rsidRPr="000A0EA1">
        <w:rPr>
          <w:lang w:val="en-CA"/>
        </w:rPr>
        <w:t>(1) (</w:t>
      </w:r>
      <w:r w:rsidR="00E46AFD">
        <w:rPr>
          <w:lang w:val="en-CA"/>
        </w:rPr>
        <w:t>“</w:t>
      </w:r>
      <w:r w:rsidRPr="000A0EA1">
        <w:rPr>
          <w:lang w:val="en-CA"/>
        </w:rPr>
        <w:t>minority language adult</w:t>
      </w:r>
      <w:r w:rsidR="00E46AFD">
        <w:rPr>
          <w:lang w:val="en-CA"/>
        </w:rPr>
        <w:t>”</w:t>
      </w:r>
      <w:r w:rsidRPr="000A0EA1">
        <w:rPr>
          <w:lang w:val="en-CA"/>
        </w:rPr>
        <w:t xml:space="preserve"> and </w:t>
      </w:r>
      <w:r w:rsidR="00E46AFD">
        <w:rPr>
          <w:lang w:val="en-CA"/>
        </w:rPr>
        <w:t>“</w:t>
      </w:r>
      <w:r w:rsidRPr="000A0EA1">
        <w:rPr>
          <w:lang w:val="en-CA"/>
        </w:rPr>
        <w:t>voter</w:t>
      </w:r>
      <w:r w:rsidR="00E46AFD">
        <w:rPr>
          <w:lang w:val="en-CA"/>
        </w:rPr>
        <w:t>”</w:t>
      </w:r>
      <w:r w:rsidRPr="000A0EA1">
        <w:rPr>
          <w:lang w:val="en-CA"/>
        </w:rPr>
        <w:t xml:space="preserve">), 64(2) and 65. Manitoba: </w:t>
      </w:r>
      <w:r w:rsidRPr="000A0EA1">
        <w:rPr>
          <w:i/>
          <w:iCs/>
          <w:lang w:val="en-CA"/>
        </w:rPr>
        <w:t>The Public Schools Act</w:t>
      </w:r>
      <w:r w:rsidRPr="000A0EA1">
        <w:rPr>
          <w:lang w:val="en-CA"/>
        </w:rPr>
        <w:t>, C.C.S.M., c.</w:t>
      </w:r>
      <w:r w:rsidR="00CB4355">
        <w:rPr>
          <w:lang w:val="en-CA"/>
        </w:rPr>
        <w:t> </w:t>
      </w:r>
      <w:r w:rsidRPr="000A0EA1">
        <w:rPr>
          <w:lang w:val="en-CA"/>
        </w:rPr>
        <w:t>P250, s</w:t>
      </w:r>
      <w:r w:rsidR="0062160E">
        <w:rPr>
          <w:lang w:val="en-CA"/>
        </w:rPr>
        <w:t>s. 2</w:t>
      </w:r>
      <w:r w:rsidRPr="000A0EA1">
        <w:rPr>
          <w:lang w:val="en-CA"/>
        </w:rPr>
        <w:t xml:space="preserve">1.1, 21.37 and 21.38; </w:t>
      </w:r>
      <w:r w:rsidRPr="000A0EA1">
        <w:rPr>
          <w:i/>
          <w:iCs/>
          <w:lang w:val="en-CA"/>
        </w:rPr>
        <w:t>Francophone Schools Governance Regulation</w:t>
      </w:r>
      <w:r w:rsidRPr="000A0EA1">
        <w:rPr>
          <w:lang w:val="en-CA"/>
        </w:rPr>
        <w:t>, Man. Reg.</w:t>
      </w:r>
      <w:r w:rsidR="00CB4355">
        <w:rPr>
          <w:lang w:val="en-CA"/>
        </w:rPr>
        <w:t> </w:t>
      </w:r>
      <w:r w:rsidRPr="000A0EA1">
        <w:rPr>
          <w:lang w:val="en-CA"/>
        </w:rPr>
        <w:t xml:space="preserve">202/93, s 11. Ontario: </w:t>
      </w:r>
      <w:r w:rsidRPr="000A0EA1">
        <w:rPr>
          <w:i/>
          <w:iCs/>
          <w:lang w:val="en-CA"/>
        </w:rPr>
        <w:t>Education Act</w:t>
      </w:r>
      <w:r w:rsidRPr="000A0EA1">
        <w:rPr>
          <w:lang w:val="en-CA"/>
        </w:rPr>
        <w:t>, R.S.O.</w:t>
      </w:r>
      <w:r w:rsidR="00CB4355">
        <w:rPr>
          <w:lang w:val="en-CA"/>
        </w:rPr>
        <w:t> </w:t>
      </w:r>
      <w:r w:rsidRPr="000A0EA1">
        <w:rPr>
          <w:lang w:val="en-CA"/>
        </w:rPr>
        <w:t>1990, c.</w:t>
      </w:r>
      <w:r w:rsidR="00CB4355">
        <w:rPr>
          <w:lang w:val="en-CA"/>
        </w:rPr>
        <w:t> </w:t>
      </w:r>
      <w:r w:rsidRPr="000A0EA1">
        <w:rPr>
          <w:lang w:val="en-CA"/>
        </w:rPr>
        <w:t>E.2, s</w:t>
      </w:r>
      <w:r w:rsidR="0062160E">
        <w:rPr>
          <w:lang w:val="en-CA"/>
        </w:rPr>
        <w:t>s. 1</w:t>
      </w:r>
      <w:r w:rsidRPr="000A0EA1">
        <w:rPr>
          <w:lang w:val="en-CA"/>
        </w:rPr>
        <w:t xml:space="preserve"> (</w:t>
      </w:r>
      <w:r w:rsidR="00E46AFD">
        <w:rPr>
          <w:lang w:val="en-CA"/>
        </w:rPr>
        <w:t>“</w:t>
      </w:r>
      <w:r w:rsidR="00AE3408">
        <w:rPr>
          <w:lang w:val="en-CA"/>
        </w:rPr>
        <w:t>French</w:t>
      </w:r>
      <w:r w:rsidR="00AE3408">
        <w:rPr>
          <w:lang w:val="en-CA"/>
        </w:rPr>
        <w:noBreakHyphen/>
        <w:t>language</w:t>
      </w:r>
      <w:r w:rsidRPr="000A0EA1">
        <w:rPr>
          <w:lang w:val="en-CA"/>
        </w:rPr>
        <w:t xml:space="preserve"> rights holder</w:t>
      </w:r>
      <w:r w:rsidR="00E46AFD">
        <w:rPr>
          <w:lang w:val="en-CA"/>
        </w:rPr>
        <w:t>”</w:t>
      </w:r>
      <w:r w:rsidRPr="000A0EA1">
        <w:rPr>
          <w:lang w:val="en-CA"/>
        </w:rPr>
        <w:t xml:space="preserve">), 50.1(2), 54(2) and 219(1) and (4). New Brunswick: </w:t>
      </w:r>
      <w:r w:rsidRPr="000A0EA1">
        <w:rPr>
          <w:i/>
          <w:iCs/>
          <w:lang w:val="en-CA"/>
        </w:rPr>
        <w:t>Education Act</w:t>
      </w:r>
      <w:r w:rsidRPr="000A0EA1">
        <w:rPr>
          <w:lang w:val="en-CA"/>
        </w:rPr>
        <w:t>, S.N.B.</w:t>
      </w:r>
      <w:r w:rsidR="00CB4355">
        <w:rPr>
          <w:lang w:val="en-CA"/>
        </w:rPr>
        <w:t> </w:t>
      </w:r>
      <w:r w:rsidRPr="000A0EA1">
        <w:rPr>
          <w:lang w:val="en-CA"/>
        </w:rPr>
        <w:t>1997, c.</w:t>
      </w:r>
      <w:r w:rsidR="00CB4355">
        <w:rPr>
          <w:lang w:val="en-CA"/>
        </w:rPr>
        <w:t> </w:t>
      </w:r>
      <w:r w:rsidRPr="000A0EA1">
        <w:rPr>
          <w:lang w:val="en-CA"/>
        </w:rPr>
        <w:t>E</w:t>
      </w:r>
      <w:r w:rsidR="00CB4355">
        <w:rPr>
          <w:lang w:val="en-CA"/>
        </w:rPr>
        <w:noBreakHyphen/>
      </w:r>
      <w:r w:rsidRPr="000A0EA1">
        <w:rPr>
          <w:lang w:val="en-CA"/>
        </w:rPr>
        <w:t xml:space="preserve">1.12, ss 36.31, 36.4, 36.41 and 36.5. Nova Scotia: </w:t>
      </w:r>
      <w:r w:rsidRPr="000A0EA1">
        <w:rPr>
          <w:i/>
          <w:iCs/>
          <w:lang w:val="en-CA"/>
        </w:rPr>
        <w:t>Education (CSAP) Act</w:t>
      </w:r>
      <w:r w:rsidRPr="000A0EA1">
        <w:rPr>
          <w:lang w:val="en-CA"/>
        </w:rPr>
        <w:t>, R.S.N.</w:t>
      </w:r>
      <w:r w:rsidR="0062160E">
        <w:rPr>
          <w:lang w:val="en-CA"/>
        </w:rPr>
        <w:t>S.</w:t>
      </w:r>
      <w:r w:rsidR="00CB4355">
        <w:rPr>
          <w:lang w:val="en-CA"/>
        </w:rPr>
        <w:t> </w:t>
      </w:r>
      <w:r w:rsidR="0062160E">
        <w:rPr>
          <w:lang w:val="en-CA"/>
        </w:rPr>
        <w:t>1</w:t>
      </w:r>
      <w:r w:rsidRPr="000A0EA1">
        <w:rPr>
          <w:lang w:val="en-CA"/>
        </w:rPr>
        <w:t>995</w:t>
      </w:r>
      <w:r w:rsidR="00CB4355">
        <w:rPr>
          <w:lang w:val="en-CA"/>
        </w:rPr>
        <w:noBreakHyphen/>
      </w:r>
      <w:r w:rsidRPr="000A0EA1">
        <w:rPr>
          <w:lang w:val="en-CA"/>
        </w:rPr>
        <w:t>96, c.</w:t>
      </w:r>
      <w:r w:rsidR="00CB4355">
        <w:rPr>
          <w:lang w:val="en-CA"/>
        </w:rPr>
        <w:t> </w:t>
      </w:r>
      <w:r w:rsidRPr="000A0EA1">
        <w:rPr>
          <w:lang w:val="en-CA"/>
        </w:rPr>
        <w:t>1, s</w:t>
      </w:r>
      <w:r w:rsidR="0062160E">
        <w:rPr>
          <w:lang w:val="en-CA"/>
        </w:rPr>
        <w:t>s. 3</w:t>
      </w:r>
      <w:r w:rsidRPr="000A0EA1">
        <w:rPr>
          <w:lang w:val="en-CA"/>
        </w:rPr>
        <w:t xml:space="preserve">(1)(h) and (i), 13, 46 and 47. Prince Edward Island: </w:t>
      </w:r>
      <w:r w:rsidRPr="000A0EA1">
        <w:rPr>
          <w:i/>
          <w:iCs/>
          <w:lang w:val="en-CA"/>
        </w:rPr>
        <w:t>Education Act</w:t>
      </w:r>
      <w:r w:rsidRPr="000A0EA1">
        <w:rPr>
          <w:lang w:val="en-CA"/>
        </w:rPr>
        <w:t>, R.S.P.E.I.</w:t>
      </w:r>
      <w:r w:rsidR="003F7535">
        <w:rPr>
          <w:lang w:val="en-CA"/>
        </w:rPr>
        <w:t> </w:t>
      </w:r>
      <w:r w:rsidRPr="000A0EA1">
        <w:rPr>
          <w:lang w:val="en-CA"/>
        </w:rPr>
        <w:t>1988, c.</w:t>
      </w:r>
      <w:r w:rsidR="003F7535">
        <w:rPr>
          <w:lang w:val="en-CA"/>
        </w:rPr>
        <w:t> </w:t>
      </w:r>
      <w:r w:rsidRPr="000A0EA1">
        <w:rPr>
          <w:lang w:val="en-CA"/>
        </w:rPr>
        <w:t>E</w:t>
      </w:r>
      <w:r w:rsidR="003F7535">
        <w:rPr>
          <w:lang w:val="en-CA"/>
        </w:rPr>
        <w:noBreakHyphen/>
      </w:r>
      <w:r w:rsidRPr="000A0EA1">
        <w:rPr>
          <w:lang w:val="en-CA"/>
        </w:rPr>
        <w:t xml:space="preserve">0.2, </w:t>
      </w:r>
      <w:r w:rsidR="0062160E">
        <w:rPr>
          <w:lang w:val="en-CA"/>
        </w:rPr>
        <w:t>s. 1</w:t>
      </w:r>
      <w:r w:rsidRPr="000A0EA1">
        <w:rPr>
          <w:lang w:val="en-CA"/>
        </w:rPr>
        <w:t xml:space="preserve">(1)(i) (definition of </w:t>
      </w:r>
      <w:r w:rsidR="00E46AFD">
        <w:rPr>
          <w:lang w:val="en-CA"/>
        </w:rPr>
        <w:t>“</w:t>
      </w:r>
      <w:r w:rsidRPr="000A0EA1">
        <w:rPr>
          <w:lang w:val="en-CA"/>
        </w:rPr>
        <w:t>eligible parent</w:t>
      </w:r>
      <w:r w:rsidR="00E46AFD">
        <w:rPr>
          <w:lang w:val="en-CA"/>
        </w:rPr>
        <w:t>”</w:t>
      </w:r>
      <w:r w:rsidRPr="000A0EA1">
        <w:rPr>
          <w:lang w:val="en-CA"/>
        </w:rPr>
        <w:t xml:space="preserve">); </w:t>
      </w:r>
      <w:r w:rsidRPr="000A0EA1">
        <w:rPr>
          <w:i/>
          <w:iCs/>
          <w:lang w:val="en-CA"/>
        </w:rPr>
        <w:t>Election Regulations</w:t>
      </w:r>
      <w:r w:rsidRPr="000A0EA1">
        <w:rPr>
          <w:lang w:val="en-CA"/>
        </w:rPr>
        <w:t>, P.E.I.</w:t>
      </w:r>
      <w:r w:rsidR="003F7535">
        <w:rPr>
          <w:lang w:val="en-CA"/>
        </w:rPr>
        <w:t> </w:t>
      </w:r>
      <w:r w:rsidRPr="000A0EA1">
        <w:rPr>
          <w:lang w:val="en-CA"/>
        </w:rPr>
        <w:t>Reg.</w:t>
      </w:r>
      <w:r w:rsidR="003F7535">
        <w:rPr>
          <w:lang w:val="en-CA"/>
        </w:rPr>
        <w:t> </w:t>
      </w:r>
      <w:r w:rsidRPr="000A0EA1">
        <w:rPr>
          <w:lang w:val="en-CA"/>
        </w:rPr>
        <w:t xml:space="preserve">EC525/16, </w:t>
      </w:r>
      <w:r w:rsidR="0062160E">
        <w:rPr>
          <w:lang w:val="en-CA"/>
        </w:rPr>
        <w:t>s. 4</w:t>
      </w:r>
      <w:r w:rsidRPr="000A0EA1">
        <w:rPr>
          <w:lang w:val="en-CA"/>
        </w:rPr>
        <w:t xml:space="preserve">; </w:t>
      </w:r>
      <w:r w:rsidRPr="000A0EA1">
        <w:rPr>
          <w:i/>
          <w:iCs/>
          <w:lang w:val="en-CA"/>
        </w:rPr>
        <w:t>Education Authority Regulations</w:t>
      </w:r>
      <w:r w:rsidRPr="000A0EA1">
        <w:rPr>
          <w:lang w:val="en-CA"/>
        </w:rPr>
        <w:t>, P.E.I.</w:t>
      </w:r>
      <w:r w:rsidR="003F7535">
        <w:rPr>
          <w:lang w:val="en-CA"/>
        </w:rPr>
        <w:t> </w:t>
      </w:r>
      <w:r w:rsidRPr="000A0EA1">
        <w:rPr>
          <w:lang w:val="en-CA"/>
        </w:rPr>
        <w:t>Reg.</w:t>
      </w:r>
      <w:r w:rsidR="003F7535">
        <w:rPr>
          <w:lang w:val="en-CA"/>
        </w:rPr>
        <w:t> </w:t>
      </w:r>
      <w:r w:rsidRPr="000A0EA1">
        <w:rPr>
          <w:lang w:val="en-CA"/>
        </w:rPr>
        <w:t xml:space="preserve">EC524/16, </w:t>
      </w:r>
      <w:r w:rsidR="0062160E">
        <w:rPr>
          <w:lang w:val="en-CA"/>
        </w:rPr>
        <w:t>s. 2</w:t>
      </w:r>
      <w:r w:rsidRPr="000A0EA1">
        <w:rPr>
          <w:lang w:val="en-CA"/>
        </w:rPr>
        <w:t xml:space="preserve">. Newfoundland and Labrador: </w:t>
      </w:r>
      <w:r w:rsidRPr="000A0EA1">
        <w:rPr>
          <w:i/>
          <w:iCs/>
          <w:lang w:val="en-CA"/>
        </w:rPr>
        <w:t>Schools Act, 1997</w:t>
      </w:r>
      <w:r w:rsidRPr="000A0EA1">
        <w:rPr>
          <w:lang w:val="en-CA"/>
        </w:rPr>
        <w:t>, S.N.L.</w:t>
      </w:r>
      <w:r w:rsidR="003F7535">
        <w:rPr>
          <w:lang w:val="en-CA"/>
        </w:rPr>
        <w:t> </w:t>
      </w:r>
      <w:r w:rsidRPr="000A0EA1">
        <w:rPr>
          <w:lang w:val="en-CA"/>
        </w:rPr>
        <w:t>1997, c.</w:t>
      </w:r>
      <w:r w:rsidR="003F7535">
        <w:rPr>
          <w:lang w:val="en-CA"/>
        </w:rPr>
        <w:t> </w:t>
      </w:r>
      <w:r w:rsidRPr="000A0EA1">
        <w:rPr>
          <w:lang w:val="en-CA"/>
        </w:rPr>
        <w:t>S</w:t>
      </w:r>
      <w:r w:rsidR="003F7535">
        <w:rPr>
          <w:lang w:val="en-CA"/>
        </w:rPr>
        <w:noBreakHyphen/>
      </w:r>
      <w:r w:rsidRPr="000A0EA1">
        <w:rPr>
          <w:lang w:val="en-CA"/>
        </w:rPr>
        <w:t xml:space="preserve">12.2, </w:t>
      </w:r>
      <w:r w:rsidR="0062160E">
        <w:rPr>
          <w:lang w:val="en-CA"/>
        </w:rPr>
        <w:t>s. 9</w:t>
      </w:r>
      <w:r w:rsidRPr="000A0EA1">
        <w:rPr>
          <w:lang w:val="en-CA"/>
        </w:rPr>
        <w:t xml:space="preserve">5; </w:t>
      </w:r>
      <w:r w:rsidRPr="000A0EA1">
        <w:rPr>
          <w:i/>
          <w:iCs/>
          <w:lang w:val="en-CA"/>
        </w:rPr>
        <w:t>School Board Election Regulations</w:t>
      </w:r>
      <w:r w:rsidRPr="000A0EA1">
        <w:rPr>
          <w:lang w:val="en-CA"/>
        </w:rPr>
        <w:t xml:space="preserve">, </w:t>
      </w:r>
      <w:r w:rsidRPr="000A0EA1">
        <w:rPr>
          <w:i/>
          <w:iCs/>
          <w:lang w:val="en-CA"/>
        </w:rPr>
        <w:t>1998</w:t>
      </w:r>
      <w:r w:rsidRPr="000A0EA1">
        <w:rPr>
          <w:lang w:val="en-CA"/>
        </w:rPr>
        <w:t>, N.L.R.</w:t>
      </w:r>
      <w:r w:rsidR="003F7535">
        <w:rPr>
          <w:lang w:val="en-CA"/>
        </w:rPr>
        <w:t> </w:t>
      </w:r>
      <w:r w:rsidRPr="000A0EA1">
        <w:rPr>
          <w:lang w:val="en-CA"/>
        </w:rPr>
        <w:t xml:space="preserve">146/97, </w:t>
      </w:r>
      <w:r w:rsidR="0062160E">
        <w:rPr>
          <w:lang w:val="en-CA"/>
        </w:rPr>
        <w:t>s. 6</w:t>
      </w:r>
      <w:r w:rsidRPr="000A0EA1">
        <w:rPr>
          <w:lang w:val="en-CA"/>
        </w:rPr>
        <w:t xml:space="preserve">. Yukon: </w:t>
      </w:r>
      <w:r w:rsidRPr="000A0EA1">
        <w:rPr>
          <w:i/>
          <w:iCs/>
          <w:lang w:val="en-CA"/>
        </w:rPr>
        <w:t>Education Act</w:t>
      </w:r>
      <w:r w:rsidRPr="000A0EA1">
        <w:rPr>
          <w:lang w:val="en-CA"/>
        </w:rPr>
        <w:t>, R.S.Y.</w:t>
      </w:r>
      <w:r w:rsidR="003F7535">
        <w:rPr>
          <w:lang w:val="en-CA"/>
        </w:rPr>
        <w:t> </w:t>
      </w:r>
      <w:r w:rsidRPr="000A0EA1">
        <w:rPr>
          <w:lang w:val="en-CA"/>
        </w:rPr>
        <w:t>2002, c.</w:t>
      </w:r>
      <w:r w:rsidR="003F7535">
        <w:rPr>
          <w:lang w:val="en-CA"/>
        </w:rPr>
        <w:t> </w:t>
      </w:r>
      <w:r w:rsidRPr="000A0EA1">
        <w:rPr>
          <w:lang w:val="en-CA"/>
        </w:rPr>
        <w:t>61, s</w:t>
      </w:r>
      <w:r w:rsidR="0062160E">
        <w:rPr>
          <w:lang w:val="en-CA"/>
        </w:rPr>
        <w:t>s. 8</w:t>
      </w:r>
      <w:r w:rsidRPr="000A0EA1">
        <w:rPr>
          <w:lang w:val="en-CA"/>
        </w:rPr>
        <w:t xml:space="preserve">2(4), 86 and 151. Northwest Territories: </w:t>
      </w:r>
      <w:r w:rsidRPr="000A0EA1">
        <w:rPr>
          <w:i/>
          <w:iCs/>
          <w:lang w:val="en-CA"/>
        </w:rPr>
        <w:t>Education Act</w:t>
      </w:r>
      <w:r w:rsidRPr="000A0EA1">
        <w:rPr>
          <w:lang w:val="en-CA"/>
        </w:rPr>
        <w:t>, S.N.W.T.</w:t>
      </w:r>
      <w:r w:rsidR="003F7535">
        <w:rPr>
          <w:lang w:val="en-CA"/>
        </w:rPr>
        <w:t> </w:t>
      </w:r>
      <w:r w:rsidRPr="000A0EA1">
        <w:rPr>
          <w:lang w:val="en-CA"/>
        </w:rPr>
        <w:t>1995, c.</w:t>
      </w:r>
      <w:r w:rsidR="003F7535">
        <w:rPr>
          <w:lang w:val="en-CA"/>
        </w:rPr>
        <w:t> </w:t>
      </w:r>
      <w:r w:rsidRPr="000A0EA1">
        <w:rPr>
          <w:lang w:val="en-CA"/>
        </w:rPr>
        <w:t xml:space="preserve">28, </w:t>
      </w:r>
      <w:r w:rsidR="0062160E">
        <w:rPr>
          <w:lang w:val="en-CA"/>
        </w:rPr>
        <w:t>s. 8</w:t>
      </w:r>
      <w:r w:rsidRPr="000A0EA1">
        <w:rPr>
          <w:lang w:val="en-CA"/>
        </w:rPr>
        <w:t xml:space="preserve">5; </w:t>
      </w:r>
      <w:r w:rsidRPr="000A0EA1">
        <w:rPr>
          <w:i/>
          <w:iCs/>
          <w:lang w:val="en-CA"/>
        </w:rPr>
        <w:t>Local Authorities Elections Act</w:t>
      </w:r>
      <w:r w:rsidRPr="000A0EA1">
        <w:rPr>
          <w:lang w:val="en-CA"/>
        </w:rPr>
        <w:t>, R.S.N.W.T.</w:t>
      </w:r>
      <w:r w:rsidR="00337A32">
        <w:rPr>
          <w:lang w:val="en-CA"/>
        </w:rPr>
        <w:t> </w:t>
      </w:r>
      <w:r w:rsidRPr="000A0EA1">
        <w:rPr>
          <w:lang w:val="en-CA"/>
        </w:rPr>
        <w:t>1988, c.</w:t>
      </w:r>
      <w:r w:rsidR="00337A32">
        <w:rPr>
          <w:lang w:val="en-CA"/>
        </w:rPr>
        <w:t> </w:t>
      </w:r>
      <w:r w:rsidRPr="000A0EA1">
        <w:rPr>
          <w:lang w:val="en-CA"/>
        </w:rPr>
        <w:t>L</w:t>
      </w:r>
      <w:r w:rsidR="00337A32">
        <w:rPr>
          <w:lang w:val="en-CA"/>
        </w:rPr>
        <w:noBreakHyphen/>
      </w:r>
      <w:r w:rsidRPr="000A0EA1">
        <w:rPr>
          <w:lang w:val="en-CA"/>
        </w:rPr>
        <w:t>10, s</w:t>
      </w:r>
      <w:r w:rsidR="0062160E">
        <w:rPr>
          <w:lang w:val="en-CA"/>
        </w:rPr>
        <w:t>s. 1</w:t>
      </w:r>
      <w:r w:rsidRPr="000A0EA1">
        <w:rPr>
          <w:lang w:val="en-CA"/>
        </w:rPr>
        <w:t xml:space="preserve">8 and 19; </w:t>
      </w:r>
      <w:r w:rsidRPr="000A0EA1">
        <w:rPr>
          <w:i/>
          <w:iCs/>
          <w:lang w:val="en-CA"/>
        </w:rPr>
        <w:t>French First Language Education Regulations</w:t>
      </w:r>
      <w:r w:rsidRPr="000A0EA1">
        <w:rPr>
          <w:lang w:val="en-CA"/>
        </w:rPr>
        <w:t>, N.W.T.</w:t>
      </w:r>
      <w:r w:rsidR="00337A32">
        <w:rPr>
          <w:lang w:val="en-CA"/>
        </w:rPr>
        <w:t> </w:t>
      </w:r>
      <w:r w:rsidRPr="000A0EA1">
        <w:rPr>
          <w:lang w:val="en-CA"/>
        </w:rPr>
        <w:t>Reg.</w:t>
      </w:r>
      <w:r w:rsidR="00337A32">
        <w:rPr>
          <w:lang w:val="en-CA"/>
        </w:rPr>
        <w:t> </w:t>
      </w:r>
      <w:r w:rsidRPr="000A0EA1">
        <w:rPr>
          <w:lang w:val="en-CA"/>
        </w:rPr>
        <w:t>166</w:t>
      </w:r>
      <w:r w:rsidR="00337A32">
        <w:rPr>
          <w:lang w:val="en-CA"/>
        </w:rPr>
        <w:noBreakHyphen/>
      </w:r>
      <w:r w:rsidRPr="000A0EA1">
        <w:rPr>
          <w:lang w:val="en-CA"/>
        </w:rPr>
        <w:t xml:space="preserve">96, </w:t>
      </w:r>
      <w:r w:rsidR="0062160E">
        <w:rPr>
          <w:lang w:val="en-CA"/>
        </w:rPr>
        <w:t>s. 1</w:t>
      </w:r>
      <w:r w:rsidRPr="000A0EA1">
        <w:rPr>
          <w:lang w:val="en-CA"/>
        </w:rPr>
        <w:t>2(2). Nunavut</w:t>
      </w:r>
      <w:r w:rsidRPr="00713F89">
        <w:rPr>
          <w:lang w:val="en-CA"/>
        </w:rPr>
        <w:t xml:space="preserve">: </w:t>
      </w:r>
      <w:r w:rsidRPr="00713F89">
        <w:rPr>
          <w:i/>
          <w:iCs/>
          <w:lang w:val="en-CA"/>
        </w:rPr>
        <w:t>Education Act</w:t>
      </w:r>
      <w:r w:rsidRPr="00713F89">
        <w:rPr>
          <w:lang w:val="en-CA"/>
        </w:rPr>
        <w:t>, S.Nu.</w:t>
      </w:r>
      <w:r w:rsidR="00337A32" w:rsidRPr="00713F89">
        <w:rPr>
          <w:lang w:val="en-CA"/>
        </w:rPr>
        <w:t> </w:t>
      </w:r>
      <w:r w:rsidRPr="00713F89">
        <w:rPr>
          <w:lang w:val="en-CA"/>
        </w:rPr>
        <w:t>2008, c.</w:t>
      </w:r>
      <w:r w:rsidR="00337A32" w:rsidRPr="00713F89">
        <w:rPr>
          <w:lang w:val="en-CA"/>
        </w:rPr>
        <w:t> </w:t>
      </w:r>
      <w:r w:rsidRPr="00713F89">
        <w:rPr>
          <w:lang w:val="en-CA"/>
        </w:rPr>
        <w:t>15, s</w:t>
      </w:r>
      <w:r w:rsidR="0062160E" w:rsidRPr="00713F89">
        <w:rPr>
          <w:lang w:val="en-CA"/>
        </w:rPr>
        <w:t>s. 1</w:t>
      </w:r>
      <w:r w:rsidRPr="00713F89">
        <w:rPr>
          <w:lang w:val="en-CA"/>
        </w:rPr>
        <w:t>56(1) and 166(4);</w:t>
      </w:r>
      <w:r w:rsidRPr="000A0EA1">
        <w:rPr>
          <w:lang w:val="en-CA"/>
        </w:rPr>
        <w:t xml:space="preserve"> </w:t>
      </w:r>
      <w:r w:rsidRPr="000A0EA1">
        <w:rPr>
          <w:i/>
          <w:iCs/>
          <w:lang w:val="en-CA"/>
        </w:rPr>
        <w:t>An Act to Provide for Elections for Municipal Councils and District Education Authorities</w:t>
      </w:r>
      <w:r w:rsidRPr="000A0EA1">
        <w:rPr>
          <w:lang w:val="en-CA"/>
        </w:rPr>
        <w:t>, S.Nu.</w:t>
      </w:r>
      <w:r w:rsidR="00337A32">
        <w:rPr>
          <w:lang w:val="en-CA"/>
        </w:rPr>
        <w:t> </w:t>
      </w:r>
      <w:r w:rsidRPr="000A0EA1">
        <w:rPr>
          <w:lang w:val="en-CA"/>
        </w:rPr>
        <w:t>2017, c.</w:t>
      </w:r>
      <w:r w:rsidR="00337A32">
        <w:rPr>
          <w:lang w:val="en-CA"/>
        </w:rPr>
        <w:t> </w:t>
      </w:r>
      <w:r w:rsidRPr="000A0EA1">
        <w:rPr>
          <w:lang w:val="en-CA"/>
        </w:rPr>
        <w:t xml:space="preserve">21, </w:t>
      </w:r>
      <w:r w:rsidR="0062160E">
        <w:rPr>
          <w:lang w:val="en-CA"/>
        </w:rPr>
        <w:t>s. 8</w:t>
      </w:r>
      <w:r w:rsidRPr="000A0EA1">
        <w:rPr>
          <w:lang w:val="en-CA"/>
        </w:rPr>
        <w:t>(3).</w:t>
      </w:r>
    </w:p>
  </w:footnote>
  <w:footnote w:id="171">
    <w:p w14:paraId="17F5F51B" w14:textId="2F65FFB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Arsenault</w:t>
      </w:r>
      <w:r w:rsidR="00337A32">
        <w:rPr>
          <w:rFonts w:ascii="Cambria Math" w:hAnsi="Cambria Math" w:cs="Cambria Math"/>
          <w:i/>
          <w:iCs/>
          <w:lang w:val="en-CA"/>
        </w:rPr>
        <w:noBreakHyphen/>
      </w:r>
      <w:r w:rsidRPr="000A0EA1">
        <w:rPr>
          <w:i/>
          <w:iCs/>
          <w:lang w:val="en-CA"/>
        </w:rPr>
        <w:t>Cameron v. Prince Edward Island</w:t>
      </w:r>
      <w:r w:rsidRPr="000A0EA1">
        <w:rPr>
          <w:lang w:val="en-CA"/>
        </w:rPr>
        <w:t>, 2000 SCC 1, [2000] 1</w:t>
      </w:r>
      <w:r w:rsidR="00956B70">
        <w:rPr>
          <w:lang w:val="en-CA"/>
        </w:rPr>
        <w:t> S.C.R. </w:t>
      </w:r>
      <w:r w:rsidRPr="000A0EA1">
        <w:rPr>
          <w:lang w:val="en-CA"/>
        </w:rPr>
        <w:t xml:space="preserve">3, </w:t>
      </w:r>
      <w:r w:rsidR="0062160E">
        <w:rPr>
          <w:lang w:val="en-CA"/>
        </w:rPr>
        <w:t>para. 2</w:t>
      </w:r>
      <w:r w:rsidRPr="000A0EA1">
        <w:rPr>
          <w:lang w:val="en-CA"/>
        </w:rPr>
        <w:t xml:space="preserve">9 </w:t>
      </w:r>
      <w:r w:rsidRPr="000A0EA1">
        <w:rPr>
          <w:i/>
          <w:iCs/>
          <w:lang w:val="en-CA"/>
        </w:rPr>
        <w:t>in fine</w:t>
      </w:r>
      <w:r w:rsidRPr="000A0EA1">
        <w:rPr>
          <w:lang w:val="en-CA"/>
        </w:rPr>
        <w:t>.</w:t>
      </w:r>
    </w:p>
  </w:footnote>
  <w:footnote w:id="172">
    <w:p w14:paraId="17F5F51C" w14:textId="710F126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5A5EC5">
        <w:rPr>
          <w:lang w:val="en-CA"/>
        </w:rPr>
        <w:t xml:space="preserve">Exhibit PGQ-19: </w:t>
      </w:r>
      <w:r w:rsidRPr="000A0EA1">
        <w:rPr>
          <w:lang w:val="en-CA"/>
        </w:rPr>
        <w:t xml:space="preserve">National Assembly, </w:t>
      </w:r>
      <w:r w:rsidRPr="000A0EA1">
        <w:rPr>
          <w:i/>
          <w:iCs/>
          <w:lang w:val="en-CA"/>
        </w:rPr>
        <w:t>Journal des débats</w:t>
      </w:r>
      <w:r w:rsidRPr="000A0EA1">
        <w:rPr>
          <w:lang w:val="en-CA"/>
        </w:rPr>
        <w:t>, 35th</w:t>
      </w:r>
      <w:r w:rsidR="00AB7B22">
        <w:rPr>
          <w:lang w:val="en-CA"/>
        </w:rPr>
        <w:t> </w:t>
      </w:r>
      <w:r w:rsidRPr="000A0EA1">
        <w:rPr>
          <w:lang w:val="en-CA"/>
        </w:rPr>
        <w:t>Leg., 2nd</w:t>
      </w:r>
      <w:r w:rsidR="00AB7B22">
        <w:rPr>
          <w:lang w:val="en-CA"/>
        </w:rPr>
        <w:t> </w:t>
      </w:r>
      <w:r w:rsidRPr="000A0EA1">
        <w:rPr>
          <w:lang w:val="en-CA"/>
        </w:rPr>
        <w:t xml:space="preserve">Sess., </w:t>
      </w:r>
      <w:r w:rsidR="007B29F6">
        <w:rPr>
          <w:lang w:val="en-CA"/>
        </w:rPr>
        <w:t>vol. </w:t>
      </w:r>
      <w:r w:rsidRPr="000A0EA1">
        <w:rPr>
          <w:lang w:val="en-CA"/>
        </w:rPr>
        <w:t xml:space="preserve">35, </w:t>
      </w:r>
      <w:r w:rsidR="00BA4C33">
        <w:rPr>
          <w:lang w:val="en-CA"/>
        </w:rPr>
        <w:t>No. </w:t>
      </w:r>
      <w:r w:rsidRPr="000A0EA1">
        <w:rPr>
          <w:lang w:val="en-CA"/>
        </w:rPr>
        <w:t>83, March</w:t>
      </w:r>
      <w:r w:rsidR="00AB7B22">
        <w:rPr>
          <w:lang w:val="en-CA"/>
        </w:rPr>
        <w:t> </w:t>
      </w:r>
      <w:r w:rsidRPr="000A0EA1">
        <w:rPr>
          <w:lang w:val="en-CA"/>
        </w:rPr>
        <w:t xml:space="preserve">26, 1997, </w:t>
      </w:r>
      <w:r w:rsidR="00E95DC2">
        <w:rPr>
          <w:lang w:val="en-CA"/>
        </w:rPr>
        <w:t>p. </w:t>
      </w:r>
      <w:r w:rsidRPr="000A0EA1">
        <w:rPr>
          <w:lang w:val="en-CA"/>
        </w:rPr>
        <w:t>6014 (</w:t>
      </w:r>
      <w:r w:rsidR="00E95DC2">
        <w:rPr>
          <w:lang w:val="en-CA"/>
        </w:rPr>
        <w:t>P. </w:t>
      </w:r>
      <w:r w:rsidRPr="000A0EA1">
        <w:rPr>
          <w:lang w:val="en-CA"/>
        </w:rPr>
        <w:t>Marois) (the text of this statement is reproduced earlier in these reasons).</w:t>
      </w:r>
    </w:p>
  </w:footnote>
  <w:footnote w:id="173">
    <w:p w14:paraId="17F5F51D" w14:textId="7EE0AC41" w:rsidR="00F75613" w:rsidRPr="000A0EA1" w:rsidRDefault="00B02E00" w:rsidP="005C1387">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National Assembly, </w:t>
      </w:r>
      <w:r w:rsidRPr="000A0EA1">
        <w:rPr>
          <w:i/>
          <w:iCs/>
          <w:lang w:val="en-CA"/>
        </w:rPr>
        <w:t>Journal des débats</w:t>
      </w:r>
      <w:r w:rsidRPr="000A0EA1">
        <w:rPr>
          <w:lang w:val="en-CA"/>
        </w:rPr>
        <w:t>, 35th</w:t>
      </w:r>
      <w:r w:rsidR="00ED422A">
        <w:rPr>
          <w:lang w:val="en-CA"/>
        </w:rPr>
        <w:t> </w:t>
      </w:r>
      <w:r w:rsidRPr="000A0EA1">
        <w:rPr>
          <w:lang w:val="en-CA"/>
        </w:rPr>
        <w:t>Leg., 2nd</w:t>
      </w:r>
      <w:r w:rsidR="00ED422A">
        <w:rPr>
          <w:lang w:val="en-CA"/>
        </w:rPr>
        <w:t> </w:t>
      </w:r>
      <w:r w:rsidRPr="000A0EA1">
        <w:rPr>
          <w:lang w:val="en-CA"/>
        </w:rPr>
        <w:t xml:space="preserve">Sess., </w:t>
      </w:r>
      <w:r w:rsidR="007B29F6">
        <w:rPr>
          <w:lang w:val="en-CA"/>
        </w:rPr>
        <w:t>vol. </w:t>
      </w:r>
      <w:r w:rsidRPr="000A0EA1">
        <w:rPr>
          <w:lang w:val="en-CA"/>
        </w:rPr>
        <w:t xml:space="preserve">35, </w:t>
      </w:r>
      <w:r w:rsidR="00BA4C33">
        <w:rPr>
          <w:lang w:val="en-CA"/>
        </w:rPr>
        <w:t>No. </w:t>
      </w:r>
      <w:r w:rsidRPr="000A0EA1">
        <w:rPr>
          <w:lang w:val="en-CA"/>
        </w:rPr>
        <w:t>88, April</w:t>
      </w:r>
      <w:r w:rsidR="00ED422A">
        <w:rPr>
          <w:lang w:val="en-CA"/>
        </w:rPr>
        <w:t> </w:t>
      </w:r>
      <w:r w:rsidRPr="000A0EA1">
        <w:rPr>
          <w:lang w:val="en-CA"/>
        </w:rPr>
        <w:t>15, 1997, p</w:t>
      </w:r>
      <w:r w:rsidR="00E95DC2">
        <w:rPr>
          <w:lang w:val="en-CA"/>
        </w:rPr>
        <w:t>p. </w:t>
      </w:r>
      <w:r w:rsidRPr="000A0EA1">
        <w:rPr>
          <w:lang w:val="en-CA"/>
        </w:rPr>
        <w:t>6245</w:t>
      </w:r>
      <w:r w:rsidR="00ED422A">
        <w:rPr>
          <w:lang w:val="en-CA"/>
        </w:rPr>
        <w:noBreakHyphen/>
      </w:r>
      <w:r w:rsidRPr="000A0EA1">
        <w:rPr>
          <w:lang w:val="en-CA"/>
        </w:rPr>
        <w:t xml:space="preserve">6247; Secrétariat du Québec aux relations canadiennes, </w:t>
      </w:r>
      <w:r w:rsidRPr="000A0EA1">
        <w:rPr>
          <w:i/>
          <w:iCs/>
          <w:lang w:val="en-CA"/>
        </w:rPr>
        <w:t>Québec</w:t>
      </w:r>
      <w:r w:rsidR="00E46AFD">
        <w:rPr>
          <w:i/>
          <w:iCs/>
          <w:lang w:val="en-CA"/>
        </w:rPr>
        <w:t>’</w:t>
      </w:r>
      <w:r w:rsidRPr="000A0EA1">
        <w:rPr>
          <w:i/>
          <w:iCs/>
          <w:lang w:val="en-CA"/>
        </w:rPr>
        <w:t>s Positions on Constitutional and Intergovernmental Issues from 1936 to March 2001</w:t>
      </w:r>
      <w:r w:rsidRPr="000A0EA1">
        <w:rPr>
          <w:lang w:val="en-CA"/>
        </w:rPr>
        <w:t xml:space="preserve">, Part 3: Documents, Document 33: </w:t>
      </w:r>
      <w:r w:rsidR="00E46AFD">
        <w:rPr>
          <w:lang w:val="en-CA"/>
        </w:rPr>
        <w:t>“</w:t>
      </w:r>
      <w:r w:rsidRPr="000A0EA1">
        <w:rPr>
          <w:lang w:val="en-CA"/>
        </w:rPr>
        <w:t>Resolution of the Québec National Assembly authorizing the amendment of section</w:t>
      </w:r>
      <w:r w:rsidR="00ED422A">
        <w:rPr>
          <w:lang w:val="en-CA"/>
        </w:rPr>
        <w:t> </w:t>
      </w:r>
      <w:r w:rsidRPr="000A0EA1">
        <w:rPr>
          <w:lang w:val="en-CA"/>
        </w:rPr>
        <w:t>93 of the Constitution Act, 1867, April 15, 1997</w:t>
      </w:r>
      <w:r w:rsidR="00E46AFD">
        <w:rPr>
          <w:lang w:val="en-CA"/>
        </w:rPr>
        <w:t>”</w:t>
      </w:r>
      <w:r w:rsidRPr="000A0EA1">
        <w:rPr>
          <w:lang w:val="en-CA"/>
        </w:rPr>
        <w:t>, online: https://www.sqrc.gouv.qc.ca/documents/positions-historiques/positions-du-qc/part3/Document33_en.pdf.</w:t>
      </w:r>
    </w:p>
  </w:footnote>
  <w:footnote w:id="174">
    <w:p w14:paraId="17F5F51E" w14:textId="5594507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5A5EC5">
        <w:rPr>
          <w:lang w:val="en-CA"/>
        </w:rPr>
        <w:t xml:space="preserve">Exhibit PGQ-22: </w:t>
      </w:r>
      <w:r w:rsidRPr="000A0EA1">
        <w:rPr>
          <w:lang w:val="en-CA"/>
        </w:rPr>
        <w:t xml:space="preserve">House of Commons, </w:t>
      </w:r>
      <w:r w:rsidRPr="000A0EA1">
        <w:rPr>
          <w:i/>
          <w:iCs/>
          <w:lang w:val="en-CA"/>
        </w:rPr>
        <w:t>House of Commons Debates.</w:t>
      </w:r>
      <w:r w:rsidRPr="000A0EA1">
        <w:rPr>
          <w:lang w:val="en-CA"/>
        </w:rPr>
        <w:t>, 36th</w:t>
      </w:r>
      <w:r w:rsidR="00ED422A">
        <w:rPr>
          <w:lang w:val="en-CA"/>
        </w:rPr>
        <w:t> </w:t>
      </w:r>
      <w:r w:rsidRPr="000A0EA1">
        <w:rPr>
          <w:lang w:val="en-CA"/>
        </w:rPr>
        <w:t>Parl., 1st</w:t>
      </w:r>
      <w:r w:rsidR="00ED422A">
        <w:rPr>
          <w:lang w:val="en-CA"/>
        </w:rPr>
        <w:t> </w:t>
      </w:r>
      <w:r w:rsidRPr="000A0EA1">
        <w:rPr>
          <w:lang w:val="en-CA"/>
        </w:rPr>
        <w:t xml:space="preserve">Sess., </w:t>
      </w:r>
      <w:r w:rsidR="007B29F6">
        <w:rPr>
          <w:lang w:val="en-CA"/>
        </w:rPr>
        <w:t>vol. </w:t>
      </w:r>
      <w:r w:rsidRPr="000A0EA1">
        <w:rPr>
          <w:lang w:val="en-CA"/>
        </w:rPr>
        <w:t xml:space="preserve">135, </w:t>
      </w:r>
      <w:r w:rsidR="00BA4C33">
        <w:rPr>
          <w:lang w:val="en-CA"/>
        </w:rPr>
        <w:t>No. </w:t>
      </w:r>
      <w:r w:rsidRPr="000A0EA1">
        <w:rPr>
          <w:lang w:val="en-CA"/>
        </w:rPr>
        <w:t>31, November</w:t>
      </w:r>
      <w:r w:rsidR="00ED422A">
        <w:rPr>
          <w:lang w:val="en-CA"/>
        </w:rPr>
        <w:t> </w:t>
      </w:r>
      <w:r w:rsidRPr="000A0EA1">
        <w:rPr>
          <w:lang w:val="en-CA"/>
        </w:rPr>
        <w:t xml:space="preserve">17, 1997, </w:t>
      </w:r>
      <w:r w:rsidR="00E95DC2">
        <w:rPr>
          <w:lang w:val="en-CA"/>
        </w:rPr>
        <w:t>p. </w:t>
      </w:r>
      <w:r w:rsidRPr="000A0EA1">
        <w:rPr>
          <w:lang w:val="en-CA"/>
        </w:rPr>
        <w:t>1743 (S. Dion)</w:t>
      </w:r>
      <w:r w:rsidR="005A5EC5">
        <w:rPr>
          <w:lang w:val="en-CA"/>
        </w:rPr>
        <w:t xml:space="preserve"> </w:t>
      </w:r>
      <w:r w:rsidRPr="000A0EA1">
        <w:rPr>
          <w:lang w:val="en-CA"/>
        </w:rPr>
        <w:t>(the text of this statement is reproduced earlier in these reasons).</w:t>
      </w:r>
    </w:p>
  </w:footnote>
  <w:footnote w:id="175">
    <w:p w14:paraId="17F5F51F" w14:textId="005E64A7" w:rsidR="00F75613" w:rsidRPr="007D51DF" w:rsidRDefault="00B02E00" w:rsidP="00F75613">
      <w:pPr>
        <w:pStyle w:val="Notedebasdepage"/>
      </w:pPr>
      <w:r w:rsidRPr="000A0EA1">
        <w:rPr>
          <w:rStyle w:val="Appelnotedebasdep"/>
          <w:lang w:val="en-CA"/>
        </w:rPr>
        <w:footnoteRef/>
      </w:r>
      <w:r w:rsidRPr="007D51DF">
        <w:t xml:space="preserve"> </w:t>
      </w:r>
      <w:r w:rsidRPr="007D51DF">
        <w:tab/>
      </w:r>
      <w:bookmarkStart w:id="59" w:name="_Hlk187331144"/>
      <w:r w:rsidRPr="007D51DF">
        <w:rPr>
          <w:i/>
          <w:iCs/>
        </w:rPr>
        <w:t>Arsenault</w:t>
      </w:r>
      <w:r w:rsidR="00ED422A" w:rsidRPr="007D51DF">
        <w:rPr>
          <w:rFonts w:ascii="Cambria Math" w:hAnsi="Cambria Math" w:cs="Cambria Math"/>
          <w:i/>
          <w:iCs/>
        </w:rPr>
        <w:noBreakHyphen/>
      </w:r>
      <w:r w:rsidRPr="007D51DF">
        <w:rPr>
          <w:i/>
          <w:iCs/>
        </w:rPr>
        <w:t>Cameron v. Prince Edward Island</w:t>
      </w:r>
      <w:r w:rsidRPr="007D51DF">
        <w:t>, 2000 SCC 1, [2000] 1</w:t>
      </w:r>
      <w:r w:rsidR="00956B70" w:rsidRPr="007D51DF">
        <w:t> S.C.R. </w:t>
      </w:r>
      <w:r w:rsidRPr="007D51DF">
        <w:t xml:space="preserve">3, </w:t>
      </w:r>
      <w:r w:rsidR="0062160E" w:rsidRPr="007D51DF">
        <w:t>para. 2</w:t>
      </w:r>
      <w:r w:rsidRPr="007D51DF">
        <w:t>9.</w:t>
      </w:r>
      <w:bookmarkEnd w:id="59"/>
    </w:p>
  </w:footnote>
  <w:footnote w:id="176">
    <w:p w14:paraId="17F5F520" w14:textId="6857AC57"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Conseil scolaire francophone de la Colombie</w:t>
      </w:r>
      <w:r w:rsidR="00ED422A" w:rsidRPr="007D51DF">
        <w:rPr>
          <w:i/>
          <w:iCs/>
        </w:rPr>
        <w:noBreakHyphen/>
      </w:r>
      <w:r w:rsidRPr="007D51DF">
        <w:rPr>
          <w:i/>
          <w:iCs/>
        </w:rPr>
        <w:t>Britannique v. British Columbia</w:t>
      </w:r>
      <w:r w:rsidRPr="007D51DF">
        <w:t>, 2020 SCC 13, [2020]</w:t>
      </w:r>
      <w:r w:rsidR="00ED422A" w:rsidRPr="007D51DF">
        <w:t> </w:t>
      </w:r>
      <w:r w:rsidRPr="007D51DF">
        <w:t>1</w:t>
      </w:r>
      <w:r w:rsidR="00956B70" w:rsidRPr="007D51DF">
        <w:t> S.C.R. </w:t>
      </w:r>
      <w:r w:rsidRPr="007D51DF">
        <w:t>678, para</w:t>
      </w:r>
      <w:r w:rsidR="0062160E" w:rsidRPr="007D51DF">
        <w:t>s. </w:t>
      </w:r>
      <w:r w:rsidR="0062160E">
        <w:rPr>
          <w:lang w:val="en-CA"/>
        </w:rPr>
        <w:t>4</w:t>
      </w:r>
      <w:r w:rsidR="00ED422A">
        <w:rPr>
          <w:lang w:val="en-CA"/>
        </w:rPr>
        <w:noBreakHyphen/>
      </w:r>
      <w:r w:rsidRPr="000A0EA1">
        <w:rPr>
          <w:lang w:val="en-CA"/>
        </w:rPr>
        <w:t>6 and 12.</w:t>
      </w:r>
    </w:p>
  </w:footnote>
  <w:footnote w:id="177">
    <w:p w14:paraId="17F5F521" w14:textId="7E876D7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7</w:t>
      </w:r>
      <w:r w:rsidRPr="000A0EA1">
        <w:rPr>
          <w:lang w:val="en-CA"/>
        </w:rPr>
        <w:t>-8.</w:t>
      </w:r>
    </w:p>
  </w:footnote>
  <w:footnote w:id="178">
    <w:p w14:paraId="17F5F522" w14:textId="2961FD0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 xml:space="preserve">7. See also: </w:t>
      </w:r>
      <w:r w:rsidRPr="000A0EA1">
        <w:rPr>
          <w:i/>
          <w:iCs/>
          <w:lang w:val="en-CA"/>
        </w:rPr>
        <w:t>Nguyen v. Quebec (Education, Recreation and Sports)</w:t>
      </w:r>
      <w:r w:rsidRPr="000A0EA1">
        <w:rPr>
          <w:lang w:val="en-CA"/>
        </w:rPr>
        <w:t>, 2009 SCC 47, [2009]</w:t>
      </w:r>
      <w:r w:rsidR="00ED422A">
        <w:rPr>
          <w:lang w:val="en-CA"/>
        </w:rPr>
        <w:t> </w:t>
      </w:r>
      <w:r w:rsidRPr="000A0EA1">
        <w:rPr>
          <w:lang w:val="en-CA"/>
        </w:rPr>
        <w:t>3</w:t>
      </w:r>
      <w:r w:rsidR="00956B70">
        <w:rPr>
          <w:lang w:val="en-CA"/>
        </w:rPr>
        <w:t> S.C.R. </w:t>
      </w:r>
      <w:r w:rsidRPr="000A0EA1">
        <w:rPr>
          <w:lang w:val="en-CA"/>
        </w:rPr>
        <w:t xml:space="preserve">208, </w:t>
      </w:r>
      <w:r w:rsidR="0062160E">
        <w:rPr>
          <w:lang w:val="en-CA"/>
        </w:rPr>
        <w:t>para. 2</w:t>
      </w:r>
      <w:r w:rsidRPr="000A0EA1">
        <w:rPr>
          <w:lang w:val="en-CA"/>
        </w:rPr>
        <w:t xml:space="preserve">6; </w:t>
      </w:r>
      <w:r w:rsidRPr="000A0EA1">
        <w:rPr>
          <w:i/>
          <w:iCs/>
          <w:lang w:val="en-CA"/>
        </w:rPr>
        <w:t>Solski (Tutor of) v. Quebec (Attorney General)</w:t>
      </w:r>
      <w:r w:rsidRPr="000A0EA1">
        <w:rPr>
          <w:lang w:val="en-CA"/>
        </w:rPr>
        <w:t>, 2005 SCC 14, [2005] 1</w:t>
      </w:r>
      <w:r w:rsidR="00956B70">
        <w:rPr>
          <w:lang w:val="en-CA"/>
        </w:rPr>
        <w:t> S.C.R. </w:t>
      </w:r>
      <w:r w:rsidRPr="000A0EA1">
        <w:rPr>
          <w:lang w:val="en-CA"/>
        </w:rPr>
        <w:t>201, para</w:t>
      </w:r>
      <w:r w:rsidR="0062160E">
        <w:rPr>
          <w:lang w:val="en-CA"/>
        </w:rPr>
        <w:t>s. 5</w:t>
      </w:r>
      <w:r w:rsidRPr="000A0EA1">
        <w:rPr>
          <w:lang w:val="en-CA"/>
        </w:rPr>
        <w:t xml:space="preserve">-7; </w:t>
      </w:r>
      <w:r w:rsidRPr="000A0EA1">
        <w:rPr>
          <w:i/>
          <w:iCs/>
          <w:lang w:val="en-CA"/>
        </w:rPr>
        <w:t xml:space="preserve">Reference re Public Schools Act (Man.), </w:t>
      </w:r>
      <w:r w:rsidR="0062160E">
        <w:rPr>
          <w:i/>
          <w:iCs/>
          <w:lang w:val="en-CA"/>
        </w:rPr>
        <w:t>s. 7</w:t>
      </w:r>
      <w:r w:rsidRPr="000A0EA1">
        <w:rPr>
          <w:i/>
          <w:iCs/>
          <w:lang w:val="en-CA"/>
        </w:rPr>
        <w:t>9(3), (4) and (7)</w:t>
      </w:r>
      <w:r w:rsidRPr="000A0EA1">
        <w:rPr>
          <w:lang w:val="en-CA"/>
        </w:rPr>
        <w:t>, [1993]</w:t>
      </w:r>
      <w:r w:rsidR="00021A97">
        <w:rPr>
          <w:lang w:val="en-CA"/>
        </w:rPr>
        <w:t> </w:t>
      </w:r>
      <w:r w:rsidRPr="000A0EA1">
        <w:rPr>
          <w:lang w:val="en-CA"/>
        </w:rPr>
        <w:t>1</w:t>
      </w:r>
      <w:r w:rsidR="00956B70">
        <w:rPr>
          <w:lang w:val="en-CA"/>
        </w:rPr>
        <w:t> S.C.R. </w:t>
      </w:r>
      <w:r w:rsidRPr="000A0EA1">
        <w:rPr>
          <w:lang w:val="en-CA"/>
        </w:rPr>
        <w:t xml:space="preserve">839, </w:t>
      </w:r>
      <w:r w:rsidR="00E95DC2">
        <w:rPr>
          <w:lang w:val="en-CA"/>
        </w:rPr>
        <w:t>p. </w:t>
      </w:r>
      <w:r w:rsidRPr="000A0EA1">
        <w:rPr>
          <w:lang w:val="en-CA"/>
        </w:rPr>
        <w:t>851.</w:t>
      </w:r>
    </w:p>
  </w:footnote>
  <w:footnote w:id="179">
    <w:p w14:paraId="17F5F523" w14:textId="190C0C27"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Conseil scolaire francophone de la Colombie</w:t>
      </w:r>
      <w:r w:rsidR="00021A97" w:rsidRPr="007D51DF">
        <w:rPr>
          <w:i/>
          <w:iCs/>
        </w:rPr>
        <w:noBreakHyphen/>
      </w:r>
      <w:r w:rsidRPr="007D51DF">
        <w:rPr>
          <w:i/>
          <w:iCs/>
        </w:rPr>
        <w:t>Britannique v. British</w:t>
      </w:r>
      <w:r w:rsidRPr="007D51DF">
        <w:t xml:space="preserve"> </w:t>
      </w:r>
      <w:r w:rsidRPr="007D51DF">
        <w:rPr>
          <w:i/>
          <w:iCs/>
        </w:rPr>
        <w:t>Columbia</w:t>
      </w:r>
      <w:r w:rsidRPr="007D51DF">
        <w:t>, 2020 SCC 13, [2020]</w:t>
      </w:r>
      <w:r w:rsidR="00021A97" w:rsidRPr="007D51DF">
        <w:t> </w:t>
      </w:r>
      <w:r w:rsidRPr="007D51DF">
        <w:t>1</w:t>
      </w:r>
      <w:r w:rsidR="00956B70" w:rsidRPr="007D51DF">
        <w:t> S.C.R. </w:t>
      </w:r>
      <w:r w:rsidRPr="007D51DF">
        <w:t xml:space="preserve">678, </w:t>
      </w:r>
      <w:r w:rsidR="0062160E" w:rsidRPr="007D51DF">
        <w:t>para. </w:t>
      </w:r>
      <w:r w:rsidR="0062160E">
        <w:rPr>
          <w:lang w:val="en-CA"/>
        </w:rPr>
        <w:t>1</w:t>
      </w:r>
      <w:r w:rsidRPr="000A0EA1">
        <w:rPr>
          <w:lang w:val="en-CA"/>
        </w:rPr>
        <w:t xml:space="preserve">8. See also: </w:t>
      </w:r>
      <w:r w:rsidRPr="000A0EA1">
        <w:rPr>
          <w:i/>
          <w:iCs/>
          <w:lang w:val="en-CA"/>
        </w:rPr>
        <w:t>Gosselin (Tutor of) v. Quebec (Attorney General)</w:t>
      </w:r>
      <w:r w:rsidRPr="000A0EA1">
        <w:rPr>
          <w:lang w:val="en-CA"/>
        </w:rPr>
        <w:t>, 2005 SCC 15, [2005] 1</w:t>
      </w:r>
      <w:r w:rsidR="00956B70">
        <w:rPr>
          <w:lang w:val="en-CA"/>
        </w:rPr>
        <w:t> S.C.R. </w:t>
      </w:r>
      <w:r w:rsidRPr="000A0EA1">
        <w:rPr>
          <w:lang w:val="en-CA"/>
        </w:rPr>
        <w:t xml:space="preserve">238, </w:t>
      </w:r>
      <w:r w:rsidR="0062160E">
        <w:rPr>
          <w:lang w:val="en-CA"/>
        </w:rPr>
        <w:t>para. </w:t>
      </w:r>
      <w:r w:rsidR="0062160E" w:rsidRPr="007D51DF">
        <w:t>2</w:t>
      </w:r>
      <w:r w:rsidRPr="007D51DF">
        <w:t xml:space="preserve">8; </w:t>
      </w:r>
      <w:r w:rsidRPr="007D51DF">
        <w:rPr>
          <w:i/>
          <w:iCs/>
        </w:rPr>
        <w:t>Doucet</w:t>
      </w:r>
      <w:r w:rsidR="00021A97" w:rsidRPr="007D51DF">
        <w:rPr>
          <w:i/>
          <w:iCs/>
        </w:rPr>
        <w:noBreakHyphen/>
      </w:r>
      <w:r w:rsidRPr="007D51DF">
        <w:rPr>
          <w:i/>
          <w:iCs/>
        </w:rPr>
        <w:t>Boudreau v. Nova Scotia (Minister of Education)</w:t>
      </w:r>
      <w:r w:rsidRPr="007D51DF">
        <w:t>, 2003 SCC 62, [2003] 3</w:t>
      </w:r>
      <w:r w:rsidR="00956B70" w:rsidRPr="007D51DF">
        <w:t> S.C.R. </w:t>
      </w:r>
      <w:r w:rsidRPr="007D51DF">
        <w:t>3, para</w:t>
      </w:r>
      <w:r w:rsidR="0062160E" w:rsidRPr="007D51DF">
        <w:t>s. 2</w:t>
      </w:r>
      <w:r w:rsidRPr="007D51DF">
        <w:t>3 and 26.</w:t>
      </w:r>
    </w:p>
  </w:footnote>
  <w:footnote w:id="180">
    <w:p w14:paraId="17F5F524" w14:textId="1F6AC343"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 xml:space="preserve"> Conseil scolaire francophone de la Colombie</w:t>
      </w:r>
      <w:r w:rsidR="00021A97" w:rsidRPr="007D51DF">
        <w:rPr>
          <w:i/>
          <w:iCs/>
        </w:rPr>
        <w:noBreakHyphen/>
      </w:r>
      <w:r w:rsidRPr="007D51DF">
        <w:rPr>
          <w:i/>
          <w:iCs/>
        </w:rPr>
        <w:t>Britannique v. British</w:t>
      </w:r>
      <w:r w:rsidRPr="007D51DF">
        <w:t xml:space="preserve"> </w:t>
      </w:r>
      <w:r w:rsidRPr="007D51DF">
        <w:rPr>
          <w:i/>
          <w:iCs/>
        </w:rPr>
        <w:t>Columbia</w:t>
      </w:r>
      <w:r w:rsidRPr="007D51DF">
        <w:t>, 2020 SCC 13, [2020]</w:t>
      </w:r>
      <w:r w:rsidR="00021A97" w:rsidRPr="007D51DF">
        <w:t> </w:t>
      </w:r>
      <w:r w:rsidRPr="007D51DF">
        <w:t>1</w:t>
      </w:r>
      <w:r w:rsidR="00956B70" w:rsidRPr="007D51DF">
        <w:t> S.C.R. </w:t>
      </w:r>
      <w:r w:rsidRPr="007D51DF">
        <w:t xml:space="preserve">678, </w:t>
      </w:r>
      <w:r w:rsidR="0062160E" w:rsidRPr="007D51DF">
        <w:t>para. </w:t>
      </w:r>
      <w:r w:rsidR="0062160E">
        <w:rPr>
          <w:lang w:val="en-CA"/>
        </w:rPr>
        <w:t>1</w:t>
      </w:r>
      <w:r w:rsidRPr="000A0EA1">
        <w:rPr>
          <w:lang w:val="en-CA"/>
        </w:rPr>
        <w:t>9.</w:t>
      </w:r>
    </w:p>
  </w:footnote>
  <w:footnote w:id="181">
    <w:p w14:paraId="17F5F525" w14:textId="1F7D854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Act respecting school elections</w:t>
      </w:r>
      <w:r w:rsidRPr="000A0EA1">
        <w:rPr>
          <w:lang w:val="en-CA"/>
        </w:rPr>
        <w:t>, CQLR, c. E-2.3, s</w:t>
      </w:r>
      <w:r w:rsidR="0062160E">
        <w:rPr>
          <w:lang w:val="en-CA"/>
        </w:rPr>
        <w:t>s. 1</w:t>
      </w:r>
      <w:r w:rsidRPr="000A0EA1">
        <w:rPr>
          <w:lang w:val="en-CA"/>
        </w:rPr>
        <w:t>5 and 20 (in their pre</w:t>
      </w:r>
      <w:r w:rsidR="00144167">
        <w:rPr>
          <w:lang w:val="en-CA"/>
        </w:rPr>
        <w:noBreakHyphen/>
      </w:r>
      <w:r w:rsidR="00C33BBC">
        <w:rPr>
          <w:i/>
          <w:iCs/>
          <w:lang w:val="en-CA"/>
        </w:rPr>
        <w:t>Bill 40</w:t>
      </w:r>
      <w:r w:rsidRPr="000A0EA1">
        <w:rPr>
          <w:lang w:val="en-CA"/>
        </w:rPr>
        <w:t xml:space="preserve"> version).</w:t>
      </w:r>
    </w:p>
  </w:footnote>
  <w:footnote w:id="182">
    <w:p w14:paraId="17F5F526" w14:textId="14C0DDD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377.</w:t>
      </w:r>
    </w:p>
  </w:footnote>
  <w:footnote w:id="183">
    <w:p w14:paraId="17F5F527" w14:textId="554C560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Act respecting school elections</w:t>
      </w:r>
      <w:r w:rsidRPr="000A0EA1">
        <w:rPr>
          <w:lang w:val="en-CA"/>
        </w:rPr>
        <w:t xml:space="preserve">, S.Q. 1989, c. 36, </w:t>
      </w:r>
      <w:r w:rsidR="0062160E">
        <w:rPr>
          <w:lang w:val="en-CA"/>
        </w:rPr>
        <w:t>s. 1</w:t>
      </w:r>
      <w:r w:rsidRPr="000A0EA1">
        <w:rPr>
          <w:lang w:val="en-CA"/>
        </w:rPr>
        <w:t>5.</w:t>
      </w:r>
    </w:p>
  </w:footnote>
  <w:footnote w:id="184">
    <w:p w14:paraId="17F5F528" w14:textId="6459398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60" w:name="_Hlk189393822"/>
      <w:r w:rsidRPr="000A0EA1">
        <w:rPr>
          <w:i/>
          <w:iCs/>
          <w:lang w:val="en-CA"/>
        </w:rPr>
        <w:t>New Act respecting school elections</w:t>
      </w:r>
      <w:bookmarkEnd w:id="60"/>
      <w:r w:rsidRPr="000A0EA1">
        <w:rPr>
          <w:lang w:val="en-CA"/>
        </w:rPr>
        <w:t xml:space="preserve">, </w:t>
      </w:r>
      <w:r w:rsidR="0062160E">
        <w:rPr>
          <w:lang w:val="en-CA"/>
        </w:rPr>
        <w:t>s. 1</w:t>
      </w:r>
      <w:r w:rsidRPr="000A0EA1">
        <w:rPr>
          <w:lang w:val="en-CA"/>
        </w:rPr>
        <w:t>5.</w:t>
      </w:r>
    </w:p>
  </w:footnote>
  <w:footnote w:id="185">
    <w:p w14:paraId="17F5F529" w14:textId="78C95FE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 xml:space="preserve">18. See also, </w:t>
      </w:r>
      <w:r w:rsidR="0062160E">
        <w:rPr>
          <w:lang w:val="en-CA"/>
        </w:rPr>
        <w:t>para. 3</w:t>
      </w:r>
      <w:r w:rsidRPr="000A0EA1">
        <w:rPr>
          <w:lang w:val="en-CA"/>
        </w:rPr>
        <w:t>20.</w:t>
      </w:r>
    </w:p>
  </w:footnote>
  <w:footnote w:id="186">
    <w:p w14:paraId="17F5F52A" w14:textId="3117CAB1" w:rsidR="00221BDF" w:rsidRPr="000A0EA1" w:rsidRDefault="00B02E00">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39 and 441.</w:t>
      </w:r>
    </w:p>
  </w:footnote>
  <w:footnote w:id="187">
    <w:p w14:paraId="17F5F52B" w14:textId="19B17E2B" w:rsidR="00221BDF" w:rsidRPr="000A0EA1" w:rsidRDefault="00B02E00" w:rsidP="00221BDF">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43.</w:t>
      </w:r>
    </w:p>
  </w:footnote>
  <w:footnote w:id="188">
    <w:p w14:paraId="17F5F52C" w14:textId="031296A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43.</w:t>
      </w:r>
    </w:p>
  </w:footnote>
  <w:footnote w:id="189">
    <w:p w14:paraId="17F5F52D" w14:textId="4F90329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Affidavit of Pierre-Luc Pouliot, director general of network support and funding at the Ministère de l</w:t>
      </w:r>
      <w:r w:rsidR="00E46AFD">
        <w:rPr>
          <w:lang w:val="en-CA"/>
        </w:rPr>
        <w:t>’</w:t>
      </w:r>
      <w:r w:rsidRPr="000A0EA1">
        <w:rPr>
          <w:lang w:val="en-CA"/>
        </w:rPr>
        <w:t xml:space="preserve">Éducation, March 18, 2021, </w:t>
      </w:r>
      <w:r w:rsidR="0062160E">
        <w:rPr>
          <w:lang w:val="en-CA"/>
        </w:rPr>
        <w:t>para. 5</w:t>
      </w:r>
      <w:r w:rsidRPr="000A0EA1">
        <w:rPr>
          <w:lang w:val="en-CA"/>
        </w:rPr>
        <w:t>; Exhibit PGQ</w:t>
      </w:r>
      <w:r w:rsidR="00144167">
        <w:rPr>
          <w:lang w:val="en-CA"/>
        </w:rPr>
        <w:noBreakHyphen/>
      </w:r>
      <w:r w:rsidRPr="000A0EA1">
        <w:rPr>
          <w:lang w:val="en-CA"/>
        </w:rPr>
        <w:t>52, pamphlet from the Ministère de l</w:t>
      </w:r>
      <w:r w:rsidR="00E46AFD">
        <w:rPr>
          <w:lang w:val="en-CA"/>
        </w:rPr>
        <w:t>’</w:t>
      </w:r>
      <w:r w:rsidRPr="000A0EA1">
        <w:rPr>
          <w:lang w:val="en-CA"/>
        </w:rPr>
        <w:t>Éducation et de l</w:t>
      </w:r>
      <w:r w:rsidR="00E46AFD">
        <w:rPr>
          <w:lang w:val="en-CA"/>
        </w:rPr>
        <w:t>’</w:t>
      </w:r>
      <w:r w:rsidRPr="000A0EA1">
        <w:rPr>
          <w:lang w:val="en-CA"/>
        </w:rPr>
        <w:t>Enseignement supérieur explaining the school tax reform - school boards section.</w:t>
      </w:r>
    </w:p>
  </w:footnote>
  <w:footnote w:id="190">
    <w:p w14:paraId="17F5F52E" w14:textId="3CFEFE2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PGQ</w:t>
      </w:r>
      <w:r w:rsidR="00144167">
        <w:rPr>
          <w:lang w:val="en-CA"/>
        </w:rPr>
        <w:noBreakHyphen/>
      </w:r>
      <w:r w:rsidRPr="000A0EA1">
        <w:rPr>
          <w:lang w:val="en-CA"/>
        </w:rPr>
        <w:t xml:space="preserve">50, general results of the 2003 and 2007 school elections, as well as 2014. </w:t>
      </w:r>
    </w:p>
  </w:footnote>
  <w:footnote w:id="191">
    <w:p w14:paraId="17F5F52F" w14:textId="3073370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New Act respecting school elections</w:t>
      </w:r>
      <w:r w:rsidRPr="000A0EA1">
        <w:rPr>
          <w:lang w:val="en-CA"/>
        </w:rPr>
        <w:t xml:space="preserve">, </w:t>
      </w:r>
      <w:r w:rsidR="0062160E">
        <w:rPr>
          <w:lang w:val="en-CA"/>
        </w:rPr>
        <w:t>s. 1</w:t>
      </w:r>
      <w:r w:rsidRPr="000A0EA1">
        <w:rPr>
          <w:lang w:val="en-CA"/>
        </w:rPr>
        <w:t>8.</w:t>
      </w:r>
    </w:p>
  </w:footnote>
  <w:footnote w:id="192">
    <w:p w14:paraId="17F5F530" w14:textId="25F7203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s. 2</w:t>
      </w:r>
      <w:r w:rsidRPr="000A0EA1">
        <w:rPr>
          <w:lang w:val="en-CA"/>
        </w:rPr>
        <w:t>0.1.</w:t>
      </w:r>
    </w:p>
  </w:footnote>
  <w:footnote w:id="193">
    <w:p w14:paraId="17F5F531" w14:textId="3C1BA5A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342, p</w:t>
      </w:r>
      <w:r w:rsidR="00E95DC2">
        <w:rPr>
          <w:lang w:val="en-CA"/>
        </w:rPr>
        <w:t>p. </w:t>
      </w:r>
      <w:r w:rsidRPr="000A0EA1">
        <w:rPr>
          <w:lang w:val="en-CA"/>
        </w:rPr>
        <w:t>375 and 377.</w:t>
      </w:r>
    </w:p>
  </w:footnote>
  <w:footnote w:id="194">
    <w:p w14:paraId="17F5F532" w14:textId="355850F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143 of the </w:t>
      </w:r>
      <w:r w:rsidRPr="000A0EA1">
        <w:rPr>
          <w:i/>
          <w:iCs/>
          <w:lang w:val="en-CA"/>
        </w:rPr>
        <w:t xml:space="preserve">EA </w:t>
      </w:r>
      <w:r w:rsidRPr="000A0EA1">
        <w:rPr>
          <w:lang w:val="en-CA"/>
        </w:rPr>
        <w:t>and s</w:t>
      </w:r>
      <w:r w:rsidR="0062160E">
        <w:rPr>
          <w:lang w:val="en-CA"/>
        </w:rPr>
        <w:t>s. 6</w:t>
      </w:r>
      <w:r w:rsidRPr="000A0EA1">
        <w:rPr>
          <w:lang w:val="en-CA"/>
        </w:rPr>
        <w:t xml:space="preserve">, 7, 71 and 72 of the </w:t>
      </w:r>
      <w:r w:rsidRPr="000A0EA1">
        <w:rPr>
          <w:i/>
          <w:iCs/>
          <w:lang w:val="en-CA"/>
        </w:rPr>
        <w:tab/>
        <w:t>Act respecting school elections</w:t>
      </w:r>
      <w:r w:rsidRPr="000A0EA1">
        <w:rPr>
          <w:lang w:val="en-CA"/>
        </w:rPr>
        <w:t>, CQLR, c.</w:t>
      </w:r>
      <w:r w:rsidR="00144167">
        <w:rPr>
          <w:lang w:val="en-CA"/>
        </w:rPr>
        <w:t> </w:t>
      </w:r>
      <w:r w:rsidRPr="000A0EA1">
        <w:rPr>
          <w:lang w:val="en-CA"/>
        </w:rPr>
        <w:t>E</w:t>
      </w:r>
      <w:r w:rsidR="00144167">
        <w:rPr>
          <w:lang w:val="en-CA"/>
        </w:rPr>
        <w:noBreakHyphen/>
      </w:r>
      <w:r w:rsidRPr="000A0EA1">
        <w:rPr>
          <w:lang w:val="en-CA"/>
        </w:rPr>
        <w:t>2.3 (in their pre</w:t>
      </w:r>
      <w:r w:rsidR="00144167">
        <w:rPr>
          <w:lang w:val="en-CA"/>
        </w:rPr>
        <w:noBreakHyphen/>
      </w:r>
      <w:r w:rsidR="00C33BBC">
        <w:rPr>
          <w:i/>
          <w:iCs/>
          <w:lang w:val="en-CA"/>
        </w:rPr>
        <w:t>Bill 40</w:t>
      </w:r>
      <w:r w:rsidRPr="000A0EA1">
        <w:rPr>
          <w:lang w:val="en-CA"/>
        </w:rPr>
        <w:t xml:space="preserve"> version). </w:t>
      </w:r>
    </w:p>
  </w:footnote>
  <w:footnote w:id="195">
    <w:p w14:paraId="17F5F533" w14:textId="7598A69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20 of the </w:t>
      </w:r>
      <w:r w:rsidRPr="000A0EA1">
        <w:rPr>
          <w:i/>
          <w:iCs/>
          <w:lang w:val="en-CA"/>
        </w:rPr>
        <w:t>Act respecting school elections</w:t>
      </w:r>
      <w:r w:rsidRPr="000A0EA1">
        <w:rPr>
          <w:lang w:val="en-CA"/>
        </w:rPr>
        <w:t>, CQLR, c.</w:t>
      </w:r>
      <w:r w:rsidR="00144167">
        <w:rPr>
          <w:lang w:val="en-CA"/>
        </w:rPr>
        <w:t> </w:t>
      </w:r>
      <w:r w:rsidRPr="000A0EA1">
        <w:rPr>
          <w:lang w:val="en-CA"/>
        </w:rPr>
        <w:t>E</w:t>
      </w:r>
      <w:r w:rsidR="00144167">
        <w:rPr>
          <w:lang w:val="en-CA"/>
        </w:rPr>
        <w:noBreakHyphen/>
      </w:r>
      <w:r w:rsidRPr="000A0EA1">
        <w:rPr>
          <w:lang w:val="en-CA"/>
        </w:rPr>
        <w:t>2.3 (in its pre</w:t>
      </w:r>
      <w:r w:rsidR="00144167">
        <w:rPr>
          <w:lang w:val="en-CA"/>
        </w:rPr>
        <w:noBreakHyphen/>
      </w:r>
      <w:r w:rsidR="00C33BBC">
        <w:rPr>
          <w:i/>
          <w:iCs/>
          <w:lang w:val="en-CA"/>
        </w:rPr>
        <w:t>Bill 40</w:t>
      </w:r>
      <w:r w:rsidRPr="000A0EA1">
        <w:rPr>
          <w:lang w:val="en-CA"/>
        </w:rPr>
        <w:t xml:space="preserve"> version).</w:t>
      </w:r>
    </w:p>
  </w:footnote>
  <w:footnote w:id="196">
    <w:p w14:paraId="17F5F534" w14:textId="0E386BA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143 and 145 of the </w:t>
      </w:r>
      <w:r w:rsidRPr="000A0EA1">
        <w:rPr>
          <w:i/>
          <w:iCs/>
          <w:lang w:val="en-CA"/>
        </w:rPr>
        <w:t>EA</w:t>
      </w:r>
      <w:r w:rsidRPr="000A0EA1">
        <w:rPr>
          <w:lang w:val="en-CA"/>
        </w:rPr>
        <w:t xml:space="preserve"> (in their pre</w:t>
      </w:r>
      <w:r w:rsidR="00144167">
        <w:rPr>
          <w:lang w:val="en-CA"/>
        </w:rPr>
        <w:noBreakHyphen/>
      </w:r>
      <w:r w:rsidR="00C33BBC">
        <w:rPr>
          <w:i/>
          <w:iCs/>
          <w:lang w:val="en-CA"/>
        </w:rPr>
        <w:t>Bill 40</w:t>
      </w:r>
      <w:r w:rsidRPr="000A0EA1">
        <w:rPr>
          <w:lang w:val="en-CA"/>
        </w:rPr>
        <w:t xml:space="preserve"> version).</w:t>
      </w:r>
    </w:p>
  </w:footnote>
  <w:footnote w:id="197">
    <w:p w14:paraId="17F5F535" w14:textId="23BCD7C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143 and 143.1 of the </w:t>
      </w:r>
      <w:r w:rsidRPr="000A0EA1">
        <w:rPr>
          <w:i/>
          <w:iCs/>
          <w:lang w:val="en-CA"/>
        </w:rPr>
        <w:t>EA</w:t>
      </w:r>
      <w:r w:rsidRPr="000A0EA1">
        <w:rPr>
          <w:lang w:val="en-CA"/>
        </w:rPr>
        <w:t xml:space="preserve"> (in their pre</w:t>
      </w:r>
      <w:r w:rsidR="00144167">
        <w:rPr>
          <w:lang w:val="en-CA"/>
        </w:rPr>
        <w:noBreakHyphen/>
      </w:r>
      <w:r w:rsidR="00C33BBC">
        <w:rPr>
          <w:i/>
          <w:iCs/>
          <w:lang w:val="en-CA"/>
        </w:rPr>
        <w:t>Bill 40</w:t>
      </w:r>
      <w:r w:rsidRPr="000A0EA1">
        <w:rPr>
          <w:lang w:val="en-CA"/>
        </w:rPr>
        <w:t xml:space="preserve"> version).</w:t>
      </w:r>
    </w:p>
  </w:footnote>
  <w:footnote w:id="198">
    <w:p w14:paraId="17F5F536" w14:textId="1C34550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of </w:t>
      </w:r>
      <w:r w:rsidR="00C33BBC">
        <w:rPr>
          <w:i/>
          <w:iCs/>
          <w:lang w:val="en-CA"/>
        </w:rPr>
        <w:t>Bill 40</w:t>
      </w:r>
      <w:r w:rsidRPr="000A0EA1">
        <w:rPr>
          <w:lang w:val="en-CA"/>
        </w:rPr>
        <w:t xml:space="preserve"> (</w:t>
      </w:r>
      <w:r w:rsidR="0062160E">
        <w:rPr>
          <w:lang w:val="en-CA"/>
        </w:rPr>
        <w:t>s. 1</w:t>
      </w:r>
      <w:r w:rsidRPr="000A0EA1">
        <w:rPr>
          <w:lang w:val="en-CA"/>
        </w:rPr>
        <w:t>43.1 </w:t>
      </w:r>
      <w:r w:rsidR="0062160E">
        <w:rPr>
          <w:lang w:val="en-CA"/>
        </w:rPr>
        <w:t>para. 1</w:t>
      </w:r>
      <w:r w:rsidRPr="000A0EA1">
        <w:rPr>
          <w:lang w:val="en-CA"/>
        </w:rPr>
        <w:t xml:space="preserve">(1) to (3) of the </w:t>
      </w:r>
      <w:r w:rsidRPr="000A0EA1">
        <w:rPr>
          <w:i/>
          <w:iCs/>
          <w:lang w:val="en-CA"/>
        </w:rPr>
        <w:t>EA</w:t>
      </w:r>
      <w:r w:rsidRPr="000A0EA1">
        <w:rPr>
          <w:lang w:val="en-CA"/>
        </w:rPr>
        <w:t>).</w:t>
      </w:r>
    </w:p>
  </w:footnote>
  <w:footnote w:id="199">
    <w:p w14:paraId="17F5F537" w14:textId="22AD9E5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61" w:name="_Hlk189377406"/>
      <w:r w:rsidRPr="000A0EA1">
        <w:rPr>
          <w:lang w:val="en-CA"/>
        </w:rPr>
        <w:t xml:space="preserve">Sections 5 and 11.0.1 (as amended by </w:t>
      </w:r>
      <w:r w:rsidR="0062160E">
        <w:rPr>
          <w:lang w:val="en-CA"/>
        </w:rPr>
        <w:t>s. 2</w:t>
      </w:r>
      <w:r w:rsidRPr="000A0EA1">
        <w:rPr>
          <w:lang w:val="en-CA"/>
        </w:rPr>
        <w:t xml:space="preserve">08 of </w:t>
      </w:r>
      <w:r w:rsidR="00C33BBC">
        <w:rPr>
          <w:i/>
          <w:iCs/>
          <w:lang w:val="en-CA"/>
        </w:rPr>
        <w:t>Bill 40</w:t>
      </w:r>
      <w:r w:rsidRPr="000A0EA1">
        <w:rPr>
          <w:lang w:val="en-CA"/>
        </w:rPr>
        <w:t xml:space="preserve">) of the </w:t>
      </w:r>
      <w:r w:rsidRPr="000A0EA1">
        <w:rPr>
          <w:i/>
          <w:iCs/>
          <w:lang w:val="en-CA"/>
        </w:rPr>
        <w:t>New Act respecting school elections</w:t>
      </w:r>
      <w:r w:rsidRPr="000A0EA1">
        <w:rPr>
          <w:lang w:val="en-CA"/>
        </w:rPr>
        <w:t>.</w:t>
      </w:r>
      <w:bookmarkEnd w:id="61"/>
    </w:p>
  </w:footnote>
  <w:footnote w:id="200">
    <w:p w14:paraId="17F5F538" w14:textId="1827807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of </w:t>
      </w:r>
      <w:r w:rsidR="00C33BBC">
        <w:rPr>
          <w:i/>
          <w:iCs/>
          <w:lang w:val="en-CA"/>
        </w:rPr>
        <w:t>Bill 40</w:t>
      </w:r>
      <w:r w:rsidRPr="000A0EA1">
        <w:rPr>
          <w:lang w:val="en-CA"/>
        </w:rPr>
        <w:t xml:space="preserve"> (</w:t>
      </w:r>
      <w:r w:rsidR="0062160E">
        <w:rPr>
          <w:lang w:val="en-CA"/>
        </w:rPr>
        <w:t>s. 1</w:t>
      </w:r>
      <w:r w:rsidRPr="000A0EA1">
        <w:rPr>
          <w:lang w:val="en-CA"/>
        </w:rPr>
        <w:t>43.1 </w:t>
      </w:r>
      <w:r w:rsidR="0062160E">
        <w:rPr>
          <w:lang w:val="en-CA"/>
        </w:rPr>
        <w:t>para. 1</w:t>
      </w:r>
      <w:r w:rsidRPr="000A0EA1">
        <w:rPr>
          <w:lang w:val="en-CA"/>
        </w:rPr>
        <w:t xml:space="preserve">(1) of the </w:t>
      </w:r>
      <w:r w:rsidRPr="000A0EA1">
        <w:rPr>
          <w:i/>
          <w:iCs/>
          <w:lang w:val="en-CA"/>
        </w:rPr>
        <w:t>EA</w:t>
      </w:r>
      <w:r w:rsidRPr="000A0EA1">
        <w:rPr>
          <w:lang w:val="en-CA"/>
        </w:rPr>
        <w:t xml:space="preserve">) and </w:t>
      </w:r>
      <w:bookmarkStart w:id="62" w:name="_Hlk189377540"/>
      <w:r w:rsidR="0062160E">
        <w:rPr>
          <w:lang w:val="en-CA"/>
        </w:rPr>
        <w:t>s. 1</w:t>
      </w:r>
      <w:r w:rsidRPr="000A0EA1">
        <w:rPr>
          <w:lang w:val="en-CA"/>
        </w:rPr>
        <w:t xml:space="preserve">1.0.1 of the </w:t>
      </w:r>
      <w:r w:rsidRPr="000A0EA1">
        <w:rPr>
          <w:i/>
          <w:iCs/>
          <w:lang w:val="en-CA"/>
        </w:rPr>
        <w:t>New Act respecting school elections</w:t>
      </w:r>
      <w:bookmarkEnd w:id="62"/>
      <w:r w:rsidRPr="000A0EA1">
        <w:rPr>
          <w:lang w:val="en-CA"/>
        </w:rPr>
        <w:t xml:space="preserve"> (as amended by </w:t>
      </w:r>
      <w:r w:rsidR="0062160E">
        <w:rPr>
          <w:lang w:val="en-CA"/>
        </w:rPr>
        <w:t>s. 2</w:t>
      </w:r>
      <w:r w:rsidRPr="000A0EA1">
        <w:rPr>
          <w:lang w:val="en-CA"/>
        </w:rPr>
        <w:t xml:space="preserve">08 of </w:t>
      </w:r>
      <w:r w:rsidR="00C33BBC">
        <w:rPr>
          <w:i/>
          <w:iCs/>
          <w:lang w:val="en-CA"/>
        </w:rPr>
        <w:t>Bill 40</w:t>
      </w:r>
      <w:r w:rsidRPr="000A0EA1">
        <w:rPr>
          <w:lang w:val="en-CA"/>
        </w:rPr>
        <w:t>).</w:t>
      </w:r>
    </w:p>
  </w:footnote>
  <w:footnote w:id="201">
    <w:p w14:paraId="17F5F539" w14:textId="74C8F38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50</w:t>
      </w:r>
      <w:r w:rsidR="00AC60FF">
        <w:rPr>
          <w:lang w:val="en-CA"/>
        </w:rPr>
        <w:t xml:space="preserve"> </w:t>
      </w:r>
      <w:r w:rsidRPr="000A0EA1">
        <w:rPr>
          <w:lang w:val="en-CA"/>
        </w:rPr>
        <w:t>(</w:t>
      </w:r>
      <w:r w:rsidR="0062160E">
        <w:rPr>
          <w:lang w:val="en-CA"/>
        </w:rPr>
        <w:t>s. 1</w:t>
      </w:r>
      <w:r w:rsidRPr="000A0EA1">
        <w:rPr>
          <w:lang w:val="en-CA"/>
        </w:rPr>
        <w:t>43.1 </w:t>
      </w:r>
      <w:r w:rsidR="0062160E">
        <w:rPr>
          <w:lang w:val="en-CA"/>
        </w:rPr>
        <w:t>para. 1</w:t>
      </w:r>
      <w:r w:rsidRPr="000A0EA1">
        <w:rPr>
          <w:lang w:val="en-CA"/>
        </w:rPr>
        <w:t xml:space="preserve">(1) of the </w:t>
      </w:r>
      <w:r w:rsidRPr="000A0EA1">
        <w:rPr>
          <w:i/>
          <w:iCs/>
          <w:lang w:val="en-CA"/>
        </w:rPr>
        <w:t>EA</w:t>
      </w:r>
      <w:r w:rsidRPr="000A0EA1">
        <w:rPr>
          <w:lang w:val="en-CA"/>
        </w:rPr>
        <w:t xml:space="preserve">) and </w:t>
      </w:r>
      <w:r w:rsidR="0062160E">
        <w:rPr>
          <w:lang w:val="en-CA"/>
        </w:rPr>
        <w:t>s. 1</w:t>
      </w:r>
      <w:r w:rsidRPr="000A0EA1">
        <w:rPr>
          <w:lang w:val="en-CA"/>
        </w:rPr>
        <w:t xml:space="preserve">96 of </w:t>
      </w:r>
      <w:r w:rsidR="00C33BBC">
        <w:rPr>
          <w:i/>
          <w:iCs/>
          <w:lang w:val="en-CA"/>
        </w:rPr>
        <w:t>Bill 40</w:t>
      </w:r>
      <w:r w:rsidRPr="000A0EA1">
        <w:rPr>
          <w:lang w:val="en-CA"/>
        </w:rPr>
        <w:t xml:space="preserve"> (</w:t>
      </w:r>
      <w:bookmarkStart w:id="63" w:name="_Hlk189385385"/>
      <w:r w:rsidRPr="000A0EA1">
        <w:rPr>
          <w:lang w:val="en-CA"/>
        </w:rPr>
        <w:t>s</w:t>
      </w:r>
      <w:r w:rsidR="0062160E">
        <w:rPr>
          <w:lang w:val="en-CA"/>
        </w:rPr>
        <w:t>s. 4</w:t>
      </w:r>
      <w:r w:rsidRPr="000A0EA1">
        <w:rPr>
          <w:lang w:val="en-CA"/>
        </w:rPr>
        <w:t>.1 </w:t>
      </w:r>
      <w:r w:rsidR="0062160E">
        <w:rPr>
          <w:lang w:val="en-CA"/>
        </w:rPr>
        <w:t>para. 1</w:t>
      </w:r>
      <w:r w:rsidRPr="000A0EA1">
        <w:rPr>
          <w:lang w:val="en-CA"/>
        </w:rPr>
        <w:t xml:space="preserve"> and 6 to 7.6 of the </w:t>
      </w:r>
      <w:r w:rsidRPr="000A0EA1">
        <w:rPr>
          <w:i/>
          <w:iCs/>
          <w:lang w:val="en-CA"/>
        </w:rPr>
        <w:t>New Act respecting school elections</w:t>
      </w:r>
      <w:bookmarkEnd w:id="63"/>
      <w:r w:rsidRPr="000A0EA1">
        <w:rPr>
          <w:lang w:val="en-CA"/>
        </w:rPr>
        <w:t>).</w:t>
      </w:r>
    </w:p>
  </w:footnote>
  <w:footnote w:id="202">
    <w:p w14:paraId="17F5F53A" w14:textId="43AD47D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52 of </w:t>
      </w:r>
      <w:r w:rsidR="00C33BBC">
        <w:rPr>
          <w:i/>
          <w:iCs/>
          <w:lang w:val="en-CA"/>
        </w:rPr>
        <w:t>Bill 40</w:t>
      </w:r>
      <w:r w:rsidRPr="000A0EA1">
        <w:rPr>
          <w:lang w:val="en-CA"/>
        </w:rPr>
        <w:t xml:space="preserve"> (amending </w:t>
      </w:r>
      <w:r w:rsidR="0062160E">
        <w:rPr>
          <w:lang w:val="en-CA"/>
        </w:rPr>
        <w:t>s. 1</w:t>
      </w:r>
      <w:r w:rsidRPr="000A0EA1">
        <w:rPr>
          <w:lang w:val="en-CA"/>
        </w:rPr>
        <w:t xml:space="preserve">55 of the </w:t>
      </w:r>
      <w:r w:rsidRPr="000A0EA1">
        <w:rPr>
          <w:i/>
          <w:iCs/>
          <w:lang w:val="en-CA"/>
        </w:rPr>
        <w:t>EA</w:t>
      </w:r>
      <w:r w:rsidRPr="000A0EA1">
        <w:rPr>
          <w:lang w:val="en-CA"/>
        </w:rPr>
        <w:t>).</w:t>
      </w:r>
    </w:p>
  </w:footnote>
  <w:footnote w:id="203">
    <w:p w14:paraId="17F5F53B" w14:textId="5EC33B7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50 (</w:t>
      </w:r>
      <w:r w:rsidR="0062160E">
        <w:rPr>
          <w:lang w:val="en-CA"/>
        </w:rPr>
        <w:t>s. 1</w:t>
      </w:r>
      <w:r w:rsidRPr="000A0EA1">
        <w:rPr>
          <w:lang w:val="en-CA"/>
        </w:rPr>
        <w:t>43.1 </w:t>
      </w:r>
      <w:r w:rsidR="0062160E">
        <w:rPr>
          <w:lang w:val="en-CA"/>
        </w:rPr>
        <w:t>para. 1</w:t>
      </w:r>
      <w:r w:rsidRPr="000A0EA1">
        <w:rPr>
          <w:lang w:val="en-CA"/>
        </w:rPr>
        <w:t xml:space="preserve">(1) of the </w:t>
      </w:r>
      <w:r w:rsidRPr="000A0EA1">
        <w:rPr>
          <w:i/>
          <w:iCs/>
          <w:lang w:val="en-CA"/>
        </w:rPr>
        <w:t>EA</w:t>
      </w:r>
      <w:r w:rsidRPr="000A0EA1">
        <w:rPr>
          <w:lang w:val="en-CA"/>
        </w:rPr>
        <w:t xml:space="preserve">) and </w:t>
      </w:r>
      <w:r w:rsidR="0062160E">
        <w:rPr>
          <w:lang w:val="en-CA"/>
        </w:rPr>
        <w:t>s. 2</w:t>
      </w:r>
      <w:r w:rsidRPr="000A0EA1">
        <w:rPr>
          <w:lang w:val="en-CA"/>
        </w:rPr>
        <w:t xml:space="preserve">16 of </w:t>
      </w:r>
      <w:r w:rsidR="00C33BBC">
        <w:rPr>
          <w:i/>
          <w:iCs/>
          <w:lang w:val="en-CA"/>
        </w:rPr>
        <w:t>Bill 40</w:t>
      </w:r>
      <w:r w:rsidRPr="000A0EA1">
        <w:rPr>
          <w:lang w:val="en-CA"/>
        </w:rPr>
        <w:t xml:space="preserve"> (</w:t>
      </w:r>
      <w:r w:rsidR="0062160E">
        <w:rPr>
          <w:lang w:val="en-CA"/>
        </w:rPr>
        <w:t>s. 2</w:t>
      </w:r>
      <w:r w:rsidRPr="000A0EA1">
        <w:rPr>
          <w:lang w:val="en-CA"/>
        </w:rPr>
        <w:t xml:space="preserve">0(1) of the </w:t>
      </w:r>
      <w:r w:rsidRPr="000A0EA1">
        <w:rPr>
          <w:i/>
          <w:iCs/>
          <w:lang w:val="en-CA"/>
        </w:rPr>
        <w:t>New Act respecting school elections</w:t>
      </w:r>
      <w:r w:rsidRPr="000A0EA1">
        <w:rPr>
          <w:lang w:val="en-CA"/>
        </w:rPr>
        <w:t>).</w:t>
      </w:r>
    </w:p>
  </w:footnote>
  <w:footnote w:id="204">
    <w:p w14:paraId="17F5F53C" w14:textId="7C1F468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Section 50 (</w:t>
      </w:r>
      <w:r w:rsidR="0062160E">
        <w:rPr>
          <w:lang w:val="en-CA"/>
        </w:rPr>
        <w:t>s. 1</w:t>
      </w:r>
      <w:r w:rsidRPr="000A0EA1">
        <w:rPr>
          <w:lang w:val="en-CA"/>
        </w:rPr>
        <w:t>43.1 </w:t>
      </w:r>
      <w:r w:rsidR="0062160E">
        <w:rPr>
          <w:lang w:val="en-CA"/>
        </w:rPr>
        <w:t>para. 1</w:t>
      </w:r>
      <w:r w:rsidRPr="000A0EA1">
        <w:rPr>
          <w:lang w:val="en-CA"/>
        </w:rPr>
        <w:t xml:space="preserve">(1) of the </w:t>
      </w:r>
      <w:r w:rsidRPr="000A0EA1">
        <w:rPr>
          <w:i/>
          <w:iCs/>
          <w:lang w:val="en-CA"/>
        </w:rPr>
        <w:t>EA</w:t>
      </w:r>
      <w:r w:rsidRPr="000A0EA1">
        <w:rPr>
          <w:lang w:val="en-CA"/>
        </w:rPr>
        <w:t xml:space="preserve">) and </w:t>
      </w:r>
      <w:r w:rsidR="0062160E">
        <w:rPr>
          <w:lang w:val="en-CA"/>
        </w:rPr>
        <w:t>s. 2</w:t>
      </w:r>
      <w:r w:rsidRPr="000A0EA1">
        <w:rPr>
          <w:lang w:val="en-CA"/>
        </w:rPr>
        <w:t xml:space="preserve">16 of </w:t>
      </w:r>
      <w:r w:rsidR="00C33BBC">
        <w:rPr>
          <w:i/>
          <w:iCs/>
          <w:lang w:val="en-CA"/>
        </w:rPr>
        <w:t>Bill 40</w:t>
      </w:r>
      <w:r w:rsidRPr="000A0EA1">
        <w:rPr>
          <w:lang w:val="en-CA"/>
        </w:rPr>
        <w:t xml:space="preserve"> (</w:t>
      </w:r>
      <w:r w:rsidR="0062160E">
        <w:rPr>
          <w:lang w:val="en-CA"/>
        </w:rPr>
        <w:t>s. 2</w:t>
      </w:r>
      <w:r w:rsidRPr="000A0EA1">
        <w:rPr>
          <w:lang w:val="en-CA"/>
        </w:rPr>
        <w:t xml:space="preserve">0(4) of the </w:t>
      </w:r>
      <w:r w:rsidRPr="000A0EA1">
        <w:rPr>
          <w:i/>
          <w:iCs/>
          <w:lang w:val="en-CA"/>
        </w:rPr>
        <w:t>New Act respecting school elections</w:t>
      </w:r>
      <w:r w:rsidRPr="000A0EA1">
        <w:rPr>
          <w:lang w:val="en-CA"/>
        </w:rPr>
        <w:t>).</w:t>
      </w:r>
    </w:p>
  </w:footnote>
  <w:footnote w:id="205">
    <w:p w14:paraId="17F5F53D" w14:textId="742A5EF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1</w:t>
      </w:r>
      <w:r w:rsidRPr="000A0EA1">
        <w:rPr>
          <w:lang w:val="en-CA"/>
        </w:rPr>
        <w:t>88.</w:t>
      </w:r>
    </w:p>
  </w:footnote>
  <w:footnote w:id="206">
    <w:p w14:paraId="17F5F53E" w14:textId="2B526C4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8C4D5E">
        <w:rPr>
          <w:lang w:val="en-CA"/>
        </w:rPr>
        <w:noBreakHyphen/>
      </w:r>
      <w:r w:rsidRPr="000A0EA1">
        <w:rPr>
          <w:lang w:val="en-CA"/>
        </w:rPr>
        <w:t xml:space="preserve">45, Expert Report of Peter Loewen, PhD, Professor of Political Science and Global Affairs &amp; Public Policy, dated February 5, 2021, </w:t>
      </w:r>
      <w:r w:rsidR="00981829">
        <w:rPr>
          <w:lang w:val="en-CA"/>
        </w:rPr>
        <w:t>paras</w:t>
      </w:r>
      <w:r w:rsidRPr="000A0EA1">
        <w:rPr>
          <w:lang w:val="en-CA"/>
        </w:rPr>
        <w:t>.</w:t>
      </w:r>
      <w:r w:rsidR="00981829">
        <w:rPr>
          <w:lang w:val="en-CA"/>
        </w:rPr>
        <w:t xml:space="preserve"> 13-15.</w:t>
      </w:r>
    </w:p>
  </w:footnote>
  <w:footnote w:id="207">
    <w:p w14:paraId="17F5F53F" w14:textId="44BC41B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Expert report prepared by Olivier Lemieux, professor of educational administration and policy, Université du Québec à Rimouski, dated March 16, 2021, p</w:t>
      </w:r>
      <w:r w:rsidR="00EA63BE">
        <w:rPr>
          <w:lang w:val="en-CA"/>
        </w:rPr>
        <w:t>ara. 148</w:t>
      </w:r>
      <w:r w:rsidRPr="000A0EA1">
        <w:rPr>
          <w:lang w:val="en-CA"/>
        </w:rPr>
        <w:t>.</w:t>
      </w:r>
    </w:p>
  </w:footnote>
  <w:footnote w:id="208">
    <w:p w14:paraId="17F5F540" w14:textId="330891C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1</w:t>
      </w:r>
      <w:r w:rsidRPr="000A0EA1">
        <w:rPr>
          <w:lang w:val="en-CA"/>
        </w:rPr>
        <w:t>89.</w:t>
      </w:r>
    </w:p>
  </w:footnote>
  <w:footnote w:id="209">
    <w:p w14:paraId="17F5F541" w14:textId="21EBBD6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66 of </w:t>
      </w:r>
      <w:r w:rsidR="00C33BBC">
        <w:rPr>
          <w:i/>
          <w:iCs/>
          <w:lang w:val="en-CA"/>
        </w:rPr>
        <w:t>Bill 40</w:t>
      </w:r>
      <w:r w:rsidRPr="000A0EA1">
        <w:rPr>
          <w:lang w:val="en-CA"/>
        </w:rPr>
        <w:t>.</w:t>
      </w:r>
    </w:p>
  </w:footnote>
  <w:footnote w:id="210">
    <w:p w14:paraId="17F5F542" w14:textId="7400CF2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8C4D5E">
        <w:rPr>
          <w:lang w:val="en-CA"/>
        </w:rPr>
        <w:noBreakHyphen/>
      </w:r>
      <w:r w:rsidRPr="000A0EA1">
        <w:rPr>
          <w:lang w:val="en-CA"/>
        </w:rPr>
        <w:t>45, Expert Report of Peter Loewen, PhD, Professor of Political Science and Global Affairs &amp; Public Policy, dated February 5, 2021</w:t>
      </w:r>
      <w:r w:rsidR="00A033C0">
        <w:rPr>
          <w:lang w:val="en-CA"/>
        </w:rPr>
        <w:t>,</w:t>
      </w:r>
      <w:r w:rsidRPr="000A0EA1">
        <w:rPr>
          <w:lang w:val="en-CA"/>
        </w:rPr>
        <w:t xml:space="preserve"> table G.1 (</w:t>
      </w:r>
      <w:r w:rsidR="00E46AFD">
        <w:rPr>
          <w:lang w:val="en-CA"/>
        </w:rPr>
        <w:t>“</w:t>
      </w:r>
      <w:r w:rsidRPr="000A0EA1">
        <w:rPr>
          <w:lang w:val="en-CA"/>
        </w:rPr>
        <w:t>The overall treatment effects on rightsholders, parents on governing boards and commissioners (p</w:t>
      </w:r>
      <w:r w:rsidR="00920981">
        <w:rPr>
          <w:lang w:val="en-CA"/>
        </w:rPr>
        <w:noBreakHyphen/>
      </w:r>
      <w:r w:rsidRPr="000A0EA1">
        <w:rPr>
          <w:lang w:val="en-CA"/>
        </w:rPr>
        <w:t>value indicated in parenthesis)</w:t>
      </w:r>
      <w:r w:rsidR="00E46AFD">
        <w:rPr>
          <w:lang w:val="en-CA"/>
        </w:rPr>
        <w:t>”</w:t>
      </w:r>
      <w:r w:rsidRPr="000A0EA1">
        <w:rPr>
          <w:lang w:val="en-CA"/>
        </w:rPr>
        <w:t>).</w:t>
      </w:r>
    </w:p>
  </w:footnote>
  <w:footnote w:id="211">
    <w:p w14:paraId="17F5F543" w14:textId="4A238CE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w:t>
      </w:r>
      <w:r w:rsidR="00E95DC2">
        <w:rPr>
          <w:lang w:val="en-CA"/>
        </w:rPr>
        <w:t>p. </w:t>
      </w:r>
      <w:r w:rsidR="00A26638">
        <w:rPr>
          <w:lang w:val="en-CA"/>
        </w:rPr>
        <w:t>12-14</w:t>
      </w:r>
      <w:r w:rsidRPr="000A0EA1">
        <w:rPr>
          <w:lang w:val="en-CA"/>
        </w:rPr>
        <w:t>.</w:t>
      </w:r>
    </w:p>
  </w:footnote>
  <w:footnote w:id="212">
    <w:p w14:paraId="17F5F544" w14:textId="1897D4B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See also: Exhibit P</w:t>
      </w:r>
      <w:r w:rsidR="00920981">
        <w:rPr>
          <w:lang w:val="en-CA"/>
        </w:rPr>
        <w:noBreakHyphen/>
      </w:r>
      <w:r w:rsidRPr="000A0EA1">
        <w:rPr>
          <w:lang w:val="en-CA"/>
        </w:rPr>
        <w:t xml:space="preserve">58, Affidavit of Judith Kelley, dated January 22, 2021, </w:t>
      </w:r>
      <w:r w:rsidR="0062160E">
        <w:rPr>
          <w:lang w:val="en-CA"/>
        </w:rPr>
        <w:t>para. 8</w:t>
      </w:r>
      <w:r w:rsidRPr="000A0EA1">
        <w:rPr>
          <w:lang w:val="en-CA"/>
        </w:rPr>
        <w:t xml:space="preserve">; </w:t>
      </w:r>
      <w:r w:rsidR="005D7A1B" w:rsidRPr="000A0EA1">
        <w:rPr>
          <w:rFonts w:cs="Arial"/>
          <w:color w:val="1F1F1F"/>
          <w:lang w:val="en-CA" w:eastAsia="fr-CA"/>
        </w:rPr>
        <w:t>Exhibit P</w:t>
      </w:r>
      <w:r w:rsidR="00920981">
        <w:rPr>
          <w:rFonts w:cs="Arial"/>
          <w:color w:val="1F1F1F"/>
          <w:lang w:val="en-CA" w:eastAsia="fr-CA"/>
        </w:rPr>
        <w:noBreakHyphen/>
      </w:r>
      <w:r w:rsidR="005D7A1B" w:rsidRPr="000A0EA1">
        <w:rPr>
          <w:rFonts w:cs="Arial"/>
          <w:color w:val="1F1F1F"/>
          <w:lang w:val="en-CA" w:eastAsia="fr-CA"/>
        </w:rPr>
        <w:t>59, Affidavit of Lesley Llewelyn, dated January 22, 2021, para</w:t>
      </w:r>
      <w:r w:rsidR="0062160E">
        <w:rPr>
          <w:rFonts w:cs="Arial"/>
          <w:color w:val="1F1F1F"/>
          <w:lang w:val="en-CA" w:eastAsia="fr-CA"/>
        </w:rPr>
        <w:t>s. 4</w:t>
      </w:r>
      <w:r w:rsidR="00920981">
        <w:rPr>
          <w:rFonts w:cs="Arial"/>
          <w:color w:val="1F1F1F"/>
          <w:lang w:val="en-CA" w:eastAsia="fr-CA"/>
        </w:rPr>
        <w:noBreakHyphen/>
      </w:r>
      <w:r w:rsidR="005D7A1B" w:rsidRPr="000A0EA1">
        <w:rPr>
          <w:rFonts w:cs="Arial"/>
          <w:color w:val="1F1F1F"/>
          <w:lang w:val="en-CA" w:eastAsia="fr-CA"/>
        </w:rPr>
        <w:t xml:space="preserve">7; </w:t>
      </w:r>
      <w:r w:rsidRPr="000A0EA1">
        <w:rPr>
          <w:lang w:val="en-CA"/>
        </w:rPr>
        <w:t>Exhibit P</w:t>
      </w:r>
      <w:r w:rsidR="00920981">
        <w:rPr>
          <w:lang w:val="en-CA"/>
        </w:rPr>
        <w:noBreakHyphen/>
      </w:r>
      <w:r w:rsidRPr="000A0EA1">
        <w:rPr>
          <w:lang w:val="en-CA"/>
        </w:rPr>
        <w:t xml:space="preserve">60, Affidavit of Eric Bender, dated January 22, 2021, </w:t>
      </w:r>
      <w:r w:rsidR="0062160E">
        <w:rPr>
          <w:lang w:val="en-CA"/>
        </w:rPr>
        <w:t>para. 4</w:t>
      </w:r>
      <w:r w:rsidRPr="000A0EA1">
        <w:rPr>
          <w:lang w:val="en-CA"/>
        </w:rPr>
        <w:t>.</w:t>
      </w:r>
    </w:p>
  </w:footnote>
  <w:footnote w:id="213">
    <w:p w14:paraId="17F5F545" w14:textId="3658B30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 xml:space="preserve">12. </w:t>
      </w:r>
    </w:p>
  </w:footnote>
  <w:footnote w:id="214">
    <w:p w14:paraId="17F5F546" w14:textId="2D548FC7" w:rsidR="00F75613" w:rsidRPr="000A0EA1" w:rsidRDefault="00B02E00" w:rsidP="00F75613">
      <w:pPr>
        <w:pStyle w:val="Notedebasdepage"/>
        <w:ind w:left="357" w:hanging="357"/>
        <w:rPr>
          <w:lang w:val="en-CA"/>
        </w:rPr>
      </w:pPr>
      <w:r w:rsidRPr="000A0EA1">
        <w:rPr>
          <w:rStyle w:val="Appelnotedebasdep"/>
          <w:lang w:val="en-CA"/>
        </w:rPr>
        <w:footnoteRef/>
      </w:r>
      <w:r w:rsidRPr="000A0EA1">
        <w:rPr>
          <w:lang w:val="en-CA"/>
        </w:rPr>
        <w:t xml:space="preserve"> </w:t>
      </w:r>
      <w:r w:rsidRPr="000A0EA1">
        <w:rPr>
          <w:lang w:val="en-CA"/>
        </w:rPr>
        <w:tab/>
      </w:r>
      <w:r w:rsidR="00CB2231" w:rsidRPr="000A0EA1">
        <w:rPr>
          <w:lang w:val="en-CA"/>
        </w:rPr>
        <w:t>A</w:t>
      </w:r>
      <w:r w:rsidR="00CB2231">
        <w:rPr>
          <w:lang w:val="en-CA"/>
        </w:rPr>
        <w:t>rgument in appellant’s brief</w:t>
      </w:r>
      <w:r w:rsidRPr="000A0EA1">
        <w:rPr>
          <w:lang w:val="en-CA"/>
        </w:rPr>
        <w:t xml:space="preserve">, </w:t>
      </w:r>
      <w:r w:rsidR="0062160E">
        <w:rPr>
          <w:lang w:val="en-CA"/>
        </w:rPr>
        <w:t>para. 1</w:t>
      </w:r>
      <w:r w:rsidRPr="000A0EA1">
        <w:rPr>
          <w:lang w:val="en-CA"/>
        </w:rPr>
        <w:t>12</w:t>
      </w:r>
      <w:r w:rsidR="00CB2231">
        <w:rPr>
          <w:lang w:val="en-CA"/>
        </w:rPr>
        <w:t>, referring to the e</w:t>
      </w:r>
      <w:r w:rsidRPr="000A0EA1">
        <w:rPr>
          <w:lang w:val="en-CA"/>
        </w:rPr>
        <w:t xml:space="preserve">xpert report prepared by Olivier Lemieux, professor of educational administration and policy, Université du Québec à Rimouski, dated March 16, 2021, </w:t>
      </w:r>
      <w:r w:rsidR="0062160E">
        <w:rPr>
          <w:lang w:val="en-CA"/>
        </w:rPr>
        <w:t>para. 1</w:t>
      </w:r>
      <w:r w:rsidRPr="000A0EA1">
        <w:rPr>
          <w:lang w:val="en-CA"/>
        </w:rPr>
        <w:t xml:space="preserve">52. </w:t>
      </w:r>
    </w:p>
  </w:footnote>
  <w:footnote w:id="215">
    <w:p w14:paraId="17F5F547" w14:textId="484AC1E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171BB5">
        <w:rPr>
          <w:lang w:val="en-CA"/>
        </w:rPr>
        <w:noBreakHyphen/>
      </w:r>
      <w:r w:rsidRPr="000A0EA1">
        <w:rPr>
          <w:lang w:val="en-CA"/>
        </w:rPr>
        <w:t>76, Reply to Olivier Lemieux</w:t>
      </w:r>
      <w:r w:rsidR="00E46AFD">
        <w:rPr>
          <w:lang w:val="en-CA"/>
        </w:rPr>
        <w:t>’</w:t>
      </w:r>
      <w:r w:rsidRPr="000A0EA1">
        <w:rPr>
          <w:lang w:val="en-CA"/>
        </w:rPr>
        <w:t>s Report by Peter Loewen, PhD, Professor of Political Science and Global Affairs &amp; Public Policy, dated April 7, 2021.</w:t>
      </w:r>
    </w:p>
  </w:footnote>
  <w:footnote w:id="216">
    <w:p w14:paraId="17F5F548" w14:textId="50F2B6E6"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1</w:t>
      </w:r>
      <w:r w:rsidRPr="000A0EA1">
        <w:rPr>
          <w:lang w:val="en-CA"/>
        </w:rPr>
        <w:t>95.</w:t>
      </w:r>
    </w:p>
  </w:footnote>
  <w:footnote w:id="217">
    <w:p w14:paraId="17F5F549" w14:textId="02F18388"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of </w:t>
      </w:r>
      <w:r w:rsidR="00C33BBC">
        <w:rPr>
          <w:i/>
          <w:iCs/>
          <w:lang w:val="en-CA"/>
        </w:rPr>
        <w:t>Bill 40</w:t>
      </w:r>
      <w:r w:rsidRPr="000A0EA1">
        <w:rPr>
          <w:lang w:val="en-CA"/>
        </w:rPr>
        <w:t xml:space="preserve"> (</w:t>
      </w:r>
      <w:r w:rsidR="0062160E">
        <w:rPr>
          <w:lang w:val="en-CA"/>
        </w:rPr>
        <w:t>s. 1</w:t>
      </w:r>
      <w:r w:rsidRPr="000A0EA1">
        <w:rPr>
          <w:lang w:val="en-CA"/>
        </w:rPr>
        <w:t>43.1 </w:t>
      </w:r>
      <w:r w:rsidR="0062160E">
        <w:rPr>
          <w:lang w:val="en-CA"/>
        </w:rPr>
        <w:t>para. 1</w:t>
      </w:r>
      <w:r w:rsidRPr="000A0EA1">
        <w:rPr>
          <w:lang w:val="en-CA"/>
        </w:rPr>
        <w:t xml:space="preserve">(2) of the </w:t>
      </w:r>
      <w:r w:rsidRPr="000A0EA1">
        <w:rPr>
          <w:i/>
          <w:iCs/>
          <w:lang w:val="en-CA"/>
        </w:rPr>
        <w:t>EA</w:t>
      </w:r>
      <w:r w:rsidRPr="000A0EA1">
        <w:rPr>
          <w:lang w:val="en-CA"/>
        </w:rPr>
        <w:t>).</w:t>
      </w:r>
    </w:p>
  </w:footnote>
  <w:footnote w:id="218">
    <w:p w14:paraId="17F5F54A" w14:textId="3D2447B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w:t>
      </w:r>
      <w:r w:rsidR="00A62A54">
        <w:rPr>
          <w:lang w:val="en-CA"/>
        </w:rPr>
        <w:t xml:space="preserve">of </w:t>
      </w:r>
      <w:r w:rsidR="00A62A54">
        <w:rPr>
          <w:i/>
          <w:iCs/>
          <w:lang w:val="en-CA"/>
        </w:rPr>
        <w:t xml:space="preserve">Bill 40 </w:t>
      </w:r>
      <w:r w:rsidRPr="000A0EA1">
        <w:rPr>
          <w:lang w:val="en-CA"/>
        </w:rPr>
        <w:t>(</w:t>
      </w:r>
      <w:r w:rsidR="0062160E">
        <w:rPr>
          <w:lang w:val="en-CA"/>
        </w:rPr>
        <w:t>s. 1</w:t>
      </w:r>
      <w:r w:rsidRPr="000A0EA1">
        <w:rPr>
          <w:lang w:val="en-CA"/>
        </w:rPr>
        <w:t>43.1 </w:t>
      </w:r>
      <w:r w:rsidR="0062160E">
        <w:rPr>
          <w:lang w:val="en-CA"/>
        </w:rPr>
        <w:t>para. 1</w:t>
      </w:r>
      <w:r w:rsidRPr="000A0EA1">
        <w:rPr>
          <w:lang w:val="en-CA"/>
        </w:rPr>
        <w:t xml:space="preserve">(3) and para. 2 </w:t>
      </w:r>
      <w:r w:rsidR="004B0258">
        <w:rPr>
          <w:lang w:val="en-CA"/>
        </w:rPr>
        <w:t xml:space="preserve">of the </w:t>
      </w:r>
      <w:r w:rsidR="004B0258">
        <w:rPr>
          <w:i/>
          <w:iCs/>
          <w:lang w:val="en-CA"/>
        </w:rPr>
        <w:t>E.A.</w:t>
      </w:r>
      <w:r w:rsidR="00A62A54">
        <w:rPr>
          <w:lang w:val="en-CA"/>
        </w:rPr>
        <w:t>)</w:t>
      </w:r>
      <w:r w:rsidR="004B0258">
        <w:rPr>
          <w:i/>
          <w:iCs/>
          <w:lang w:val="en-CA"/>
        </w:rPr>
        <w:t xml:space="preserve"> </w:t>
      </w:r>
      <w:r w:rsidRPr="000A0EA1">
        <w:rPr>
          <w:lang w:val="en-CA"/>
        </w:rPr>
        <w:t xml:space="preserve">and </w:t>
      </w:r>
      <w:r w:rsidR="0062160E">
        <w:rPr>
          <w:lang w:val="en-CA"/>
        </w:rPr>
        <w:t>s. 2</w:t>
      </w:r>
      <w:r w:rsidRPr="000A0EA1">
        <w:rPr>
          <w:lang w:val="en-CA"/>
        </w:rPr>
        <w:t xml:space="preserve">08 of </w:t>
      </w:r>
      <w:r w:rsidR="00C33BBC">
        <w:rPr>
          <w:i/>
          <w:iCs/>
          <w:lang w:val="en-CA"/>
        </w:rPr>
        <w:t>Bill 40</w:t>
      </w:r>
      <w:r w:rsidRPr="000A0EA1">
        <w:rPr>
          <w:lang w:val="en-CA"/>
        </w:rPr>
        <w:t xml:space="preserve"> (</w:t>
      </w:r>
      <w:r w:rsidR="0062160E">
        <w:rPr>
          <w:lang w:val="en-CA"/>
        </w:rPr>
        <w:t>s. 1</w:t>
      </w:r>
      <w:r w:rsidRPr="000A0EA1">
        <w:rPr>
          <w:lang w:val="en-CA"/>
        </w:rPr>
        <w:t xml:space="preserve">1.0.1 of the </w:t>
      </w:r>
      <w:r w:rsidRPr="000A0EA1">
        <w:rPr>
          <w:i/>
          <w:iCs/>
          <w:lang w:val="en-CA"/>
        </w:rPr>
        <w:t>New Act respecting school elections</w:t>
      </w:r>
      <w:r w:rsidRPr="000A0EA1">
        <w:rPr>
          <w:lang w:val="en-CA"/>
        </w:rPr>
        <w:t>).</w:t>
      </w:r>
    </w:p>
  </w:footnote>
  <w:footnote w:id="219">
    <w:p w14:paraId="17F5F54B" w14:textId="0400FC0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196 of </w:t>
      </w:r>
      <w:r w:rsidR="00C33BBC">
        <w:rPr>
          <w:i/>
          <w:iCs/>
          <w:lang w:val="en-CA"/>
        </w:rPr>
        <w:t>Bill 40</w:t>
      </w:r>
      <w:r w:rsidRPr="000A0EA1">
        <w:rPr>
          <w:lang w:val="en-CA"/>
        </w:rPr>
        <w:t xml:space="preserve"> (</w:t>
      </w:r>
      <w:bookmarkStart w:id="64" w:name="_Hlk189386453"/>
      <w:r w:rsidR="0062160E">
        <w:rPr>
          <w:lang w:val="en-CA"/>
        </w:rPr>
        <w:t>s. 4</w:t>
      </w:r>
      <w:r w:rsidRPr="000A0EA1">
        <w:rPr>
          <w:lang w:val="en-CA"/>
        </w:rPr>
        <w:t>.1 </w:t>
      </w:r>
      <w:r w:rsidR="0062160E">
        <w:rPr>
          <w:lang w:val="en-CA"/>
        </w:rPr>
        <w:t>para. 2</w:t>
      </w:r>
      <w:r w:rsidRPr="000A0EA1">
        <w:rPr>
          <w:lang w:val="en-CA"/>
        </w:rPr>
        <w:t xml:space="preserve"> of the </w:t>
      </w:r>
      <w:r w:rsidRPr="000A0EA1">
        <w:rPr>
          <w:i/>
          <w:iCs/>
          <w:lang w:val="en-CA"/>
        </w:rPr>
        <w:t>New Act respecting school elections</w:t>
      </w:r>
      <w:bookmarkEnd w:id="64"/>
      <w:r w:rsidRPr="000A0EA1">
        <w:rPr>
          <w:lang w:val="en-CA"/>
        </w:rPr>
        <w:t>).</w:t>
      </w:r>
    </w:p>
  </w:footnote>
  <w:footnote w:id="220">
    <w:p w14:paraId="17F5F54C" w14:textId="3952E11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of </w:t>
      </w:r>
      <w:r w:rsidR="00C33BBC">
        <w:rPr>
          <w:i/>
          <w:iCs/>
          <w:lang w:val="en-CA"/>
        </w:rPr>
        <w:t>Bill 40</w:t>
      </w:r>
      <w:r w:rsidRPr="000A0EA1">
        <w:rPr>
          <w:lang w:val="en-CA"/>
        </w:rPr>
        <w:t xml:space="preserve"> (</w:t>
      </w:r>
      <w:r w:rsidR="0062160E">
        <w:rPr>
          <w:lang w:val="en-CA"/>
        </w:rPr>
        <w:t>s. 1</w:t>
      </w:r>
      <w:r w:rsidRPr="000A0EA1">
        <w:rPr>
          <w:lang w:val="en-CA"/>
        </w:rPr>
        <w:t>43.1 </w:t>
      </w:r>
      <w:r w:rsidR="0062160E">
        <w:rPr>
          <w:lang w:val="en-CA"/>
        </w:rPr>
        <w:t>para. 1</w:t>
      </w:r>
      <w:r w:rsidRPr="000A0EA1">
        <w:rPr>
          <w:lang w:val="en-CA"/>
        </w:rPr>
        <w:t xml:space="preserve">(2) of the </w:t>
      </w:r>
      <w:r w:rsidRPr="000A0EA1">
        <w:rPr>
          <w:i/>
          <w:iCs/>
          <w:lang w:val="en-CA"/>
        </w:rPr>
        <w:t>EA</w:t>
      </w:r>
      <w:r w:rsidRPr="000A0EA1">
        <w:rPr>
          <w:lang w:val="en-CA"/>
        </w:rPr>
        <w:t>).</w:t>
      </w:r>
    </w:p>
  </w:footnote>
  <w:footnote w:id="221">
    <w:p w14:paraId="17F5F54D" w14:textId="1068D6DE"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208 of </w:t>
      </w:r>
      <w:r w:rsidR="00C33BBC">
        <w:rPr>
          <w:i/>
          <w:iCs/>
          <w:lang w:val="en-CA"/>
        </w:rPr>
        <w:t>Bill 40</w:t>
      </w:r>
      <w:r w:rsidRPr="000A0EA1">
        <w:rPr>
          <w:lang w:val="en-CA"/>
        </w:rPr>
        <w:t xml:space="preserve"> (</w:t>
      </w:r>
      <w:r w:rsidR="0062160E">
        <w:rPr>
          <w:lang w:val="en-CA"/>
        </w:rPr>
        <w:t>s. 1</w:t>
      </w:r>
      <w:r w:rsidRPr="000A0EA1">
        <w:rPr>
          <w:lang w:val="en-CA"/>
        </w:rPr>
        <w:t xml:space="preserve">1.0.2 of the </w:t>
      </w:r>
      <w:r w:rsidRPr="000A0EA1">
        <w:rPr>
          <w:i/>
          <w:iCs/>
          <w:lang w:val="en-CA"/>
        </w:rPr>
        <w:t>New Act respecting school elections</w:t>
      </w:r>
      <w:r w:rsidRPr="000A0EA1">
        <w:rPr>
          <w:lang w:val="en-CA"/>
        </w:rPr>
        <w:t>).</w:t>
      </w:r>
    </w:p>
  </w:footnote>
  <w:footnote w:id="222">
    <w:p w14:paraId="17F5F54E" w14:textId="199A3DA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1</w:t>
      </w:r>
      <w:r w:rsidRPr="000A0EA1">
        <w:rPr>
          <w:lang w:val="en-CA"/>
        </w:rPr>
        <w:t>91.</w:t>
      </w:r>
    </w:p>
  </w:footnote>
  <w:footnote w:id="223">
    <w:p w14:paraId="17F5F54F" w14:textId="22666BA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EA7928">
        <w:rPr>
          <w:lang w:val="en-CA"/>
        </w:rPr>
        <w:noBreakHyphen/>
      </w:r>
      <w:r w:rsidRPr="000A0EA1">
        <w:rPr>
          <w:lang w:val="en-CA"/>
        </w:rPr>
        <w:t>45, Expert Report of Peter Loewen, PhD, Professor of Political Science and Global Affairs &amp; Public Policy, dated February 5, 2021.</w:t>
      </w:r>
    </w:p>
  </w:footnote>
  <w:footnote w:id="224">
    <w:p w14:paraId="17F5F550" w14:textId="40A352A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66 of </w:t>
      </w:r>
      <w:r w:rsidR="00C33BBC">
        <w:rPr>
          <w:i/>
          <w:iCs/>
          <w:lang w:val="en-CA"/>
        </w:rPr>
        <w:t>Bill 40</w:t>
      </w:r>
      <w:r w:rsidRPr="000A0EA1">
        <w:rPr>
          <w:lang w:val="en-CA"/>
        </w:rPr>
        <w:t>.</w:t>
      </w:r>
    </w:p>
  </w:footnote>
  <w:footnote w:id="225">
    <w:p w14:paraId="17F5F551" w14:textId="7AF5C7C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52 of </w:t>
      </w:r>
      <w:r w:rsidR="00C33BBC">
        <w:rPr>
          <w:i/>
          <w:iCs/>
          <w:lang w:val="en-CA"/>
        </w:rPr>
        <w:t>Bill 40</w:t>
      </w:r>
      <w:r w:rsidRPr="000A0EA1">
        <w:rPr>
          <w:lang w:val="en-CA"/>
        </w:rPr>
        <w:t>.</w:t>
      </w:r>
    </w:p>
  </w:footnote>
  <w:footnote w:id="226">
    <w:p w14:paraId="17F5F552" w14:textId="2F986E0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11CD0">
        <w:rPr>
          <w:lang w:val="en-CA"/>
        </w:rPr>
        <w:noBreakHyphen/>
      </w:r>
      <w:r w:rsidRPr="000A0EA1">
        <w:rPr>
          <w:lang w:val="en-CA"/>
        </w:rPr>
        <w:t>47, Affidavit of Joy Humeniuk, dated June 15, 2020.</w:t>
      </w:r>
    </w:p>
  </w:footnote>
  <w:footnote w:id="227">
    <w:p w14:paraId="17F5F553" w14:textId="1F61ED3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11CD0">
        <w:rPr>
          <w:lang w:val="en-CA"/>
        </w:rPr>
        <w:noBreakHyphen/>
      </w:r>
      <w:r w:rsidRPr="000A0EA1">
        <w:rPr>
          <w:lang w:val="en-CA"/>
        </w:rPr>
        <w:t>56, Affidavit of Mary Ellen Beaulieu, dated January 22, 2021.</w:t>
      </w:r>
    </w:p>
  </w:footnote>
  <w:footnote w:id="228">
    <w:p w14:paraId="17F5F554" w14:textId="259B56F9"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11CD0">
        <w:rPr>
          <w:lang w:val="en-CA"/>
        </w:rPr>
        <w:noBreakHyphen/>
      </w:r>
      <w:r w:rsidRPr="000A0EA1">
        <w:rPr>
          <w:lang w:val="en-CA"/>
        </w:rPr>
        <w:t>57, Affidavit of Olivia Landry, dated January 22, 2021,</w:t>
      </w:r>
      <w:r w:rsidR="008B614C">
        <w:rPr>
          <w:lang w:val="en-CA"/>
        </w:rPr>
        <w:t xml:space="preserve"> </w:t>
      </w:r>
      <w:r w:rsidR="0062160E">
        <w:rPr>
          <w:lang w:val="en-CA"/>
        </w:rPr>
        <w:t>para. 7</w:t>
      </w:r>
      <w:r w:rsidRPr="000A0EA1">
        <w:rPr>
          <w:lang w:val="en-CA"/>
        </w:rPr>
        <w:t>. See also: E</w:t>
      </w:r>
      <w:r w:rsidRPr="000A0EA1">
        <w:rPr>
          <w:rFonts w:cs="Arial"/>
          <w:color w:val="1F1F1F"/>
          <w:lang w:val="en-CA" w:eastAsia="fr-CA"/>
        </w:rPr>
        <w:t>xhibit P</w:t>
      </w:r>
      <w:r w:rsidR="00D11CD0">
        <w:rPr>
          <w:rFonts w:cs="Arial"/>
          <w:color w:val="1F1F1F"/>
          <w:lang w:val="en-CA" w:eastAsia="fr-CA"/>
        </w:rPr>
        <w:noBreakHyphen/>
      </w:r>
      <w:r w:rsidRPr="000A0EA1">
        <w:rPr>
          <w:rFonts w:cs="Arial"/>
          <w:color w:val="1F1F1F"/>
          <w:lang w:val="en-CA" w:eastAsia="fr-CA"/>
        </w:rPr>
        <w:t>59, Affidavit of Lesley Llewelyn, dated January 22, 2021, para</w:t>
      </w:r>
      <w:r w:rsidR="0062160E">
        <w:rPr>
          <w:rFonts w:cs="Arial"/>
          <w:color w:val="1F1F1F"/>
          <w:lang w:val="en-CA" w:eastAsia="fr-CA"/>
        </w:rPr>
        <w:t>s. 8</w:t>
      </w:r>
      <w:r w:rsidR="00D11CD0">
        <w:rPr>
          <w:rFonts w:cs="Arial"/>
          <w:color w:val="1F1F1F"/>
          <w:lang w:val="en-CA" w:eastAsia="fr-CA"/>
        </w:rPr>
        <w:noBreakHyphen/>
      </w:r>
      <w:r w:rsidRPr="000A0EA1">
        <w:rPr>
          <w:rFonts w:cs="Arial"/>
          <w:color w:val="1F1F1F"/>
          <w:lang w:val="en-CA" w:eastAsia="fr-CA"/>
        </w:rPr>
        <w:t>9; Exhibit P</w:t>
      </w:r>
      <w:r w:rsidR="00D11CD0">
        <w:rPr>
          <w:rFonts w:cs="Arial"/>
          <w:color w:val="1F1F1F"/>
          <w:lang w:val="en-CA" w:eastAsia="fr-CA"/>
        </w:rPr>
        <w:noBreakHyphen/>
      </w:r>
      <w:r w:rsidRPr="000A0EA1">
        <w:rPr>
          <w:rFonts w:cs="Arial"/>
          <w:color w:val="1F1F1F"/>
          <w:lang w:val="en-CA" w:eastAsia="fr-CA"/>
        </w:rPr>
        <w:t>61, Affidavit of Debbie Ford-Caron, dated January 22, 2021, para</w:t>
      </w:r>
      <w:r w:rsidR="0062160E">
        <w:rPr>
          <w:rFonts w:cs="Arial"/>
          <w:color w:val="1F1F1F"/>
          <w:lang w:val="en-CA" w:eastAsia="fr-CA"/>
        </w:rPr>
        <w:t>s. 5</w:t>
      </w:r>
      <w:r w:rsidR="00D11CD0">
        <w:rPr>
          <w:rFonts w:cs="Arial"/>
          <w:color w:val="1F1F1F"/>
          <w:lang w:val="en-CA" w:eastAsia="fr-CA"/>
        </w:rPr>
        <w:noBreakHyphen/>
      </w:r>
      <w:r w:rsidRPr="000A0EA1">
        <w:rPr>
          <w:rFonts w:cs="Arial"/>
          <w:color w:val="1F1F1F"/>
          <w:lang w:val="en-CA" w:eastAsia="fr-CA"/>
        </w:rPr>
        <w:t>6.</w:t>
      </w:r>
    </w:p>
  </w:footnote>
  <w:footnote w:id="229">
    <w:p w14:paraId="17F5F555" w14:textId="710FBD0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11CD0">
        <w:rPr>
          <w:lang w:val="en-CA"/>
        </w:rPr>
        <w:noBreakHyphen/>
      </w:r>
      <w:r w:rsidRPr="000A0EA1">
        <w:rPr>
          <w:lang w:val="en-CA"/>
        </w:rPr>
        <w:t>45, Expert Report of Peter Loewen, PhD, Professor of Political Science and Global Affairs &amp; Public Policy, dated February 5, 2021.</w:t>
      </w:r>
    </w:p>
  </w:footnote>
  <w:footnote w:id="230">
    <w:p w14:paraId="17F5F556" w14:textId="7E889EE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50 of </w:t>
      </w:r>
      <w:r w:rsidR="00C33BBC">
        <w:rPr>
          <w:i/>
          <w:iCs/>
          <w:lang w:val="en-CA"/>
        </w:rPr>
        <w:t>Bill 40</w:t>
      </w:r>
      <w:r w:rsidRPr="000A0EA1">
        <w:rPr>
          <w:lang w:val="en-CA"/>
        </w:rPr>
        <w:t xml:space="preserve"> (</w:t>
      </w:r>
      <w:r w:rsidR="0062160E">
        <w:rPr>
          <w:lang w:val="en-CA"/>
        </w:rPr>
        <w:t>s. 1</w:t>
      </w:r>
      <w:r w:rsidRPr="000A0EA1">
        <w:rPr>
          <w:lang w:val="en-CA"/>
        </w:rPr>
        <w:t xml:space="preserve">43.1 </w:t>
      </w:r>
      <w:r w:rsidR="0062160E">
        <w:rPr>
          <w:lang w:val="en-CA"/>
        </w:rPr>
        <w:t>para. 2</w:t>
      </w:r>
      <w:r w:rsidRPr="000A0EA1">
        <w:rPr>
          <w:lang w:val="en-CA"/>
        </w:rPr>
        <w:t xml:space="preserve"> of the </w:t>
      </w:r>
      <w:r w:rsidRPr="000A0EA1">
        <w:rPr>
          <w:i/>
          <w:iCs/>
          <w:lang w:val="en-CA"/>
        </w:rPr>
        <w:t>EA</w:t>
      </w:r>
      <w:r w:rsidRPr="000A0EA1">
        <w:rPr>
          <w:lang w:val="en-CA"/>
        </w:rPr>
        <w:t xml:space="preserve">); </w:t>
      </w:r>
      <w:r w:rsidRPr="000A0EA1">
        <w:rPr>
          <w:i/>
          <w:iCs/>
          <w:lang w:val="en-CA"/>
        </w:rPr>
        <w:t xml:space="preserve">Regulation respecting the designation of members of the boards of directors of school service centres, </w:t>
      </w:r>
      <w:r w:rsidRPr="000A0EA1">
        <w:rPr>
          <w:lang w:val="en-CA"/>
        </w:rPr>
        <w:t>CQLR, c.</w:t>
      </w:r>
      <w:r w:rsidR="00D81E77">
        <w:rPr>
          <w:lang w:val="en-CA"/>
        </w:rPr>
        <w:t> </w:t>
      </w:r>
      <w:r w:rsidRPr="000A0EA1">
        <w:rPr>
          <w:lang w:val="en-CA"/>
        </w:rPr>
        <w:t>I</w:t>
      </w:r>
      <w:r w:rsidR="00D81E77">
        <w:rPr>
          <w:lang w:val="en-CA"/>
        </w:rPr>
        <w:noBreakHyphen/>
      </w:r>
      <w:r w:rsidRPr="000A0EA1">
        <w:rPr>
          <w:lang w:val="en-CA"/>
        </w:rPr>
        <w:t>13.3, r.</w:t>
      </w:r>
      <w:r w:rsidR="00D81E77">
        <w:rPr>
          <w:lang w:val="en-CA"/>
        </w:rPr>
        <w:t> </w:t>
      </w:r>
      <w:r w:rsidRPr="000A0EA1">
        <w:rPr>
          <w:lang w:val="en-CA"/>
        </w:rPr>
        <w:t xml:space="preserve">5.1, </w:t>
      </w:r>
      <w:r w:rsidR="0062160E">
        <w:rPr>
          <w:lang w:val="en-CA"/>
        </w:rPr>
        <w:t>s. 1</w:t>
      </w:r>
      <w:r w:rsidRPr="000A0EA1">
        <w:rPr>
          <w:lang w:val="en-CA"/>
        </w:rPr>
        <w:t>9.</w:t>
      </w:r>
    </w:p>
  </w:footnote>
  <w:footnote w:id="231">
    <w:p w14:paraId="17F5F557" w14:textId="4FC8180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377.</w:t>
      </w:r>
    </w:p>
  </w:footnote>
  <w:footnote w:id="232">
    <w:p w14:paraId="17F5F558"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233">
    <w:p w14:paraId="17F5F559" w14:textId="2729C05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E95DC2">
        <w:rPr>
          <w:lang w:val="en-CA"/>
        </w:rPr>
        <w:t>p. </w:t>
      </w:r>
      <w:r w:rsidRPr="000A0EA1">
        <w:rPr>
          <w:lang w:val="en-CA"/>
        </w:rPr>
        <w:t>380.</w:t>
      </w:r>
    </w:p>
  </w:footnote>
  <w:footnote w:id="234">
    <w:p w14:paraId="17F5F55A" w14:textId="339F113D"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w:t>
      </w:r>
      <w:r w:rsidR="0062160E" w:rsidRPr="007D51DF">
        <w:t>2</w:t>
      </w:r>
      <w:r w:rsidRPr="007D51DF">
        <w:t>33.</w:t>
      </w:r>
    </w:p>
  </w:footnote>
  <w:footnote w:id="235">
    <w:p w14:paraId="17F5F55B" w14:textId="5A1BB111"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Décret 1027</w:t>
      </w:r>
      <w:r w:rsidR="00D81E77" w:rsidRPr="007D51DF">
        <w:rPr>
          <w:i/>
          <w:iCs/>
        </w:rPr>
        <w:noBreakHyphen/>
      </w:r>
      <w:r w:rsidRPr="007D51DF">
        <w:rPr>
          <w:i/>
          <w:iCs/>
        </w:rPr>
        <w:t>2020 concernant l</w:t>
      </w:r>
      <w:r w:rsidR="00E46AFD" w:rsidRPr="007D51DF">
        <w:rPr>
          <w:i/>
          <w:iCs/>
        </w:rPr>
        <w:t>’</w:t>
      </w:r>
      <w:r w:rsidRPr="007D51DF">
        <w:rPr>
          <w:i/>
          <w:iCs/>
        </w:rPr>
        <w:t>allocation de présence et le remboursement des frais des membres des conseils d</w:t>
      </w:r>
      <w:r w:rsidR="00E46AFD" w:rsidRPr="007D51DF">
        <w:rPr>
          <w:i/>
          <w:iCs/>
        </w:rPr>
        <w:t>’</w:t>
      </w:r>
      <w:r w:rsidRPr="007D51DF">
        <w:rPr>
          <w:i/>
          <w:iCs/>
        </w:rPr>
        <w:t>administration des centres de services scolaires et du Comité de gestion de la taxe scolaire de l</w:t>
      </w:r>
      <w:r w:rsidR="00E46AFD" w:rsidRPr="007D51DF">
        <w:rPr>
          <w:i/>
          <w:iCs/>
        </w:rPr>
        <w:t>’</w:t>
      </w:r>
      <w:r w:rsidRPr="007D51DF">
        <w:rPr>
          <w:i/>
          <w:iCs/>
        </w:rPr>
        <w:t>île de Montréal</w:t>
      </w:r>
      <w:r w:rsidRPr="007D51DF">
        <w:t>, (2020)</w:t>
      </w:r>
      <w:r w:rsidR="00D81E77" w:rsidRPr="007D51DF">
        <w:t> </w:t>
      </w:r>
      <w:r w:rsidRPr="007D51DF">
        <w:t>152</w:t>
      </w:r>
      <w:r w:rsidR="00D81E77" w:rsidRPr="007D51DF">
        <w:t> </w:t>
      </w:r>
      <w:r w:rsidRPr="007D51DF">
        <w:t>G.O.Q.</w:t>
      </w:r>
      <w:r w:rsidR="00D81E77" w:rsidRPr="007D51DF">
        <w:t> </w:t>
      </w:r>
      <w:r w:rsidRPr="007D51DF">
        <w:t>II, </w:t>
      </w:r>
      <w:r w:rsidR="00BA4C33" w:rsidRPr="007D51DF">
        <w:t>No. </w:t>
      </w:r>
      <w:r w:rsidRPr="00220157">
        <w:t xml:space="preserve">42, </w:t>
      </w:r>
      <w:r w:rsidR="00E95DC2" w:rsidRPr="00220157">
        <w:t>p. </w:t>
      </w:r>
      <w:r w:rsidRPr="00220157">
        <w:t>4515.</w:t>
      </w:r>
    </w:p>
  </w:footnote>
  <w:footnote w:id="236">
    <w:p w14:paraId="17F5F55C" w14:textId="581EDF7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35.</w:t>
      </w:r>
    </w:p>
  </w:footnote>
  <w:footnote w:id="237">
    <w:p w14:paraId="17F5F55D" w14:textId="7346F98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2</w:t>
      </w:r>
      <w:r w:rsidRPr="000A0EA1">
        <w:rPr>
          <w:lang w:val="en-CA"/>
        </w:rPr>
        <w:t>36-238.</w:t>
      </w:r>
    </w:p>
  </w:footnote>
  <w:footnote w:id="238">
    <w:p w14:paraId="17F5F55E" w14:textId="2FE6252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81E77">
        <w:rPr>
          <w:lang w:val="en-CA"/>
        </w:rPr>
        <w:noBreakHyphen/>
      </w:r>
      <w:r w:rsidRPr="000A0EA1">
        <w:rPr>
          <w:lang w:val="en-CA"/>
        </w:rPr>
        <w:t xml:space="preserve">47, Affidavit of Joy Humeniuk, dated June 15, 2020, </w:t>
      </w:r>
      <w:r w:rsidR="0062160E">
        <w:rPr>
          <w:lang w:val="en-CA"/>
        </w:rPr>
        <w:t>para. 1</w:t>
      </w:r>
      <w:r w:rsidRPr="000A0EA1">
        <w:rPr>
          <w:lang w:val="en-CA"/>
        </w:rPr>
        <w:t>3.</w:t>
      </w:r>
    </w:p>
  </w:footnote>
  <w:footnote w:id="239">
    <w:p w14:paraId="17F5F55F" w14:textId="50ACD9E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FE0166">
        <w:rPr>
          <w:lang w:val="en-CA"/>
        </w:rPr>
        <w:t>Argument in respondents’ brief</w:t>
      </w:r>
      <w:r w:rsidRPr="000A0EA1">
        <w:rPr>
          <w:lang w:val="en-CA"/>
        </w:rPr>
        <w:t xml:space="preserve">, </w:t>
      </w:r>
      <w:r w:rsidR="0062160E">
        <w:rPr>
          <w:lang w:val="en-CA"/>
        </w:rPr>
        <w:t>para. 7</w:t>
      </w:r>
      <w:r w:rsidRPr="000A0EA1">
        <w:rPr>
          <w:lang w:val="en-CA"/>
        </w:rPr>
        <w:t>5</w:t>
      </w:r>
      <w:r w:rsidR="00FE0166">
        <w:rPr>
          <w:lang w:val="en-CA"/>
        </w:rPr>
        <w:t>, referring to</w:t>
      </w:r>
      <w:r w:rsidRPr="000A0EA1">
        <w:rPr>
          <w:lang w:val="en-CA"/>
        </w:rPr>
        <w:t xml:space="preserve"> Exhibit P</w:t>
      </w:r>
      <w:r w:rsidR="00D81E77">
        <w:rPr>
          <w:lang w:val="en-CA"/>
        </w:rPr>
        <w:noBreakHyphen/>
      </w:r>
      <w:r w:rsidRPr="000A0EA1">
        <w:rPr>
          <w:lang w:val="en-CA"/>
        </w:rPr>
        <w:t>45, Expert Report of Peter Loewen, PhD, Professor of Political Science and Global Affairs &amp; Public Policy, dated February 5, 2021, para</w:t>
      </w:r>
      <w:r w:rsidR="0062160E">
        <w:rPr>
          <w:lang w:val="en-CA"/>
        </w:rPr>
        <w:t>s. 3</w:t>
      </w:r>
      <w:r w:rsidRPr="000A0EA1">
        <w:rPr>
          <w:lang w:val="en-CA"/>
        </w:rPr>
        <w:t>3</w:t>
      </w:r>
      <w:r w:rsidR="00D81E77">
        <w:rPr>
          <w:lang w:val="en-CA"/>
        </w:rPr>
        <w:noBreakHyphen/>
      </w:r>
      <w:r w:rsidRPr="000A0EA1">
        <w:rPr>
          <w:lang w:val="en-CA"/>
        </w:rPr>
        <w:t>36.</w:t>
      </w:r>
    </w:p>
  </w:footnote>
  <w:footnote w:id="240">
    <w:p w14:paraId="17F5F560" w14:textId="226D13D0"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201 of the </w:t>
      </w:r>
      <w:r w:rsidRPr="000A0EA1">
        <w:rPr>
          <w:i/>
          <w:iCs/>
          <w:lang w:val="en-CA"/>
        </w:rPr>
        <w:t>EA</w:t>
      </w:r>
      <w:r w:rsidRPr="000A0EA1">
        <w:rPr>
          <w:lang w:val="en-CA"/>
        </w:rPr>
        <w:t xml:space="preserve"> (as amended by </w:t>
      </w:r>
      <w:r w:rsidR="0062160E">
        <w:rPr>
          <w:lang w:val="en-CA"/>
        </w:rPr>
        <w:t>s. 9</w:t>
      </w:r>
      <w:r w:rsidRPr="000A0EA1">
        <w:rPr>
          <w:lang w:val="en-CA"/>
        </w:rPr>
        <w:t xml:space="preserve">3 of </w:t>
      </w:r>
      <w:r w:rsidR="00C33BBC">
        <w:rPr>
          <w:i/>
          <w:iCs/>
          <w:lang w:val="en-CA"/>
        </w:rPr>
        <w:t>Bill 40</w:t>
      </w:r>
      <w:r w:rsidRPr="000A0EA1">
        <w:rPr>
          <w:lang w:val="en-CA"/>
        </w:rPr>
        <w:t>).</w:t>
      </w:r>
    </w:p>
  </w:footnote>
  <w:footnote w:id="241">
    <w:p w14:paraId="17F5F561" w14:textId="3ABD288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155 </w:t>
      </w:r>
      <w:r w:rsidR="0062160E">
        <w:rPr>
          <w:lang w:val="en-CA"/>
        </w:rPr>
        <w:t>para. 2</w:t>
      </w:r>
      <w:r w:rsidRPr="000A0EA1">
        <w:rPr>
          <w:lang w:val="en-CA"/>
        </w:rPr>
        <w:t xml:space="preserve"> of the </w:t>
      </w:r>
      <w:r w:rsidRPr="000A0EA1">
        <w:rPr>
          <w:i/>
          <w:iCs/>
          <w:lang w:val="en-CA"/>
        </w:rPr>
        <w:t xml:space="preserve">EA </w:t>
      </w:r>
      <w:r w:rsidRPr="000A0EA1">
        <w:rPr>
          <w:lang w:val="en-CA"/>
        </w:rPr>
        <w:t xml:space="preserve">before it was replaced by </w:t>
      </w:r>
      <w:r w:rsidR="0062160E">
        <w:rPr>
          <w:lang w:val="en-CA"/>
        </w:rPr>
        <w:t>s. 5</w:t>
      </w:r>
      <w:r w:rsidRPr="000A0EA1">
        <w:rPr>
          <w:lang w:val="en-CA"/>
        </w:rPr>
        <w:t xml:space="preserve">2 of </w:t>
      </w:r>
      <w:r w:rsidR="00C33BBC">
        <w:rPr>
          <w:i/>
          <w:iCs/>
          <w:lang w:val="en-CA"/>
        </w:rPr>
        <w:t>Bill 40</w:t>
      </w:r>
      <w:r w:rsidRPr="000A0EA1">
        <w:rPr>
          <w:lang w:val="en-CA"/>
        </w:rPr>
        <w:t>.</w:t>
      </w:r>
    </w:p>
  </w:footnote>
  <w:footnote w:id="242">
    <w:p w14:paraId="17F5F562" w14:textId="631C02DD"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81E77">
        <w:rPr>
          <w:lang w:val="en-CA"/>
        </w:rPr>
        <w:noBreakHyphen/>
      </w:r>
      <w:r w:rsidRPr="000A0EA1">
        <w:rPr>
          <w:lang w:val="en-CA"/>
        </w:rPr>
        <w:t>53, Affidavit of Stephen Burke, dated January 22, 2021.</w:t>
      </w:r>
    </w:p>
  </w:footnote>
  <w:footnote w:id="243">
    <w:p w14:paraId="17F5F563" w14:textId="4308B49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1D0CD5">
        <w:rPr>
          <w:lang w:val="en-CA"/>
        </w:rPr>
        <w:noBreakHyphen/>
      </w:r>
      <w:r w:rsidRPr="000A0EA1">
        <w:rPr>
          <w:lang w:val="en-CA"/>
        </w:rPr>
        <w:t>54, Affidavit of John Ryan, dated January 22, 2021, para</w:t>
      </w:r>
      <w:r w:rsidR="0062160E">
        <w:rPr>
          <w:lang w:val="en-CA"/>
        </w:rPr>
        <w:t>s. 6</w:t>
      </w:r>
      <w:r w:rsidRPr="000A0EA1">
        <w:rPr>
          <w:lang w:val="en-CA"/>
        </w:rPr>
        <w:t>ff.</w:t>
      </w:r>
    </w:p>
  </w:footnote>
  <w:footnote w:id="244">
    <w:p w14:paraId="17F5F564" w14:textId="4BA2960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1D0CD5">
        <w:rPr>
          <w:lang w:val="en-CA"/>
        </w:rPr>
        <w:noBreakHyphen/>
      </w:r>
      <w:r w:rsidRPr="000A0EA1">
        <w:rPr>
          <w:lang w:val="en-CA"/>
        </w:rPr>
        <w:t>55, Affidavit of Michael Murray, dated January 25, 2021, para</w:t>
      </w:r>
      <w:r w:rsidR="0062160E">
        <w:rPr>
          <w:lang w:val="en-CA"/>
        </w:rPr>
        <w:t>s. 5</w:t>
      </w:r>
      <w:r w:rsidRPr="000A0EA1">
        <w:rPr>
          <w:lang w:val="en-CA"/>
        </w:rPr>
        <w:t>ff.</w:t>
      </w:r>
    </w:p>
  </w:footnote>
  <w:footnote w:id="245">
    <w:p w14:paraId="17F5F565"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198 and 201 of the </w:t>
      </w:r>
      <w:r w:rsidRPr="000A0EA1">
        <w:rPr>
          <w:i/>
          <w:iCs/>
          <w:lang w:val="en-CA"/>
        </w:rPr>
        <w:t>EA</w:t>
      </w:r>
      <w:r w:rsidRPr="000A0EA1">
        <w:rPr>
          <w:lang w:val="en-CA"/>
        </w:rPr>
        <w:t>.</w:t>
      </w:r>
    </w:p>
  </w:footnote>
  <w:footnote w:id="246">
    <w:p w14:paraId="17F5F566" w14:textId="27C5465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209.1 of the </w:t>
      </w:r>
      <w:r w:rsidRPr="000A0EA1">
        <w:rPr>
          <w:i/>
          <w:iCs/>
          <w:lang w:val="en-CA"/>
        </w:rPr>
        <w:t>EA</w:t>
      </w:r>
      <w:r w:rsidRPr="000A0EA1">
        <w:rPr>
          <w:lang w:val="en-CA"/>
        </w:rPr>
        <w:t xml:space="preserve"> (in its pre</w:t>
      </w:r>
      <w:r w:rsidR="001D0CD5">
        <w:rPr>
          <w:lang w:val="en-CA"/>
        </w:rPr>
        <w:noBreakHyphen/>
      </w:r>
      <w:r w:rsidR="00C33BBC">
        <w:rPr>
          <w:i/>
          <w:iCs/>
          <w:lang w:val="en-CA"/>
        </w:rPr>
        <w:t>Bill 40</w:t>
      </w:r>
      <w:r w:rsidRPr="000A0EA1">
        <w:rPr>
          <w:lang w:val="en-CA"/>
        </w:rPr>
        <w:t xml:space="preserve"> version).</w:t>
      </w:r>
    </w:p>
  </w:footnote>
  <w:footnote w:id="247">
    <w:p w14:paraId="17F5F567" w14:textId="7B74C3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176.1 para. (1) of the </w:t>
      </w:r>
      <w:r w:rsidRPr="000A0EA1">
        <w:rPr>
          <w:i/>
          <w:iCs/>
          <w:lang w:val="en-CA"/>
        </w:rPr>
        <w:t>EA</w:t>
      </w:r>
      <w:r w:rsidRPr="000A0EA1">
        <w:rPr>
          <w:lang w:val="en-CA"/>
        </w:rPr>
        <w:t xml:space="preserve"> (in its pre</w:t>
      </w:r>
      <w:r w:rsidR="001D0CD5">
        <w:rPr>
          <w:lang w:val="en-CA"/>
        </w:rPr>
        <w:noBreakHyphen/>
      </w:r>
      <w:r w:rsidR="00C33BBC">
        <w:rPr>
          <w:i/>
          <w:iCs/>
          <w:lang w:val="en-CA"/>
        </w:rPr>
        <w:t>Bill 40</w:t>
      </w:r>
      <w:r w:rsidRPr="000A0EA1">
        <w:rPr>
          <w:lang w:val="en-CA"/>
        </w:rPr>
        <w:t xml:space="preserve"> version).</w:t>
      </w:r>
    </w:p>
  </w:footnote>
  <w:footnote w:id="248">
    <w:p w14:paraId="17F5F568" w14:textId="21C564B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73 </w:t>
      </w:r>
      <w:r w:rsidR="0062160E">
        <w:rPr>
          <w:lang w:val="en-CA"/>
        </w:rPr>
        <w:t>para. 1</w:t>
      </w:r>
      <w:r w:rsidRPr="000A0EA1">
        <w:rPr>
          <w:lang w:val="en-CA"/>
        </w:rPr>
        <w:t xml:space="preserve">(2) of </w:t>
      </w:r>
      <w:r w:rsidR="00C33BBC">
        <w:rPr>
          <w:i/>
          <w:iCs/>
          <w:lang w:val="en-CA"/>
        </w:rPr>
        <w:t>Bill 40</w:t>
      </w:r>
      <w:r w:rsidRPr="000A0EA1">
        <w:rPr>
          <w:lang w:val="en-CA"/>
        </w:rPr>
        <w:t xml:space="preserve">, which strikes out </w:t>
      </w:r>
      <w:r w:rsidR="0062160E">
        <w:rPr>
          <w:lang w:val="en-CA"/>
        </w:rPr>
        <w:t>s. 1</w:t>
      </w:r>
      <w:r w:rsidRPr="000A0EA1">
        <w:rPr>
          <w:lang w:val="en-CA"/>
        </w:rPr>
        <w:t xml:space="preserve">76.1 para. (1) of the </w:t>
      </w:r>
      <w:r w:rsidRPr="000A0EA1">
        <w:rPr>
          <w:i/>
          <w:iCs/>
          <w:lang w:val="en-CA"/>
        </w:rPr>
        <w:t>EA</w:t>
      </w:r>
      <w:r w:rsidRPr="000A0EA1">
        <w:rPr>
          <w:lang w:val="en-CA"/>
        </w:rPr>
        <w:t>.</w:t>
      </w:r>
    </w:p>
  </w:footnote>
  <w:footnote w:id="249">
    <w:p w14:paraId="17F5F569" w14:textId="107E67A9" w:rsidR="00F75613" w:rsidRPr="000A0EA1" w:rsidRDefault="00B02E00" w:rsidP="00F75613">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t xml:space="preserve">Section 91 of </w:t>
      </w:r>
      <w:r w:rsidR="00C33BBC">
        <w:rPr>
          <w:i/>
          <w:iCs/>
          <w:lang w:val="en-CA"/>
        </w:rPr>
        <w:t>Bill 40</w:t>
      </w:r>
      <w:r w:rsidRPr="000A0EA1">
        <w:rPr>
          <w:lang w:val="en-CA"/>
        </w:rPr>
        <w:t>, which inserts s</w:t>
      </w:r>
      <w:r w:rsidR="0062160E">
        <w:rPr>
          <w:lang w:val="en-CA"/>
        </w:rPr>
        <w:t>s. 1</w:t>
      </w:r>
      <w:r w:rsidRPr="000A0EA1">
        <w:rPr>
          <w:lang w:val="en-CA"/>
        </w:rPr>
        <w:t xml:space="preserve">93.1 to 193.9 in the </w:t>
      </w:r>
      <w:r w:rsidRPr="000A0EA1">
        <w:rPr>
          <w:i/>
          <w:iCs/>
          <w:lang w:val="en-CA"/>
        </w:rPr>
        <w:t>EA</w:t>
      </w:r>
      <w:r w:rsidRPr="000A0EA1">
        <w:rPr>
          <w:lang w:val="en-CA"/>
        </w:rPr>
        <w:t xml:space="preserve">, and </w:t>
      </w:r>
      <w:r w:rsidR="0062160E">
        <w:rPr>
          <w:lang w:val="en-CA"/>
        </w:rPr>
        <w:t>s. 9</w:t>
      </w:r>
      <w:r w:rsidRPr="000A0EA1">
        <w:rPr>
          <w:lang w:val="en-CA"/>
        </w:rPr>
        <w:t xml:space="preserve">8 of </w:t>
      </w:r>
      <w:r w:rsidR="00C33BBC">
        <w:rPr>
          <w:i/>
          <w:iCs/>
          <w:lang w:val="en-CA"/>
        </w:rPr>
        <w:t>Bill 40</w:t>
      </w:r>
      <w:r w:rsidRPr="000A0EA1">
        <w:rPr>
          <w:lang w:val="en-CA"/>
        </w:rPr>
        <w:t xml:space="preserve">, which amends </w:t>
      </w:r>
      <w:r w:rsidR="0062160E">
        <w:rPr>
          <w:lang w:val="en-CA"/>
        </w:rPr>
        <w:t>s. 2</w:t>
      </w:r>
      <w:r w:rsidRPr="000A0EA1">
        <w:rPr>
          <w:lang w:val="en-CA"/>
        </w:rPr>
        <w:t xml:space="preserve">09.1 of the </w:t>
      </w:r>
      <w:r w:rsidRPr="000A0EA1">
        <w:rPr>
          <w:i/>
          <w:iCs/>
          <w:lang w:val="en-CA"/>
        </w:rPr>
        <w:t>EA.</w:t>
      </w:r>
    </w:p>
  </w:footnote>
  <w:footnote w:id="250">
    <w:p w14:paraId="17F5F56A" w14:textId="3E7683CB"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91 of </w:t>
      </w:r>
      <w:r w:rsidR="00C33BBC">
        <w:rPr>
          <w:i/>
          <w:iCs/>
          <w:lang w:val="en-CA"/>
        </w:rPr>
        <w:t>Bill 40</w:t>
      </w:r>
      <w:r w:rsidRPr="000A0EA1">
        <w:rPr>
          <w:lang w:val="en-CA"/>
        </w:rPr>
        <w:t xml:space="preserve">, which inserts </w:t>
      </w:r>
      <w:r w:rsidR="0062160E">
        <w:rPr>
          <w:lang w:val="en-CA"/>
        </w:rPr>
        <w:t>s. 1</w:t>
      </w:r>
      <w:r w:rsidRPr="000A0EA1">
        <w:rPr>
          <w:lang w:val="en-CA"/>
        </w:rPr>
        <w:t xml:space="preserve">93.9 in the </w:t>
      </w:r>
      <w:r w:rsidRPr="000A0EA1">
        <w:rPr>
          <w:i/>
          <w:iCs/>
          <w:lang w:val="en-CA"/>
        </w:rPr>
        <w:t>EA.</w:t>
      </w:r>
    </w:p>
  </w:footnote>
  <w:footnote w:id="251">
    <w:p w14:paraId="17F5F56B" w14:textId="30949E5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209.1 of the </w:t>
      </w:r>
      <w:r w:rsidRPr="000A0EA1">
        <w:rPr>
          <w:i/>
          <w:iCs/>
          <w:lang w:val="en-CA"/>
        </w:rPr>
        <w:t>EA</w:t>
      </w:r>
      <w:r w:rsidRPr="000A0EA1">
        <w:rPr>
          <w:lang w:val="en-CA"/>
        </w:rPr>
        <w:t xml:space="preserve"> (</w:t>
      </w:r>
      <w:r w:rsidR="00FC1F0F">
        <w:rPr>
          <w:lang w:val="en-CA"/>
        </w:rPr>
        <w:t>in its</w:t>
      </w:r>
      <w:r w:rsidRPr="000A0EA1">
        <w:rPr>
          <w:lang w:val="en-CA"/>
        </w:rPr>
        <w:t xml:space="preserve"> pre</w:t>
      </w:r>
      <w:r w:rsidR="001D0CD5">
        <w:rPr>
          <w:lang w:val="en-CA"/>
        </w:rPr>
        <w:noBreakHyphen/>
      </w:r>
      <w:r w:rsidRPr="000A0EA1">
        <w:rPr>
          <w:lang w:val="en-CA"/>
        </w:rPr>
        <w:t xml:space="preserve"> and post</w:t>
      </w:r>
      <w:r w:rsidR="001D0CD5">
        <w:rPr>
          <w:lang w:val="en-CA"/>
        </w:rPr>
        <w:noBreakHyphen/>
      </w:r>
      <w:r w:rsidR="00C33BBC">
        <w:rPr>
          <w:i/>
          <w:iCs/>
          <w:lang w:val="en-CA"/>
        </w:rPr>
        <w:t>Bill 40</w:t>
      </w:r>
      <w:r w:rsidR="00FC1F0F">
        <w:rPr>
          <w:i/>
          <w:iCs/>
          <w:lang w:val="en-CA"/>
        </w:rPr>
        <w:t xml:space="preserve"> </w:t>
      </w:r>
      <w:r w:rsidR="00FC1F0F">
        <w:rPr>
          <w:lang w:val="en-CA"/>
        </w:rPr>
        <w:t>versions</w:t>
      </w:r>
      <w:r w:rsidRPr="000A0EA1">
        <w:rPr>
          <w:lang w:val="en-CA"/>
        </w:rPr>
        <w:t>).</w:t>
      </w:r>
    </w:p>
  </w:footnote>
  <w:footnote w:id="252">
    <w:p w14:paraId="17F5F56C" w14:textId="77FE27D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70.</w:t>
      </w:r>
    </w:p>
  </w:footnote>
  <w:footnote w:id="253">
    <w:p w14:paraId="17F5F56D" w14:textId="248F06F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377.</w:t>
      </w:r>
    </w:p>
  </w:footnote>
  <w:footnote w:id="254">
    <w:p w14:paraId="17F5F56E"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Sections 37 and 74 of the </w:t>
      </w:r>
      <w:r w:rsidRPr="000A0EA1">
        <w:rPr>
          <w:i/>
          <w:iCs/>
          <w:lang w:val="en-CA"/>
        </w:rPr>
        <w:t>EA</w:t>
      </w:r>
      <w:r w:rsidRPr="000A0EA1">
        <w:rPr>
          <w:lang w:val="en-CA"/>
        </w:rPr>
        <w:t xml:space="preserve">. </w:t>
      </w:r>
    </w:p>
  </w:footnote>
  <w:footnote w:id="255">
    <w:p w14:paraId="17F5F56F" w14:textId="33E0F51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See, for example</w:t>
      </w:r>
      <w:r w:rsidR="0088260C">
        <w:rPr>
          <w:lang w:val="en-CA"/>
        </w:rPr>
        <w:t>,</w:t>
      </w:r>
      <w:r w:rsidRPr="000A0EA1">
        <w:rPr>
          <w:lang w:val="en-CA"/>
        </w:rPr>
        <w:t xml:space="preserve"> Exhibit P</w:t>
      </w:r>
      <w:r w:rsidR="00AF1BB3">
        <w:rPr>
          <w:lang w:val="en-CA"/>
        </w:rPr>
        <w:noBreakHyphen/>
      </w:r>
      <w:r w:rsidRPr="000A0EA1">
        <w:rPr>
          <w:lang w:val="en-CA"/>
        </w:rPr>
        <w:t>53, Affidavit of Stephen Burke, dated January 22, 2021, para</w:t>
      </w:r>
      <w:r w:rsidR="0062160E">
        <w:rPr>
          <w:lang w:val="en-CA"/>
        </w:rPr>
        <w:t>s. 2</w:t>
      </w:r>
      <w:r w:rsidRPr="000A0EA1">
        <w:rPr>
          <w:lang w:val="en-CA"/>
        </w:rPr>
        <w:t>4</w:t>
      </w:r>
      <w:r w:rsidR="00AF1BB3">
        <w:rPr>
          <w:lang w:val="en-CA"/>
        </w:rPr>
        <w:noBreakHyphen/>
      </w:r>
      <w:r w:rsidRPr="000A0EA1">
        <w:rPr>
          <w:lang w:val="en-CA"/>
        </w:rPr>
        <w:t>34; Exhibit P</w:t>
      </w:r>
      <w:r w:rsidR="00AF1BB3">
        <w:rPr>
          <w:lang w:val="en-CA"/>
        </w:rPr>
        <w:noBreakHyphen/>
      </w:r>
      <w:r w:rsidRPr="000A0EA1">
        <w:rPr>
          <w:lang w:val="en-CA"/>
        </w:rPr>
        <w:t>55, Affidavit of Michael Murray, dated January 25, 2021, para</w:t>
      </w:r>
      <w:r w:rsidR="0062160E">
        <w:rPr>
          <w:lang w:val="en-CA"/>
        </w:rPr>
        <w:t>s. 3</w:t>
      </w:r>
      <w:r w:rsidRPr="000A0EA1">
        <w:rPr>
          <w:lang w:val="en-CA"/>
        </w:rPr>
        <w:t>1</w:t>
      </w:r>
      <w:r w:rsidR="00AF1BB3">
        <w:rPr>
          <w:lang w:val="en-CA"/>
        </w:rPr>
        <w:noBreakHyphen/>
      </w:r>
      <w:r w:rsidRPr="000A0EA1">
        <w:rPr>
          <w:lang w:val="en-CA"/>
        </w:rPr>
        <w:t>40.</w:t>
      </w:r>
    </w:p>
  </w:footnote>
  <w:footnote w:id="256">
    <w:p w14:paraId="17F5F570" w14:textId="50106A8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64.</w:t>
      </w:r>
    </w:p>
  </w:footnote>
  <w:footnote w:id="257">
    <w:p w14:paraId="17F5F571" w14:textId="6740B80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bookmarkStart w:id="67" w:name="_Hlk188075891"/>
      <w:r w:rsidRPr="000A0EA1">
        <w:rPr>
          <w:lang w:val="en-CA"/>
        </w:rPr>
        <w:t xml:space="preserve">Section 91 of </w:t>
      </w:r>
      <w:r w:rsidR="00C33BBC">
        <w:rPr>
          <w:i/>
          <w:iCs/>
          <w:lang w:val="en-CA"/>
        </w:rPr>
        <w:t>Bill 40</w:t>
      </w:r>
      <w:r w:rsidRPr="000A0EA1">
        <w:rPr>
          <w:lang w:val="en-CA"/>
        </w:rPr>
        <w:t xml:space="preserve">, which inserts </w:t>
      </w:r>
      <w:r w:rsidR="0062160E">
        <w:rPr>
          <w:lang w:val="en-CA"/>
        </w:rPr>
        <w:t>s. 1</w:t>
      </w:r>
      <w:r w:rsidRPr="000A0EA1">
        <w:rPr>
          <w:lang w:val="en-CA"/>
        </w:rPr>
        <w:t xml:space="preserve">93.9 in the </w:t>
      </w:r>
      <w:r w:rsidRPr="000A0EA1">
        <w:rPr>
          <w:i/>
          <w:iCs/>
          <w:lang w:val="en-CA"/>
        </w:rPr>
        <w:t>EA</w:t>
      </w:r>
      <w:r w:rsidRPr="000A0EA1">
        <w:rPr>
          <w:lang w:val="en-CA"/>
        </w:rPr>
        <w:t>.</w:t>
      </w:r>
      <w:bookmarkEnd w:id="67"/>
    </w:p>
  </w:footnote>
  <w:footnote w:id="258">
    <w:p w14:paraId="596D6C84" w14:textId="09B06B89" w:rsidR="00B216B2" w:rsidRPr="00B216B2" w:rsidRDefault="00B216B2">
      <w:pPr>
        <w:pStyle w:val="Notedebasdepage"/>
        <w:rPr>
          <w:lang w:val="en-CA"/>
        </w:rPr>
      </w:pPr>
      <w:r>
        <w:rPr>
          <w:rStyle w:val="Appelnotedebasdep"/>
        </w:rPr>
        <w:footnoteRef/>
      </w:r>
      <w:r w:rsidRPr="00B216B2">
        <w:rPr>
          <w:lang w:val="en-CA"/>
        </w:rPr>
        <w:t xml:space="preserve"> </w:t>
      </w:r>
      <w:r w:rsidRPr="00B216B2">
        <w:rPr>
          <w:lang w:val="en-CA"/>
        </w:rPr>
        <w:tab/>
      </w:r>
      <w:r w:rsidRPr="00B216B2">
        <w:rPr>
          <w:i/>
          <w:iCs/>
          <w:lang w:val="en-CA"/>
        </w:rPr>
        <w:t>Mahe v. Alberta</w:t>
      </w:r>
      <w:r w:rsidRPr="00B216B2">
        <w:rPr>
          <w:lang w:val="en-CA"/>
        </w:rPr>
        <w:t>, [1990] 1 S.C</w:t>
      </w:r>
      <w:r>
        <w:rPr>
          <w:lang w:val="en-CA"/>
        </w:rPr>
        <w:t>.R. 342, p. 380.</w:t>
      </w:r>
    </w:p>
  </w:footnote>
  <w:footnote w:id="259">
    <w:p w14:paraId="469854D9" w14:textId="20403ABA" w:rsidR="00F47606" w:rsidRPr="00CD2F47" w:rsidRDefault="00F47606">
      <w:pPr>
        <w:pStyle w:val="Notedebasdepage"/>
      </w:pPr>
      <w:r>
        <w:rPr>
          <w:rStyle w:val="Appelnotedebasdep"/>
        </w:rPr>
        <w:footnoteRef/>
      </w:r>
      <w:r w:rsidRPr="00CD2F47">
        <w:t xml:space="preserve"> </w:t>
      </w:r>
      <w:r w:rsidRPr="00CD2F47">
        <w:tab/>
      </w:r>
      <w:r w:rsidRPr="00CD2F47">
        <w:rPr>
          <w:i/>
          <w:iCs/>
        </w:rPr>
        <w:t>Arsenault-Cameron v. Prince Edward Island</w:t>
      </w:r>
      <w:r w:rsidRPr="00CD2F47">
        <w:t>, 2000 SCC 1, [2000] 1 S.C.R. 3, par</w:t>
      </w:r>
      <w:r w:rsidR="00FC1F0F">
        <w:t>a</w:t>
      </w:r>
      <w:r w:rsidRPr="00CD2F47">
        <w:t>. 38.</w:t>
      </w:r>
    </w:p>
  </w:footnote>
  <w:footnote w:id="260">
    <w:p w14:paraId="17F5F572" w14:textId="56F37EFC" w:rsidR="00F75613" w:rsidRPr="000A0EA1" w:rsidRDefault="00B02E00" w:rsidP="00F75613">
      <w:pPr>
        <w:pStyle w:val="Notedebasdepage"/>
        <w:rPr>
          <w:lang w:val="en-CA"/>
        </w:rPr>
      </w:pPr>
      <w:r w:rsidRPr="000A0EA1">
        <w:rPr>
          <w:rStyle w:val="Appelnotedebasdep"/>
          <w:lang w:val="en-CA"/>
        </w:rPr>
        <w:footnoteRef/>
      </w:r>
      <w:r w:rsidRPr="007D51DF">
        <w:t xml:space="preserve"> </w:t>
      </w:r>
      <w:r w:rsidRPr="007D51DF">
        <w:tab/>
      </w:r>
      <w:r w:rsidRPr="007D51DF">
        <w:rPr>
          <w:i/>
          <w:iCs/>
        </w:rPr>
        <w:t>Association des parents de l</w:t>
      </w:r>
      <w:r w:rsidR="00E46AFD" w:rsidRPr="007D51DF">
        <w:rPr>
          <w:i/>
          <w:iCs/>
        </w:rPr>
        <w:t>’</w:t>
      </w:r>
      <w:r w:rsidRPr="007D51DF">
        <w:rPr>
          <w:i/>
          <w:iCs/>
        </w:rPr>
        <w:t>école Rose</w:t>
      </w:r>
      <w:r w:rsidR="00AF1BB3" w:rsidRPr="007D51DF">
        <w:rPr>
          <w:i/>
          <w:iCs/>
        </w:rPr>
        <w:noBreakHyphen/>
      </w:r>
      <w:r w:rsidRPr="007D51DF">
        <w:rPr>
          <w:i/>
          <w:iCs/>
        </w:rPr>
        <w:t>des</w:t>
      </w:r>
      <w:r w:rsidR="00AF1BB3" w:rsidRPr="007D51DF">
        <w:rPr>
          <w:i/>
          <w:iCs/>
        </w:rPr>
        <w:noBreakHyphen/>
      </w:r>
      <w:r w:rsidRPr="007D51DF">
        <w:rPr>
          <w:i/>
          <w:iCs/>
        </w:rPr>
        <w:t>vents v. British Columbia (Education)</w:t>
      </w:r>
      <w:r w:rsidRPr="007D51DF">
        <w:t>, 2015 SCC 21, [2015] 2</w:t>
      </w:r>
      <w:r w:rsidR="00956B70" w:rsidRPr="007D51DF">
        <w:t> S.C.R. </w:t>
      </w:r>
      <w:r w:rsidRPr="007D51DF">
        <w:t xml:space="preserve">139, </w:t>
      </w:r>
      <w:r w:rsidR="0062160E" w:rsidRPr="007D51DF">
        <w:t>para. </w:t>
      </w:r>
      <w:r w:rsidR="0062160E">
        <w:rPr>
          <w:lang w:val="en-CA"/>
        </w:rPr>
        <w:t>4</w:t>
      </w:r>
      <w:r w:rsidRPr="000A0EA1">
        <w:rPr>
          <w:lang w:val="en-CA"/>
        </w:rPr>
        <w:t xml:space="preserve">7; </w:t>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 xml:space="preserve">378. See also: </w:t>
      </w:r>
      <w:r w:rsidRPr="000A0EA1">
        <w:rPr>
          <w:i/>
          <w:iCs/>
          <w:lang w:val="en-CA"/>
        </w:rPr>
        <w:t>Ontario English Catholic Teachers</w:t>
      </w:r>
      <w:r w:rsidR="00E46AFD">
        <w:rPr>
          <w:i/>
          <w:iCs/>
          <w:lang w:val="en-CA"/>
        </w:rPr>
        <w:t>’</w:t>
      </w:r>
      <w:r w:rsidRPr="000A0EA1">
        <w:rPr>
          <w:i/>
          <w:iCs/>
          <w:lang w:val="en-CA"/>
        </w:rPr>
        <w:t xml:space="preserve"> Assn. v. Ontario (Attorney General)</w:t>
      </w:r>
      <w:r w:rsidRPr="000A0EA1">
        <w:rPr>
          <w:lang w:val="en-CA"/>
        </w:rPr>
        <w:t>, 2001 SCC 15, [2001] 1</w:t>
      </w:r>
      <w:r w:rsidR="00956B70">
        <w:rPr>
          <w:lang w:val="en-CA"/>
        </w:rPr>
        <w:t> S.C.R. </w:t>
      </w:r>
      <w:r w:rsidRPr="000A0EA1">
        <w:rPr>
          <w:lang w:val="en-CA"/>
        </w:rPr>
        <w:t xml:space="preserve">470, </w:t>
      </w:r>
      <w:r w:rsidR="0062160E">
        <w:rPr>
          <w:lang w:val="en-CA"/>
        </w:rPr>
        <w:t>para. 5</w:t>
      </w:r>
      <w:r w:rsidRPr="000A0EA1">
        <w:rPr>
          <w:lang w:val="en-CA"/>
        </w:rPr>
        <w:t xml:space="preserve">5 </w:t>
      </w:r>
      <w:r w:rsidRPr="000A0EA1">
        <w:rPr>
          <w:i/>
          <w:iCs/>
          <w:lang w:val="en-CA"/>
        </w:rPr>
        <w:t>in fine.</w:t>
      </w:r>
    </w:p>
  </w:footnote>
  <w:footnote w:id="261">
    <w:p w14:paraId="17F5F573" w14:textId="5515DAD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377.</w:t>
      </w:r>
    </w:p>
  </w:footnote>
  <w:footnote w:id="262">
    <w:p w14:paraId="17F5F574" w14:textId="0F442D45"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Affidavit of Pierre</w:t>
      </w:r>
      <w:r w:rsidR="00AF1BB3">
        <w:rPr>
          <w:lang w:val="en-CA"/>
        </w:rPr>
        <w:noBreakHyphen/>
      </w:r>
      <w:r w:rsidRPr="000A0EA1">
        <w:rPr>
          <w:lang w:val="en-CA"/>
        </w:rPr>
        <w:t>Luc Pouliot, director general of network support and funding at the Ministère de l</w:t>
      </w:r>
      <w:r w:rsidR="00E46AFD">
        <w:rPr>
          <w:lang w:val="en-CA"/>
        </w:rPr>
        <w:t>’</w:t>
      </w:r>
      <w:r w:rsidRPr="000A0EA1">
        <w:rPr>
          <w:lang w:val="en-CA"/>
        </w:rPr>
        <w:t xml:space="preserve">Éducation, March 18, 2021, </w:t>
      </w:r>
      <w:r w:rsidR="0062160E">
        <w:rPr>
          <w:lang w:val="en-CA"/>
        </w:rPr>
        <w:t>para. 8</w:t>
      </w:r>
      <w:r w:rsidRPr="000A0EA1">
        <w:rPr>
          <w:lang w:val="en-CA"/>
        </w:rPr>
        <w:t>.</w:t>
      </w:r>
    </w:p>
  </w:footnote>
  <w:footnote w:id="263">
    <w:p w14:paraId="17F5F575"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Section 472 of the </w:t>
      </w:r>
      <w:r w:rsidRPr="000A0EA1">
        <w:rPr>
          <w:i/>
          <w:iCs/>
          <w:lang w:val="en-CA"/>
        </w:rPr>
        <w:t>EA</w:t>
      </w:r>
      <w:r w:rsidRPr="000A0EA1">
        <w:rPr>
          <w:lang w:val="en-CA"/>
        </w:rPr>
        <w:t>.</w:t>
      </w:r>
    </w:p>
  </w:footnote>
  <w:footnote w:id="264">
    <w:p w14:paraId="17F5F576" w14:textId="3BA2A536" w:rsidR="00F75613" w:rsidRPr="007D51DF" w:rsidRDefault="00B02E00" w:rsidP="00F75613">
      <w:pPr>
        <w:pStyle w:val="Notedebasdepage"/>
      </w:pPr>
      <w:r w:rsidRPr="000A0EA1">
        <w:rPr>
          <w:rStyle w:val="Appelnotedebasdep"/>
          <w:lang w:val="en-CA"/>
        </w:rPr>
        <w:footnoteRef/>
      </w:r>
      <w:r w:rsidRPr="000A0EA1">
        <w:rPr>
          <w:lang w:val="en-CA"/>
        </w:rPr>
        <w:t xml:space="preserve"> </w:t>
      </w:r>
      <w:r w:rsidRPr="000A0EA1">
        <w:rPr>
          <w:lang w:val="en-CA"/>
        </w:rPr>
        <w:tab/>
        <w:t>Affidavit of Pierre</w:t>
      </w:r>
      <w:r w:rsidR="00AF1BB3">
        <w:rPr>
          <w:lang w:val="en-CA"/>
        </w:rPr>
        <w:noBreakHyphen/>
      </w:r>
      <w:r w:rsidRPr="000A0EA1">
        <w:rPr>
          <w:lang w:val="en-CA"/>
        </w:rPr>
        <w:t>Luc Pouliot, director general of network support and funding at the Ministère de l</w:t>
      </w:r>
      <w:r w:rsidR="00E46AFD">
        <w:rPr>
          <w:lang w:val="en-CA"/>
        </w:rPr>
        <w:t>’</w:t>
      </w:r>
      <w:r w:rsidRPr="000A0EA1">
        <w:rPr>
          <w:lang w:val="en-CA"/>
        </w:rPr>
        <w:t>Éducation, March 18, 2021, para</w:t>
      </w:r>
      <w:r w:rsidR="0062160E">
        <w:rPr>
          <w:lang w:val="en-CA"/>
        </w:rPr>
        <w:t>s. </w:t>
      </w:r>
      <w:r w:rsidR="0062160E" w:rsidRPr="007D51DF">
        <w:t>9</w:t>
      </w:r>
      <w:r w:rsidR="00AF1BB3" w:rsidRPr="007D51DF">
        <w:noBreakHyphen/>
      </w:r>
      <w:r w:rsidRPr="007D51DF">
        <w:t>10.</w:t>
      </w:r>
    </w:p>
  </w:footnote>
  <w:footnote w:id="265">
    <w:p w14:paraId="17F5F577" w14:textId="232ABB6B"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Id.</w:t>
      </w:r>
      <w:r w:rsidRPr="007D51DF">
        <w:t xml:space="preserve">, </w:t>
      </w:r>
      <w:r w:rsidR="0062160E" w:rsidRPr="007D51DF">
        <w:t>para. 1</w:t>
      </w:r>
      <w:r w:rsidRPr="007D51DF">
        <w:t>1.</w:t>
      </w:r>
    </w:p>
  </w:footnote>
  <w:footnote w:id="266">
    <w:p w14:paraId="17F5F578" w14:textId="55DC04EF" w:rsidR="00F75613" w:rsidRPr="007D51DF" w:rsidRDefault="00B02E00" w:rsidP="00F75613">
      <w:pPr>
        <w:pStyle w:val="Notedebasdepage"/>
      </w:pPr>
      <w:r w:rsidRPr="000A0EA1">
        <w:rPr>
          <w:rStyle w:val="Appelnotedebasdep"/>
          <w:lang w:val="en-CA"/>
        </w:rPr>
        <w:footnoteRef/>
      </w:r>
      <w:r w:rsidRPr="007D51DF">
        <w:t xml:space="preserve"> </w:t>
      </w:r>
      <w:r w:rsidRPr="007D51DF">
        <w:tab/>
      </w:r>
      <w:r w:rsidRPr="007D51DF">
        <w:rPr>
          <w:i/>
          <w:iCs/>
        </w:rPr>
        <w:t>Ibid</w:t>
      </w:r>
      <w:r w:rsidRPr="007D51DF">
        <w:t>.; Exhibit PGQ</w:t>
      </w:r>
      <w:r w:rsidR="00AF1BB3" w:rsidRPr="007D51DF">
        <w:noBreakHyphen/>
      </w:r>
      <w:r w:rsidRPr="007D51DF">
        <w:t>45, Ministère de l</w:t>
      </w:r>
      <w:r w:rsidR="00E46AFD" w:rsidRPr="007D51DF">
        <w:t>’</w:t>
      </w:r>
      <w:r w:rsidRPr="007D51DF">
        <w:t>Éducation et de l</w:t>
      </w:r>
      <w:r w:rsidR="00E46AFD" w:rsidRPr="007D51DF">
        <w:t>’</w:t>
      </w:r>
      <w:r w:rsidRPr="007D51DF">
        <w:t xml:space="preserve">Enseignement supérieur, </w:t>
      </w:r>
      <w:r w:rsidRPr="007D51DF">
        <w:rPr>
          <w:i/>
          <w:iCs/>
        </w:rPr>
        <w:t>Guide général du financement – Publication 2019-2020 – Éducation préscolaire et Enseignement primaire et secondaire</w:t>
      </w:r>
      <w:r w:rsidRPr="007D51DF">
        <w:t xml:space="preserve">, </w:t>
      </w:r>
      <w:r w:rsidR="00E95DC2" w:rsidRPr="007D51DF">
        <w:t>p. </w:t>
      </w:r>
      <w:r w:rsidR="003428AF">
        <w:t>19</w:t>
      </w:r>
      <w:r w:rsidRPr="007D51DF">
        <w:t>.</w:t>
      </w:r>
    </w:p>
  </w:footnote>
  <w:footnote w:id="267">
    <w:p w14:paraId="17F5F579" w14:textId="26338F95" w:rsidR="00F75613" w:rsidRPr="007D51DF" w:rsidRDefault="00B02E00" w:rsidP="00F75613">
      <w:pPr>
        <w:pStyle w:val="Notedebasdepage"/>
      </w:pPr>
      <w:r w:rsidRPr="000A0EA1">
        <w:rPr>
          <w:rStyle w:val="Appelnotedebasdep"/>
          <w:lang w:val="en-CA"/>
        </w:rPr>
        <w:footnoteRef/>
      </w:r>
      <w:r w:rsidRPr="003428AF">
        <w:rPr>
          <w:lang w:val="en-CA"/>
        </w:rPr>
        <w:t xml:space="preserve"> </w:t>
      </w:r>
      <w:r w:rsidRPr="003428AF">
        <w:rPr>
          <w:lang w:val="en-CA"/>
        </w:rPr>
        <w:tab/>
        <w:t>Affidavit of Pierre</w:t>
      </w:r>
      <w:r w:rsidR="00AF1BB3" w:rsidRPr="003428AF">
        <w:rPr>
          <w:lang w:val="en-CA"/>
        </w:rPr>
        <w:noBreakHyphen/>
      </w:r>
      <w:r w:rsidRPr="003428AF">
        <w:rPr>
          <w:lang w:val="en-CA"/>
        </w:rPr>
        <w:t>Luc Pouliot, director general of network support and funding at the Ministère de l</w:t>
      </w:r>
      <w:r w:rsidR="00E46AFD" w:rsidRPr="003428AF">
        <w:rPr>
          <w:lang w:val="en-CA"/>
        </w:rPr>
        <w:t>’</w:t>
      </w:r>
      <w:r w:rsidRPr="003428AF">
        <w:rPr>
          <w:lang w:val="en-CA"/>
        </w:rPr>
        <w:t>Éducation, March 18, 2021,</w:t>
      </w:r>
      <w:r w:rsidR="003428AF">
        <w:rPr>
          <w:lang w:val="en-CA"/>
        </w:rPr>
        <w:t xml:space="preserve"> </w:t>
      </w:r>
      <w:r w:rsidR="0062160E" w:rsidRPr="003428AF">
        <w:rPr>
          <w:lang w:val="en-CA"/>
        </w:rPr>
        <w:t>para. </w:t>
      </w:r>
      <w:r w:rsidR="0062160E" w:rsidRPr="007D51DF">
        <w:t>1</w:t>
      </w:r>
      <w:r w:rsidRPr="007D51DF">
        <w:t>2; Exhibit PGQ</w:t>
      </w:r>
      <w:r w:rsidR="00AF1BB3" w:rsidRPr="007D51DF">
        <w:noBreakHyphen/>
      </w:r>
      <w:r w:rsidRPr="007D51DF">
        <w:t>45, Ministère de l</w:t>
      </w:r>
      <w:r w:rsidR="00E46AFD" w:rsidRPr="007D51DF">
        <w:t>’</w:t>
      </w:r>
      <w:r w:rsidRPr="007D51DF">
        <w:t>Éducation et de l</w:t>
      </w:r>
      <w:r w:rsidR="00E46AFD" w:rsidRPr="007D51DF">
        <w:t>’</w:t>
      </w:r>
      <w:r w:rsidRPr="007D51DF">
        <w:t xml:space="preserve">Enseignement supérieur, </w:t>
      </w:r>
      <w:r w:rsidRPr="007D51DF">
        <w:rPr>
          <w:i/>
          <w:iCs/>
        </w:rPr>
        <w:t>Guide général du financement – Publication 2019-2020 – Éducation préscolaire et Enseignement primaire et secondaire</w:t>
      </w:r>
      <w:r w:rsidRPr="007D51DF">
        <w:t>, p</w:t>
      </w:r>
      <w:r w:rsidR="00E95DC2" w:rsidRPr="007D51DF">
        <w:t>p. </w:t>
      </w:r>
      <w:r w:rsidR="003428AF">
        <w:t>20-21</w:t>
      </w:r>
      <w:r w:rsidRPr="007D51DF">
        <w:t>.</w:t>
      </w:r>
    </w:p>
  </w:footnote>
  <w:footnote w:id="268">
    <w:p w14:paraId="17F5F57A" w14:textId="5C747BD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Affidavit of Pierre</w:t>
      </w:r>
      <w:r w:rsidR="00DC7BAA">
        <w:rPr>
          <w:lang w:val="en-CA"/>
        </w:rPr>
        <w:noBreakHyphen/>
      </w:r>
      <w:r w:rsidRPr="000A0EA1">
        <w:rPr>
          <w:lang w:val="en-CA"/>
        </w:rPr>
        <w:t>Luc Pouliot, director general of network support and funding at the Ministère de l</w:t>
      </w:r>
      <w:r w:rsidR="00E46AFD">
        <w:rPr>
          <w:lang w:val="en-CA"/>
        </w:rPr>
        <w:t>’</w:t>
      </w:r>
      <w:r w:rsidRPr="000A0EA1">
        <w:rPr>
          <w:lang w:val="en-CA"/>
        </w:rPr>
        <w:t xml:space="preserve">Éducation, March 18, 2021, </w:t>
      </w:r>
      <w:r w:rsidR="0062160E">
        <w:rPr>
          <w:lang w:val="en-CA"/>
        </w:rPr>
        <w:t>para. 1</w:t>
      </w:r>
      <w:r w:rsidRPr="000A0EA1">
        <w:rPr>
          <w:lang w:val="en-CA"/>
        </w:rPr>
        <w:t>3.</w:t>
      </w:r>
    </w:p>
  </w:footnote>
  <w:footnote w:id="269">
    <w:p w14:paraId="17F5F57B" w14:textId="1718F1A1"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4.</w:t>
      </w:r>
    </w:p>
  </w:footnote>
  <w:footnote w:id="270">
    <w:p w14:paraId="17F5F57C" w14:textId="1B6718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9.</w:t>
      </w:r>
    </w:p>
  </w:footnote>
  <w:footnote w:id="271">
    <w:p w14:paraId="17F5F57D" w14:textId="58EC6954"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0.</w:t>
      </w:r>
    </w:p>
  </w:footnote>
  <w:footnote w:id="272">
    <w:p w14:paraId="17F5F57E" w14:textId="18523013"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2</w:t>
      </w:r>
      <w:r w:rsidRPr="000A0EA1">
        <w:rPr>
          <w:lang w:val="en-CA"/>
        </w:rPr>
        <w:t>1.</w:t>
      </w:r>
    </w:p>
  </w:footnote>
  <w:footnote w:id="273">
    <w:p w14:paraId="17F5F57F" w14:textId="7777777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274">
    <w:p w14:paraId="17F5F580" w14:textId="5827BF4F"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481163">
        <w:rPr>
          <w:i/>
          <w:iCs/>
          <w:lang w:val="en-CA"/>
        </w:rPr>
        <w:t>Id.</w:t>
      </w:r>
      <w:r w:rsidR="00481163">
        <w:rPr>
          <w:lang w:val="en-CA"/>
        </w:rPr>
        <w:t xml:space="preserve">, para. 22, referring to </w:t>
      </w:r>
      <w:r w:rsidRPr="000A0EA1">
        <w:rPr>
          <w:lang w:val="en-CA"/>
        </w:rPr>
        <w:t>Exhibit LN</w:t>
      </w:r>
      <w:r w:rsidR="00DC7BAA">
        <w:rPr>
          <w:lang w:val="en-CA"/>
        </w:rPr>
        <w:noBreakHyphen/>
      </w:r>
      <w:r w:rsidRPr="000A0EA1">
        <w:rPr>
          <w:lang w:val="en-CA"/>
        </w:rPr>
        <w:t>5, Ministry of Education and Higher Education</w:t>
      </w:r>
      <w:r w:rsidR="00E46AFD">
        <w:rPr>
          <w:lang w:val="en-CA"/>
        </w:rPr>
        <w:t>’</w:t>
      </w:r>
      <w:r w:rsidRPr="000A0EA1">
        <w:rPr>
          <w:lang w:val="en-CA"/>
        </w:rPr>
        <w:t>s budgetary rules of 2020</w:t>
      </w:r>
      <w:r w:rsidR="00DC7BAA">
        <w:rPr>
          <w:lang w:val="en-CA"/>
        </w:rPr>
        <w:noBreakHyphen/>
      </w:r>
      <w:r w:rsidRPr="000A0EA1">
        <w:rPr>
          <w:lang w:val="en-CA"/>
        </w:rPr>
        <w:t xml:space="preserve">2021, as amended in August 2020, </w:t>
      </w:r>
      <w:r w:rsidR="00E95DC2">
        <w:rPr>
          <w:lang w:val="en-CA"/>
        </w:rPr>
        <w:t>p. </w:t>
      </w:r>
      <w:r w:rsidRPr="000A0EA1">
        <w:rPr>
          <w:lang w:val="en-CA"/>
        </w:rPr>
        <w:t>7</w:t>
      </w:r>
      <w:r w:rsidR="00761BBF">
        <w:rPr>
          <w:lang w:val="en-CA"/>
        </w:rPr>
        <w:t>7</w:t>
      </w:r>
      <w:r w:rsidR="00481163">
        <w:rPr>
          <w:lang w:val="en-CA"/>
        </w:rPr>
        <w:t xml:space="preserve"> of </w:t>
      </w:r>
      <w:r w:rsidR="005854FF">
        <w:rPr>
          <w:lang w:val="en-CA"/>
        </w:rPr>
        <w:t xml:space="preserve">Section </w:t>
      </w:r>
      <w:r w:rsidR="00481163">
        <w:rPr>
          <w:lang w:val="en-CA"/>
        </w:rPr>
        <w:t>A (p. 104 of 308 of Exhibit LN-5)</w:t>
      </w:r>
      <w:r w:rsidRPr="000A0EA1">
        <w:rPr>
          <w:lang w:val="en-CA"/>
        </w:rPr>
        <w:t>.</w:t>
      </w:r>
    </w:p>
  </w:footnote>
  <w:footnote w:id="275">
    <w:p w14:paraId="17F5F581" w14:textId="7E1F1397"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Affidavit of Pierre</w:t>
      </w:r>
      <w:r w:rsidR="00DC7BAA">
        <w:rPr>
          <w:lang w:val="en-CA"/>
        </w:rPr>
        <w:noBreakHyphen/>
      </w:r>
      <w:r w:rsidRPr="000A0EA1">
        <w:rPr>
          <w:lang w:val="en-CA"/>
        </w:rPr>
        <w:t>Luc Pouliot, director general of network support and funding at the Ministère de l</w:t>
      </w:r>
      <w:r w:rsidR="00E46AFD">
        <w:rPr>
          <w:lang w:val="en-CA"/>
        </w:rPr>
        <w:t>’</w:t>
      </w:r>
      <w:r w:rsidRPr="000A0EA1">
        <w:rPr>
          <w:lang w:val="en-CA"/>
        </w:rPr>
        <w:t>Éducation, March 18, 2021, para</w:t>
      </w:r>
      <w:r w:rsidR="0062160E">
        <w:rPr>
          <w:lang w:val="en-CA"/>
        </w:rPr>
        <w:t>s. 2</w:t>
      </w:r>
      <w:r w:rsidRPr="000A0EA1">
        <w:rPr>
          <w:lang w:val="en-CA"/>
        </w:rPr>
        <w:t>2</w:t>
      </w:r>
      <w:r w:rsidR="00DC7BAA">
        <w:rPr>
          <w:lang w:val="en-CA"/>
        </w:rPr>
        <w:noBreakHyphen/>
      </w:r>
      <w:r w:rsidRPr="000A0EA1">
        <w:rPr>
          <w:lang w:val="en-CA"/>
        </w:rPr>
        <w:t>23.</w:t>
      </w:r>
    </w:p>
  </w:footnote>
  <w:footnote w:id="276">
    <w:p w14:paraId="17F5F582" w14:textId="2890D322"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95.</w:t>
      </w:r>
    </w:p>
  </w:footnote>
  <w:footnote w:id="277">
    <w:p w14:paraId="17F5F583" w14:textId="3DCD3E0C"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DC7BAA">
        <w:rPr>
          <w:lang w:val="en-CA"/>
        </w:rPr>
        <w:noBreakHyphen/>
      </w:r>
      <w:r w:rsidRPr="000A0EA1">
        <w:rPr>
          <w:lang w:val="en-CA"/>
        </w:rPr>
        <w:t>65, Affidavit of Livia Nassivera, dated January 22, 2021</w:t>
      </w:r>
      <w:r w:rsidR="00761BBF">
        <w:rPr>
          <w:lang w:val="en-CA"/>
        </w:rPr>
        <w:t>.</w:t>
      </w:r>
    </w:p>
  </w:footnote>
  <w:footnote w:id="278">
    <w:p w14:paraId="17F5F584" w14:textId="1D29538A" w:rsidR="00F75613" w:rsidRPr="000A0EA1"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2</w:t>
      </w:r>
      <w:r w:rsidRPr="000A0EA1">
        <w:rPr>
          <w:lang w:val="en-CA"/>
        </w:rPr>
        <w:t>90, where the judge accepted the affidavit of Livia Nassivera, Director of Financial Services for the English Montreal School Board: Exhibit P</w:t>
      </w:r>
      <w:r w:rsidR="002C6B3B">
        <w:rPr>
          <w:lang w:val="en-CA"/>
        </w:rPr>
        <w:noBreakHyphen/>
      </w:r>
      <w:r w:rsidRPr="000A0EA1">
        <w:rPr>
          <w:lang w:val="en-CA"/>
        </w:rPr>
        <w:t xml:space="preserve">65, Affidavit of Livia Nassivera, dated January 22, 2021, </w:t>
      </w:r>
      <w:r w:rsidR="0062160E">
        <w:rPr>
          <w:lang w:val="en-CA"/>
        </w:rPr>
        <w:t>para. 1</w:t>
      </w:r>
      <w:r w:rsidRPr="000A0EA1">
        <w:rPr>
          <w:lang w:val="en-CA"/>
        </w:rPr>
        <w:t>2. See also: Exhibit P</w:t>
      </w:r>
      <w:r w:rsidR="002C6B3B">
        <w:rPr>
          <w:lang w:val="en-CA"/>
        </w:rPr>
        <w:noBreakHyphen/>
      </w:r>
      <w:r w:rsidRPr="000A0EA1">
        <w:rPr>
          <w:lang w:val="en-CA"/>
        </w:rPr>
        <w:t>65.1, Second Affidavit of Livia Nassivera, dated February</w:t>
      </w:r>
      <w:r w:rsidR="002C6B3B">
        <w:rPr>
          <w:lang w:val="en-CA"/>
        </w:rPr>
        <w:t> </w:t>
      </w:r>
      <w:r w:rsidRPr="000A0EA1">
        <w:rPr>
          <w:lang w:val="en-CA"/>
        </w:rPr>
        <w:t>12, 2021, para</w:t>
      </w:r>
      <w:r w:rsidR="0062160E">
        <w:rPr>
          <w:lang w:val="en-CA"/>
        </w:rPr>
        <w:t>s. 3</w:t>
      </w:r>
      <w:r w:rsidR="002C6B3B">
        <w:rPr>
          <w:lang w:val="en-CA"/>
        </w:rPr>
        <w:noBreakHyphen/>
      </w:r>
      <w:r w:rsidRPr="000A0EA1">
        <w:rPr>
          <w:lang w:val="en-CA"/>
        </w:rPr>
        <w:t>6.</w:t>
      </w:r>
    </w:p>
  </w:footnote>
  <w:footnote w:id="279">
    <w:p w14:paraId="17F5F585" w14:textId="1FF01EEC" w:rsidR="00F75613" w:rsidRPr="00CD2F47" w:rsidRDefault="00B02E00" w:rsidP="00F75613">
      <w:pPr>
        <w:pStyle w:val="Notedebasdepage"/>
        <w:rPr>
          <w:lang w:val="en-CA"/>
        </w:rPr>
      </w:pPr>
      <w:r w:rsidRPr="000A0EA1">
        <w:rPr>
          <w:rStyle w:val="Appelnotedebasdep"/>
          <w:lang w:val="en-CA"/>
        </w:rPr>
        <w:footnoteRef/>
      </w:r>
      <w:r w:rsidRPr="000A0EA1">
        <w:rPr>
          <w:lang w:val="en-CA"/>
        </w:rPr>
        <w:t xml:space="preserve"> </w:t>
      </w:r>
      <w:r w:rsidRPr="000A0EA1">
        <w:rPr>
          <w:lang w:val="en-CA"/>
        </w:rPr>
        <w:tab/>
        <w:t>Exhibit P</w:t>
      </w:r>
      <w:r w:rsidR="002C6B3B">
        <w:rPr>
          <w:lang w:val="en-CA"/>
        </w:rPr>
        <w:noBreakHyphen/>
      </w:r>
      <w:r w:rsidRPr="000A0EA1">
        <w:rPr>
          <w:lang w:val="en-CA"/>
        </w:rPr>
        <w:t xml:space="preserve">65, Affidavit of Livia Nassivera, dated January 22, 2021, </w:t>
      </w:r>
      <w:r w:rsidR="0062160E">
        <w:rPr>
          <w:lang w:val="en-CA"/>
        </w:rPr>
        <w:t>para. </w:t>
      </w:r>
      <w:r w:rsidR="0062160E" w:rsidRPr="00CD2F47">
        <w:rPr>
          <w:lang w:val="en-CA"/>
        </w:rPr>
        <w:t>1</w:t>
      </w:r>
      <w:r w:rsidRPr="00CD2F47">
        <w:rPr>
          <w:lang w:val="en-CA"/>
        </w:rPr>
        <w:t>3.</w:t>
      </w:r>
    </w:p>
  </w:footnote>
  <w:footnote w:id="280">
    <w:p w14:paraId="17F5F586" w14:textId="315E5ACC" w:rsidR="004C7649" w:rsidRPr="007D51DF" w:rsidRDefault="00B02E00" w:rsidP="004C7649">
      <w:pPr>
        <w:pStyle w:val="Notedebasdepage"/>
        <w:rPr>
          <w:color w:val="000000"/>
        </w:rPr>
      </w:pPr>
      <w:r w:rsidRPr="000A0EA1">
        <w:rPr>
          <w:rStyle w:val="Appelnotedebasdep"/>
          <w:lang w:val="en-CA"/>
        </w:rPr>
        <w:footnoteRef/>
      </w:r>
      <w:r w:rsidRPr="00CD2F47">
        <w:rPr>
          <w:lang w:val="en-CA"/>
        </w:rPr>
        <w:t xml:space="preserve"> </w:t>
      </w:r>
      <w:r w:rsidRPr="00CD2F47">
        <w:rPr>
          <w:lang w:val="en-CA"/>
        </w:rPr>
        <w:tab/>
      </w:r>
      <w:r w:rsidRPr="00CD2F47">
        <w:rPr>
          <w:i/>
          <w:iCs/>
          <w:lang w:val="en-CA"/>
        </w:rPr>
        <w:t>Conseil scolaire francophone de la Colombie</w:t>
      </w:r>
      <w:r w:rsidR="002C6B3B" w:rsidRPr="00CD2F47">
        <w:rPr>
          <w:i/>
          <w:iCs/>
          <w:lang w:val="en-CA"/>
        </w:rPr>
        <w:noBreakHyphen/>
      </w:r>
      <w:r w:rsidRPr="00CD2F47">
        <w:rPr>
          <w:i/>
          <w:iCs/>
          <w:lang w:val="en-CA"/>
        </w:rPr>
        <w:t>Britannique v. British</w:t>
      </w:r>
      <w:r w:rsidRPr="00CD2F47">
        <w:rPr>
          <w:lang w:val="en-CA"/>
        </w:rPr>
        <w:t xml:space="preserve"> </w:t>
      </w:r>
      <w:r w:rsidRPr="00CD2F47">
        <w:rPr>
          <w:i/>
          <w:iCs/>
          <w:lang w:val="en-CA"/>
        </w:rPr>
        <w:t>Columbia</w:t>
      </w:r>
      <w:r w:rsidRPr="00CD2F47">
        <w:rPr>
          <w:lang w:val="en-CA"/>
        </w:rPr>
        <w:t>, 2020 SCC 13, [2020]</w:t>
      </w:r>
      <w:r w:rsidR="002C6B3B" w:rsidRPr="00CD2F47">
        <w:rPr>
          <w:lang w:val="en-CA"/>
        </w:rPr>
        <w:t> </w:t>
      </w:r>
      <w:r w:rsidRPr="00CD2F47">
        <w:rPr>
          <w:lang w:val="en-CA"/>
        </w:rPr>
        <w:t>1</w:t>
      </w:r>
      <w:r w:rsidR="00956B70" w:rsidRPr="00CD2F47">
        <w:rPr>
          <w:lang w:val="en-CA"/>
        </w:rPr>
        <w:t> S.C.R. </w:t>
      </w:r>
      <w:r w:rsidRPr="00CD2F47">
        <w:rPr>
          <w:lang w:val="en-CA"/>
        </w:rPr>
        <w:t xml:space="preserve">678, </w:t>
      </w:r>
      <w:r w:rsidR="0062160E" w:rsidRPr="00CD2F47">
        <w:rPr>
          <w:lang w:val="en-CA"/>
        </w:rPr>
        <w:t>para. </w:t>
      </w:r>
      <w:r w:rsidR="0062160E" w:rsidRPr="007D51DF">
        <w:t>1</w:t>
      </w:r>
      <w:r w:rsidRPr="007D51DF">
        <w:t xml:space="preserve">43; </w:t>
      </w:r>
      <w:r w:rsidRPr="007D51DF">
        <w:rPr>
          <w:i/>
          <w:iCs/>
        </w:rPr>
        <w:t>Association des parents de l</w:t>
      </w:r>
      <w:r w:rsidR="00E46AFD" w:rsidRPr="007D51DF">
        <w:rPr>
          <w:i/>
          <w:iCs/>
        </w:rPr>
        <w:t>’</w:t>
      </w:r>
      <w:r w:rsidRPr="007D51DF">
        <w:rPr>
          <w:i/>
          <w:iCs/>
        </w:rPr>
        <w:t>école Rose</w:t>
      </w:r>
      <w:r w:rsidR="002C6B3B" w:rsidRPr="007D51DF">
        <w:rPr>
          <w:i/>
          <w:iCs/>
        </w:rPr>
        <w:noBreakHyphen/>
      </w:r>
      <w:r w:rsidRPr="007D51DF">
        <w:rPr>
          <w:i/>
          <w:iCs/>
        </w:rPr>
        <w:t>des</w:t>
      </w:r>
      <w:r w:rsidR="002C6B3B" w:rsidRPr="007D51DF">
        <w:rPr>
          <w:i/>
          <w:iCs/>
        </w:rPr>
        <w:noBreakHyphen/>
      </w:r>
      <w:r w:rsidRPr="007D51DF">
        <w:rPr>
          <w:i/>
          <w:iCs/>
        </w:rPr>
        <w:t>vents v. British Columbia (Education)</w:t>
      </w:r>
      <w:r w:rsidRPr="007D51DF">
        <w:t>, 2015 SCC 21, [2015] 2</w:t>
      </w:r>
      <w:r w:rsidR="00956B70" w:rsidRPr="007D51DF">
        <w:t> S.C.R. </w:t>
      </w:r>
      <w:r w:rsidRPr="007D51DF">
        <w:t xml:space="preserve">139, </w:t>
      </w:r>
      <w:r w:rsidR="0062160E" w:rsidRPr="007D51DF">
        <w:t>para. </w:t>
      </w:r>
      <w:r w:rsidR="0062160E">
        <w:rPr>
          <w:lang w:val="en-CA"/>
        </w:rPr>
        <w:t>4</w:t>
      </w:r>
      <w:r w:rsidRPr="000A0EA1">
        <w:rPr>
          <w:lang w:val="en-CA"/>
        </w:rPr>
        <w:t xml:space="preserve">9; </w:t>
      </w:r>
      <w:r w:rsidRPr="000A0EA1">
        <w:rPr>
          <w:i/>
          <w:iCs/>
          <w:lang w:val="en-CA"/>
        </w:rPr>
        <w:t>Nguyen v. Quebec (Education, Recreation and Sports)</w:t>
      </w:r>
      <w:r w:rsidRPr="000A0EA1">
        <w:rPr>
          <w:lang w:val="en-CA"/>
        </w:rPr>
        <w:t>, 2009 SCC 47, [2009] 3</w:t>
      </w:r>
      <w:r w:rsidR="00956B70">
        <w:rPr>
          <w:lang w:val="en-CA"/>
        </w:rPr>
        <w:t> S.C.R. </w:t>
      </w:r>
      <w:r w:rsidRPr="000A0EA1">
        <w:rPr>
          <w:lang w:val="en-CA"/>
        </w:rPr>
        <w:t xml:space="preserve">208, </w:t>
      </w:r>
      <w:r w:rsidR="0062160E">
        <w:rPr>
          <w:lang w:val="en-CA"/>
        </w:rPr>
        <w:t>para. </w:t>
      </w:r>
      <w:r w:rsidR="0062160E" w:rsidRPr="007D51DF">
        <w:t>3</w:t>
      </w:r>
      <w:r w:rsidRPr="007D51DF">
        <w:t>7.</w:t>
      </w:r>
    </w:p>
  </w:footnote>
  <w:footnote w:id="281">
    <w:p w14:paraId="17F5F587" w14:textId="71BF3666" w:rsidR="004C7649" w:rsidRPr="000A0EA1" w:rsidRDefault="00B02E00" w:rsidP="004C7649">
      <w:pPr>
        <w:pStyle w:val="Notedebasdepage"/>
        <w:rPr>
          <w:lang w:val="en-CA"/>
        </w:rPr>
      </w:pPr>
      <w:r w:rsidRPr="000A0EA1">
        <w:rPr>
          <w:rStyle w:val="Appelnotedebasdep"/>
          <w:lang w:val="en-CA"/>
        </w:rPr>
        <w:footnoteRef/>
      </w:r>
      <w:r w:rsidRPr="007D51DF">
        <w:t xml:space="preserve"> </w:t>
      </w:r>
      <w:r w:rsidRPr="007D51DF">
        <w:tab/>
      </w:r>
      <w:r w:rsidRPr="007D51DF">
        <w:rPr>
          <w:i/>
          <w:iCs/>
        </w:rPr>
        <w:t>Conseil scolaire francophone de la Colombie</w:t>
      </w:r>
      <w:r w:rsidR="002C6B3B" w:rsidRPr="007D51DF">
        <w:rPr>
          <w:i/>
          <w:iCs/>
        </w:rPr>
        <w:noBreakHyphen/>
      </w:r>
      <w:r w:rsidRPr="007D51DF">
        <w:rPr>
          <w:i/>
          <w:iCs/>
        </w:rPr>
        <w:t>Britannique v. British</w:t>
      </w:r>
      <w:r w:rsidRPr="007D51DF">
        <w:t xml:space="preserve"> </w:t>
      </w:r>
      <w:r w:rsidRPr="007D51DF">
        <w:rPr>
          <w:i/>
          <w:iCs/>
        </w:rPr>
        <w:t>Columbia</w:t>
      </w:r>
      <w:r w:rsidRPr="007D51DF">
        <w:t>, 2020 SCC 13, [2020]</w:t>
      </w:r>
      <w:r w:rsidR="002C6B3B" w:rsidRPr="007D51DF">
        <w:t> </w:t>
      </w:r>
      <w:r w:rsidRPr="007D51DF">
        <w:t>1</w:t>
      </w:r>
      <w:r w:rsidR="00956B70" w:rsidRPr="007D51DF">
        <w:t> S.C.R. </w:t>
      </w:r>
      <w:r w:rsidRPr="007D51DF">
        <w:t>678, para</w:t>
      </w:r>
      <w:r w:rsidR="0062160E" w:rsidRPr="007D51DF">
        <w:t>s. </w:t>
      </w:r>
      <w:r w:rsidR="0062160E">
        <w:rPr>
          <w:lang w:val="en-CA"/>
        </w:rPr>
        <w:t>1</w:t>
      </w:r>
      <w:r w:rsidRPr="000A0EA1">
        <w:rPr>
          <w:lang w:val="en-CA"/>
        </w:rPr>
        <w:t>47</w:t>
      </w:r>
      <w:r w:rsidR="002C6B3B">
        <w:rPr>
          <w:lang w:val="en-CA"/>
        </w:rPr>
        <w:noBreakHyphen/>
      </w:r>
      <w:r w:rsidRPr="000A0EA1">
        <w:rPr>
          <w:lang w:val="en-CA"/>
        </w:rPr>
        <w:t>150.</w:t>
      </w:r>
    </w:p>
  </w:footnote>
  <w:footnote w:id="282">
    <w:p w14:paraId="17F5F588" w14:textId="7F14190E"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51.</w:t>
      </w:r>
    </w:p>
  </w:footnote>
  <w:footnote w:id="283">
    <w:p w14:paraId="17F5F589" w14:textId="77777777"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284">
    <w:p w14:paraId="17F5F58A" w14:textId="25A1BD5F"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 xml:space="preserve">43 </w:t>
      </w:r>
      <w:r w:rsidRPr="000A0EA1">
        <w:rPr>
          <w:i/>
          <w:iCs/>
          <w:lang w:val="en-CA"/>
        </w:rPr>
        <w:t>in fine</w:t>
      </w:r>
      <w:r w:rsidRPr="000A0EA1">
        <w:rPr>
          <w:lang w:val="en-CA"/>
        </w:rPr>
        <w:t>. The Supreme Court</w:t>
      </w:r>
      <w:r w:rsidR="00E46AFD">
        <w:rPr>
          <w:lang w:val="en-CA"/>
        </w:rPr>
        <w:t>’</w:t>
      </w:r>
      <w:r w:rsidRPr="000A0EA1">
        <w:rPr>
          <w:lang w:val="en-CA"/>
        </w:rPr>
        <w:t xml:space="preserve">s most recent ruling on </w:t>
      </w:r>
      <w:r w:rsidR="0062160E">
        <w:rPr>
          <w:lang w:val="en-CA"/>
        </w:rPr>
        <w:t>s. 2</w:t>
      </w:r>
      <w:r w:rsidRPr="000A0EA1">
        <w:rPr>
          <w:lang w:val="en-CA"/>
        </w:rPr>
        <w:t xml:space="preserve">3 of the </w:t>
      </w:r>
      <w:r w:rsidRPr="000A0EA1">
        <w:rPr>
          <w:i/>
          <w:iCs/>
          <w:lang w:val="en-CA"/>
        </w:rPr>
        <w:t xml:space="preserve">Charter </w:t>
      </w:r>
      <w:r w:rsidRPr="000A0EA1">
        <w:rPr>
          <w:lang w:val="en-CA"/>
        </w:rPr>
        <w:t xml:space="preserve">did nothing to change this: </w:t>
      </w:r>
      <w:r w:rsidRPr="000A0EA1">
        <w:rPr>
          <w:i/>
          <w:iCs/>
          <w:lang w:val="en-CA"/>
        </w:rPr>
        <w:t>Commission scolaire francophone des Territoires du Nord</w:t>
      </w:r>
      <w:r w:rsidR="00710B50">
        <w:rPr>
          <w:i/>
          <w:iCs/>
          <w:lang w:val="en-CA"/>
        </w:rPr>
        <w:noBreakHyphen/>
      </w:r>
      <w:r w:rsidRPr="000A0EA1">
        <w:rPr>
          <w:i/>
          <w:iCs/>
          <w:lang w:val="en-CA"/>
        </w:rPr>
        <w:t>Ouest v. Northwest Territories (Education, Culture and Employment)</w:t>
      </w:r>
      <w:r w:rsidRPr="000A0EA1">
        <w:rPr>
          <w:lang w:val="en-CA"/>
        </w:rPr>
        <w:t>, 2023 SCC 31.</w:t>
      </w:r>
    </w:p>
  </w:footnote>
  <w:footnote w:id="285">
    <w:p w14:paraId="17F5F58B" w14:textId="5DA885ED" w:rsidR="004C7649" w:rsidRPr="007D51DF" w:rsidRDefault="00B02E00" w:rsidP="004C7649">
      <w:pPr>
        <w:pStyle w:val="Notedebasdepage"/>
      </w:pPr>
      <w:r w:rsidRPr="000A0EA1">
        <w:rPr>
          <w:rStyle w:val="Appelnotedebasdep"/>
          <w:lang w:val="en-CA"/>
        </w:rPr>
        <w:footnoteRef/>
      </w:r>
      <w:r w:rsidRPr="007D51DF">
        <w:t xml:space="preserve"> </w:t>
      </w:r>
      <w:r w:rsidRPr="007D51DF">
        <w:tab/>
      </w:r>
      <w:r w:rsidRPr="007D51DF">
        <w:rPr>
          <w:i/>
          <w:iCs/>
        </w:rPr>
        <w:t>Conseil scolaire francophone de la Colombie</w:t>
      </w:r>
      <w:r w:rsidR="00710B50" w:rsidRPr="007D51DF">
        <w:rPr>
          <w:i/>
          <w:iCs/>
        </w:rPr>
        <w:noBreakHyphen/>
      </w:r>
      <w:r w:rsidRPr="007D51DF">
        <w:rPr>
          <w:i/>
          <w:iCs/>
        </w:rPr>
        <w:t>Britannique v. British Columbia</w:t>
      </w:r>
      <w:r w:rsidRPr="007D51DF">
        <w:t>, 2020 SCC 13, [2020]</w:t>
      </w:r>
      <w:r w:rsidR="00710B50" w:rsidRPr="007D51DF">
        <w:t> </w:t>
      </w:r>
      <w:r w:rsidRPr="007D51DF">
        <w:t>1</w:t>
      </w:r>
      <w:r w:rsidR="00956B70" w:rsidRPr="007D51DF">
        <w:t> S.C.R. </w:t>
      </w:r>
      <w:r w:rsidRPr="007D51DF">
        <w:t>678.</w:t>
      </w:r>
    </w:p>
  </w:footnote>
  <w:footnote w:id="286">
    <w:p w14:paraId="17F5F58C" w14:textId="617E2551"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Frank v. Canada (Attorney General)</w:t>
      </w:r>
      <w:r w:rsidRPr="000A0EA1">
        <w:rPr>
          <w:lang w:val="en-CA"/>
        </w:rPr>
        <w:t>, 2019 SCC 1, [2019] 1</w:t>
      </w:r>
      <w:r w:rsidR="00956B70">
        <w:rPr>
          <w:lang w:val="en-CA"/>
        </w:rPr>
        <w:t> S.C.R. </w:t>
      </w:r>
      <w:r w:rsidRPr="000A0EA1">
        <w:rPr>
          <w:lang w:val="en-CA"/>
        </w:rPr>
        <w:t xml:space="preserve">3, </w:t>
      </w:r>
      <w:r w:rsidR="0062160E">
        <w:rPr>
          <w:lang w:val="en-CA"/>
        </w:rPr>
        <w:t>para. 3</w:t>
      </w:r>
      <w:r w:rsidRPr="000A0EA1">
        <w:rPr>
          <w:lang w:val="en-CA"/>
        </w:rPr>
        <w:t xml:space="preserve">9; </w:t>
      </w:r>
      <w:r w:rsidRPr="000A0EA1">
        <w:rPr>
          <w:i/>
          <w:iCs/>
          <w:lang w:val="en-CA"/>
        </w:rPr>
        <w:t>R. v. Oakes</w:t>
      </w:r>
      <w:r w:rsidRPr="000A0EA1">
        <w:rPr>
          <w:lang w:val="en-CA"/>
        </w:rPr>
        <w:t>, [1986] 1</w:t>
      </w:r>
      <w:r w:rsidR="00956B70">
        <w:rPr>
          <w:lang w:val="en-CA"/>
        </w:rPr>
        <w:t> S.C.R. </w:t>
      </w:r>
      <w:r w:rsidRPr="000A0EA1">
        <w:rPr>
          <w:lang w:val="en-CA"/>
        </w:rPr>
        <w:t>103, p</w:t>
      </w:r>
      <w:r w:rsidR="00E95DC2">
        <w:rPr>
          <w:lang w:val="en-CA"/>
        </w:rPr>
        <w:t>p. </w:t>
      </w:r>
      <w:r w:rsidRPr="000A0EA1">
        <w:rPr>
          <w:lang w:val="en-CA"/>
        </w:rPr>
        <w:t>136-137.</w:t>
      </w:r>
    </w:p>
  </w:footnote>
  <w:footnote w:id="287">
    <w:p w14:paraId="17F5F58D" w14:textId="3209730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See in particular: </w:t>
      </w:r>
      <w:r w:rsidRPr="000A0EA1">
        <w:rPr>
          <w:i/>
          <w:iCs/>
          <w:lang w:val="en-CA"/>
        </w:rPr>
        <w:t>R. v. Brown</w:t>
      </w:r>
      <w:r w:rsidRPr="000A0EA1">
        <w:rPr>
          <w:lang w:val="en-CA"/>
        </w:rPr>
        <w:t>, 2022 SCC 18, [2022] 1</w:t>
      </w:r>
      <w:r w:rsidR="00956B70">
        <w:rPr>
          <w:lang w:val="en-CA"/>
        </w:rPr>
        <w:t> S.C.R. </w:t>
      </w:r>
      <w:r w:rsidRPr="000A0EA1">
        <w:rPr>
          <w:lang w:val="en-CA"/>
        </w:rPr>
        <w:t xml:space="preserve">374, </w:t>
      </w:r>
      <w:r w:rsidR="0062160E">
        <w:rPr>
          <w:lang w:val="en-CA"/>
        </w:rPr>
        <w:t>para. 1</w:t>
      </w:r>
      <w:r w:rsidRPr="000A0EA1">
        <w:rPr>
          <w:lang w:val="en-CA"/>
        </w:rPr>
        <w:t xml:space="preserve">10; </w:t>
      </w:r>
      <w:r w:rsidRPr="000A0EA1">
        <w:rPr>
          <w:i/>
          <w:iCs/>
          <w:lang w:val="en-CA"/>
        </w:rPr>
        <w:t>R. v. K.R.J.</w:t>
      </w:r>
      <w:r w:rsidRPr="000A0EA1">
        <w:rPr>
          <w:lang w:val="en-CA"/>
        </w:rPr>
        <w:t>, 2016 SCC 31, [2016] 1</w:t>
      </w:r>
      <w:r w:rsidR="00956B70">
        <w:rPr>
          <w:lang w:val="en-CA"/>
        </w:rPr>
        <w:t> S.C.R. </w:t>
      </w:r>
      <w:r w:rsidRPr="000A0EA1">
        <w:rPr>
          <w:lang w:val="en-CA"/>
        </w:rPr>
        <w:t xml:space="preserve">906, </w:t>
      </w:r>
      <w:r w:rsidR="0062160E">
        <w:rPr>
          <w:lang w:val="en-CA"/>
        </w:rPr>
        <w:t>para. 5</w:t>
      </w:r>
      <w:r w:rsidRPr="000A0EA1">
        <w:rPr>
          <w:lang w:val="en-CA"/>
        </w:rPr>
        <w:t xml:space="preserve">8; </w:t>
      </w:r>
      <w:r w:rsidRPr="000A0EA1">
        <w:rPr>
          <w:i/>
          <w:iCs/>
          <w:lang w:val="en-CA"/>
        </w:rPr>
        <w:t>R. v. Nur</w:t>
      </w:r>
      <w:r w:rsidRPr="000A0EA1">
        <w:rPr>
          <w:lang w:val="en-CA"/>
        </w:rPr>
        <w:t>, 2015 SCC 15, [2015] 1</w:t>
      </w:r>
      <w:r w:rsidR="00956B70">
        <w:rPr>
          <w:lang w:val="en-CA"/>
        </w:rPr>
        <w:t> S.C.R. </w:t>
      </w:r>
      <w:r w:rsidRPr="000A0EA1">
        <w:rPr>
          <w:lang w:val="en-CA"/>
        </w:rPr>
        <w:t>773, para</w:t>
      </w:r>
      <w:r w:rsidR="0062160E">
        <w:rPr>
          <w:lang w:val="en-CA"/>
        </w:rPr>
        <w:t>s. 1</w:t>
      </w:r>
      <w:r w:rsidRPr="000A0EA1">
        <w:rPr>
          <w:lang w:val="en-CA"/>
        </w:rPr>
        <w:t>11</w:t>
      </w:r>
      <w:r w:rsidR="00C33AA0">
        <w:rPr>
          <w:lang w:val="en-CA"/>
        </w:rPr>
        <w:t>-113</w:t>
      </w:r>
      <w:r w:rsidRPr="000A0EA1">
        <w:rPr>
          <w:lang w:val="en-CA"/>
        </w:rPr>
        <w:t xml:space="preserve"> and 116; </w:t>
      </w:r>
      <w:r w:rsidRPr="000A0EA1">
        <w:rPr>
          <w:i/>
          <w:iCs/>
          <w:lang w:val="en-CA"/>
        </w:rPr>
        <w:t>Carter v. Canada (Attorney General)</w:t>
      </w:r>
      <w:r w:rsidRPr="000A0EA1">
        <w:rPr>
          <w:lang w:val="en-CA"/>
        </w:rPr>
        <w:t>, 2015 SCC 5, [2015] 1</w:t>
      </w:r>
      <w:r w:rsidR="00956B70">
        <w:rPr>
          <w:lang w:val="en-CA"/>
        </w:rPr>
        <w:t> S.C.R. </w:t>
      </w:r>
      <w:r w:rsidRPr="000A0EA1">
        <w:rPr>
          <w:lang w:val="en-CA"/>
        </w:rPr>
        <w:t>331, para</w:t>
      </w:r>
      <w:r w:rsidR="0062160E">
        <w:rPr>
          <w:lang w:val="en-CA"/>
        </w:rPr>
        <w:t>s. 9</w:t>
      </w:r>
      <w:r w:rsidRPr="000A0EA1">
        <w:rPr>
          <w:lang w:val="en-CA"/>
        </w:rPr>
        <w:t>4, 99, 102, 118 and 119.</w:t>
      </w:r>
    </w:p>
  </w:footnote>
  <w:footnote w:id="288">
    <w:p w14:paraId="17F5F58E" w14:textId="75144A55"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R. v. Oakes</w:t>
      </w:r>
      <w:r w:rsidRPr="000A0EA1">
        <w:rPr>
          <w:lang w:val="en-CA"/>
        </w:rPr>
        <w:t>, [1986] 1</w:t>
      </w:r>
      <w:r w:rsidR="00956B70">
        <w:rPr>
          <w:lang w:val="en-CA"/>
        </w:rPr>
        <w:t> S.C.R. </w:t>
      </w:r>
      <w:r w:rsidRPr="000A0EA1">
        <w:rPr>
          <w:lang w:val="en-CA"/>
        </w:rPr>
        <w:t xml:space="preserve">103, </w:t>
      </w:r>
      <w:r w:rsidR="00E95DC2">
        <w:rPr>
          <w:lang w:val="en-CA"/>
        </w:rPr>
        <w:t>p. </w:t>
      </w:r>
      <w:r w:rsidRPr="000A0EA1">
        <w:rPr>
          <w:lang w:val="en-CA"/>
        </w:rPr>
        <w:t>138.</w:t>
      </w:r>
    </w:p>
  </w:footnote>
  <w:footnote w:id="289">
    <w:p w14:paraId="17F5F58F" w14:textId="23757E93" w:rsidR="004C7649" w:rsidRPr="000A0EA1" w:rsidRDefault="00B02E00" w:rsidP="004C7649">
      <w:pPr>
        <w:pStyle w:val="Notedebasdepage"/>
        <w:rPr>
          <w:lang w:val="en-CA"/>
        </w:rPr>
      </w:pPr>
      <w:r w:rsidRPr="000A0EA1">
        <w:rPr>
          <w:rStyle w:val="Appelnotedebasdep"/>
          <w:lang w:val="en-CA"/>
        </w:rPr>
        <w:footnoteRef/>
      </w:r>
      <w:r w:rsidR="00AC60FF">
        <w:rPr>
          <w:lang w:val="en-CA"/>
        </w:rPr>
        <w:t xml:space="preserve"> </w:t>
      </w:r>
      <w:r w:rsidRPr="000A0EA1">
        <w:rPr>
          <w:lang w:val="en-CA"/>
        </w:rPr>
        <w:tab/>
      </w:r>
      <w:r w:rsidRPr="000A0EA1">
        <w:rPr>
          <w:i/>
          <w:iCs/>
          <w:lang w:val="en-CA"/>
        </w:rPr>
        <w:t>Sauvé v. Canada (Chief Electoral Officer)</w:t>
      </w:r>
      <w:r w:rsidRPr="000A0EA1">
        <w:rPr>
          <w:lang w:val="en-CA"/>
        </w:rPr>
        <w:t>, 2002 SCC 68, [2002] 3</w:t>
      </w:r>
      <w:r w:rsidR="00956B70">
        <w:rPr>
          <w:lang w:val="en-CA"/>
        </w:rPr>
        <w:t> S.C.R. </w:t>
      </w:r>
      <w:r w:rsidRPr="000A0EA1">
        <w:rPr>
          <w:lang w:val="en-CA"/>
        </w:rPr>
        <w:t>519 (</w:t>
      </w:r>
      <w:r w:rsidR="00E46AFD">
        <w:rPr>
          <w:lang w:val="en-CA"/>
        </w:rPr>
        <w:t>“</w:t>
      </w:r>
      <w:r w:rsidRPr="000A0EA1">
        <w:rPr>
          <w:i/>
          <w:iCs/>
          <w:lang w:val="en-CA"/>
        </w:rPr>
        <w:t>Sauvé</w:t>
      </w:r>
      <w:r w:rsidR="00E46AFD">
        <w:rPr>
          <w:lang w:val="en-CA"/>
        </w:rPr>
        <w:t>”</w:t>
      </w:r>
      <w:r w:rsidRPr="000A0EA1">
        <w:rPr>
          <w:lang w:val="en-CA"/>
        </w:rPr>
        <w:t xml:space="preserve">), </w:t>
      </w:r>
      <w:r w:rsidR="0062160E">
        <w:rPr>
          <w:lang w:val="en-CA"/>
        </w:rPr>
        <w:t>para. 1</w:t>
      </w:r>
      <w:r w:rsidRPr="000A0EA1">
        <w:rPr>
          <w:lang w:val="en-CA"/>
        </w:rPr>
        <w:t>8.</w:t>
      </w:r>
    </w:p>
  </w:footnote>
  <w:footnote w:id="290">
    <w:p w14:paraId="17F5F590" w14:textId="77777777"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p>
  </w:footnote>
  <w:footnote w:id="291">
    <w:p w14:paraId="17F5F591" w14:textId="61920B30"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R. v. Oakes</w:t>
      </w:r>
      <w:r w:rsidRPr="000A0EA1">
        <w:rPr>
          <w:lang w:val="en-CA"/>
        </w:rPr>
        <w:t>, [1986] 1</w:t>
      </w:r>
      <w:r w:rsidR="00956B70">
        <w:rPr>
          <w:lang w:val="en-CA"/>
        </w:rPr>
        <w:t> S.C.R. </w:t>
      </w:r>
      <w:r w:rsidRPr="000A0EA1">
        <w:rPr>
          <w:lang w:val="en-CA"/>
        </w:rPr>
        <w:t>103, p</w:t>
      </w:r>
      <w:r w:rsidR="00E95DC2">
        <w:rPr>
          <w:lang w:val="en-CA"/>
        </w:rPr>
        <w:t>p. </w:t>
      </w:r>
      <w:r w:rsidRPr="000A0EA1">
        <w:rPr>
          <w:lang w:val="en-CA"/>
        </w:rPr>
        <w:t>138-139.</w:t>
      </w:r>
    </w:p>
  </w:footnote>
  <w:footnote w:id="292">
    <w:p w14:paraId="17F5F592" w14:textId="0ECFC087"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w:t>
      </w:r>
      <w:r w:rsidR="00E95DC2">
        <w:rPr>
          <w:lang w:val="en-CA"/>
        </w:rPr>
        <w:t>p. </w:t>
      </w:r>
      <w:r w:rsidRPr="000A0EA1">
        <w:rPr>
          <w:lang w:val="en-CA"/>
        </w:rPr>
        <w:t>139</w:t>
      </w:r>
      <w:r w:rsidR="00D86058">
        <w:rPr>
          <w:lang w:val="en-CA"/>
        </w:rPr>
        <w:noBreakHyphen/>
      </w:r>
      <w:r w:rsidRPr="000A0EA1">
        <w:rPr>
          <w:lang w:val="en-CA"/>
        </w:rPr>
        <w:t xml:space="preserve">140. </w:t>
      </w:r>
      <w:r w:rsidRPr="007D51DF">
        <w:t xml:space="preserve">See also: </w:t>
      </w:r>
      <w:r w:rsidRPr="007D51DF">
        <w:rPr>
          <w:i/>
          <w:iCs/>
        </w:rPr>
        <w:t>Conseil scolaire francophone de la Colombie</w:t>
      </w:r>
      <w:r w:rsidR="00D86058" w:rsidRPr="007D51DF">
        <w:rPr>
          <w:i/>
          <w:iCs/>
        </w:rPr>
        <w:noBreakHyphen/>
      </w:r>
      <w:r w:rsidRPr="007D51DF">
        <w:rPr>
          <w:i/>
          <w:iCs/>
        </w:rPr>
        <w:t>Britannique v. British</w:t>
      </w:r>
      <w:r w:rsidRPr="007D51DF">
        <w:t xml:space="preserve"> </w:t>
      </w:r>
      <w:r w:rsidRPr="007D51DF">
        <w:rPr>
          <w:i/>
          <w:iCs/>
        </w:rPr>
        <w:t>Columbia</w:t>
      </w:r>
      <w:r w:rsidRPr="007D51DF">
        <w:t>, 2020 SCC 13, [2020] 1</w:t>
      </w:r>
      <w:r w:rsidR="00956B70" w:rsidRPr="007D51DF">
        <w:t> S.C.R. </w:t>
      </w:r>
      <w:r w:rsidRPr="007D51DF">
        <w:t xml:space="preserve">678, </w:t>
      </w:r>
      <w:r w:rsidR="0062160E" w:rsidRPr="007D51DF">
        <w:t>para. </w:t>
      </w:r>
      <w:r w:rsidR="0062160E">
        <w:rPr>
          <w:lang w:val="en-CA"/>
        </w:rPr>
        <w:t>1</w:t>
      </w:r>
      <w:r w:rsidRPr="000A0EA1">
        <w:rPr>
          <w:lang w:val="en-CA"/>
        </w:rPr>
        <w:t>46.</w:t>
      </w:r>
    </w:p>
  </w:footnote>
  <w:footnote w:id="293">
    <w:p w14:paraId="17F5F593" w14:textId="1A885EA8"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In </w:t>
      </w:r>
      <w:r w:rsidR="0062160E">
        <w:rPr>
          <w:lang w:val="en-CA"/>
        </w:rPr>
        <w:t>para. 1</w:t>
      </w:r>
      <w:r w:rsidRPr="000A0EA1">
        <w:rPr>
          <w:lang w:val="en-CA"/>
        </w:rPr>
        <w:t>47 of his brief, the AGQ explains the intended objective in a single sentence: [</w:t>
      </w:r>
      <w:r w:rsidR="00F16205" w:rsidRPr="00F16205">
        <w:rPr>
          <w:smallCaps/>
          <w:lang w:val="en-CA"/>
        </w:rPr>
        <w:t>translation</w:t>
      </w:r>
      <w:r w:rsidRPr="000A0EA1">
        <w:rPr>
          <w:lang w:val="en-CA"/>
        </w:rPr>
        <w:t>]</w:t>
      </w:r>
      <w:r w:rsidR="00D86058">
        <w:rPr>
          <w:lang w:val="en-CA"/>
        </w:rPr>
        <w:t> </w:t>
      </w:r>
      <w:r w:rsidR="00E46AFD">
        <w:rPr>
          <w:lang w:val="en-CA"/>
        </w:rPr>
        <w:t>“</w:t>
      </w:r>
      <w:r w:rsidRPr="000A0EA1">
        <w:rPr>
          <w:lang w:val="en-CA"/>
        </w:rPr>
        <w:t>First, all the measures have an important objective, which has been explained in section (B) of issue I of this brief</w:t>
      </w:r>
      <w:r w:rsidR="00E46AFD">
        <w:rPr>
          <w:lang w:val="en-CA"/>
        </w:rPr>
        <w:t>”</w:t>
      </w:r>
      <w:r w:rsidRPr="000A0EA1">
        <w:rPr>
          <w:lang w:val="en-CA"/>
        </w:rPr>
        <w:t xml:space="preserve"> [reference and boldface omitted], namely, the section of his brief dealing with infringement.</w:t>
      </w:r>
    </w:p>
  </w:footnote>
  <w:footnote w:id="294">
    <w:p w14:paraId="17F5F594" w14:textId="3748EFA2"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In </w:t>
      </w:r>
      <w:r w:rsidRPr="000A0EA1">
        <w:rPr>
          <w:i/>
          <w:iCs/>
          <w:lang w:val="en-CA"/>
        </w:rPr>
        <w:t>Frank v. Canada (Attorney General)</w:t>
      </w:r>
      <w:r w:rsidRPr="000A0EA1">
        <w:rPr>
          <w:lang w:val="en-CA"/>
        </w:rPr>
        <w:t>, 2019 SCC 1, [2019] 1</w:t>
      </w:r>
      <w:r w:rsidR="00956B70">
        <w:rPr>
          <w:lang w:val="en-CA"/>
        </w:rPr>
        <w:t> S.C.R. </w:t>
      </w:r>
      <w:r w:rsidRPr="000A0EA1">
        <w:rPr>
          <w:lang w:val="en-CA"/>
        </w:rPr>
        <w:t xml:space="preserve">3, </w:t>
      </w:r>
      <w:r w:rsidR="0062160E">
        <w:rPr>
          <w:lang w:val="en-CA"/>
        </w:rPr>
        <w:t>para. 4</w:t>
      </w:r>
      <w:r w:rsidRPr="000A0EA1">
        <w:rPr>
          <w:lang w:val="en-CA"/>
        </w:rPr>
        <w:t>6, the Supreme Court warned against a legislative purpose that is stated too broadly.</w:t>
      </w:r>
    </w:p>
  </w:footnote>
  <w:footnote w:id="295">
    <w:p w14:paraId="17F5F595" w14:textId="50297F45"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92.</w:t>
      </w:r>
    </w:p>
  </w:footnote>
  <w:footnote w:id="296">
    <w:p w14:paraId="17F5F596" w14:textId="77777777"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w:t>
      </w:r>
    </w:p>
  </w:footnote>
  <w:footnote w:id="297">
    <w:p w14:paraId="17F5F597" w14:textId="386CD8F2"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94.</w:t>
      </w:r>
    </w:p>
  </w:footnote>
  <w:footnote w:id="298">
    <w:p w14:paraId="17F5F598" w14:textId="1545D56C"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91.</w:t>
      </w:r>
    </w:p>
  </w:footnote>
  <w:footnote w:id="299">
    <w:p w14:paraId="17F5F599" w14:textId="541F84FA" w:rsidR="004C7649" w:rsidRPr="000A0EA1" w:rsidRDefault="00B02E00" w:rsidP="004C7649">
      <w:pPr>
        <w:pStyle w:val="Notedebasdepage"/>
        <w:rPr>
          <w:u w:val="single"/>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378.</w:t>
      </w:r>
    </w:p>
  </w:footnote>
  <w:footnote w:id="300">
    <w:p w14:paraId="17F5F59A" w14:textId="1A9264C2"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Arsenault</w:t>
      </w:r>
      <w:r w:rsidR="00BE2D08">
        <w:rPr>
          <w:i/>
          <w:iCs/>
          <w:lang w:val="en-CA"/>
        </w:rPr>
        <w:noBreakHyphen/>
      </w:r>
      <w:r w:rsidRPr="000A0EA1">
        <w:rPr>
          <w:i/>
          <w:iCs/>
          <w:lang w:val="en-CA"/>
        </w:rPr>
        <w:t>Cameron v. Prince Edward Island</w:t>
      </w:r>
      <w:r w:rsidRPr="000A0EA1">
        <w:rPr>
          <w:lang w:val="en-CA"/>
        </w:rPr>
        <w:t>, 2000 SCC 1, [2000] 1</w:t>
      </w:r>
      <w:r w:rsidR="00956B70">
        <w:rPr>
          <w:lang w:val="en-CA"/>
        </w:rPr>
        <w:t> S.C.R. </w:t>
      </w:r>
      <w:r w:rsidRPr="000A0EA1">
        <w:rPr>
          <w:lang w:val="en-CA"/>
        </w:rPr>
        <w:t xml:space="preserve">3, </w:t>
      </w:r>
      <w:r w:rsidR="0062160E">
        <w:rPr>
          <w:lang w:val="en-CA"/>
        </w:rPr>
        <w:t>para. 4</w:t>
      </w:r>
      <w:r w:rsidRPr="000A0EA1">
        <w:rPr>
          <w:lang w:val="en-CA"/>
        </w:rPr>
        <w:t>8.</w:t>
      </w:r>
    </w:p>
  </w:footnote>
  <w:footnote w:id="301">
    <w:p w14:paraId="17F5F59B" w14:textId="6A0E1CE2"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92, citing the AGQ</w:t>
      </w:r>
      <w:r w:rsidR="00E46AFD">
        <w:rPr>
          <w:lang w:val="en-CA"/>
        </w:rPr>
        <w:t>’</w:t>
      </w:r>
      <w:r w:rsidRPr="000A0EA1">
        <w:rPr>
          <w:lang w:val="en-CA"/>
        </w:rPr>
        <w:t>s outline of the oral argument at trial, para</w:t>
      </w:r>
      <w:r w:rsidR="0062160E">
        <w:rPr>
          <w:lang w:val="en-CA"/>
        </w:rPr>
        <w:t>s. 5</w:t>
      </w:r>
      <w:r w:rsidRPr="000A0EA1">
        <w:rPr>
          <w:lang w:val="en-CA"/>
        </w:rPr>
        <w:t>63 and 565.</w:t>
      </w:r>
    </w:p>
  </w:footnote>
  <w:footnote w:id="302">
    <w:p w14:paraId="17F5F59C" w14:textId="0215980F"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3</w:t>
      </w:r>
      <w:r w:rsidRPr="000A0EA1">
        <w:rPr>
          <w:lang w:val="en-CA"/>
        </w:rPr>
        <w:t>21.</w:t>
      </w:r>
    </w:p>
  </w:footnote>
  <w:footnote w:id="303">
    <w:p w14:paraId="17F5F59D" w14:textId="21A2CFB3"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3</w:t>
      </w:r>
      <w:r w:rsidRPr="000A0EA1">
        <w:rPr>
          <w:lang w:val="en-CA"/>
        </w:rPr>
        <w:t>26.</w:t>
      </w:r>
    </w:p>
  </w:footnote>
  <w:footnote w:id="304">
    <w:p w14:paraId="17F5F59E" w14:textId="52030764"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A</w:t>
      </w:r>
      <w:r w:rsidR="008C012B">
        <w:rPr>
          <w:lang w:val="en-CA"/>
        </w:rPr>
        <w:t>rgument in appellant’s brief</w:t>
      </w:r>
      <w:r w:rsidRPr="000A0EA1">
        <w:rPr>
          <w:lang w:val="en-CA"/>
        </w:rPr>
        <w:t>, para</w:t>
      </w:r>
      <w:r w:rsidR="0062160E">
        <w:rPr>
          <w:lang w:val="en-CA"/>
        </w:rPr>
        <w:t>s. 1</w:t>
      </w:r>
      <w:r w:rsidRPr="000A0EA1">
        <w:rPr>
          <w:lang w:val="en-CA"/>
        </w:rPr>
        <w:t>70-173.</w:t>
      </w:r>
    </w:p>
  </w:footnote>
  <w:footnote w:id="305">
    <w:p w14:paraId="17F5F59F" w14:textId="41D4A35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57.</w:t>
      </w:r>
    </w:p>
  </w:footnote>
  <w:footnote w:id="306">
    <w:p w14:paraId="17F5F5A0" w14:textId="1E022BAE"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62.</w:t>
      </w:r>
    </w:p>
  </w:footnote>
  <w:footnote w:id="307">
    <w:p w14:paraId="17F5F5A1" w14:textId="78B4DB5D"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61.</w:t>
      </w:r>
    </w:p>
  </w:footnote>
  <w:footnote w:id="308">
    <w:p w14:paraId="17F5F5A2" w14:textId="3E297D4B" w:rsidR="004C7649" w:rsidRPr="000A0EA1" w:rsidRDefault="00B02E00" w:rsidP="00941E02">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Mikisew Cree First Nation v. Canada (Governor General in Council)</w:t>
      </w:r>
      <w:r w:rsidRPr="000A0EA1">
        <w:rPr>
          <w:lang w:val="en-CA"/>
        </w:rPr>
        <w:t>, 2018 SCC 40, [</w:t>
      </w:r>
      <w:r w:rsidRPr="000A0EA1">
        <w:rPr>
          <w:rStyle w:val="solexhl"/>
          <w:color w:val="000000"/>
          <w:lang w:val="en-CA"/>
        </w:rPr>
        <w:t>2018</w:t>
      </w:r>
      <w:r w:rsidRPr="000A0EA1">
        <w:rPr>
          <w:lang w:val="en-CA"/>
        </w:rPr>
        <w:t>] 2</w:t>
      </w:r>
      <w:r w:rsidR="00956B70">
        <w:rPr>
          <w:lang w:val="en-CA"/>
        </w:rPr>
        <w:t> S.C.R. </w:t>
      </w:r>
      <w:r w:rsidRPr="000A0EA1">
        <w:rPr>
          <w:lang w:val="en-CA"/>
        </w:rPr>
        <w:t xml:space="preserve">765, </w:t>
      </w:r>
      <w:r w:rsidR="0062160E">
        <w:rPr>
          <w:lang w:val="en-CA"/>
        </w:rPr>
        <w:t>para. 3</w:t>
      </w:r>
      <w:r w:rsidRPr="000A0EA1">
        <w:rPr>
          <w:lang w:val="en-CA"/>
        </w:rPr>
        <w:t>2 (Karakatsanis,</w:t>
      </w:r>
      <w:r w:rsidR="00BE2D08">
        <w:rPr>
          <w:lang w:val="en-CA"/>
        </w:rPr>
        <w:t> </w:t>
      </w:r>
      <w:r w:rsidRPr="000A0EA1">
        <w:rPr>
          <w:lang w:val="en-CA"/>
        </w:rPr>
        <w:t xml:space="preserve">J.) and </w:t>
      </w:r>
      <w:r w:rsidR="0062160E">
        <w:rPr>
          <w:lang w:val="en-CA"/>
        </w:rPr>
        <w:t>para. 1</w:t>
      </w:r>
      <w:r w:rsidRPr="000A0EA1">
        <w:rPr>
          <w:lang w:val="en-CA"/>
        </w:rPr>
        <w:t>02 (Brown,</w:t>
      </w:r>
      <w:r w:rsidR="00BE2D08">
        <w:rPr>
          <w:lang w:val="en-CA"/>
        </w:rPr>
        <w:t> </w:t>
      </w:r>
      <w:r w:rsidRPr="000A0EA1">
        <w:rPr>
          <w:lang w:val="en-CA"/>
        </w:rPr>
        <w:t>J.).</w:t>
      </w:r>
    </w:p>
  </w:footnote>
  <w:footnote w:id="309">
    <w:p w14:paraId="17F5F5A3" w14:textId="45FF624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Solski (Tutor of) v. Quebec (Attorney General)</w:t>
      </w:r>
      <w:r w:rsidRPr="000A0EA1">
        <w:rPr>
          <w:lang w:val="en-CA"/>
        </w:rPr>
        <w:t>, 2005 SCC 14, [2005] 1</w:t>
      </w:r>
      <w:r w:rsidR="00956B70">
        <w:rPr>
          <w:lang w:val="en-CA"/>
        </w:rPr>
        <w:t> S.C.R. </w:t>
      </w:r>
      <w:r w:rsidRPr="000A0EA1">
        <w:rPr>
          <w:lang w:val="en-CA"/>
        </w:rPr>
        <w:t xml:space="preserve">201, </w:t>
      </w:r>
      <w:r w:rsidR="0062160E">
        <w:rPr>
          <w:lang w:val="en-CA"/>
        </w:rPr>
        <w:t>para. 1</w:t>
      </w:r>
      <w:r w:rsidRPr="000A0EA1">
        <w:rPr>
          <w:lang w:val="en-CA"/>
        </w:rPr>
        <w:t>0.</w:t>
      </w:r>
    </w:p>
  </w:footnote>
  <w:footnote w:id="310">
    <w:p w14:paraId="17F5F5A4" w14:textId="18CFB826"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Nguyen v. Quebec (Education, Recreation and Sports)</w:t>
      </w:r>
      <w:r w:rsidRPr="000A0EA1">
        <w:rPr>
          <w:lang w:val="en-CA"/>
        </w:rPr>
        <w:t>, 2009 SCC 47, [2009] 3</w:t>
      </w:r>
      <w:r w:rsidR="00956B70">
        <w:rPr>
          <w:lang w:val="en-CA"/>
        </w:rPr>
        <w:t> S.C.R. </w:t>
      </w:r>
      <w:r w:rsidRPr="000A0EA1">
        <w:rPr>
          <w:lang w:val="en-CA"/>
        </w:rPr>
        <w:t xml:space="preserve">208, </w:t>
      </w:r>
      <w:r w:rsidR="0062160E">
        <w:rPr>
          <w:lang w:val="en-CA"/>
        </w:rPr>
        <w:t>para. 2</w:t>
      </w:r>
      <w:r w:rsidRPr="000A0EA1">
        <w:rPr>
          <w:lang w:val="en-CA"/>
        </w:rPr>
        <w:t>5.</w:t>
      </w:r>
    </w:p>
  </w:footnote>
  <w:footnote w:id="311">
    <w:p w14:paraId="17F5F5A5" w14:textId="6C36DA20"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 xml:space="preserve">369. See also: </w:t>
      </w:r>
      <w:r w:rsidRPr="000A0EA1">
        <w:rPr>
          <w:i/>
          <w:iCs/>
          <w:lang w:val="en-CA"/>
        </w:rPr>
        <w:t xml:space="preserve">Reference re Public Schools Act (Man.), </w:t>
      </w:r>
      <w:r w:rsidR="0062160E">
        <w:rPr>
          <w:i/>
          <w:iCs/>
          <w:lang w:val="en-CA"/>
        </w:rPr>
        <w:t>s. 7</w:t>
      </w:r>
      <w:r w:rsidRPr="000A0EA1">
        <w:rPr>
          <w:i/>
          <w:iCs/>
          <w:lang w:val="en-CA"/>
        </w:rPr>
        <w:t>9(3), (4) and (7)</w:t>
      </w:r>
      <w:r w:rsidRPr="000A0EA1">
        <w:rPr>
          <w:lang w:val="en-CA"/>
        </w:rPr>
        <w:t>, [1993] 1</w:t>
      </w:r>
      <w:r w:rsidR="00956B70">
        <w:rPr>
          <w:lang w:val="en-CA"/>
        </w:rPr>
        <w:t> S.C.R. </w:t>
      </w:r>
      <w:r w:rsidRPr="000A0EA1">
        <w:rPr>
          <w:lang w:val="en-CA"/>
        </w:rPr>
        <w:t xml:space="preserve">839, </w:t>
      </w:r>
      <w:r w:rsidR="00E95DC2">
        <w:rPr>
          <w:lang w:val="en-CA"/>
        </w:rPr>
        <w:t>p. </w:t>
      </w:r>
      <w:r w:rsidRPr="000A0EA1">
        <w:rPr>
          <w:lang w:val="en-CA"/>
        </w:rPr>
        <w:t>857.</w:t>
      </w:r>
    </w:p>
  </w:footnote>
  <w:footnote w:id="312">
    <w:p w14:paraId="17F5F5A6" w14:textId="099A15F1"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00994A46">
        <w:rPr>
          <w:lang w:val="en-CA"/>
        </w:rPr>
        <w:t>Argument in respondents’ brief</w:t>
      </w:r>
      <w:r w:rsidRPr="000A0EA1">
        <w:rPr>
          <w:lang w:val="en-CA"/>
        </w:rPr>
        <w:t>, para</w:t>
      </w:r>
      <w:r w:rsidR="0062160E">
        <w:rPr>
          <w:lang w:val="en-CA"/>
        </w:rPr>
        <w:t>s. 1</w:t>
      </w:r>
      <w:r w:rsidRPr="000A0EA1">
        <w:rPr>
          <w:lang w:val="en-CA"/>
        </w:rPr>
        <w:t>30-132 and 138.</w:t>
      </w:r>
    </w:p>
  </w:footnote>
  <w:footnote w:id="313">
    <w:p w14:paraId="17F5F5A7" w14:textId="37C36CED"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Behn v. Moulton Contracting Ltd.,</w:t>
      </w:r>
      <w:r w:rsidRPr="000A0EA1">
        <w:rPr>
          <w:lang w:val="en-CA"/>
        </w:rPr>
        <w:t xml:space="preserve"> 2013 SCC 26, [2013] 2</w:t>
      </w:r>
      <w:r w:rsidR="00956B70">
        <w:rPr>
          <w:lang w:val="en-CA"/>
        </w:rPr>
        <w:t> S.C.R. </w:t>
      </w:r>
      <w:r w:rsidRPr="000A0EA1">
        <w:rPr>
          <w:lang w:val="en-CA"/>
        </w:rPr>
        <w:t xml:space="preserve">227, </w:t>
      </w:r>
      <w:r w:rsidR="0062160E">
        <w:rPr>
          <w:lang w:val="en-CA"/>
        </w:rPr>
        <w:t>para. 2</w:t>
      </w:r>
      <w:r w:rsidRPr="000A0EA1">
        <w:rPr>
          <w:lang w:val="en-CA"/>
        </w:rPr>
        <w:t xml:space="preserve">8; </w:t>
      </w:r>
      <w:r w:rsidRPr="000A0EA1">
        <w:rPr>
          <w:i/>
          <w:iCs/>
          <w:lang w:val="en-CA"/>
        </w:rPr>
        <w:t>Haïda Nation v. British Columbia (Minister of Forests)</w:t>
      </w:r>
      <w:r w:rsidRPr="000A0EA1">
        <w:rPr>
          <w:lang w:val="en-CA"/>
        </w:rPr>
        <w:t>, 2004 SCC 73, [2004] 3</w:t>
      </w:r>
      <w:r w:rsidR="00956B70">
        <w:rPr>
          <w:lang w:val="en-CA"/>
        </w:rPr>
        <w:t> S.C.R. </w:t>
      </w:r>
      <w:r w:rsidRPr="000A0EA1">
        <w:rPr>
          <w:lang w:val="en-CA"/>
        </w:rPr>
        <w:t>511, para</w:t>
      </w:r>
      <w:r w:rsidR="0062160E">
        <w:rPr>
          <w:lang w:val="en-CA"/>
        </w:rPr>
        <w:t>s. 2</w:t>
      </w:r>
      <w:r w:rsidRPr="000A0EA1">
        <w:rPr>
          <w:lang w:val="en-CA"/>
        </w:rPr>
        <w:t>5</w:t>
      </w:r>
      <w:r w:rsidR="00BE2D08">
        <w:rPr>
          <w:lang w:val="en-CA"/>
        </w:rPr>
        <w:noBreakHyphen/>
      </w:r>
      <w:r w:rsidRPr="000A0EA1">
        <w:rPr>
          <w:lang w:val="en-CA"/>
        </w:rPr>
        <w:t>27.</w:t>
      </w:r>
    </w:p>
  </w:footnote>
  <w:footnote w:id="314">
    <w:p w14:paraId="17F5F5A8" w14:textId="5CF9F61D" w:rsidR="004C7649" w:rsidRPr="007D51DF" w:rsidRDefault="00B02E00" w:rsidP="004C7649">
      <w:pPr>
        <w:pStyle w:val="Notedebasdepage"/>
      </w:pPr>
      <w:r w:rsidRPr="000A0EA1">
        <w:rPr>
          <w:rStyle w:val="Appelnotedebasdep"/>
          <w:lang w:val="en-CA"/>
        </w:rPr>
        <w:footnoteRef/>
      </w:r>
      <w:r w:rsidRPr="000A0EA1">
        <w:rPr>
          <w:lang w:val="en-CA"/>
        </w:rPr>
        <w:t xml:space="preserve"> </w:t>
      </w:r>
      <w:r w:rsidRPr="000A0EA1">
        <w:rPr>
          <w:lang w:val="en-CA"/>
        </w:rPr>
        <w:tab/>
      </w:r>
      <w:r w:rsidRPr="000A0EA1">
        <w:rPr>
          <w:i/>
          <w:iCs/>
          <w:lang w:val="en-CA"/>
        </w:rPr>
        <w:t>Health Services and Support – Facilities Subsector Bargaining Assn. v. British Columbia</w:t>
      </w:r>
      <w:r w:rsidRPr="000A0EA1">
        <w:rPr>
          <w:lang w:val="en-CA"/>
        </w:rPr>
        <w:t>, 2007 SCC</w:t>
      </w:r>
      <w:r w:rsidR="00BE2D08">
        <w:rPr>
          <w:lang w:val="en-CA"/>
        </w:rPr>
        <w:t> </w:t>
      </w:r>
      <w:r w:rsidRPr="000A0EA1">
        <w:rPr>
          <w:lang w:val="en-CA"/>
        </w:rPr>
        <w:t>27, [2007]</w:t>
      </w:r>
      <w:r w:rsidR="00BE2D08">
        <w:rPr>
          <w:lang w:val="en-CA"/>
        </w:rPr>
        <w:t> </w:t>
      </w:r>
      <w:r w:rsidRPr="000A0EA1">
        <w:rPr>
          <w:lang w:val="en-CA"/>
        </w:rPr>
        <w:t>2</w:t>
      </w:r>
      <w:r w:rsidR="00956B70">
        <w:rPr>
          <w:lang w:val="en-CA"/>
        </w:rPr>
        <w:t> S.C.R. </w:t>
      </w:r>
      <w:r w:rsidRPr="000A0EA1">
        <w:rPr>
          <w:lang w:val="en-CA"/>
        </w:rPr>
        <w:t>391, para</w:t>
      </w:r>
      <w:r w:rsidR="0062160E">
        <w:rPr>
          <w:lang w:val="en-CA"/>
        </w:rPr>
        <w:t>s. </w:t>
      </w:r>
      <w:r w:rsidR="0062160E" w:rsidRPr="007D51DF">
        <w:t>8</w:t>
      </w:r>
      <w:r w:rsidRPr="007D51DF">
        <w:t>9</w:t>
      </w:r>
      <w:r w:rsidR="00BE2D08" w:rsidRPr="007D51DF">
        <w:noBreakHyphen/>
      </w:r>
      <w:r w:rsidRPr="007D51DF">
        <w:t>91</w:t>
      </w:r>
      <w:r w:rsidR="00BE2D08" w:rsidRPr="007D51DF">
        <w:t>.</w:t>
      </w:r>
    </w:p>
  </w:footnote>
  <w:footnote w:id="315">
    <w:p w14:paraId="17F5F5A9" w14:textId="2FE40A9D" w:rsidR="004C7649" w:rsidRPr="000A0EA1" w:rsidRDefault="00B02E00" w:rsidP="004C7649">
      <w:pPr>
        <w:pStyle w:val="Notedebasdepage"/>
        <w:rPr>
          <w:lang w:val="en-CA"/>
        </w:rPr>
      </w:pPr>
      <w:r w:rsidRPr="000A0EA1">
        <w:rPr>
          <w:rStyle w:val="Appelnotedebasdep"/>
          <w:lang w:val="en-CA"/>
        </w:rPr>
        <w:footnoteRef/>
      </w:r>
      <w:r w:rsidRPr="007D51DF">
        <w:t xml:space="preserve"> </w:t>
      </w:r>
      <w:r w:rsidRPr="007D51DF">
        <w:tab/>
      </w:r>
      <w:r w:rsidRPr="007D51DF">
        <w:rPr>
          <w:i/>
          <w:iCs/>
        </w:rPr>
        <w:t>Alliance autochtone du Québec c. Procureur général du Québec (Ministre des Ressources naturelles et de la Faune du Québec et Ministre délégué aux Affaires autochtones du Québec)</w:t>
      </w:r>
      <w:r w:rsidRPr="007D51DF">
        <w:t xml:space="preserve">, 2024 QCCA 1472, </w:t>
      </w:r>
      <w:r w:rsidR="0062160E" w:rsidRPr="007D51DF">
        <w:t>para. </w:t>
      </w:r>
      <w:r w:rsidR="0062160E">
        <w:rPr>
          <w:lang w:val="en-CA"/>
        </w:rPr>
        <w:t>1</w:t>
      </w:r>
      <w:r w:rsidRPr="000A0EA1">
        <w:rPr>
          <w:lang w:val="en-CA"/>
        </w:rPr>
        <w:t>30</w:t>
      </w:r>
      <w:r w:rsidR="00E52D21">
        <w:rPr>
          <w:lang w:val="en-CA"/>
        </w:rPr>
        <w:t xml:space="preserve">, application for </w:t>
      </w:r>
      <w:r w:rsidR="00352563">
        <w:rPr>
          <w:lang w:val="en-CA"/>
        </w:rPr>
        <w:t xml:space="preserve">leave to appeal to the Supreme Court, </w:t>
      </w:r>
      <w:r w:rsidR="00AC6CD0">
        <w:rPr>
          <w:lang w:val="en-CA"/>
        </w:rPr>
        <w:t>F</w:t>
      </w:r>
      <w:r w:rsidR="00352563">
        <w:rPr>
          <w:lang w:val="en-CA"/>
        </w:rPr>
        <w:t xml:space="preserve">ile </w:t>
      </w:r>
      <w:r w:rsidR="00AC6CD0">
        <w:rPr>
          <w:lang w:val="en-CA"/>
        </w:rPr>
        <w:t xml:space="preserve">No. </w:t>
      </w:r>
      <w:r w:rsidR="00352563">
        <w:rPr>
          <w:lang w:val="en-CA"/>
        </w:rPr>
        <w:t>41631.</w:t>
      </w:r>
    </w:p>
  </w:footnote>
  <w:footnote w:id="316">
    <w:p w14:paraId="17F5F5AA" w14:textId="1AB2F348"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Arsenault</w:t>
      </w:r>
      <w:r w:rsidR="00AE44F9">
        <w:rPr>
          <w:i/>
          <w:iCs/>
          <w:lang w:val="en-CA"/>
        </w:rPr>
        <w:noBreakHyphen/>
      </w:r>
      <w:r w:rsidRPr="000A0EA1">
        <w:rPr>
          <w:i/>
          <w:iCs/>
          <w:lang w:val="en-CA"/>
        </w:rPr>
        <w:t>Cameron v. Prince Edward Island</w:t>
      </w:r>
      <w:r w:rsidRPr="000A0EA1">
        <w:rPr>
          <w:lang w:val="en-CA"/>
        </w:rPr>
        <w:t>, 2000 SCC 1, [2000] 1</w:t>
      </w:r>
      <w:r w:rsidR="00956B70">
        <w:rPr>
          <w:lang w:val="en-CA"/>
        </w:rPr>
        <w:t> S.C.R. </w:t>
      </w:r>
      <w:r w:rsidRPr="000A0EA1">
        <w:rPr>
          <w:lang w:val="en-CA"/>
        </w:rPr>
        <w:t>3.</w:t>
      </w:r>
    </w:p>
  </w:footnote>
  <w:footnote w:id="317">
    <w:p w14:paraId="17F5F5AB" w14:textId="2DE2E121"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Reference re Public Schools Act (Man.), </w:t>
      </w:r>
      <w:r w:rsidR="0062160E">
        <w:rPr>
          <w:i/>
          <w:iCs/>
          <w:lang w:val="en-CA"/>
        </w:rPr>
        <w:t>s. 7</w:t>
      </w:r>
      <w:r w:rsidRPr="000A0EA1">
        <w:rPr>
          <w:i/>
          <w:iCs/>
          <w:lang w:val="en-CA"/>
        </w:rPr>
        <w:t>9(3), (4) and (7)</w:t>
      </w:r>
      <w:r w:rsidRPr="000A0EA1">
        <w:rPr>
          <w:lang w:val="en-CA"/>
        </w:rPr>
        <w:t>, [1993] 1</w:t>
      </w:r>
      <w:r w:rsidR="00956B70">
        <w:rPr>
          <w:lang w:val="en-CA"/>
        </w:rPr>
        <w:t> S.C.R. </w:t>
      </w:r>
      <w:r w:rsidRPr="000A0EA1">
        <w:rPr>
          <w:lang w:val="en-CA"/>
        </w:rPr>
        <w:t xml:space="preserve">839, </w:t>
      </w:r>
      <w:r w:rsidR="00E95DC2">
        <w:rPr>
          <w:lang w:val="en-CA"/>
        </w:rPr>
        <w:t>p. </w:t>
      </w:r>
      <w:r w:rsidRPr="000A0EA1">
        <w:rPr>
          <w:lang w:val="en-CA"/>
        </w:rPr>
        <w:t>862.</w:t>
      </w:r>
    </w:p>
  </w:footnote>
  <w:footnote w:id="318">
    <w:p w14:paraId="17F5F5AC" w14:textId="7A5B6651"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E95DC2">
        <w:rPr>
          <w:lang w:val="en-CA"/>
        </w:rPr>
        <w:t>p. </w:t>
      </w:r>
      <w:r w:rsidRPr="000A0EA1">
        <w:rPr>
          <w:lang w:val="en-CA"/>
        </w:rPr>
        <w:t>860 [underlining in the original].</w:t>
      </w:r>
    </w:p>
  </w:footnote>
  <w:footnote w:id="319">
    <w:p w14:paraId="17F5F5AD" w14:textId="50ACEBB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Mahe v. Alberta</w:t>
      </w:r>
      <w:r w:rsidRPr="000A0EA1">
        <w:rPr>
          <w:lang w:val="en-CA"/>
        </w:rPr>
        <w:t>, [1990] 1</w:t>
      </w:r>
      <w:r w:rsidR="00956B70">
        <w:rPr>
          <w:lang w:val="en-CA"/>
        </w:rPr>
        <w:t> S.C.R. </w:t>
      </w:r>
      <w:r w:rsidRPr="000A0EA1">
        <w:rPr>
          <w:lang w:val="en-CA"/>
        </w:rPr>
        <w:t xml:space="preserve">342, </w:t>
      </w:r>
      <w:r w:rsidR="00E95DC2">
        <w:rPr>
          <w:lang w:val="en-CA"/>
        </w:rPr>
        <w:t>p. </w:t>
      </w:r>
      <w:r w:rsidRPr="000A0EA1">
        <w:rPr>
          <w:lang w:val="en-CA"/>
        </w:rPr>
        <w:t>393.</w:t>
      </w:r>
    </w:p>
  </w:footnote>
  <w:footnote w:id="320">
    <w:p w14:paraId="17F5F5AE" w14:textId="56A1B0CA"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A</w:t>
      </w:r>
      <w:r w:rsidR="00994A46">
        <w:rPr>
          <w:lang w:val="en-CA"/>
        </w:rPr>
        <w:t>rgument in appellant’s brief</w:t>
      </w:r>
      <w:r w:rsidRPr="000A0EA1">
        <w:rPr>
          <w:lang w:val="en-CA"/>
        </w:rPr>
        <w:t xml:space="preserve">, </w:t>
      </w:r>
      <w:r w:rsidR="0062160E">
        <w:rPr>
          <w:lang w:val="en-CA"/>
        </w:rPr>
        <w:t>para. 1</w:t>
      </w:r>
      <w:r w:rsidRPr="000A0EA1">
        <w:rPr>
          <w:lang w:val="en-CA"/>
        </w:rPr>
        <w:t>64.</w:t>
      </w:r>
    </w:p>
  </w:footnote>
  <w:footnote w:id="321">
    <w:p w14:paraId="17F5F5AF" w14:textId="3C83E6BF" w:rsidR="004C7649" w:rsidRPr="000A0EA1" w:rsidRDefault="00B02E00" w:rsidP="004C7649">
      <w:pPr>
        <w:pStyle w:val="Notedebasdepage"/>
        <w:rPr>
          <w:lang w:val="en-CA"/>
        </w:rPr>
      </w:pPr>
      <w:r w:rsidRPr="000A0EA1">
        <w:rPr>
          <w:rStyle w:val="Appelnotedebasdep"/>
          <w:lang w:val="en-CA"/>
        </w:rPr>
        <w:footnoteRef/>
      </w:r>
      <w:r w:rsidRPr="000A0EA1">
        <w:rPr>
          <w:i/>
          <w:iCs/>
          <w:lang w:val="en-CA"/>
        </w:rPr>
        <w:t xml:space="preserve"> </w:t>
      </w:r>
      <w:r w:rsidRPr="000A0EA1">
        <w:rPr>
          <w:lang w:val="en-CA"/>
        </w:rPr>
        <w:tab/>
        <w:t xml:space="preserve">Section 52(2) of </w:t>
      </w:r>
      <w:r w:rsidR="00E0587D" w:rsidRPr="000A0EA1">
        <w:rPr>
          <w:lang w:val="en-CA"/>
        </w:rPr>
        <w:t>the</w:t>
      </w:r>
      <w:r w:rsidRPr="000A0EA1">
        <w:rPr>
          <w:lang w:val="en-CA"/>
        </w:rPr>
        <w:t xml:space="preserve"> </w:t>
      </w:r>
      <w:r w:rsidRPr="000A0EA1">
        <w:rPr>
          <w:i/>
          <w:iCs/>
          <w:lang w:val="en-CA"/>
        </w:rPr>
        <w:t>Constitution Act, 1982</w:t>
      </w:r>
      <w:r w:rsidRPr="000A0EA1">
        <w:rPr>
          <w:lang w:val="en-CA"/>
        </w:rPr>
        <w:t>.</w:t>
      </w:r>
    </w:p>
  </w:footnote>
  <w:footnote w:id="322">
    <w:p w14:paraId="17F5F5B0" w14:textId="4E92AD98"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Ontario (Attorney General) v. G.,</w:t>
      </w:r>
      <w:r w:rsidRPr="000A0EA1">
        <w:rPr>
          <w:lang w:val="en-CA"/>
        </w:rPr>
        <w:t xml:space="preserve"> 2020 SCC 38, [2020] 3</w:t>
      </w:r>
      <w:r w:rsidR="00956B70">
        <w:rPr>
          <w:lang w:val="en-CA"/>
        </w:rPr>
        <w:t> S.C.R. </w:t>
      </w:r>
      <w:r w:rsidRPr="000A0EA1">
        <w:rPr>
          <w:lang w:val="en-CA"/>
        </w:rPr>
        <w:t xml:space="preserve">629, </w:t>
      </w:r>
      <w:r w:rsidR="0062160E">
        <w:rPr>
          <w:lang w:val="en-CA"/>
        </w:rPr>
        <w:t>para. 8</w:t>
      </w:r>
      <w:r w:rsidRPr="000A0EA1">
        <w:rPr>
          <w:lang w:val="en-CA"/>
        </w:rPr>
        <w:t>5.</w:t>
      </w:r>
    </w:p>
  </w:footnote>
  <w:footnote w:id="323">
    <w:p w14:paraId="17F5F5B1" w14:textId="0D88080D"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8</w:t>
      </w:r>
      <w:r w:rsidRPr="000A0EA1">
        <w:rPr>
          <w:lang w:val="en-CA"/>
        </w:rPr>
        <w:t>6.</w:t>
      </w:r>
    </w:p>
  </w:footnote>
  <w:footnote w:id="324">
    <w:p w14:paraId="17F5F5B2" w14:textId="344FA0BE" w:rsidR="004C7649" w:rsidRPr="000A0EA1" w:rsidRDefault="00B02E00" w:rsidP="004C7649">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w:t>
      </w:r>
      <w:r w:rsidR="000D435E">
        <w:rPr>
          <w:i/>
          <w:iCs/>
          <w:lang w:val="en-CA"/>
        </w:rPr>
        <w:t>bi</w:t>
      </w:r>
      <w:r w:rsidRPr="000A0EA1">
        <w:rPr>
          <w:i/>
          <w:iCs/>
          <w:lang w:val="en-CA"/>
        </w:rPr>
        <w:t>d</w:t>
      </w:r>
      <w:r w:rsidRPr="000A0EA1">
        <w:rPr>
          <w:lang w:val="en-CA"/>
        </w:rPr>
        <w:t>.</w:t>
      </w:r>
      <w:r w:rsidR="000D435E">
        <w:rPr>
          <w:lang w:val="en-CA"/>
        </w:rPr>
        <w:t xml:space="preserve"> See also</w:t>
      </w:r>
      <w:r w:rsidRPr="000A0EA1">
        <w:rPr>
          <w:lang w:val="en-CA"/>
        </w:rPr>
        <w:t xml:space="preserve"> para</w:t>
      </w:r>
      <w:r w:rsidR="0062160E">
        <w:rPr>
          <w:lang w:val="en-CA"/>
        </w:rPr>
        <w:t>s. 8</w:t>
      </w:r>
      <w:r w:rsidRPr="000A0EA1">
        <w:rPr>
          <w:lang w:val="en-CA"/>
        </w:rPr>
        <w:t>9 and 92.</w:t>
      </w:r>
    </w:p>
  </w:footnote>
  <w:footnote w:id="325">
    <w:p w14:paraId="17F5F5B3" w14:textId="21764F90" w:rsidR="004C7649" w:rsidRPr="000A0EA1" w:rsidRDefault="00B02E00" w:rsidP="004C7649">
      <w:pPr>
        <w:pStyle w:val="Notedebasdepage"/>
        <w:rPr>
          <w:iCs/>
          <w:lang w:val="en-CA"/>
        </w:rPr>
      </w:pPr>
      <w:r w:rsidRPr="000A0EA1">
        <w:rPr>
          <w:rStyle w:val="Appelnotedebasdep"/>
          <w:lang w:val="en-CA"/>
        </w:rPr>
        <w:footnoteRef/>
      </w:r>
      <w:r w:rsidRPr="000A0EA1">
        <w:rPr>
          <w:iCs/>
          <w:lang w:val="en-CA"/>
        </w:rPr>
        <w:t xml:space="preserve"> </w:t>
      </w:r>
      <w:r w:rsidRPr="000A0EA1">
        <w:rPr>
          <w:iCs/>
          <w:lang w:val="en-CA"/>
        </w:rPr>
        <w:tab/>
      </w:r>
      <w:r w:rsidRPr="000A0EA1">
        <w:rPr>
          <w:i/>
          <w:iCs/>
          <w:lang w:val="en-CA"/>
        </w:rPr>
        <w:t>Id.</w:t>
      </w:r>
      <w:r w:rsidRPr="000A0EA1">
        <w:rPr>
          <w:iCs/>
          <w:lang w:val="en-CA"/>
        </w:rPr>
        <w:t xml:space="preserve">, </w:t>
      </w:r>
      <w:r w:rsidR="0062160E">
        <w:rPr>
          <w:iCs/>
          <w:lang w:val="en-CA"/>
        </w:rPr>
        <w:t>para. 8</w:t>
      </w:r>
      <w:r w:rsidRPr="000A0EA1">
        <w:rPr>
          <w:iCs/>
          <w:lang w:val="en-CA"/>
        </w:rPr>
        <w:t>9.</w:t>
      </w:r>
    </w:p>
  </w:footnote>
  <w:footnote w:id="326">
    <w:p w14:paraId="17F5F5B4" w14:textId="50FCC9C6"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rStyle w:val="reflex"/>
          <w:i/>
          <w:iCs/>
          <w:color w:val="000000"/>
          <w:lang w:val="en-CA"/>
        </w:rPr>
        <w:t>Schachter v. Canada</w:t>
      </w:r>
      <w:r w:rsidRPr="000A0EA1">
        <w:rPr>
          <w:rStyle w:val="reflex"/>
          <w:color w:val="000000"/>
          <w:lang w:val="en-CA"/>
        </w:rPr>
        <w:t>, </w:t>
      </w:r>
      <w:r w:rsidRPr="000A0EA1">
        <w:rPr>
          <w:lang w:val="en-CA"/>
        </w:rPr>
        <w:t>[1992] 2</w:t>
      </w:r>
      <w:r w:rsidR="00956B70">
        <w:rPr>
          <w:lang w:val="en-CA"/>
        </w:rPr>
        <w:t> S.C.R. </w:t>
      </w:r>
      <w:r w:rsidRPr="000A0EA1">
        <w:rPr>
          <w:lang w:val="en-CA"/>
        </w:rPr>
        <w:t>679 (</w:t>
      </w:r>
      <w:r w:rsidR="00E46AFD">
        <w:rPr>
          <w:lang w:val="en-CA"/>
        </w:rPr>
        <w:t>“</w:t>
      </w:r>
      <w:r w:rsidRPr="000A0EA1">
        <w:rPr>
          <w:i/>
          <w:iCs/>
          <w:lang w:val="en-CA"/>
        </w:rPr>
        <w:t>Schachter</w:t>
      </w:r>
      <w:r w:rsidR="00E46AFD">
        <w:rPr>
          <w:lang w:val="en-CA"/>
        </w:rPr>
        <w:t>”</w:t>
      </w:r>
      <w:r w:rsidRPr="000A0EA1">
        <w:rPr>
          <w:lang w:val="en-CA"/>
        </w:rPr>
        <w:t>)</w:t>
      </w:r>
      <w:r w:rsidRPr="000A0EA1">
        <w:rPr>
          <w:rStyle w:val="reflex3-block"/>
          <w:color w:val="000000"/>
          <w:lang w:val="en-CA"/>
        </w:rPr>
        <w:t>.</w:t>
      </w:r>
    </w:p>
  </w:footnote>
  <w:footnote w:id="327">
    <w:p w14:paraId="17F5F5B5" w14:textId="55969FE2"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rStyle w:val="reflex"/>
          <w:i/>
          <w:iCs/>
          <w:color w:val="000000"/>
          <w:lang w:val="en-CA"/>
        </w:rPr>
        <w:t>Id.</w:t>
      </w:r>
      <w:r w:rsidRPr="000A0EA1">
        <w:rPr>
          <w:lang w:val="en-CA"/>
        </w:rPr>
        <w:t>, p</w:t>
      </w:r>
      <w:r w:rsidR="00E95DC2">
        <w:rPr>
          <w:lang w:val="en-CA"/>
        </w:rPr>
        <w:t>p. </w:t>
      </w:r>
      <w:r w:rsidRPr="000A0EA1">
        <w:rPr>
          <w:lang w:val="en-CA"/>
        </w:rPr>
        <w:t>695-700.</w:t>
      </w:r>
    </w:p>
  </w:footnote>
  <w:footnote w:id="328">
    <w:p w14:paraId="17F5F5B6" w14:textId="733E129B"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rStyle w:val="reflex"/>
          <w:i/>
          <w:iCs/>
          <w:color w:val="000000"/>
          <w:lang w:val="en-CA"/>
        </w:rPr>
        <w:t>Id.</w:t>
      </w:r>
      <w:r w:rsidRPr="000A0EA1">
        <w:rPr>
          <w:lang w:val="en-CA"/>
        </w:rPr>
        <w:t xml:space="preserve">, </w:t>
      </w:r>
      <w:r w:rsidR="00E95DC2">
        <w:rPr>
          <w:lang w:val="en-CA"/>
        </w:rPr>
        <w:t>p. </w:t>
      </w:r>
      <w:r w:rsidRPr="000A0EA1">
        <w:rPr>
          <w:lang w:val="en-CA"/>
        </w:rPr>
        <w:t>696.</w:t>
      </w:r>
    </w:p>
  </w:footnote>
  <w:footnote w:id="329">
    <w:p w14:paraId="17F5F5B7" w14:textId="76DD7D60"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Ontario (Attorney General) </w:t>
      </w:r>
      <w:r w:rsidRPr="000A0EA1">
        <w:rPr>
          <w:lang w:val="en-CA"/>
        </w:rPr>
        <w:t>v. G., 2020 SCC 38, [2020] 3</w:t>
      </w:r>
      <w:r w:rsidR="00956B70">
        <w:rPr>
          <w:lang w:val="en-CA"/>
        </w:rPr>
        <w:t> S.C.R. </w:t>
      </w:r>
      <w:r w:rsidRPr="000A0EA1">
        <w:rPr>
          <w:lang w:val="en-CA"/>
        </w:rPr>
        <w:t xml:space="preserve">629, </w:t>
      </w:r>
      <w:r w:rsidR="0062160E">
        <w:rPr>
          <w:lang w:val="en-CA"/>
        </w:rPr>
        <w:t>para. 1</w:t>
      </w:r>
      <w:r w:rsidRPr="000A0EA1">
        <w:rPr>
          <w:lang w:val="en-CA"/>
        </w:rPr>
        <w:t>08.</w:t>
      </w:r>
    </w:p>
  </w:footnote>
  <w:footnote w:id="330">
    <w:p w14:paraId="17F5F5B8" w14:textId="0B851186"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09.</w:t>
      </w:r>
    </w:p>
  </w:footnote>
  <w:footnote w:id="331">
    <w:p w14:paraId="17F5F5B9" w14:textId="4C8D4760"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1</w:t>
      </w:r>
      <w:r w:rsidRPr="000A0EA1">
        <w:rPr>
          <w:lang w:val="en-CA"/>
        </w:rPr>
        <w:t>12.</w:t>
      </w:r>
    </w:p>
  </w:footnote>
  <w:footnote w:id="332">
    <w:p w14:paraId="17F5F5BA" w14:textId="140E515F"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r w:rsidRPr="000A0EA1">
        <w:rPr>
          <w:lang w:val="en-CA"/>
        </w:rPr>
        <w:t xml:space="preserve">; </w:t>
      </w:r>
      <w:r w:rsidRPr="000A0EA1">
        <w:rPr>
          <w:rStyle w:val="reflex"/>
          <w:i/>
          <w:iCs/>
          <w:color w:val="000000"/>
          <w:lang w:val="en-CA"/>
        </w:rPr>
        <w:t>Schachter v. Canada</w:t>
      </w:r>
      <w:r w:rsidRPr="000A0EA1">
        <w:rPr>
          <w:rStyle w:val="reflex"/>
          <w:color w:val="000000"/>
          <w:lang w:val="en-CA"/>
        </w:rPr>
        <w:t xml:space="preserve">, </w:t>
      </w:r>
      <w:r w:rsidRPr="000A0EA1">
        <w:rPr>
          <w:lang w:val="en-CA"/>
        </w:rPr>
        <w:t>[1992] 2</w:t>
      </w:r>
      <w:r w:rsidR="00956B70">
        <w:rPr>
          <w:lang w:val="en-CA"/>
        </w:rPr>
        <w:t> S.C.R. </w:t>
      </w:r>
      <w:r w:rsidRPr="000A0EA1">
        <w:rPr>
          <w:lang w:val="en-CA"/>
        </w:rPr>
        <w:t>679</w:t>
      </w:r>
      <w:r w:rsidRPr="000A0EA1">
        <w:rPr>
          <w:rStyle w:val="reflex3-block"/>
          <w:color w:val="000000"/>
          <w:lang w:val="en-CA"/>
        </w:rPr>
        <w:t xml:space="preserve">, </w:t>
      </w:r>
      <w:r w:rsidR="00E95DC2">
        <w:rPr>
          <w:rStyle w:val="reflex3-block"/>
          <w:color w:val="000000"/>
          <w:lang w:val="en-CA"/>
        </w:rPr>
        <w:t>p. </w:t>
      </w:r>
      <w:r w:rsidRPr="000A0EA1">
        <w:rPr>
          <w:rStyle w:val="reflex3-block"/>
          <w:color w:val="000000"/>
          <w:lang w:val="en-CA"/>
        </w:rPr>
        <w:t>700.</w:t>
      </w:r>
    </w:p>
  </w:footnote>
  <w:footnote w:id="333">
    <w:p w14:paraId="17F5F5BB" w14:textId="37151E54"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Ontario (Attorney General) v. G</w:t>
      </w:r>
      <w:r w:rsidRPr="000A0EA1">
        <w:rPr>
          <w:lang w:val="en-CA"/>
        </w:rPr>
        <w:t>., 2020 SCC 38, [2020] 3</w:t>
      </w:r>
      <w:r w:rsidR="00956B70">
        <w:rPr>
          <w:lang w:val="en-CA"/>
        </w:rPr>
        <w:t> S.C.R. </w:t>
      </w:r>
      <w:r w:rsidRPr="000A0EA1">
        <w:rPr>
          <w:lang w:val="en-CA"/>
        </w:rPr>
        <w:t xml:space="preserve">629, </w:t>
      </w:r>
      <w:r w:rsidR="0062160E">
        <w:rPr>
          <w:lang w:val="en-CA"/>
        </w:rPr>
        <w:t>para. 1</w:t>
      </w:r>
      <w:r w:rsidRPr="000A0EA1">
        <w:rPr>
          <w:lang w:val="en-CA"/>
        </w:rPr>
        <w:t xml:space="preserve">14, citing </w:t>
      </w:r>
      <w:r w:rsidRPr="000A0EA1">
        <w:rPr>
          <w:rStyle w:val="reflex"/>
          <w:i/>
          <w:iCs/>
          <w:color w:val="000000"/>
          <w:lang w:val="en-CA"/>
        </w:rPr>
        <w:t>Schachter v. Canada</w:t>
      </w:r>
      <w:r w:rsidRPr="000A0EA1">
        <w:rPr>
          <w:rStyle w:val="reflex"/>
          <w:color w:val="000000"/>
          <w:lang w:val="en-CA"/>
        </w:rPr>
        <w:t xml:space="preserve">, </w:t>
      </w:r>
      <w:r w:rsidRPr="000A0EA1">
        <w:rPr>
          <w:lang w:val="en-CA"/>
        </w:rPr>
        <w:t>[1992] 2</w:t>
      </w:r>
      <w:r w:rsidR="00956B70">
        <w:rPr>
          <w:lang w:val="en-CA"/>
        </w:rPr>
        <w:t> S.C.R. </w:t>
      </w:r>
      <w:r w:rsidRPr="000A0EA1">
        <w:rPr>
          <w:lang w:val="en-CA"/>
        </w:rPr>
        <w:t>679</w:t>
      </w:r>
      <w:r w:rsidRPr="000A0EA1">
        <w:rPr>
          <w:rStyle w:val="reflex3-block"/>
          <w:color w:val="000000"/>
          <w:lang w:val="en-CA"/>
        </w:rPr>
        <w:t xml:space="preserve">, </w:t>
      </w:r>
      <w:r w:rsidR="00E95DC2">
        <w:rPr>
          <w:rStyle w:val="reflex3-block"/>
          <w:color w:val="000000"/>
          <w:lang w:val="en-CA"/>
        </w:rPr>
        <w:t>p. </w:t>
      </w:r>
      <w:r w:rsidRPr="000A0EA1">
        <w:rPr>
          <w:rStyle w:val="reflex3-block"/>
          <w:color w:val="000000"/>
          <w:lang w:val="en-CA"/>
        </w:rPr>
        <w:t>697.</w:t>
      </w:r>
    </w:p>
  </w:footnote>
  <w:footnote w:id="334">
    <w:p w14:paraId="17F5F5BC" w14:textId="140827CA"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Ontario (Attorney General) </w:t>
      </w:r>
      <w:r w:rsidRPr="000A0EA1">
        <w:rPr>
          <w:lang w:val="en-CA"/>
        </w:rPr>
        <w:t>v. G., 2020 SCC 38, [2020] 3</w:t>
      </w:r>
      <w:r w:rsidR="00956B70">
        <w:rPr>
          <w:lang w:val="en-CA"/>
        </w:rPr>
        <w:t> S.C.R. </w:t>
      </w:r>
      <w:r w:rsidRPr="000A0EA1">
        <w:rPr>
          <w:lang w:val="en-CA"/>
        </w:rPr>
        <w:t xml:space="preserve">629, </w:t>
      </w:r>
      <w:r w:rsidR="0062160E">
        <w:rPr>
          <w:lang w:val="en-CA"/>
        </w:rPr>
        <w:t>para. 1</w:t>
      </w:r>
      <w:r w:rsidRPr="000A0EA1">
        <w:rPr>
          <w:lang w:val="en-CA"/>
        </w:rPr>
        <w:t xml:space="preserve">14; </w:t>
      </w:r>
      <w:r w:rsidRPr="000A0EA1">
        <w:rPr>
          <w:rStyle w:val="reflex"/>
          <w:i/>
          <w:iCs/>
          <w:color w:val="000000"/>
          <w:lang w:val="en-CA"/>
        </w:rPr>
        <w:t>Schachter v. Canada</w:t>
      </w:r>
      <w:r w:rsidRPr="000A0EA1">
        <w:rPr>
          <w:rStyle w:val="reflex"/>
          <w:color w:val="000000"/>
          <w:lang w:val="en-CA"/>
        </w:rPr>
        <w:t xml:space="preserve">, </w:t>
      </w:r>
      <w:r w:rsidRPr="000A0EA1">
        <w:rPr>
          <w:lang w:val="en-CA"/>
        </w:rPr>
        <w:t>[1992]</w:t>
      </w:r>
      <w:r w:rsidR="004C5690">
        <w:rPr>
          <w:lang w:val="en-CA"/>
        </w:rPr>
        <w:t> </w:t>
      </w:r>
      <w:r w:rsidRPr="000A0EA1">
        <w:rPr>
          <w:lang w:val="en-CA"/>
        </w:rPr>
        <w:t>2</w:t>
      </w:r>
      <w:r w:rsidR="004C5690">
        <w:rPr>
          <w:lang w:val="en-CA"/>
        </w:rPr>
        <w:t> </w:t>
      </w:r>
      <w:r w:rsidR="00956B70">
        <w:rPr>
          <w:lang w:val="en-CA"/>
        </w:rPr>
        <w:t>S.C.R. </w:t>
      </w:r>
      <w:r w:rsidRPr="000A0EA1">
        <w:rPr>
          <w:lang w:val="en-CA"/>
        </w:rPr>
        <w:t>679</w:t>
      </w:r>
      <w:r w:rsidRPr="000A0EA1">
        <w:rPr>
          <w:rStyle w:val="reflex3-block"/>
          <w:color w:val="000000"/>
          <w:lang w:val="en-CA"/>
        </w:rPr>
        <w:t>, p</w:t>
      </w:r>
      <w:r w:rsidR="00E95DC2">
        <w:rPr>
          <w:rStyle w:val="reflex3-block"/>
          <w:color w:val="000000"/>
          <w:lang w:val="en-CA"/>
        </w:rPr>
        <w:t>p. </w:t>
      </w:r>
      <w:r w:rsidRPr="000A0EA1">
        <w:rPr>
          <w:rStyle w:val="reflex3-block"/>
          <w:color w:val="000000"/>
          <w:lang w:val="en-CA"/>
        </w:rPr>
        <w:t>705</w:t>
      </w:r>
      <w:r w:rsidR="004C5690">
        <w:rPr>
          <w:rStyle w:val="reflex3-block"/>
          <w:color w:val="000000"/>
          <w:lang w:val="en-CA"/>
        </w:rPr>
        <w:noBreakHyphen/>
      </w:r>
      <w:r w:rsidRPr="000A0EA1">
        <w:rPr>
          <w:rStyle w:val="reflex3-block"/>
          <w:color w:val="000000"/>
          <w:lang w:val="en-CA"/>
        </w:rPr>
        <w:t xml:space="preserve">706; </w:t>
      </w:r>
      <w:r w:rsidRPr="000A0EA1">
        <w:rPr>
          <w:rStyle w:val="reflex3-block"/>
          <w:i/>
          <w:iCs/>
          <w:color w:val="000000"/>
          <w:lang w:val="en-CA"/>
        </w:rPr>
        <w:t>Hunter v. Southam Inc</w:t>
      </w:r>
      <w:r w:rsidRPr="000A0EA1">
        <w:rPr>
          <w:rStyle w:val="reflex3-block"/>
          <w:color w:val="000000"/>
          <w:lang w:val="en-CA"/>
        </w:rPr>
        <w:t xml:space="preserve">., </w:t>
      </w:r>
      <w:r w:rsidRPr="000A0EA1">
        <w:rPr>
          <w:lang w:val="en-CA"/>
        </w:rPr>
        <w:t>[1984] 2</w:t>
      </w:r>
      <w:r w:rsidR="00956B70">
        <w:rPr>
          <w:lang w:val="en-CA"/>
        </w:rPr>
        <w:t> S.C.R. </w:t>
      </w:r>
      <w:r w:rsidRPr="000A0EA1">
        <w:rPr>
          <w:lang w:val="en-CA"/>
        </w:rPr>
        <w:t>145</w:t>
      </w:r>
      <w:r w:rsidRPr="000A0EA1">
        <w:rPr>
          <w:rStyle w:val="reflex3-block"/>
          <w:color w:val="000000"/>
          <w:lang w:val="en-CA"/>
        </w:rPr>
        <w:t xml:space="preserve">, </w:t>
      </w:r>
      <w:r w:rsidR="00E95DC2">
        <w:rPr>
          <w:rStyle w:val="reflex3-block"/>
          <w:color w:val="000000"/>
          <w:lang w:val="en-CA"/>
        </w:rPr>
        <w:t>p. </w:t>
      </w:r>
      <w:r w:rsidRPr="000A0EA1">
        <w:rPr>
          <w:rStyle w:val="reflex3-block"/>
          <w:color w:val="000000"/>
          <w:lang w:val="en-CA"/>
        </w:rPr>
        <w:t>169.</w:t>
      </w:r>
    </w:p>
  </w:footnote>
  <w:footnote w:id="335">
    <w:p w14:paraId="17F5F5BD" w14:textId="5F84E64E"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Ontario (Attorney General) </w:t>
      </w:r>
      <w:r w:rsidRPr="000A0EA1">
        <w:rPr>
          <w:lang w:val="en-CA"/>
        </w:rPr>
        <w:t>v. G., 2020 SCC 38, [2020] 3</w:t>
      </w:r>
      <w:r w:rsidR="00956B70">
        <w:rPr>
          <w:lang w:val="en-CA"/>
        </w:rPr>
        <w:t> S.C.R. </w:t>
      </w:r>
      <w:r w:rsidRPr="000A0EA1">
        <w:rPr>
          <w:lang w:val="en-CA"/>
        </w:rPr>
        <w:t xml:space="preserve">629, </w:t>
      </w:r>
      <w:r w:rsidR="0062160E">
        <w:rPr>
          <w:lang w:val="en-CA"/>
        </w:rPr>
        <w:t>para. 1</w:t>
      </w:r>
      <w:r w:rsidRPr="000A0EA1">
        <w:rPr>
          <w:lang w:val="en-CA"/>
        </w:rPr>
        <w:t>14</w:t>
      </w:r>
      <w:r w:rsidRPr="000A0EA1">
        <w:rPr>
          <w:rStyle w:val="reflex3-block"/>
          <w:color w:val="000000"/>
          <w:lang w:val="en-CA"/>
        </w:rPr>
        <w:t>.</w:t>
      </w:r>
    </w:p>
  </w:footnote>
  <w:footnote w:id="336">
    <w:p w14:paraId="17F5F5BE" w14:textId="26232F90"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rStyle w:val="reflex"/>
          <w:i/>
          <w:iCs/>
          <w:color w:val="000000"/>
          <w:lang w:val="en-CA"/>
        </w:rPr>
        <w:t>Schachter v. Canada</w:t>
      </w:r>
      <w:r w:rsidRPr="000A0EA1">
        <w:rPr>
          <w:rStyle w:val="reflex"/>
          <w:color w:val="000000"/>
          <w:lang w:val="en-CA"/>
        </w:rPr>
        <w:t xml:space="preserve">, </w:t>
      </w:r>
      <w:r w:rsidRPr="000A0EA1">
        <w:rPr>
          <w:lang w:val="en-CA"/>
        </w:rPr>
        <w:t>[1992] 2</w:t>
      </w:r>
      <w:r w:rsidR="00956B70">
        <w:rPr>
          <w:lang w:val="en-CA"/>
        </w:rPr>
        <w:t> S.C.R. </w:t>
      </w:r>
      <w:r w:rsidRPr="000A0EA1">
        <w:rPr>
          <w:lang w:val="en-CA"/>
        </w:rPr>
        <w:t>679</w:t>
      </w:r>
      <w:r w:rsidRPr="000A0EA1">
        <w:rPr>
          <w:rStyle w:val="reflex3-block"/>
          <w:color w:val="000000"/>
          <w:lang w:val="en-CA"/>
        </w:rPr>
        <w:t xml:space="preserve">, </w:t>
      </w:r>
      <w:r w:rsidR="00E95DC2">
        <w:rPr>
          <w:rStyle w:val="reflex3-block"/>
          <w:color w:val="000000"/>
          <w:lang w:val="en-CA"/>
        </w:rPr>
        <w:t>p. </w:t>
      </w:r>
      <w:r w:rsidRPr="000A0EA1">
        <w:rPr>
          <w:rStyle w:val="reflex3-block"/>
          <w:color w:val="000000"/>
          <w:lang w:val="en-CA"/>
        </w:rPr>
        <w:t>707.</w:t>
      </w:r>
    </w:p>
  </w:footnote>
  <w:footnote w:id="337">
    <w:p w14:paraId="17F5F5BF" w14:textId="6D7B7BFC"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Trial judgment, para</w:t>
      </w:r>
      <w:r w:rsidR="0062160E">
        <w:rPr>
          <w:lang w:val="en-CA"/>
        </w:rPr>
        <w:t>s. 4</w:t>
      </w:r>
      <w:r w:rsidRPr="000A0EA1">
        <w:rPr>
          <w:lang w:val="en-CA"/>
        </w:rPr>
        <w:t>25, 426</w:t>
      </w:r>
      <w:r w:rsidR="00117B43">
        <w:rPr>
          <w:lang w:val="en-CA"/>
        </w:rPr>
        <w:t>, 432</w:t>
      </w:r>
      <w:r w:rsidRPr="000A0EA1">
        <w:rPr>
          <w:lang w:val="en-CA"/>
        </w:rPr>
        <w:t xml:space="preserve"> and 446, read in conjunction with </w:t>
      </w:r>
      <w:r w:rsidR="0062160E">
        <w:rPr>
          <w:lang w:val="en-CA"/>
        </w:rPr>
        <w:t>para. 4</w:t>
      </w:r>
      <w:r w:rsidRPr="000A0EA1">
        <w:rPr>
          <w:lang w:val="en-CA"/>
        </w:rPr>
        <w:t>45.</w:t>
      </w:r>
    </w:p>
  </w:footnote>
  <w:footnote w:id="338">
    <w:p w14:paraId="17F5F5C0" w14:textId="2063B81D"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Doucet</w:t>
      </w:r>
      <w:r w:rsidR="004C5690">
        <w:rPr>
          <w:i/>
          <w:iCs/>
          <w:lang w:val="en-CA"/>
        </w:rPr>
        <w:noBreakHyphen/>
      </w:r>
      <w:r w:rsidRPr="000A0EA1">
        <w:rPr>
          <w:i/>
          <w:iCs/>
          <w:lang w:val="en-CA"/>
        </w:rPr>
        <w:t>Boudreau v. Nova Scotia (Minister of Education)</w:t>
      </w:r>
      <w:r w:rsidRPr="000A0EA1">
        <w:rPr>
          <w:lang w:val="en-CA"/>
        </w:rPr>
        <w:t>, 2003 SCC 62, [2003] 3</w:t>
      </w:r>
      <w:r w:rsidR="00956B70">
        <w:rPr>
          <w:lang w:val="en-CA"/>
        </w:rPr>
        <w:t> S.C.R. </w:t>
      </w:r>
      <w:r w:rsidRPr="000A0EA1">
        <w:rPr>
          <w:lang w:val="en-CA"/>
        </w:rPr>
        <w:t>3, para</w:t>
      </w:r>
      <w:r w:rsidR="0062160E">
        <w:rPr>
          <w:lang w:val="en-CA"/>
        </w:rPr>
        <w:t>s. 7</w:t>
      </w:r>
      <w:r w:rsidR="00137ED0">
        <w:rPr>
          <w:lang w:val="en-CA"/>
        </w:rPr>
        <w:noBreakHyphen/>
      </w:r>
      <w:r w:rsidRPr="000A0EA1">
        <w:rPr>
          <w:lang w:val="en-CA"/>
        </w:rPr>
        <w:t>8 and 60</w:t>
      </w:r>
      <w:r w:rsidR="00137ED0">
        <w:rPr>
          <w:lang w:val="en-CA"/>
        </w:rPr>
        <w:noBreakHyphen/>
      </w:r>
      <w:r w:rsidRPr="000A0EA1">
        <w:rPr>
          <w:lang w:val="en-CA"/>
        </w:rPr>
        <w:t>88.</w:t>
      </w:r>
    </w:p>
  </w:footnote>
  <w:footnote w:id="339">
    <w:p w14:paraId="17F5F5C1" w14:textId="1268AD6B"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Reference re Manitoba Language Rights</w:t>
      </w:r>
      <w:r w:rsidRPr="000A0EA1">
        <w:rPr>
          <w:lang w:val="en-CA"/>
        </w:rPr>
        <w:t>, [1985] 1</w:t>
      </w:r>
      <w:r w:rsidR="00956B70">
        <w:rPr>
          <w:lang w:val="en-CA"/>
        </w:rPr>
        <w:t> S.C.R. </w:t>
      </w:r>
      <w:r w:rsidRPr="000A0EA1">
        <w:rPr>
          <w:lang w:val="en-CA"/>
        </w:rPr>
        <w:t>721.</w:t>
      </w:r>
    </w:p>
  </w:footnote>
  <w:footnote w:id="340">
    <w:p w14:paraId="17F5F5C2" w14:textId="65ED295A"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Amended Application for Judicial Review and Declaratory Judgment, Notice of Constitutional Question, June 23, 2021, para</w:t>
      </w:r>
      <w:r w:rsidR="0062160E">
        <w:rPr>
          <w:lang w:val="en-CA"/>
        </w:rPr>
        <w:t>s. 7</w:t>
      </w:r>
      <w:r w:rsidRPr="000A0EA1">
        <w:rPr>
          <w:lang w:val="en-CA"/>
        </w:rPr>
        <w:t>3 and 75.</w:t>
      </w:r>
    </w:p>
  </w:footnote>
  <w:footnote w:id="341">
    <w:p w14:paraId="17F5F5C3" w14:textId="50037994"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7</w:t>
      </w:r>
      <w:r w:rsidRPr="000A0EA1">
        <w:rPr>
          <w:lang w:val="en-CA"/>
        </w:rPr>
        <w:t>4 and Schedule A to the Application of the Quebec English School Boards Association, Lester B. Pearson School Board and Adam Gordon</w:t>
      </w:r>
      <w:r w:rsidR="00E5743A">
        <w:rPr>
          <w:lang w:val="en-CA"/>
        </w:rPr>
        <w:t>.</w:t>
      </w:r>
    </w:p>
  </w:footnote>
  <w:footnote w:id="342">
    <w:p w14:paraId="17F5F5C4" w14:textId="6F0E0D8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Amended Application for Judicial Review and Declaratory Judgment, Notice of Constitutional Question, June 23, 2021, </w:t>
      </w:r>
      <w:r w:rsidR="0062160E">
        <w:rPr>
          <w:lang w:val="en-CA"/>
        </w:rPr>
        <w:t>para. 7</w:t>
      </w:r>
      <w:r w:rsidRPr="000A0EA1">
        <w:rPr>
          <w:lang w:val="en-CA"/>
        </w:rPr>
        <w:t>6.</w:t>
      </w:r>
    </w:p>
  </w:footnote>
  <w:footnote w:id="343">
    <w:p w14:paraId="17F5F5C5" w14:textId="77777777" w:rsidR="004C7649" w:rsidRPr="000A0EA1" w:rsidRDefault="00B02E00" w:rsidP="004C7649">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p>
  </w:footnote>
  <w:footnote w:id="344">
    <w:p w14:paraId="17F5F5C6" w14:textId="041A299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4</w:t>
      </w:r>
      <w:r w:rsidRPr="000A0EA1">
        <w:rPr>
          <w:lang w:val="en-CA"/>
        </w:rPr>
        <w:t>33.</w:t>
      </w:r>
    </w:p>
  </w:footnote>
  <w:footnote w:id="345">
    <w:p w14:paraId="17F5F5C7" w14:textId="214B4466"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para</w:t>
      </w:r>
      <w:r w:rsidR="0062160E">
        <w:rPr>
          <w:lang w:val="en-CA"/>
        </w:rPr>
        <w:t>s. 4</w:t>
      </w:r>
      <w:r w:rsidRPr="000A0EA1">
        <w:rPr>
          <w:lang w:val="en-CA"/>
        </w:rPr>
        <w:t>34-435 and Schedule.</w:t>
      </w:r>
    </w:p>
  </w:footnote>
  <w:footnote w:id="346">
    <w:p w14:paraId="17F5F5C8" w14:textId="601D65F9"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Id.</w:t>
      </w:r>
      <w:r w:rsidRPr="000A0EA1">
        <w:rPr>
          <w:lang w:val="en-CA"/>
        </w:rPr>
        <w:t xml:space="preserve">, </w:t>
      </w:r>
      <w:r w:rsidR="0062160E">
        <w:rPr>
          <w:lang w:val="en-CA"/>
        </w:rPr>
        <w:t>para. 4</w:t>
      </w:r>
      <w:r w:rsidRPr="000A0EA1">
        <w:rPr>
          <w:lang w:val="en-CA"/>
        </w:rPr>
        <w:t>45 and Schedule.</w:t>
      </w:r>
    </w:p>
  </w:footnote>
  <w:footnote w:id="347">
    <w:p w14:paraId="17F5F5C9" w14:textId="25055E2A"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A</w:t>
      </w:r>
      <w:r w:rsidR="00F05C1F">
        <w:rPr>
          <w:lang w:val="en-CA"/>
        </w:rPr>
        <w:t>rgument in appellant’s brief</w:t>
      </w:r>
      <w:r w:rsidRPr="000A0EA1">
        <w:rPr>
          <w:lang w:val="en-CA"/>
        </w:rPr>
        <w:t xml:space="preserve">, </w:t>
      </w:r>
      <w:r w:rsidR="0062160E">
        <w:rPr>
          <w:lang w:val="en-CA"/>
        </w:rPr>
        <w:t>para. 1</w:t>
      </w:r>
      <w:r w:rsidRPr="000A0EA1">
        <w:rPr>
          <w:lang w:val="en-CA"/>
        </w:rPr>
        <w:t>69.</w:t>
      </w:r>
    </w:p>
  </w:footnote>
  <w:footnote w:id="348">
    <w:p w14:paraId="17F5F5CA" w14:textId="600E9AE8"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Schachter v. Canada</w:t>
      </w:r>
      <w:r w:rsidRPr="000A0EA1">
        <w:rPr>
          <w:lang w:val="en-CA"/>
        </w:rPr>
        <w:t>, [1992] 2</w:t>
      </w:r>
      <w:r w:rsidR="00956B70">
        <w:rPr>
          <w:lang w:val="en-CA"/>
        </w:rPr>
        <w:t> S.C.R. </w:t>
      </w:r>
      <w:r w:rsidRPr="000A0EA1">
        <w:rPr>
          <w:lang w:val="en-CA"/>
        </w:rPr>
        <w:t xml:space="preserve">679, </w:t>
      </w:r>
      <w:r w:rsidR="00E95DC2">
        <w:rPr>
          <w:lang w:val="en-CA"/>
        </w:rPr>
        <w:t>p. </w:t>
      </w:r>
      <w:r w:rsidRPr="000A0EA1">
        <w:rPr>
          <w:lang w:val="en-CA"/>
        </w:rPr>
        <w:t>697.</w:t>
      </w:r>
    </w:p>
  </w:footnote>
  <w:footnote w:id="349">
    <w:p w14:paraId="17F5F5CB" w14:textId="2F7FE1FE"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00137ED0">
        <w:rPr>
          <w:lang w:val="en-CA"/>
        </w:rPr>
        <w:tab/>
      </w:r>
      <w:r w:rsidRPr="000A0EA1">
        <w:rPr>
          <w:lang w:val="en-CA"/>
        </w:rPr>
        <w:t xml:space="preserve">Schedule A to the Application of the Quebec English School Boards Association, Lester B. Pearson School Board and Adam Gordon, </w:t>
      </w:r>
      <w:r w:rsidR="00DA2095">
        <w:rPr>
          <w:lang w:val="en-CA"/>
        </w:rPr>
        <w:t>p. 4</w:t>
      </w:r>
      <w:r w:rsidR="00B64D9D">
        <w:rPr>
          <w:lang w:val="en-CA"/>
        </w:rPr>
        <w:t>9</w:t>
      </w:r>
      <w:r w:rsidRPr="000A0EA1">
        <w:rPr>
          <w:lang w:val="en-CA"/>
        </w:rPr>
        <w:t>.</w:t>
      </w:r>
    </w:p>
  </w:footnote>
  <w:footnote w:id="350">
    <w:p w14:paraId="17F5F5CC" w14:textId="77777777" w:rsidR="004C7649" w:rsidRPr="000A0EA1" w:rsidRDefault="00B02E00" w:rsidP="004C7649">
      <w:pPr>
        <w:pStyle w:val="Notedebasdepage"/>
        <w:rPr>
          <w:i/>
          <w:iCs/>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Ibid.</w:t>
      </w:r>
    </w:p>
  </w:footnote>
  <w:footnote w:id="351">
    <w:p w14:paraId="17F5F5CD" w14:textId="3508200A"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An Act to amend the Act respecting elections and referendums in municipalities, the Municipal Ethics and Good Conduct Act and various legislative provisions</w:t>
      </w:r>
      <w:r w:rsidRPr="000A0EA1">
        <w:rPr>
          <w:lang w:val="en-CA"/>
        </w:rPr>
        <w:t xml:space="preserve">, S.Q. 2021, c. 31, </w:t>
      </w:r>
      <w:r w:rsidR="0062160E">
        <w:rPr>
          <w:lang w:val="en-CA"/>
        </w:rPr>
        <w:t>s. 6</w:t>
      </w:r>
      <w:r w:rsidRPr="000A0EA1">
        <w:rPr>
          <w:lang w:val="en-CA"/>
        </w:rPr>
        <w:t xml:space="preserve">. This draft legislation (Bill 49) was introduced in the National Assembly on November 13, 2019, while the draft legislation that led to the enactment of </w:t>
      </w:r>
      <w:r w:rsidR="00C33BBC">
        <w:rPr>
          <w:i/>
          <w:iCs/>
          <w:lang w:val="en-CA"/>
        </w:rPr>
        <w:t>Bill 40</w:t>
      </w:r>
      <w:r w:rsidRPr="000A0EA1">
        <w:rPr>
          <w:lang w:val="en-CA"/>
        </w:rPr>
        <w:t xml:space="preserve"> was introduced on October 1, 2019.</w:t>
      </w:r>
    </w:p>
  </w:footnote>
  <w:footnote w:id="352">
    <w:p w14:paraId="17F5F5CE" w14:textId="69388DA1"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Act respecting elections and referendums in municipalities</w:t>
      </w:r>
      <w:r w:rsidRPr="000A0EA1">
        <w:rPr>
          <w:lang w:val="en-CA"/>
        </w:rPr>
        <w:t>, CQLR, c.</w:t>
      </w:r>
      <w:r w:rsidR="002C1F3B">
        <w:rPr>
          <w:lang w:val="en-CA"/>
        </w:rPr>
        <w:t> </w:t>
      </w:r>
      <w:r w:rsidRPr="000A0EA1">
        <w:rPr>
          <w:lang w:val="en-CA"/>
        </w:rPr>
        <w:t>E</w:t>
      </w:r>
      <w:r w:rsidR="002C1F3B">
        <w:rPr>
          <w:lang w:val="en-CA"/>
        </w:rPr>
        <w:noBreakHyphen/>
      </w:r>
      <w:r w:rsidRPr="000A0EA1">
        <w:rPr>
          <w:lang w:val="en-CA"/>
        </w:rPr>
        <w:t>2.2.</w:t>
      </w:r>
    </w:p>
  </w:footnote>
  <w:footnote w:id="353">
    <w:p w14:paraId="17F5F5CF" w14:textId="7820D704"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t xml:space="preserve">Trial judgment, </w:t>
      </w:r>
      <w:r w:rsidR="0062160E">
        <w:rPr>
          <w:lang w:val="en-CA"/>
        </w:rPr>
        <w:t>para. 4</w:t>
      </w:r>
      <w:r w:rsidRPr="000A0EA1">
        <w:rPr>
          <w:lang w:val="en-CA"/>
        </w:rPr>
        <w:t>44.</w:t>
      </w:r>
    </w:p>
  </w:footnote>
  <w:footnote w:id="354">
    <w:p w14:paraId="17F5F5D0" w14:textId="6F5048BC" w:rsidR="004C7649" w:rsidRPr="000A0EA1" w:rsidRDefault="00B02E00" w:rsidP="004C7649">
      <w:pPr>
        <w:pStyle w:val="Notedebasdepage"/>
        <w:rPr>
          <w:lang w:val="en-CA"/>
        </w:rPr>
      </w:pPr>
      <w:r w:rsidRPr="000A0EA1">
        <w:rPr>
          <w:rStyle w:val="Appelnotedebasdep"/>
          <w:lang w:val="en-CA"/>
        </w:rPr>
        <w:footnoteRef/>
      </w:r>
      <w:r w:rsidRPr="000A0EA1">
        <w:rPr>
          <w:lang w:val="en-CA"/>
        </w:rPr>
        <w:t xml:space="preserve"> </w:t>
      </w:r>
      <w:r w:rsidRPr="000A0EA1">
        <w:rPr>
          <w:lang w:val="en-CA"/>
        </w:rPr>
        <w:tab/>
      </w:r>
      <w:r w:rsidRPr="000A0EA1">
        <w:rPr>
          <w:i/>
          <w:iCs/>
          <w:lang w:val="en-CA"/>
        </w:rPr>
        <w:t xml:space="preserve">Regulation respecting the application of provisions of the Act to amend mainly the Education Act with regard to school organization and governance to </w:t>
      </w:r>
      <w:r w:rsidR="00AE3408">
        <w:rPr>
          <w:i/>
          <w:iCs/>
          <w:lang w:val="en-CA"/>
        </w:rPr>
        <w:t>English</w:t>
      </w:r>
      <w:r w:rsidR="00AE3408">
        <w:rPr>
          <w:i/>
          <w:iCs/>
          <w:lang w:val="en-CA"/>
        </w:rPr>
        <w:noBreakHyphen/>
        <w:t>language</w:t>
      </w:r>
      <w:r w:rsidRPr="000A0EA1">
        <w:rPr>
          <w:i/>
          <w:iCs/>
          <w:lang w:val="en-CA"/>
        </w:rPr>
        <w:t xml:space="preserve"> school service centres</w:t>
      </w:r>
      <w:r w:rsidRPr="000A0EA1">
        <w:rPr>
          <w:lang w:val="en-CA"/>
        </w:rPr>
        <w:t>, (2021)</w:t>
      </w:r>
      <w:r w:rsidR="00131A69">
        <w:rPr>
          <w:lang w:val="en-CA"/>
        </w:rPr>
        <w:t> </w:t>
      </w:r>
      <w:r w:rsidRPr="000A0EA1">
        <w:rPr>
          <w:lang w:val="en-CA"/>
        </w:rPr>
        <w:t>153</w:t>
      </w:r>
      <w:r w:rsidR="00131A69">
        <w:rPr>
          <w:lang w:val="en-CA"/>
        </w:rPr>
        <w:t> </w:t>
      </w:r>
      <w:r w:rsidRPr="000A0EA1">
        <w:rPr>
          <w:lang w:val="en-CA"/>
        </w:rPr>
        <w:t>G.O.Q.</w:t>
      </w:r>
      <w:r w:rsidR="00131A69">
        <w:rPr>
          <w:lang w:val="en-CA"/>
        </w:rPr>
        <w:t> </w:t>
      </w:r>
      <w:r w:rsidRPr="000A0EA1">
        <w:rPr>
          <w:lang w:val="en-CA"/>
        </w:rPr>
        <w:t xml:space="preserve">II, </w:t>
      </w:r>
      <w:r w:rsidR="00BA4C33">
        <w:rPr>
          <w:lang w:val="en-CA"/>
        </w:rPr>
        <w:t>No. </w:t>
      </w:r>
      <w:r w:rsidRPr="000A0EA1">
        <w:rPr>
          <w:lang w:val="en-CA"/>
        </w:rPr>
        <w:t xml:space="preserve">32, 3369, </w:t>
      </w:r>
      <w:r w:rsidR="00E95DC2">
        <w:rPr>
          <w:lang w:val="en-CA"/>
        </w:rPr>
        <w:t>p. </w:t>
      </w:r>
      <w:r w:rsidRPr="000A0EA1">
        <w:rPr>
          <w:lang w:val="en-CA"/>
        </w:rPr>
        <w:t>3370.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F474" w14:textId="5F0C8424" w:rsidR="007E33E4" w:rsidRDefault="00B02E00" w:rsidP="00DB2119">
    <w:pPr>
      <w:tabs>
        <w:tab w:val="center" w:pos="4709"/>
        <w:tab w:val="right" w:pos="9360"/>
      </w:tabs>
      <w:spacing w:line="360" w:lineRule="auto"/>
      <w:ind w:right="524"/>
    </w:pPr>
    <w:bookmarkStart w:id="76" w:name="EntDossier"/>
    <w:r>
      <w:rPr>
        <w:lang w:val="en-CA"/>
      </w:rPr>
      <w:t>500-09-030704-233</w:t>
    </w:r>
    <w:bookmarkEnd w:id="76"/>
    <w:r>
      <w:rPr>
        <w:lang w:val="en-CA"/>
      </w:rPr>
      <w:t xml:space="preserve"> </w:t>
    </w:r>
    <w:r>
      <w:rPr>
        <w:lang w:val="en-CA"/>
      </w:rPr>
      <w:tab/>
    </w:r>
    <w:r>
      <w:rPr>
        <w:lang w:val="en-CA"/>
      </w:rPr>
      <w:tab/>
      <w:t xml:space="preserve">PAGE: </w:t>
    </w:r>
    <w:r>
      <w:fldChar w:fldCharType="begin"/>
    </w:r>
    <w:r>
      <w:instrText xml:space="preserve"> PAGE </w:instrText>
    </w:r>
    <w:r>
      <w:fldChar w:fldCharType="separate"/>
    </w:r>
    <w:r w:rsidR="008D18FC">
      <w:rPr>
        <w:noProof/>
      </w:rPr>
      <w:t>2</w:t>
    </w:r>
    <w:r>
      <w:fldChar w:fldCharType="end"/>
    </w:r>
  </w:p>
  <w:p w14:paraId="17F5F475"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26E"/>
    <w:multiLevelType w:val="hybridMultilevel"/>
    <w:tmpl w:val="4E3A947A"/>
    <w:lvl w:ilvl="0" w:tplc="19AC20C6">
      <w:start w:val="1"/>
      <w:numFmt w:val="bullet"/>
      <w:lvlText w:val="-"/>
      <w:lvlJc w:val="left"/>
      <w:pPr>
        <w:ind w:left="720" w:hanging="360"/>
      </w:pPr>
      <w:rPr>
        <w:rFonts w:ascii="Arial" w:eastAsia="Times New Roman" w:hAnsi="Arial" w:cs="Arial" w:hint="default"/>
      </w:rPr>
    </w:lvl>
    <w:lvl w:ilvl="1" w:tplc="C5E0CBAE">
      <w:start w:val="1"/>
      <w:numFmt w:val="bullet"/>
      <w:lvlText w:val="o"/>
      <w:lvlJc w:val="left"/>
      <w:pPr>
        <w:ind w:left="1440" w:hanging="360"/>
      </w:pPr>
      <w:rPr>
        <w:rFonts w:ascii="Courier New" w:hAnsi="Courier New" w:cs="Courier New" w:hint="default"/>
      </w:rPr>
    </w:lvl>
    <w:lvl w:ilvl="2" w:tplc="49BE8996">
      <w:start w:val="1"/>
      <w:numFmt w:val="bullet"/>
      <w:lvlText w:val=""/>
      <w:lvlJc w:val="left"/>
      <w:pPr>
        <w:ind w:left="2160" w:hanging="360"/>
      </w:pPr>
      <w:rPr>
        <w:rFonts w:ascii="Wingdings" w:hAnsi="Wingdings" w:hint="default"/>
      </w:rPr>
    </w:lvl>
    <w:lvl w:ilvl="3" w:tplc="A3F8EFF0">
      <w:start w:val="1"/>
      <w:numFmt w:val="bullet"/>
      <w:lvlText w:val=""/>
      <w:lvlJc w:val="left"/>
      <w:pPr>
        <w:ind w:left="2880" w:hanging="360"/>
      </w:pPr>
      <w:rPr>
        <w:rFonts w:ascii="Symbol" w:hAnsi="Symbol" w:hint="default"/>
      </w:rPr>
    </w:lvl>
    <w:lvl w:ilvl="4" w:tplc="4BBA6E60" w:tentative="1">
      <w:start w:val="1"/>
      <w:numFmt w:val="bullet"/>
      <w:lvlText w:val="o"/>
      <w:lvlJc w:val="left"/>
      <w:pPr>
        <w:ind w:left="3600" w:hanging="360"/>
      </w:pPr>
      <w:rPr>
        <w:rFonts w:ascii="Courier New" w:hAnsi="Courier New" w:cs="Courier New" w:hint="default"/>
      </w:rPr>
    </w:lvl>
    <w:lvl w:ilvl="5" w:tplc="B1742396" w:tentative="1">
      <w:start w:val="1"/>
      <w:numFmt w:val="bullet"/>
      <w:lvlText w:val=""/>
      <w:lvlJc w:val="left"/>
      <w:pPr>
        <w:ind w:left="4320" w:hanging="360"/>
      </w:pPr>
      <w:rPr>
        <w:rFonts w:ascii="Wingdings" w:hAnsi="Wingdings" w:hint="default"/>
      </w:rPr>
    </w:lvl>
    <w:lvl w:ilvl="6" w:tplc="8F5434B6" w:tentative="1">
      <w:start w:val="1"/>
      <w:numFmt w:val="bullet"/>
      <w:lvlText w:val=""/>
      <w:lvlJc w:val="left"/>
      <w:pPr>
        <w:ind w:left="5040" w:hanging="360"/>
      </w:pPr>
      <w:rPr>
        <w:rFonts w:ascii="Symbol" w:hAnsi="Symbol" w:hint="default"/>
      </w:rPr>
    </w:lvl>
    <w:lvl w:ilvl="7" w:tplc="82183962" w:tentative="1">
      <w:start w:val="1"/>
      <w:numFmt w:val="bullet"/>
      <w:lvlText w:val="o"/>
      <w:lvlJc w:val="left"/>
      <w:pPr>
        <w:ind w:left="5760" w:hanging="360"/>
      </w:pPr>
      <w:rPr>
        <w:rFonts w:ascii="Courier New" w:hAnsi="Courier New" w:cs="Courier New" w:hint="default"/>
      </w:rPr>
    </w:lvl>
    <w:lvl w:ilvl="8" w:tplc="AC525662" w:tentative="1">
      <w:start w:val="1"/>
      <w:numFmt w:val="bullet"/>
      <w:lvlText w:val=""/>
      <w:lvlJc w:val="left"/>
      <w:pPr>
        <w:ind w:left="6480" w:hanging="360"/>
      </w:pPr>
      <w:rPr>
        <w:rFonts w:ascii="Wingdings" w:hAnsi="Wingdings" w:hint="default"/>
      </w:rPr>
    </w:lvl>
  </w:abstractNum>
  <w:abstractNum w:abstractNumId="1" w15:restartNumberingAfterBreak="0">
    <w:nsid w:val="01110CEA"/>
    <w:multiLevelType w:val="hybridMultilevel"/>
    <w:tmpl w:val="B8D8E9F4"/>
    <w:lvl w:ilvl="0" w:tplc="742C3712">
      <w:start w:val="1"/>
      <w:numFmt w:val="lowerLetter"/>
      <w:lvlText w:val="(%1)"/>
      <w:lvlJc w:val="left"/>
      <w:pPr>
        <w:ind w:left="720" w:hanging="360"/>
      </w:pPr>
      <w:rPr>
        <w:rFonts w:hint="default"/>
      </w:rPr>
    </w:lvl>
    <w:lvl w:ilvl="1" w:tplc="A322D1F0">
      <w:start w:val="1"/>
      <w:numFmt w:val="lowerLetter"/>
      <w:lvlText w:val="%2."/>
      <w:lvlJc w:val="left"/>
      <w:pPr>
        <w:ind w:left="1440" w:hanging="360"/>
      </w:pPr>
    </w:lvl>
    <w:lvl w:ilvl="2" w:tplc="988A74BC">
      <w:start w:val="1"/>
      <w:numFmt w:val="lowerRoman"/>
      <w:lvlText w:val="%3."/>
      <w:lvlJc w:val="right"/>
      <w:pPr>
        <w:ind w:left="2160" w:hanging="180"/>
      </w:pPr>
    </w:lvl>
    <w:lvl w:ilvl="3" w:tplc="AFA4BB6C">
      <w:start w:val="2"/>
      <w:numFmt w:val="lowerRoman"/>
      <w:lvlText w:val="%4)"/>
      <w:lvlJc w:val="left"/>
      <w:pPr>
        <w:ind w:left="3240" w:hanging="720"/>
      </w:pPr>
      <w:rPr>
        <w:rFonts w:hint="default"/>
      </w:rPr>
    </w:lvl>
    <w:lvl w:ilvl="4" w:tplc="D6EC9742" w:tentative="1">
      <w:start w:val="1"/>
      <w:numFmt w:val="lowerLetter"/>
      <w:lvlText w:val="%5."/>
      <w:lvlJc w:val="left"/>
      <w:pPr>
        <w:ind w:left="3600" w:hanging="360"/>
      </w:pPr>
    </w:lvl>
    <w:lvl w:ilvl="5" w:tplc="6B2CF128" w:tentative="1">
      <w:start w:val="1"/>
      <w:numFmt w:val="lowerRoman"/>
      <w:lvlText w:val="%6."/>
      <w:lvlJc w:val="right"/>
      <w:pPr>
        <w:ind w:left="4320" w:hanging="180"/>
      </w:pPr>
    </w:lvl>
    <w:lvl w:ilvl="6" w:tplc="562C6FC0" w:tentative="1">
      <w:start w:val="1"/>
      <w:numFmt w:val="decimal"/>
      <w:lvlText w:val="%7."/>
      <w:lvlJc w:val="left"/>
      <w:pPr>
        <w:ind w:left="5040" w:hanging="360"/>
      </w:pPr>
    </w:lvl>
    <w:lvl w:ilvl="7" w:tplc="8A16F16C" w:tentative="1">
      <w:start w:val="1"/>
      <w:numFmt w:val="lowerLetter"/>
      <w:lvlText w:val="%8."/>
      <w:lvlJc w:val="left"/>
      <w:pPr>
        <w:ind w:left="5760" w:hanging="360"/>
      </w:pPr>
    </w:lvl>
    <w:lvl w:ilvl="8" w:tplc="525E4084" w:tentative="1">
      <w:start w:val="1"/>
      <w:numFmt w:val="lowerRoman"/>
      <w:lvlText w:val="%9."/>
      <w:lvlJc w:val="right"/>
      <w:pPr>
        <w:ind w:left="6480" w:hanging="180"/>
      </w:pPr>
    </w:lvl>
  </w:abstractNum>
  <w:abstractNum w:abstractNumId="2" w15:restartNumberingAfterBreak="0">
    <w:nsid w:val="03742FA3"/>
    <w:multiLevelType w:val="hybridMultilevel"/>
    <w:tmpl w:val="D5886EFC"/>
    <w:lvl w:ilvl="0" w:tplc="3DA414B6">
      <w:start w:val="1"/>
      <w:numFmt w:val="lowerLetter"/>
      <w:lvlText w:val="(%1)"/>
      <w:lvlJc w:val="left"/>
      <w:pPr>
        <w:ind w:left="1080" w:hanging="360"/>
      </w:pPr>
      <w:rPr>
        <w:rFonts w:hint="default"/>
      </w:rPr>
    </w:lvl>
    <w:lvl w:ilvl="1" w:tplc="AC968E3E" w:tentative="1">
      <w:start w:val="1"/>
      <w:numFmt w:val="lowerLetter"/>
      <w:lvlText w:val="%2."/>
      <w:lvlJc w:val="left"/>
      <w:pPr>
        <w:ind w:left="1800" w:hanging="360"/>
      </w:pPr>
    </w:lvl>
    <w:lvl w:ilvl="2" w:tplc="8CA06B92" w:tentative="1">
      <w:start w:val="1"/>
      <w:numFmt w:val="lowerRoman"/>
      <w:lvlText w:val="%3."/>
      <w:lvlJc w:val="right"/>
      <w:pPr>
        <w:ind w:left="2520" w:hanging="180"/>
      </w:pPr>
    </w:lvl>
    <w:lvl w:ilvl="3" w:tplc="4F1C59C4" w:tentative="1">
      <w:start w:val="1"/>
      <w:numFmt w:val="decimal"/>
      <w:lvlText w:val="%4."/>
      <w:lvlJc w:val="left"/>
      <w:pPr>
        <w:ind w:left="3240" w:hanging="360"/>
      </w:pPr>
    </w:lvl>
    <w:lvl w:ilvl="4" w:tplc="0CA0BA94" w:tentative="1">
      <w:start w:val="1"/>
      <w:numFmt w:val="lowerLetter"/>
      <w:lvlText w:val="%5."/>
      <w:lvlJc w:val="left"/>
      <w:pPr>
        <w:ind w:left="3960" w:hanging="360"/>
      </w:pPr>
    </w:lvl>
    <w:lvl w:ilvl="5" w:tplc="3ABC997A" w:tentative="1">
      <w:start w:val="1"/>
      <w:numFmt w:val="lowerRoman"/>
      <w:lvlText w:val="%6."/>
      <w:lvlJc w:val="right"/>
      <w:pPr>
        <w:ind w:left="4680" w:hanging="180"/>
      </w:pPr>
    </w:lvl>
    <w:lvl w:ilvl="6" w:tplc="86E0BDBA" w:tentative="1">
      <w:start w:val="1"/>
      <w:numFmt w:val="decimal"/>
      <w:lvlText w:val="%7."/>
      <w:lvlJc w:val="left"/>
      <w:pPr>
        <w:ind w:left="5400" w:hanging="360"/>
      </w:pPr>
    </w:lvl>
    <w:lvl w:ilvl="7" w:tplc="268640D2" w:tentative="1">
      <w:start w:val="1"/>
      <w:numFmt w:val="lowerLetter"/>
      <w:lvlText w:val="%8."/>
      <w:lvlJc w:val="left"/>
      <w:pPr>
        <w:ind w:left="6120" w:hanging="360"/>
      </w:pPr>
    </w:lvl>
    <w:lvl w:ilvl="8" w:tplc="35D8EB00" w:tentative="1">
      <w:start w:val="1"/>
      <w:numFmt w:val="lowerRoman"/>
      <w:lvlText w:val="%9."/>
      <w:lvlJc w:val="right"/>
      <w:pPr>
        <w:ind w:left="6840" w:hanging="180"/>
      </w:pPr>
    </w:lvl>
  </w:abstractNum>
  <w:abstractNum w:abstractNumId="3" w15:restartNumberingAfterBreak="0">
    <w:nsid w:val="0B2D7C95"/>
    <w:multiLevelType w:val="hybridMultilevel"/>
    <w:tmpl w:val="1178A2BA"/>
    <w:lvl w:ilvl="0" w:tplc="CED44906">
      <w:start w:val="1"/>
      <w:numFmt w:val="lowerLetter"/>
      <w:lvlText w:val="(%1)"/>
      <w:lvlJc w:val="left"/>
      <w:pPr>
        <w:ind w:left="1080" w:hanging="360"/>
      </w:pPr>
      <w:rPr>
        <w:rFonts w:hint="default"/>
      </w:rPr>
    </w:lvl>
    <w:lvl w:ilvl="1" w:tplc="BB66E5C8" w:tentative="1">
      <w:start w:val="1"/>
      <w:numFmt w:val="lowerLetter"/>
      <w:lvlText w:val="%2."/>
      <w:lvlJc w:val="left"/>
      <w:pPr>
        <w:ind w:left="1800" w:hanging="360"/>
      </w:pPr>
    </w:lvl>
    <w:lvl w:ilvl="2" w:tplc="E9D0920C" w:tentative="1">
      <w:start w:val="1"/>
      <w:numFmt w:val="lowerRoman"/>
      <w:lvlText w:val="%3."/>
      <w:lvlJc w:val="right"/>
      <w:pPr>
        <w:ind w:left="2520" w:hanging="180"/>
      </w:pPr>
    </w:lvl>
    <w:lvl w:ilvl="3" w:tplc="48FECFB8" w:tentative="1">
      <w:start w:val="1"/>
      <w:numFmt w:val="decimal"/>
      <w:lvlText w:val="%4."/>
      <w:lvlJc w:val="left"/>
      <w:pPr>
        <w:ind w:left="3240" w:hanging="360"/>
      </w:pPr>
    </w:lvl>
    <w:lvl w:ilvl="4" w:tplc="68365AD0" w:tentative="1">
      <w:start w:val="1"/>
      <w:numFmt w:val="lowerLetter"/>
      <w:lvlText w:val="%5."/>
      <w:lvlJc w:val="left"/>
      <w:pPr>
        <w:ind w:left="3960" w:hanging="360"/>
      </w:pPr>
    </w:lvl>
    <w:lvl w:ilvl="5" w:tplc="5DBA0E2C" w:tentative="1">
      <w:start w:val="1"/>
      <w:numFmt w:val="lowerRoman"/>
      <w:lvlText w:val="%6."/>
      <w:lvlJc w:val="right"/>
      <w:pPr>
        <w:ind w:left="4680" w:hanging="180"/>
      </w:pPr>
    </w:lvl>
    <w:lvl w:ilvl="6" w:tplc="12C8E988" w:tentative="1">
      <w:start w:val="1"/>
      <w:numFmt w:val="decimal"/>
      <w:lvlText w:val="%7."/>
      <w:lvlJc w:val="left"/>
      <w:pPr>
        <w:ind w:left="5400" w:hanging="360"/>
      </w:pPr>
    </w:lvl>
    <w:lvl w:ilvl="7" w:tplc="AEEE8B8E" w:tentative="1">
      <w:start w:val="1"/>
      <w:numFmt w:val="lowerLetter"/>
      <w:lvlText w:val="%8."/>
      <w:lvlJc w:val="left"/>
      <w:pPr>
        <w:ind w:left="6120" w:hanging="360"/>
      </w:pPr>
    </w:lvl>
    <w:lvl w:ilvl="8" w:tplc="4D8A04AE" w:tentative="1">
      <w:start w:val="1"/>
      <w:numFmt w:val="lowerRoman"/>
      <w:lvlText w:val="%9."/>
      <w:lvlJc w:val="right"/>
      <w:pPr>
        <w:ind w:left="6840" w:hanging="180"/>
      </w:pPr>
    </w:lvl>
  </w:abstractNum>
  <w:abstractNum w:abstractNumId="4" w15:restartNumberingAfterBreak="0">
    <w:nsid w:val="12B307BE"/>
    <w:multiLevelType w:val="hybridMultilevel"/>
    <w:tmpl w:val="5B2ACA6C"/>
    <w:lvl w:ilvl="0" w:tplc="9F3AF8AA">
      <w:start w:val="1"/>
      <w:numFmt w:val="lowerLetter"/>
      <w:lvlText w:val="(%1)"/>
      <w:lvlJc w:val="left"/>
      <w:pPr>
        <w:ind w:left="1080" w:hanging="360"/>
      </w:pPr>
      <w:rPr>
        <w:rFonts w:hint="default"/>
      </w:rPr>
    </w:lvl>
    <w:lvl w:ilvl="1" w:tplc="0F72C5A4" w:tentative="1">
      <w:start w:val="1"/>
      <w:numFmt w:val="lowerLetter"/>
      <w:lvlText w:val="%2."/>
      <w:lvlJc w:val="left"/>
      <w:pPr>
        <w:ind w:left="1800" w:hanging="360"/>
      </w:pPr>
    </w:lvl>
    <w:lvl w:ilvl="2" w:tplc="C3DC792A" w:tentative="1">
      <w:start w:val="1"/>
      <w:numFmt w:val="lowerRoman"/>
      <w:lvlText w:val="%3."/>
      <w:lvlJc w:val="right"/>
      <w:pPr>
        <w:ind w:left="2520" w:hanging="180"/>
      </w:pPr>
    </w:lvl>
    <w:lvl w:ilvl="3" w:tplc="E3B08A3C" w:tentative="1">
      <w:start w:val="1"/>
      <w:numFmt w:val="decimal"/>
      <w:lvlText w:val="%4."/>
      <w:lvlJc w:val="left"/>
      <w:pPr>
        <w:ind w:left="3240" w:hanging="360"/>
      </w:pPr>
    </w:lvl>
    <w:lvl w:ilvl="4" w:tplc="C6842F86" w:tentative="1">
      <w:start w:val="1"/>
      <w:numFmt w:val="lowerLetter"/>
      <w:lvlText w:val="%5."/>
      <w:lvlJc w:val="left"/>
      <w:pPr>
        <w:ind w:left="3960" w:hanging="360"/>
      </w:pPr>
    </w:lvl>
    <w:lvl w:ilvl="5" w:tplc="A0B83876" w:tentative="1">
      <w:start w:val="1"/>
      <w:numFmt w:val="lowerRoman"/>
      <w:lvlText w:val="%6."/>
      <w:lvlJc w:val="right"/>
      <w:pPr>
        <w:ind w:left="4680" w:hanging="180"/>
      </w:pPr>
    </w:lvl>
    <w:lvl w:ilvl="6" w:tplc="4FDCFE5E" w:tentative="1">
      <w:start w:val="1"/>
      <w:numFmt w:val="decimal"/>
      <w:lvlText w:val="%7."/>
      <w:lvlJc w:val="left"/>
      <w:pPr>
        <w:ind w:left="5400" w:hanging="360"/>
      </w:pPr>
    </w:lvl>
    <w:lvl w:ilvl="7" w:tplc="DEA863B4" w:tentative="1">
      <w:start w:val="1"/>
      <w:numFmt w:val="lowerLetter"/>
      <w:lvlText w:val="%8."/>
      <w:lvlJc w:val="left"/>
      <w:pPr>
        <w:ind w:left="6120" w:hanging="360"/>
      </w:pPr>
    </w:lvl>
    <w:lvl w:ilvl="8" w:tplc="53DEE526" w:tentative="1">
      <w:start w:val="1"/>
      <w:numFmt w:val="lowerRoman"/>
      <w:lvlText w:val="%9."/>
      <w:lvlJc w:val="right"/>
      <w:pPr>
        <w:ind w:left="6840" w:hanging="180"/>
      </w:pPr>
    </w:lvl>
  </w:abstractNum>
  <w:abstractNum w:abstractNumId="5" w15:restartNumberingAfterBreak="0">
    <w:nsid w:val="16B83919"/>
    <w:multiLevelType w:val="hybridMultilevel"/>
    <w:tmpl w:val="14FEB8D8"/>
    <w:lvl w:ilvl="0" w:tplc="42A6391A">
      <w:numFmt w:val="bullet"/>
      <w:lvlText w:val="-"/>
      <w:lvlJc w:val="left"/>
      <w:pPr>
        <w:ind w:left="1080" w:hanging="360"/>
      </w:pPr>
      <w:rPr>
        <w:rFonts w:ascii="Arial" w:eastAsia="Times New Roman" w:hAnsi="Arial" w:cs="Arial" w:hint="default"/>
      </w:rPr>
    </w:lvl>
    <w:lvl w:ilvl="1" w:tplc="2E388D82" w:tentative="1">
      <w:start w:val="1"/>
      <w:numFmt w:val="bullet"/>
      <w:lvlText w:val="o"/>
      <w:lvlJc w:val="left"/>
      <w:pPr>
        <w:ind w:left="1800" w:hanging="360"/>
      </w:pPr>
      <w:rPr>
        <w:rFonts w:ascii="Courier New" w:hAnsi="Courier New" w:cs="Courier New" w:hint="default"/>
      </w:rPr>
    </w:lvl>
    <w:lvl w:ilvl="2" w:tplc="44E0C416" w:tentative="1">
      <w:start w:val="1"/>
      <w:numFmt w:val="bullet"/>
      <w:lvlText w:val=""/>
      <w:lvlJc w:val="left"/>
      <w:pPr>
        <w:ind w:left="2520" w:hanging="360"/>
      </w:pPr>
      <w:rPr>
        <w:rFonts w:ascii="Wingdings" w:hAnsi="Wingdings" w:hint="default"/>
      </w:rPr>
    </w:lvl>
    <w:lvl w:ilvl="3" w:tplc="08145FF6" w:tentative="1">
      <w:start w:val="1"/>
      <w:numFmt w:val="bullet"/>
      <w:lvlText w:val=""/>
      <w:lvlJc w:val="left"/>
      <w:pPr>
        <w:ind w:left="3240" w:hanging="360"/>
      </w:pPr>
      <w:rPr>
        <w:rFonts w:ascii="Symbol" w:hAnsi="Symbol" w:hint="default"/>
      </w:rPr>
    </w:lvl>
    <w:lvl w:ilvl="4" w:tplc="C7F0E112" w:tentative="1">
      <w:start w:val="1"/>
      <w:numFmt w:val="bullet"/>
      <w:lvlText w:val="o"/>
      <w:lvlJc w:val="left"/>
      <w:pPr>
        <w:ind w:left="3960" w:hanging="360"/>
      </w:pPr>
      <w:rPr>
        <w:rFonts w:ascii="Courier New" w:hAnsi="Courier New" w:cs="Courier New" w:hint="default"/>
      </w:rPr>
    </w:lvl>
    <w:lvl w:ilvl="5" w:tplc="FC32BC46" w:tentative="1">
      <w:start w:val="1"/>
      <w:numFmt w:val="bullet"/>
      <w:lvlText w:val=""/>
      <w:lvlJc w:val="left"/>
      <w:pPr>
        <w:ind w:left="4680" w:hanging="360"/>
      </w:pPr>
      <w:rPr>
        <w:rFonts w:ascii="Wingdings" w:hAnsi="Wingdings" w:hint="default"/>
      </w:rPr>
    </w:lvl>
    <w:lvl w:ilvl="6" w:tplc="57801F1A" w:tentative="1">
      <w:start w:val="1"/>
      <w:numFmt w:val="bullet"/>
      <w:lvlText w:val=""/>
      <w:lvlJc w:val="left"/>
      <w:pPr>
        <w:ind w:left="5400" w:hanging="360"/>
      </w:pPr>
      <w:rPr>
        <w:rFonts w:ascii="Symbol" w:hAnsi="Symbol" w:hint="default"/>
      </w:rPr>
    </w:lvl>
    <w:lvl w:ilvl="7" w:tplc="6DA830AA" w:tentative="1">
      <w:start w:val="1"/>
      <w:numFmt w:val="bullet"/>
      <w:lvlText w:val="o"/>
      <w:lvlJc w:val="left"/>
      <w:pPr>
        <w:ind w:left="6120" w:hanging="360"/>
      </w:pPr>
      <w:rPr>
        <w:rFonts w:ascii="Courier New" w:hAnsi="Courier New" w:cs="Courier New" w:hint="default"/>
      </w:rPr>
    </w:lvl>
    <w:lvl w:ilvl="8" w:tplc="74B81242" w:tentative="1">
      <w:start w:val="1"/>
      <w:numFmt w:val="bullet"/>
      <w:lvlText w:val=""/>
      <w:lvlJc w:val="left"/>
      <w:pPr>
        <w:ind w:left="6840" w:hanging="360"/>
      </w:pPr>
      <w:rPr>
        <w:rFonts w:ascii="Wingdings" w:hAnsi="Wingdings" w:hint="default"/>
      </w:rPr>
    </w:lvl>
  </w:abstractNum>
  <w:abstractNum w:abstractNumId="6" w15:restartNumberingAfterBreak="0">
    <w:nsid w:val="1B1A77FD"/>
    <w:multiLevelType w:val="hybridMultilevel"/>
    <w:tmpl w:val="42C01DEE"/>
    <w:lvl w:ilvl="0" w:tplc="13D666B4">
      <w:start w:val="1"/>
      <w:numFmt w:val="lowerLetter"/>
      <w:lvlText w:val="(%1)"/>
      <w:lvlJc w:val="left"/>
      <w:pPr>
        <w:ind w:left="1800" w:hanging="360"/>
      </w:pPr>
      <w:rPr>
        <w:rFonts w:hint="default"/>
      </w:rPr>
    </w:lvl>
    <w:lvl w:ilvl="1" w:tplc="21FAE1E6" w:tentative="1">
      <w:start w:val="1"/>
      <w:numFmt w:val="lowerLetter"/>
      <w:lvlText w:val="%2."/>
      <w:lvlJc w:val="left"/>
      <w:pPr>
        <w:ind w:left="2520" w:hanging="360"/>
      </w:pPr>
    </w:lvl>
    <w:lvl w:ilvl="2" w:tplc="E45E7FA2" w:tentative="1">
      <w:start w:val="1"/>
      <w:numFmt w:val="lowerRoman"/>
      <w:lvlText w:val="%3."/>
      <w:lvlJc w:val="right"/>
      <w:pPr>
        <w:ind w:left="3240" w:hanging="180"/>
      </w:pPr>
    </w:lvl>
    <w:lvl w:ilvl="3" w:tplc="0E260DD2" w:tentative="1">
      <w:start w:val="1"/>
      <w:numFmt w:val="decimal"/>
      <w:lvlText w:val="%4."/>
      <w:lvlJc w:val="left"/>
      <w:pPr>
        <w:ind w:left="3960" w:hanging="360"/>
      </w:pPr>
    </w:lvl>
    <w:lvl w:ilvl="4" w:tplc="818A1190" w:tentative="1">
      <w:start w:val="1"/>
      <w:numFmt w:val="lowerLetter"/>
      <w:lvlText w:val="%5."/>
      <w:lvlJc w:val="left"/>
      <w:pPr>
        <w:ind w:left="4680" w:hanging="360"/>
      </w:pPr>
    </w:lvl>
    <w:lvl w:ilvl="5" w:tplc="3C6A3176" w:tentative="1">
      <w:start w:val="1"/>
      <w:numFmt w:val="lowerRoman"/>
      <w:lvlText w:val="%6."/>
      <w:lvlJc w:val="right"/>
      <w:pPr>
        <w:ind w:left="5400" w:hanging="180"/>
      </w:pPr>
    </w:lvl>
    <w:lvl w:ilvl="6" w:tplc="E35257AE" w:tentative="1">
      <w:start w:val="1"/>
      <w:numFmt w:val="decimal"/>
      <w:lvlText w:val="%7."/>
      <w:lvlJc w:val="left"/>
      <w:pPr>
        <w:ind w:left="6120" w:hanging="360"/>
      </w:pPr>
    </w:lvl>
    <w:lvl w:ilvl="7" w:tplc="2374990A" w:tentative="1">
      <w:start w:val="1"/>
      <w:numFmt w:val="lowerLetter"/>
      <w:lvlText w:val="%8."/>
      <w:lvlJc w:val="left"/>
      <w:pPr>
        <w:ind w:left="6840" w:hanging="360"/>
      </w:pPr>
    </w:lvl>
    <w:lvl w:ilvl="8" w:tplc="BAA00C90" w:tentative="1">
      <w:start w:val="1"/>
      <w:numFmt w:val="lowerRoman"/>
      <w:lvlText w:val="%9."/>
      <w:lvlJc w:val="right"/>
      <w:pPr>
        <w:ind w:left="7560" w:hanging="180"/>
      </w:pPr>
    </w:lvl>
  </w:abstractNum>
  <w:abstractNum w:abstractNumId="7"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18E5A59"/>
    <w:multiLevelType w:val="hybridMultilevel"/>
    <w:tmpl w:val="6220020C"/>
    <w:lvl w:ilvl="0" w:tplc="EF44CBCA">
      <w:start w:val="1"/>
      <w:numFmt w:val="lowerLetter"/>
      <w:lvlText w:val="(%1)"/>
      <w:lvlJc w:val="left"/>
      <w:pPr>
        <w:ind w:left="1800" w:hanging="360"/>
      </w:pPr>
      <w:rPr>
        <w:rFonts w:hint="default"/>
      </w:rPr>
    </w:lvl>
    <w:lvl w:ilvl="1" w:tplc="B07AC7EC" w:tentative="1">
      <w:start w:val="1"/>
      <w:numFmt w:val="lowerLetter"/>
      <w:lvlText w:val="%2."/>
      <w:lvlJc w:val="left"/>
      <w:pPr>
        <w:ind w:left="2520" w:hanging="360"/>
      </w:pPr>
    </w:lvl>
    <w:lvl w:ilvl="2" w:tplc="4D7ABA48" w:tentative="1">
      <w:start w:val="1"/>
      <w:numFmt w:val="lowerRoman"/>
      <w:lvlText w:val="%3."/>
      <w:lvlJc w:val="right"/>
      <w:pPr>
        <w:ind w:left="3240" w:hanging="180"/>
      </w:pPr>
    </w:lvl>
    <w:lvl w:ilvl="3" w:tplc="DA3839D8" w:tentative="1">
      <w:start w:val="1"/>
      <w:numFmt w:val="decimal"/>
      <w:lvlText w:val="%4."/>
      <w:lvlJc w:val="left"/>
      <w:pPr>
        <w:ind w:left="3960" w:hanging="360"/>
      </w:pPr>
    </w:lvl>
    <w:lvl w:ilvl="4" w:tplc="A090274E" w:tentative="1">
      <w:start w:val="1"/>
      <w:numFmt w:val="lowerLetter"/>
      <w:lvlText w:val="%5."/>
      <w:lvlJc w:val="left"/>
      <w:pPr>
        <w:ind w:left="4680" w:hanging="360"/>
      </w:pPr>
    </w:lvl>
    <w:lvl w:ilvl="5" w:tplc="60DAFE32" w:tentative="1">
      <w:start w:val="1"/>
      <w:numFmt w:val="lowerRoman"/>
      <w:lvlText w:val="%6."/>
      <w:lvlJc w:val="right"/>
      <w:pPr>
        <w:ind w:left="5400" w:hanging="180"/>
      </w:pPr>
    </w:lvl>
    <w:lvl w:ilvl="6" w:tplc="4704DDE4" w:tentative="1">
      <w:start w:val="1"/>
      <w:numFmt w:val="decimal"/>
      <w:lvlText w:val="%7."/>
      <w:lvlJc w:val="left"/>
      <w:pPr>
        <w:ind w:left="6120" w:hanging="360"/>
      </w:pPr>
    </w:lvl>
    <w:lvl w:ilvl="7" w:tplc="03B6DF20" w:tentative="1">
      <w:start w:val="1"/>
      <w:numFmt w:val="lowerLetter"/>
      <w:lvlText w:val="%8."/>
      <w:lvlJc w:val="left"/>
      <w:pPr>
        <w:ind w:left="6840" w:hanging="360"/>
      </w:pPr>
    </w:lvl>
    <w:lvl w:ilvl="8" w:tplc="5C58EE8E" w:tentative="1">
      <w:start w:val="1"/>
      <w:numFmt w:val="lowerRoman"/>
      <w:lvlText w:val="%9."/>
      <w:lvlJc w:val="right"/>
      <w:pPr>
        <w:ind w:left="7560" w:hanging="180"/>
      </w:pPr>
    </w:lvl>
  </w:abstractNum>
  <w:abstractNum w:abstractNumId="9" w15:restartNumberingAfterBreak="0">
    <w:nsid w:val="39CA4A70"/>
    <w:multiLevelType w:val="hybridMultilevel"/>
    <w:tmpl w:val="CB8E85DE"/>
    <w:lvl w:ilvl="0" w:tplc="5CD8598C">
      <w:start w:val="1"/>
      <w:numFmt w:val="lowerLetter"/>
      <w:lvlText w:val="(%1)"/>
      <w:lvlJc w:val="left"/>
      <w:pPr>
        <w:ind w:left="720" w:hanging="360"/>
      </w:pPr>
      <w:rPr>
        <w:rFonts w:hint="default"/>
        <w:i/>
      </w:rPr>
    </w:lvl>
    <w:lvl w:ilvl="1" w:tplc="A3A8EC32" w:tentative="1">
      <w:start w:val="1"/>
      <w:numFmt w:val="lowerLetter"/>
      <w:lvlText w:val="%2."/>
      <w:lvlJc w:val="left"/>
      <w:pPr>
        <w:ind w:left="1440" w:hanging="360"/>
      </w:pPr>
    </w:lvl>
    <w:lvl w:ilvl="2" w:tplc="BA280786" w:tentative="1">
      <w:start w:val="1"/>
      <w:numFmt w:val="lowerRoman"/>
      <w:lvlText w:val="%3."/>
      <w:lvlJc w:val="right"/>
      <w:pPr>
        <w:ind w:left="2160" w:hanging="180"/>
      </w:pPr>
    </w:lvl>
    <w:lvl w:ilvl="3" w:tplc="DAB83ED0" w:tentative="1">
      <w:start w:val="1"/>
      <w:numFmt w:val="decimal"/>
      <w:lvlText w:val="%4."/>
      <w:lvlJc w:val="left"/>
      <w:pPr>
        <w:ind w:left="2880" w:hanging="360"/>
      </w:pPr>
    </w:lvl>
    <w:lvl w:ilvl="4" w:tplc="04FA45EE" w:tentative="1">
      <w:start w:val="1"/>
      <w:numFmt w:val="lowerLetter"/>
      <w:lvlText w:val="%5."/>
      <w:lvlJc w:val="left"/>
      <w:pPr>
        <w:ind w:left="3600" w:hanging="360"/>
      </w:pPr>
    </w:lvl>
    <w:lvl w:ilvl="5" w:tplc="1F463D16" w:tentative="1">
      <w:start w:val="1"/>
      <w:numFmt w:val="lowerRoman"/>
      <w:lvlText w:val="%6."/>
      <w:lvlJc w:val="right"/>
      <w:pPr>
        <w:ind w:left="4320" w:hanging="180"/>
      </w:pPr>
    </w:lvl>
    <w:lvl w:ilvl="6" w:tplc="E9C25FD6" w:tentative="1">
      <w:start w:val="1"/>
      <w:numFmt w:val="decimal"/>
      <w:lvlText w:val="%7."/>
      <w:lvlJc w:val="left"/>
      <w:pPr>
        <w:ind w:left="5040" w:hanging="360"/>
      </w:pPr>
    </w:lvl>
    <w:lvl w:ilvl="7" w:tplc="279A8F82" w:tentative="1">
      <w:start w:val="1"/>
      <w:numFmt w:val="lowerLetter"/>
      <w:lvlText w:val="%8."/>
      <w:lvlJc w:val="left"/>
      <w:pPr>
        <w:ind w:left="5760" w:hanging="360"/>
      </w:pPr>
    </w:lvl>
    <w:lvl w:ilvl="8" w:tplc="0628699C" w:tentative="1">
      <w:start w:val="1"/>
      <w:numFmt w:val="lowerRoman"/>
      <w:lvlText w:val="%9."/>
      <w:lvlJc w:val="right"/>
      <w:pPr>
        <w:ind w:left="6480" w:hanging="180"/>
      </w:pPr>
    </w:lvl>
  </w:abstractNum>
  <w:abstractNum w:abstractNumId="10" w15:restartNumberingAfterBreak="0">
    <w:nsid w:val="4B966FCD"/>
    <w:multiLevelType w:val="hybridMultilevel"/>
    <w:tmpl w:val="DC706FE4"/>
    <w:lvl w:ilvl="0" w:tplc="3ABA74FA">
      <w:start w:val="1"/>
      <w:numFmt w:val="lowerRoman"/>
      <w:lvlText w:val="(%1)"/>
      <w:lvlJc w:val="left"/>
      <w:pPr>
        <w:ind w:left="1440" w:hanging="720"/>
      </w:pPr>
      <w:rPr>
        <w:rFonts w:hint="default"/>
      </w:rPr>
    </w:lvl>
    <w:lvl w:ilvl="1" w:tplc="14069096" w:tentative="1">
      <w:start w:val="1"/>
      <w:numFmt w:val="lowerLetter"/>
      <w:lvlText w:val="%2."/>
      <w:lvlJc w:val="left"/>
      <w:pPr>
        <w:ind w:left="1800" w:hanging="360"/>
      </w:pPr>
    </w:lvl>
    <w:lvl w:ilvl="2" w:tplc="401243F0" w:tentative="1">
      <w:start w:val="1"/>
      <w:numFmt w:val="lowerRoman"/>
      <w:lvlText w:val="%3."/>
      <w:lvlJc w:val="right"/>
      <w:pPr>
        <w:ind w:left="2520" w:hanging="180"/>
      </w:pPr>
    </w:lvl>
    <w:lvl w:ilvl="3" w:tplc="CA3CEF04" w:tentative="1">
      <w:start w:val="1"/>
      <w:numFmt w:val="decimal"/>
      <w:lvlText w:val="%4."/>
      <w:lvlJc w:val="left"/>
      <w:pPr>
        <w:ind w:left="3240" w:hanging="360"/>
      </w:pPr>
    </w:lvl>
    <w:lvl w:ilvl="4" w:tplc="FA8A3908" w:tentative="1">
      <w:start w:val="1"/>
      <w:numFmt w:val="lowerLetter"/>
      <w:lvlText w:val="%5."/>
      <w:lvlJc w:val="left"/>
      <w:pPr>
        <w:ind w:left="3960" w:hanging="360"/>
      </w:pPr>
    </w:lvl>
    <w:lvl w:ilvl="5" w:tplc="4EDCC91C" w:tentative="1">
      <w:start w:val="1"/>
      <w:numFmt w:val="lowerRoman"/>
      <w:lvlText w:val="%6."/>
      <w:lvlJc w:val="right"/>
      <w:pPr>
        <w:ind w:left="4680" w:hanging="180"/>
      </w:pPr>
    </w:lvl>
    <w:lvl w:ilvl="6" w:tplc="B31497BA" w:tentative="1">
      <w:start w:val="1"/>
      <w:numFmt w:val="decimal"/>
      <w:lvlText w:val="%7."/>
      <w:lvlJc w:val="left"/>
      <w:pPr>
        <w:ind w:left="5400" w:hanging="360"/>
      </w:pPr>
    </w:lvl>
    <w:lvl w:ilvl="7" w:tplc="406A9E04" w:tentative="1">
      <w:start w:val="1"/>
      <w:numFmt w:val="lowerLetter"/>
      <w:lvlText w:val="%8."/>
      <w:lvlJc w:val="left"/>
      <w:pPr>
        <w:ind w:left="6120" w:hanging="360"/>
      </w:pPr>
    </w:lvl>
    <w:lvl w:ilvl="8" w:tplc="74404498" w:tentative="1">
      <w:start w:val="1"/>
      <w:numFmt w:val="lowerRoman"/>
      <w:lvlText w:val="%9."/>
      <w:lvlJc w:val="right"/>
      <w:pPr>
        <w:ind w:left="6840" w:hanging="180"/>
      </w:pPr>
    </w:lvl>
  </w:abstractNum>
  <w:abstractNum w:abstractNumId="11" w15:restartNumberingAfterBreak="0">
    <w:nsid w:val="4E0B406D"/>
    <w:multiLevelType w:val="hybridMultilevel"/>
    <w:tmpl w:val="DCB0D546"/>
    <w:lvl w:ilvl="0" w:tplc="E5EC37B6">
      <w:start w:val="1"/>
      <w:numFmt w:val="lowerLetter"/>
      <w:lvlText w:val="(%1)"/>
      <w:lvlJc w:val="left"/>
      <w:pPr>
        <w:ind w:left="1080" w:hanging="360"/>
      </w:pPr>
      <w:rPr>
        <w:rFonts w:hint="default"/>
      </w:rPr>
    </w:lvl>
    <w:lvl w:ilvl="1" w:tplc="CEF2BFBA" w:tentative="1">
      <w:start w:val="1"/>
      <w:numFmt w:val="lowerLetter"/>
      <w:lvlText w:val="%2."/>
      <w:lvlJc w:val="left"/>
      <w:pPr>
        <w:ind w:left="1800" w:hanging="360"/>
      </w:pPr>
    </w:lvl>
    <w:lvl w:ilvl="2" w:tplc="E8302A10" w:tentative="1">
      <w:start w:val="1"/>
      <w:numFmt w:val="lowerRoman"/>
      <w:lvlText w:val="%3."/>
      <w:lvlJc w:val="right"/>
      <w:pPr>
        <w:ind w:left="2520" w:hanging="180"/>
      </w:pPr>
    </w:lvl>
    <w:lvl w:ilvl="3" w:tplc="342C0966" w:tentative="1">
      <w:start w:val="1"/>
      <w:numFmt w:val="decimal"/>
      <w:lvlText w:val="%4."/>
      <w:lvlJc w:val="left"/>
      <w:pPr>
        <w:ind w:left="3240" w:hanging="360"/>
      </w:pPr>
    </w:lvl>
    <w:lvl w:ilvl="4" w:tplc="F8A8CE38" w:tentative="1">
      <w:start w:val="1"/>
      <w:numFmt w:val="lowerLetter"/>
      <w:lvlText w:val="%5."/>
      <w:lvlJc w:val="left"/>
      <w:pPr>
        <w:ind w:left="3960" w:hanging="360"/>
      </w:pPr>
    </w:lvl>
    <w:lvl w:ilvl="5" w:tplc="E7C03ACE" w:tentative="1">
      <w:start w:val="1"/>
      <w:numFmt w:val="lowerRoman"/>
      <w:lvlText w:val="%6."/>
      <w:lvlJc w:val="right"/>
      <w:pPr>
        <w:ind w:left="4680" w:hanging="180"/>
      </w:pPr>
    </w:lvl>
    <w:lvl w:ilvl="6" w:tplc="7778B04A" w:tentative="1">
      <w:start w:val="1"/>
      <w:numFmt w:val="decimal"/>
      <w:lvlText w:val="%7."/>
      <w:lvlJc w:val="left"/>
      <w:pPr>
        <w:ind w:left="5400" w:hanging="360"/>
      </w:pPr>
    </w:lvl>
    <w:lvl w:ilvl="7" w:tplc="8C32C1B4" w:tentative="1">
      <w:start w:val="1"/>
      <w:numFmt w:val="lowerLetter"/>
      <w:lvlText w:val="%8."/>
      <w:lvlJc w:val="left"/>
      <w:pPr>
        <w:ind w:left="6120" w:hanging="360"/>
      </w:pPr>
    </w:lvl>
    <w:lvl w:ilvl="8" w:tplc="90521224" w:tentative="1">
      <w:start w:val="1"/>
      <w:numFmt w:val="lowerRoman"/>
      <w:lvlText w:val="%9."/>
      <w:lvlJc w:val="right"/>
      <w:pPr>
        <w:ind w:left="6840" w:hanging="180"/>
      </w:pPr>
    </w:lvl>
  </w:abstractNum>
  <w:abstractNum w:abstractNumId="12"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1046BEA"/>
    <w:multiLevelType w:val="hybridMultilevel"/>
    <w:tmpl w:val="374CE95A"/>
    <w:lvl w:ilvl="0" w:tplc="62724B96">
      <w:start w:val="1"/>
      <w:numFmt w:val="lowerLetter"/>
      <w:lvlText w:val="(%1)"/>
      <w:lvlJc w:val="left"/>
      <w:pPr>
        <w:ind w:left="1080" w:hanging="360"/>
      </w:pPr>
      <w:rPr>
        <w:rFonts w:hint="default"/>
      </w:rPr>
    </w:lvl>
    <w:lvl w:ilvl="1" w:tplc="CEB69C18" w:tentative="1">
      <w:start w:val="1"/>
      <w:numFmt w:val="lowerLetter"/>
      <w:lvlText w:val="%2."/>
      <w:lvlJc w:val="left"/>
      <w:pPr>
        <w:ind w:left="1800" w:hanging="360"/>
      </w:pPr>
    </w:lvl>
    <w:lvl w:ilvl="2" w:tplc="E71236AE" w:tentative="1">
      <w:start w:val="1"/>
      <w:numFmt w:val="lowerRoman"/>
      <w:lvlText w:val="%3."/>
      <w:lvlJc w:val="right"/>
      <w:pPr>
        <w:ind w:left="2520" w:hanging="180"/>
      </w:pPr>
    </w:lvl>
    <w:lvl w:ilvl="3" w:tplc="FA02D174" w:tentative="1">
      <w:start w:val="1"/>
      <w:numFmt w:val="decimal"/>
      <w:lvlText w:val="%4."/>
      <w:lvlJc w:val="left"/>
      <w:pPr>
        <w:ind w:left="3240" w:hanging="360"/>
      </w:pPr>
    </w:lvl>
    <w:lvl w:ilvl="4" w:tplc="F880F4E8" w:tentative="1">
      <w:start w:val="1"/>
      <w:numFmt w:val="lowerLetter"/>
      <w:lvlText w:val="%5."/>
      <w:lvlJc w:val="left"/>
      <w:pPr>
        <w:ind w:left="3960" w:hanging="360"/>
      </w:pPr>
    </w:lvl>
    <w:lvl w:ilvl="5" w:tplc="2848D79C" w:tentative="1">
      <w:start w:val="1"/>
      <w:numFmt w:val="lowerRoman"/>
      <w:lvlText w:val="%6."/>
      <w:lvlJc w:val="right"/>
      <w:pPr>
        <w:ind w:left="4680" w:hanging="180"/>
      </w:pPr>
    </w:lvl>
    <w:lvl w:ilvl="6" w:tplc="14545A5E" w:tentative="1">
      <w:start w:val="1"/>
      <w:numFmt w:val="decimal"/>
      <w:lvlText w:val="%7."/>
      <w:lvlJc w:val="left"/>
      <w:pPr>
        <w:ind w:left="5400" w:hanging="360"/>
      </w:pPr>
    </w:lvl>
    <w:lvl w:ilvl="7" w:tplc="2FFEAD9C" w:tentative="1">
      <w:start w:val="1"/>
      <w:numFmt w:val="lowerLetter"/>
      <w:lvlText w:val="%8."/>
      <w:lvlJc w:val="left"/>
      <w:pPr>
        <w:ind w:left="6120" w:hanging="360"/>
      </w:pPr>
    </w:lvl>
    <w:lvl w:ilvl="8" w:tplc="B72C9B90" w:tentative="1">
      <w:start w:val="1"/>
      <w:numFmt w:val="lowerRoman"/>
      <w:lvlText w:val="%9."/>
      <w:lvlJc w:val="right"/>
      <w:pPr>
        <w:ind w:left="6840" w:hanging="180"/>
      </w:pPr>
    </w:lvl>
  </w:abstractNum>
  <w:abstractNum w:abstractNumId="14" w15:restartNumberingAfterBreak="0">
    <w:nsid w:val="75BB593C"/>
    <w:multiLevelType w:val="hybridMultilevel"/>
    <w:tmpl w:val="F5161286"/>
    <w:lvl w:ilvl="0" w:tplc="E74E4656">
      <w:start w:val="1"/>
      <w:numFmt w:val="lowerLetter"/>
      <w:lvlText w:val="(%1)"/>
      <w:lvlJc w:val="left"/>
      <w:pPr>
        <w:ind w:left="1080" w:hanging="360"/>
      </w:pPr>
      <w:rPr>
        <w:rFonts w:hint="default"/>
      </w:rPr>
    </w:lvl>
    <w:lvl w:ilvl="1" w:tplc="EDE2A10E" w:tentative="1">
      <w:start w:val="1"/>
      <w:numFmt w:val="lowerLetter"/>
      <w:lvlText w:val="%2."/>
      <w:lvlJc w:val="left"/>
      <w:pPr>
        <w:ind w:left="1800" w:hanging="360"/>
      </w:pPr>
    </w:lvl>
    <w:lvl w:ilvl="2" w:tplc="1936A39C" w:tentative="1">
      <w:start w:val="1"/>
      <w:numFmt w:val="lowerRoman"/>
      <w:lvlText w:val="%3."/>
      <w:lvlJc w:val="right"/>
      <w:pPr>
        <w:ind w:left="2520" w:hanging="180"/>
      </w:pPr>
    </w:lvl>
    <w:lvl w:ilvl="3" w:tplc="0C50D91A" w:tentative="1">
      <w:start w:val="1"/>
      <w:numFmt w:val="decimal"/>
      <w:lvlText w:val="%4."/>
      <w:lvlJc w:val="left"/>
      <w:pPr>
        <w:ind w:left="3240" w:hanging="360"/>
      </w:pPr>
    </w:lvl>
    <w:lvl w:ilvl="4" w:tplc="58A660FA" w:tentative="1">
      <w:start w:val="1"/>
      <w:numFmt w:val="lowerLetter"/>
      <w:lvlText w:val="%5."/>
      <w:lvlJc w:val="left"/>
      <w:pPr>
        <w:ind w:left="3960" w:hanging="360"/>
      </w:pPr>
    </w:lvl>
    <w:lvl w:ilvl="5" w:tplc="BC569F02" w:tentative="1">
      <w:start w:val="1"/>
      <w:numFmt w:val="lowerRoman"/>
      <w:lvlText w:val="%6."/>
      <w:lvlJc w:val="right"/>
      <w:pPr>
        <w:ind w:left="4680" w:hanging="180"/>
      </w:pPr>
    </w:lvl>
    <w:lvl w:ilvl="6" w:tplc="9C224ED4" w:tentative="1">
      <w:start w:val="1"/>
      <w:numFmt w:val="decimal"/>
      <w:lvlText w:val="%7."/>
      <w:lvlJc w:val="left"/>
      <w:pPr>
        <w:ind w:left="5400" w:hanging="360"/>
      </w:pPr>
    </w:lvl>
    <w:lvl w:ilvl="7" w:tplc="B2807BBE" w:tentative="1">
      <w:start w:val="1"/>
      <w:numFmt w:val="lowerLetter"/>
      <w:lvlText w:val="%8."/>
      <w:lvlJc w:val="left"/>
      <w:pPr>
        <w:ind w:left="6120" w:hanging="360"/>
      </w:pPr>
    </w:lvl>
    <w:lvl w:ilvl="8" w:tplc="AAEA6788" w:tentative="1">
      <w:start w:val="1"/>
      <w:numFmt w:val="lowerRoman"/>
      <w:lvlText w:val="%9."/>
      <w:lvlJc w:val="right"/>
      <w:pPr>
        <w:ind w:left="6840" w:hanging="180"/>
      </w:pPr>
    </w:lvl>
  </w:abstractNum>
  <w:num w:numId="1" w16cid:durableId="954680238">
    <w:abstractNumId w:val="7"/>
  </w:num>
  <w:num w:numId="2" w16cid:durableId="424544843">
    <w:abstractNumId w:val="10"/>
  </w:num>
  <w:num w:numId="3" w16cid:durableId="1481539502">
    <w:abstractNumId w:val="5"/>
  </w:num>
  <w:num w:numId="4" w16cid:durableId="261453607">
    <w:abstractNumId w:val="1"/>
  </w:num>
  <w:num w:numId="5" w16cid:durableId="860095722">
    <w:abstractNumId w:val="11"/>
  </w:num>
  <w:num w:numId="6" w16cid:durableId="884440223">
    <w:abstractNumId w:val="3"/>
  </w:num>
  <w:num w:numId="7" w16cid:durableId="1080903870">
    <w:abstractNumId w:val="13"/>
  </w:num>
  <w:num w:numId="8" w16cid:durableId="958025727">
    <w:abstractNumId w:val="14"/>
  </w:num>
  <w:num w:numId="9" w16cid:durableId="1661232460">
    <w:abstractNumId w:val="4"/>
  </w:num>
  <w:num w:numId="10" w16cid:durableId="315456665">
    <w:abstractNumId w:val="0"/>
  </w:num>
  <w:num w:numId="11" w16cid:durableId="1758280974">
    <w:abstractNumId w:val="8"/>
  </w:num>
  <w:num w:numId="12" w16cid:durableId="1778913619">
    <w:abstractNumId w:val="9"/>
  </w:num>
  <w:num w:numId="13" w16cid:durableId="819271701">
    <w:abstractNumId w:val="2"/>
  </w:num>
  <w:num w:numId="14" w16cid:durableId="1934900946">
    <w:abstractNumId w:val="12"/>
  </w:num>
  <w:num w:numId="15" w16cid:durableId="45830811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NBChoix" w:val="3"/>
    <w:docVar w:name="MotifJuge1" w:val="MOTIFS DU JUGE"/>
    <w:docVar w:name="MotifJuge2" w:val="MOTIFS DE LA JUGE"/>
    <w:docVar w:name="MotifJuge3" w:val="MOTIFS DE LA JUGE"/>
    <w:docVar w:name="NomFamJuge1" w:val="MAINVILLE"/>
    <w:docVar w:name="NomFamJuge2" w:val="BAUDOUIN"/>
    <w:docVar w:name="NomFamJuge3" w:val="HARVIE"/>
    <w:docVar w:name="NomFamJuge4" w:val="MAILHOT"/>
    <w:docVar w:name="NomFamJuge5" w:val="BAUDOUIN"/>
    <w:docVar w:name="QteJuge1" w:val=", J.C.A."/>
    <w:docVar w:name="QteJuge2" w:val=", J.C.A."/>
    <w:docVar w:name="QteJuge3" w:val=", J.C.A."/>
    <w:docVar w:name="stPremiereFois" w:val="Non"/>
  </w:docVars>
  <w:rsids>
    <w:rsidRoot w:val="00B05482"/>
    <w:rsid w:val="00002D73"/>
    <w:rsid w:val="0000320F"/>
    <w:rsid w:val="00003E23"/>
    <w:rsid w:val="00005860"/>
    <w:rsid w:val="00007283"/>
    <w:rsid w:val="000102D4"/>
    <w:rsid w:val="000131E1"/>
    <w:rsid w:val="00013EBC"/>
    <w:rsid w:val="0001447E"/>
    <w:rsid w:val="00014E20"/>
    <w:rsid w:val="00020C12"/>
    <w:rsid w:val="00021A97"/>
    <w:rsid w:val="0002466D"/>
    <w:rsid w:val="00024795"/>
    <w:rsid w:val="00027D05"/>
    <w:rsid w:val="000352E9"/>
    <w:rsid w:val="00040B47"/>
    <w:rsid w:val="00040B4F"/>
    <w:rsid w:val="000410F8"/>
    <w:rsid w:val="000412B2"/>
    <w:rsid w:val="0004225D"/>
    <w:rsid w:val="00042F11"/>
    <w:rsid w:val="0004394C"/>
    <w:rsid w:val="00044C14"/>
    <w:rsid w:val="000451B4"/>
    <w:rsid w:val="000468DB"/>
    <w:rsid w:val="00053691"/>
    <w:rsid w:val="000560D2"/>
    <w:rsid w:val="000606B4"/>
    <w:rsid w:val="00061D10"/>
    <w:rsid w:val="00064AFA"/>
    <w:rsid w:val="00066431"/>
    <w:rsid w:val="0007005B"/>
    <w:rsid w:val="000715AC"/>
    <w:rsid w:val="00072D19"/>
    <w:rsid w:val="00072ED2"/>
    <w:rsid w:val="0007312B"/>
    <w:rsid w:val="000753A0"/>
    <w:rsid w:val="00075DD2"/>
    <w:rsid w:val="00076355"/>
    <w:rsid w:val="00080673"/>
    <w:rsid w:val="00080BAD"/>
    <w:rsid w:val="000811F4"/>
    <w:rsid w:val="00082344"/>
    <w:rsid w:val="000835B6"/>
    <w:rsid w:val="00084A83"/>
    <w:rsid w:val="00084E92"/>
    <w:rsid w:val="00087B68"/>
    <w:rsid w:val="000905EF"/>
    <w:rsid w:val="00091A88"/>
    <w:rsid w:val="00092D1C"/>
    <w:rsid w:val="00093852"/>
    <w:rsid w:val="000A0EA1"/>
    <w:rsid w:val="000A2AE6"/>
    <w:rsid w:val="000A349D"/>
    <w:rsid w:val="000A5482"/>
    <w:rsid w:val="000A679F"/>
    <w:rsid w:val="000A7516"/>
    <w:rsid w:val="000A7CBB"/>
    <w:rsid w:val="000B2031"/>
    <w:rsid w:val="000B3AA8"/>
    <w:rsid w:val="000B42AF"/>
    <w:rsid w:val="000B5906"/>
    <w:rsid w:val="000B616B"/>
    <w:rsid w:val="000C0733"/>
    <w:rsid w:val="000C357B"/>
    <w:rsid w:val="000C41AB"/>
    <w:rsid w:val="000C7779"/>
    <w:rsid w:val="000D002B"/>
    <w:rsid w:val="000D17A9"/>
    <w:rsid w:val="000D1A9F"/>
    <w:rsid w:val="000D435E"/>
    <w:rsid w:val="000D476B"/>
    <w:rsid w:val="000D682E"/>
    <w:rsid w:val="000D76BF"/>
    <w:rsid w:val="000E39AF"/>
    <w:rsid w:val="000E5D90"/>
    <w:rsid w:val="000E6E49"/>
    <w:rsid w:val="000E79C0"/>
    <w:rsid w:val="000F1266"/>
    <w:rsid w:val="000F35C2"/>
    <w:rsid w:val="000F395E"/>
    <w:rsid w:val="000F5168"/>
    <w:rsid w:val="000F7923"/>
    <w:rsid w:val="00100BED"/>
    <w:rsid w:val="001013E6"/>
    <w:rsid w:val="00102A8D"/>
    <w:rsid w:val="001033C6"/>
    <w:rsid w:val="00103915"/>
    <w:rsid w:val="00103933"/>
    <w:rsid w:val="00106B01"/>
    <w:rsid w:val="00110A2A"/>
    <w:rsid w:val="00110B53"/>
    <w:rsid w:val="00111536"/>
    <w:rsid w:val="00111B82"/>
    <w:rsid w:val="00112321"/>
    <w:rsid w:val="00112942"/>
    <w:rsid w:val="001135F9"/>
    <w:rsid w:val="0011375C"/>
    <w:rsid w:val="00113FB3"/>
    <w:rsid w:val="00115C52"/>
    <w:rsid w:val="001174BA"/>
    <w:rsid w:val="00117914"/>
    <w:rsid w:val="00117B43"/>
    <w:rsid w:val="0012115C"/>
    <w:rsid w:val="001217BF"/>
    <w:rsid w:val="00125A6D"/>
    <w:rsid w:val="0012747A"/>
    <w:rsid w:val="00127804"/>
    <w:rsid w:val="0013028C"/>
    <w:rsid w:val="0013104C"/>
    <w:rsid w:val="00131A69"/>
    <w:rsid w:val="00132FDD"/>
    <w:rsid w:val="00133BD9"/>
    <w:rsid w:val="001355EC"/>
    <w:rsid w:val="001368BF"/>
    <w:rsid w:val="00137ED0"/>
    <w:rsid w:val="00140E20"/>
    <w:rsid w:val="001416DD"/>
    <w:rsid w:val="001427BF"/>
    <w:rsid w:val="00144167"/>
    <w:rsid w:val="00146259"/>
    <w:rsid w:val="0015140C"/>
    <w:rsid w:val="00153583"/>
    <w:rsid w:val="0015610F"/>
    <w:rsid w:val="00156B8D"/>
    <w:rsid w:val="0016070C"/>
    <w:rsid w:val="00160B31"/>
    <w:rsid w:val="00161CE1"/>
    <w:rsid w:val="00162A01"/>
    <w:rsid w:val="00162A4B"/>
    <w:rsid w:val="00165177"/>
    <w:rsid w:val="00165EAD"/>
    <w:rsid w:val="00171BB5"/>
    <w:rsid w:val="00171EC0"/>
    <w:rsid w:val="00172D88"/>
    <w:rsid w:val="0017452B"/>
    <w:rsid w:val="001769B2"/>
    <w:rsid w:val="00176D6E"/>
    <w:rsid w:val="00181F56"/>
    <w:rsid w:val="0018620F"/>
    <w:rsid w:val="00190FA7"/>
    <w:rsid w:val="00194064"/>
    <w:rsid w:val="001972F2"/>
    <w:rsid w:val="001A12CB"/>
    <w:rsid w:val="001A27BD"/>
    <w:rsid w:val="001A454B"/>
    <w:rsid w:val="001A6B55"/>
    <w:rsid w:val="001B0872"/>
    <w:rsid w:val="001B1C3B"/>
    <w:rsid w:val="001B228B"/>
    <w:rsid w:val="001B254C"/>
    <w:rsid w:val="001B3195"/>
    <w:rsid w:val="001B4111"/>
    <w:rsid w:val="001B523B"/>
    <w:rsid w:val="001B7652"/>
    <w:rsid w:val="001C0153"/>
    <w:rsid w:val="001C1656"/>
    <w:rsid w:val="001C3B31"/>
    <w:rsid w:val="001C4E26"/>
    <w:rsid w:val="001C5614"/>
    <w:rsid w:val="001D06CA"/>
    <w:rsid w:val="001D0CD5"/>
    <w:rsid w:val="001D1F4D"/>
    <w:rsid w:val="001D2AD8"/>
    <w:rsid w:val="001D303D"/>
    <w:rsid w:val="001D4CEE"/>
    <w:rsid w:val="001D4EDE"/>
    <w:rsid w:val="001D6324"/>
    <w:rsid w:val="001D6413"/>
    <w:rsid w:val="001E0229"/>
    <w:rsid w:val="001E2411"/>
    <w:rsid w:val="001E2D76"/>
    <w:rsid w:val="001E5159"/>
    <w:rsid w:val="001E592E"/>
    <w:rsid w:val="001F0ABA"/>
    <w:rsid w:val="001F1B72"/>
    <w:rsid w:val="001F2655"/>
    <w:rsid w:val="001F5BE3"/>
    <w:rsid w:val="00200776"/>
    <w:rsid w:val="002012FC"/>
    <w:rsid w:val="002015CA"/>
    <w:rsid w:val="00201837"/>
    <w:rsid w:val="00201B35"/>
    <w:rsid w:val="00202D4E"/>
    <w:rsid w:val="002031E7"/>
    <w:rsid w:val="00204AAF"/>
    <w:rsid w:val="00205DC4"/>
    <w:rsid w:val="00205F90"/>
    <w:rsid w:val="002068C9"/>
    <w:rsid w:val="002105D6"/>
    <w:rsid w:val="00210B28"/>
    <w:rsid w:val="00210E3B"/>
    <w:rsid w:val="002111C1"/>
    <w:rsid w:val="00211A29"/>
    <w:rsid w:val="0021548E"/>
    <w:rsid w:val="00217131"/>
    <w:rsid w:val="00217F70"/>
    <w:rsid w:val="00220157"/>
    <w:rsid w:val="002207E8"/>
    <w:rsid w:val="00220CD8"/>
    <w:rsid w:val="00221BDF"/>
    <w:rsid w:val="00221C14"/>
    <w:rsid w:val="00224471"/>
    <w:rsid w:val="00225574"/>
    <w:rsid w:val="002273F5"/>
    <w:rsid w:val="00227C18"/>
    <w:rsid w:val="002302F2"/>
    <w:rsid w:val="00233157"/>
    <w:rsid w:val="00233162"/>
    <w:rsid w:val="002341D4"/>
    <w:rsid w:val="002357A7"/>
    <w:rsid w:val="00235E7B"/>
    <w:rsid w:val="002365D8"/>
    <w:rsid w:val="00237753"/>
    <w:rsid w:val="00240052"/>
    <w:rsid w:val="00240399"/>
    <w:rsid w:val="00240574"/>
    <w:rsid w:val="00243939"/>
    <w:rsid w:val="002461C8"/>
    <w:rsid w:val="00252333"/>
    <w:rsid w:val="00255D21"/>
    <w:rsid w:val="002606D6"/>
    <w:rsid w:val="00260EC5"/>
    <w:rsid w:val="0026193F"/>
    <w:rsid w:val="002632C5"/>
    <w:rsid w:val="00263661"/>
    <w:rsid w:val="00263772"/>
    <w:rsid w:val="002647CB"/>
    <w:rsid w:val="00267F90"/>
    <w:rsid w:val="0027139C"/>
    <w:rsid w:val="00274B2E"/>
    <w:rsid w:val="0028190D"/>
    <w:rsid w:val="00283BCB"/>
    <w:rsid w:val="00284375"/>
    <w:rsid w:val="00285C5E"/>
    <w:rsid w:val="002860AB"/>
    <w:rsid w:val="00292225"/>
    <w:rsid w:val="00294452"/>
    <w:rsid w:val="00294C96"/>
    <w:rsid w:val="00297CDF"/>
    <w:rsid w:val="002A1899"/>
    <w:rsid w:val="002A2A1B"/>
    <w:rsid w:val="002A3657"/>
    <w:rsid w:val="002A52A4"/>
    <w:rsid w:val="002A6F16"/>
    <w:rsid w:val="002B048F"/>
    <w:rsid w:val="002B0D01"/>
    <w:rsid w:val="002B3F70"/>
    <w:rsid w:val="002B4A07"/>
    <w:rsid w:val="002B57C9"/>
    <w:rsid w:val="002B592D"/>
    <w:rsid w:val="002B5BB5"/>
    <w:rsid w:val="002B6026"/>
    <w:rsid w:val="002C0412"/>
    <w:rsid w:val="002C1F3B"/>
    <w:rsid w:val="002C23D5"/>
    <w:rsid w:val="002C4107"/>
    <w:rsid w:val="002C4C4F"/>
    <w:rsid w:val="002C5DA3"/>
    <w:rsid w:val="002C5DBB"/>
    <w:rsid w:val="002C6B3B"/>
    <w:rsid w:val="002D306B"/>
    <w:rsid w:val="002D41C0"/>
    <w:rsid w:val="002E1F0E"/>
    <w:rsid w:val="002E203F"/>
    <w:rsid w:val="002E229C"/>
    <w:rsid w:val="002E51F1"/>
    <w:rsid w:val="002F1350"/>
    <w:rsid w:val="002F1ADE"/>
    <w:rsid w:val="002F296B"/>
    <w:rsid w:val="002F3F5D"/>
    <w:rsid w:val="002F6136"/>
    <w:rsid w:val="00304444"/>
    <w:rsid w:val="003047FF"/>
    <w:rsid w:val="00304AB3"/>
    <w:rsid w:val="00310A2A"/>
    <w:rsid w:val="00310D96"/>
    <w:rsid w:val="003121CD"/>
    <w:rsid w:val="00312FD9"/>
    <w:rsid w:val="00313499"/>
    <w:rsid w:val="00313649"/>
    <w:rsid w:val="00313E0C"/>
    <w:rsid w:val="00317F9D"/>
    <w:rsid w:val="00320417"/>
    <w:rsid w:val="0032043A"/>
    <w:rsid w:val="00322DE0"/>
    <w:rsid w:val="0032363D"/>
    <w:rsid w:val="0033190E"/>
    <w:rsid w:val="003333C5"/>
    <w:rsid w:val="00333ADC"/>
    <w:rsid w:val="003342E6"/>
    <w:rsid w:val="003355B3"/>
    <w:rsid w:val="00336124"/>
    <w:rsid w:val="00337806"/>
    <w:rsid w:val="00337871"/>
    <w:rsid w:val="00337A32"/>
    <w:rsid w:val="00337E07"/>
    <w:rsid w:val="003428AF"/>
    <w:rsid w:val="00343C5C"/>
    <w:rsid w:val="003524E0"/>
    <w:rsid w:val="00352563"/>
    <w:rsid w:val="003531B4"/>
    <w:rsid w:val="00353D2D"/>
    <w:rsid w:val="00354119"/>
    <w:rsid w:val="00355710"/>
    <w:rsid w:val="00355889"/>
    <w:rsid w:val="00356C85"/>
    <w:rsid w:val="003577DA"/>
    <w:rsid w:val="00361325"/>
    <w:rsid w:val="00365FD1"/>
    <w:rsid w:val="00370906"/>
    <w:rsid w:val="00372917"/>
    <w:rsid w:val="00372B71"/>
    <w:rsid w:val="00373EF4"/>
    <w:rsid w:val="00374888"/>
    <w:rsid w:val="00374E40"/>
    <w:rsid w:val="00375150"/>
    <w:rsid w:val="0037521E"/>
    <w:rsid w:val="00376024"/>
    <w:rsid w:val="00376EB1"/>
    <w:rsid w:val="0037708C"/>
    <w:rsid w:val="003774C4"/>
    <w:rsid w:val="00380933"/>
    <w:rsid w:val="00380CD6"/>
    <w:rsid w:val="00382389"/>
    <w:rsid w:val="0038326D"/>
    <w:rsid w:val="0038562C"/>
    <w:rsid w:val="00390973"/>
    <w:rsid w:val="003957EE"/>
    <w:rsid w:val="0039748F"/>
    <w:rsid w:val="00397655"/>
    <w:rsid w:val="003A0569"/>
    <w:rsid w:val="003A266B"/>
    <w:rsid w:val="003A343B"/>
    <w:rsid w:val="003A604D"/>
    <w:rsid w:val="003B1B43"/>
    <w:rsid w:val="003B51E6"/>
    <w:rsid w:val="003B7482"/>
    <w:rsid w:val="003C032E"/>
    <w:rsid w:val="003C1774"/>
    <w:rsid w:val="003C250E"/>
    <w:rsid w:val="003C4747"/>
    <w:rsid w:val="003D0904"/>
    <w:rsid w:val="003D09A9"/>
    <w:rsid w:val="003D12C4"/>
    <w:rsid w:val="003D3406"/>
    <w:rsid w:val="003D4372"/>
    <w:rsid w:val="003D487D"/>
    <w:rsid w:val="003D5231"/>
    <w:rsid w:val="003D5956"/>
    <w:rsid w:val="003D6559"/>
    <w:rsid w:val="003D68A9"/>
    <w:rsid w:val="003D6D47"/>
    <w:rsid w:val="003D7F17"/>
    <w:rsid w:val="003E00F6"/>
    <w:rsid w:val="003E23CB"/>
    <w:rsid w:val="003E2892"/>
    <w:rsid w:val="003E3239"/>
    <w:rsid w:val="003E3E3B"/>
    <w:rsid w:val="003E3E3C"/>
    <w:rsid w:val="003E3F0E"/>
    <w:rsid w:val="003F08AD"/>
    <w:rsid w:val="003F5975"/>
    <w:rsid w:val="003F5C9D"/>
    <w:rsid w:val="003F6D3B"/>
    <w:rsid w:val="003F7535"/>
    <w:rsid w:val="00403BC0"/>
    <w:rsid w:val="00403CE7"/>
    <w:rsid w:val="004068A4"/>
    <w:rsid w:val="00406B00"/>
    <w:rsid w:val="00407089"/>
    <w:rsid w:val="004107BE"/>
    <w:rsid w:val="00410994"/>
    <w:rsid w:val="00413453"/>
    <w:rsid w:val="00414923"/>
    <w:rsid w:val="00415994"/>
    <w:rsid w:val="00416553"/>
    <w:rsid w:val="00416AE4"/>
    <w:rsid w:val="00422239"/>
    <w:rsid w:val="00423872"/>
    <w:rsid w:val="00423DF1"/>
    <w:rsid w:val="0042416B"/>
    <w:rsid w:val="004309C1"/>
    <w:rsid w:val="00430C58"/>
    <w:rsid w:val="004331C4"/>
    <w:rsid w:val="0043377A"/>
    <w:rsid w:val="004337A6"/>
    <w:rsid w:val="00434453"/>
    <w:rsid w:val="0043564D"/>
    <w:rsid w:val="00436EB5"/>
    <w:rsid w:val="00441C25"/>
    <w:rsid w:val="004457BB"/>
    <w:rsid w:val="00445998"/>
    <w:rsid w:val="00445AE9"/>
    <w:rsid w:val="00446452"/>
    <w:rsid w:val="0044707A"/>
    <w:rsid w:val="004474FB"/>
    <w:rsid w:val="004504E1"/>
    <w:rsid w:val="004526C3"/>
    <w:rsid w:val="004533F7"/>
    <w:rsid w:val="00456C06"/>
    <w:rsid w:val="0046115B"/>
    <w:rsid w:val="004614C7"/>
    <w:rsid w:val="00471DC3"/>
    <w:rsid w:val="00472DC8"/>
    <w:rsid w:val="004731F0"/>
    <w:rsid w:val="00473AA9"/>
    <w:rsid w:val="00476E45"/>
    <w:rsid w:val="004800FB"/>
    <w:rsid w:val="004802EC"/>
    <w:rsid w:val="004810FA"/>
    <w:rsid w:val="00481163"/>
    <w:rsid w:val="0048280F"/>
    <w:rsid w:val="00482DE5"/>
    <w:rsid w:val="00485D82"/>
    <w:rsid w:val="004863B2"/>
    <w:rsid w:val="00486FBE"/>
    <w:rsid w:val="004936F2"/>
    <w:rsid w:val="00494602"/>
    <w:rsid w:val="004969A1"/>
    <w:rsid w:val="004A18C7"/>
    <w:rsid w:val="004A1E2E"/>
    <w:rsid w:val="004A29F1"/>
    <w:rsid w:val="004A44D3"/>
    <w:rsid w:val="004A63A6"/>
    <w:rsid w:val="004A6641"/>
    <w:rsid w:val="004A683B"/>
    <w:rsid w:val="004B0258"/>
    <w:rsid w:val="004B1E94"/>
    <w:rsid w:val="004B33FF"/>
    <w:rsid w:val="004B521D"/>
    <w:rsid w:val="004C00B4"/>
    <w:rsid w:val="004C120D"/>
    <w:rsid w:val="004C1463"/>
    <w:rsid w:val="004C2091"/>
    <w:rsid w:val="004C385E"/>
    <w:rsid w:val="004C5690"/>
    <w:rsid w:val="004C6ADE"/>
    <w:rsid w:val="004C6D03"/>
    <w:rsid w:val="004C7649"/>
    <w:rsid w:val="004D0E00"/>
    <w:rsid w:val="004D1551"/>
    <w:rsid w:val="004D2D08"/>
    <w:rsid w:val="004D2F69"/>
    <w:rsid w:val="004D55BB"/>
    <w:rsid w:val="004D56FA"/>
    <w:rsid w:val="004D6623"/>
    <w:rsid w:val="004E0A71"/>
    <w:rsid w:val="004E0EB7"/>
    <w:rsid w:val="004E4FBA"/>
    <w:rsid w:val="004E5BBB"/>
    <w:rsid w:val="004E5DD1"/>
    <w:rsid w:val="004E5ED6"/>
    <w:rsid w:val="004F0C14"/>
    <w:rsid w:val="004F120F"/>
    <w:rsid w:val="004F2269"/>
    <w:rsid w:val="004F39AF"/>
    <w:rsid w:val="004F4E14"/>
    <w:rsid w:val="004F5918"/>
    <w:rsid w:val="0050073E"/>
    <w:rsid w:val="00502233"/>
    <w:rsid w:val="00504964"/>
    <w:rsid w:val="00504F9E"/>
    <w:rsid w:val="005069BC"/>
    <w:rsid w:val="0051064F"/>
    <w:rsid w:val="005115E9"/>
    <w:rsid w:val="00511BA6"/>
    <w:rsid w:val="00512190"/>
    <w:rsid w:val="005122CD"/>
    <w:rsid w:val="005131F1"/>
    <w:rsid w:val="00513A6F"/>
    <w:rsid w:val="0051484F"/>
    <w:rsid w:val="00514C9F"/>
    <w:rsid w:val="00514F56"/>
    <w:rsid w:val="00515673"/>
    <w:rsid w:val="00516B3E"/>
    <w:rsid w:val="005214C1"/>
    <w:rsid w:val="00522986"/>
    <w:rsid w:val="00522BAD"/>
    <w:rsid w:val="00525E81"/>
    <w:rsid w:val="005262C9"/>
    <w:rsid w:val="005269D0"/>
    <w:rsid w:val="0053142F"/>
    <w:rsid w:val="00531522"/>
    <w:rsid w:val="00531D70"/>
    <w:rsid w:val="005323D7"/>
    <w:rsid w:val="00535399"/>
    <w:rsid w:val="005372F2"/>
    <w:rsid w:val="00540822"/>
    <w:rsid w:val="00541F1A"/>
    <w:rsid w:val="0054269D"/>
    <w:rsid w:val="00543FE3"/>
    <w:rsid w:val="0054433A"/>
    <w:rsid w:val="00546A7B"/>
    <w:rsid w:val="00547DBB"/>
    <w:rsid w:val="0055346F"/>
    <w:rsid w:val="005537D4"/>
    <w:rsid w:val="00556C44"/>
    <w:rsid w:val="00557846"/>
    <w:rsid w:val="00563C73"/>
    <w:rsid w:val="005644CA"/>
    <w:rsid w:val="005655ED"/>
    <w:rsid w:val="00565EDD"/>
    <w:rsid w:val="00566BF6"/>
    <w:rsid w:val="005706D3"/>
    <w:rsid w:val="0057197B"/>
    <w:rsid w:val="00574ABE"/>
    <w:rsid w:val="00577598"/>
    <w:rsid w:val="0058240C"/>
    <w:rsid w:val="00582F87"/>
    <w:rsid w:val="00583434"/>
    <w:rsid w:val="0058349F"/>
    <w:rsid w:val="005854FF"/>
    <w:rsid w:val="00586FCF"/>
    <w:rsid w:val="00591F9A"/>
    <w:rsid w:val="005920F5"/>
    <w:rsid w:val="005936D0"/>
    <w:rsid w:val="00593C98"/>
    <w:rsid w:val="0059476A"/>
    <w:rsid w:val="0059593C"/>
    <w:rsid w:val="00596423"/>
    <w:rsid w:val="005A16F6"/>
    <w:rsid w:val="005A5156"/>
    <w:rsid w:val="005A5EC5"/>
    <w:rsid w:val="005A633B"/>
    <w:rsid w:val="005A69F0"/>
    <w:rsid w:val="005A78BF"/>
    <w:rsid w:val="005B007C"/>
    <w:rsid w:val="005B0B90"/>
    <w:rsid w:val="005B1998"/>
    <w:rsid w:val="005B47B6"/>
    <w:rsid w:val="005B4CA2"/>
    <w:rsid w:val="005B599F"/>
    <w:rsid w:val="005B62D1"/>
    <w:rsid w:val="005B6B4C"/>
    <w:rsid w:val="005B7B2A"/>
    <w:rsid w:val="005C101F"/>
    <w:rsid w:val="005C1387"/>
    <w:rsid w:val="005C58DC"/>
    <w:rsid w:val="005C6043"/>
    <w:rsid w:val="005C7516"/>
    <w:rsid w:val="005D0646"/>
    <w:rsid w:val="005D0906"/>
    <w:rsid w:val="005D1522"/>
    <w:rsid w:val="005D1B46"/>
    <w:rsid w:val="005D4D74"/>
    <w:rsid w:val="005D4D85"/>
    <w:rsid w:val="005D7A1B"/>
    <w:rsid w:val="005E419A"/>
    <w:rsid w:val="005E66CE"/>
    <w:rsid w:val="005E676A"/>
    <w:rsid w:val="005F0D2D"/>
    <w:rsid w:val="005F0EF6"/>
    <w:rsid w:val="005F0F7D"/>
    <w:rsid w:val="005F0FEC"/>
    <w:rsid w:val="005F3EFF"/>
    <w:rsid w:val="005F5F5F"/>
    <w:rsid w:val="005F6EFF"/>
    <w:rsid w:val="005F7D0F"/>
    <w:rsid w:val="00600E54"/>
    <w:rsid w:val="00605F8F"/>
    <w:rsid w:val="006079A2"/>
    <w:rsid w:val="006134BA"/>
    <w:rsid w:val="00613DDA"/>
    <w:rsid w:val="00613E23"/>
    <w:rsid w:val="0061523A"/>
    <w:rsid w:val="0061528E"/>
    <w:rsid w:val="006163C5"/>
    <w:rsid w:val="0061694E"/>
    <w:rsid w:val="00617EB1"/>
    <w:rsid w:val="0062160E"/>
    <w:rsid w:val="0062321B"/>
    <w:rsid w:val="00624770"/>
    <w:rsid w:val="0062799A"/>
    <w:rsid w:val="00630E1F"/>
    <w:rsid w:val="00631B58"/>
    <w:rsid w:val="0063286D"/>
    <w:rsid w:val="00632FD3"/>
    <w:rsid w:val="00637CB4"/>
    <w:rsid w:val="00640D80"/>
    <w:rsid w:val="0064250B"/>
    <w:rsid w:val="006427CB"/>
    <w:rsid w:val="00642BE8"/>
    <w:rsid w:val="00642C71"/>
    <w:rsid w:val="006454F5"/>
    <w:rsid w:val="00645B3D"/>
    <w:rsid w:val="0064756E"/>
    <w:rsid w:val="006501C5"/>
    <w:rsid w:val="00662C5E"/>
    <w:rsid w:val="00662D9A"/>
    <w:rsid w:val="00664D02"/>
    <w:rsid w:val="00664EE2"/>
    <w:rsid w:val="00665F10"/>
    <w:rsid w:val="0067036E"/>
    <w:rsid w:val="00671AA9"/>
    <w:rsid w:val="0067708C"/>
    <w:rsid w:val="00677358"/>
    <w:rsid w:val="006774DC"/>
    <w:rsid w:val="00680439"/>
    <w:rsid w:val="006806EE"/>
    <w:rsid w:val="006826AA"/>
    <w:rsid w:val="0068356A"/>
    <w:rsid w:val="00683E3C"/>
    <w:rsid w:val="0068579B"/>
    <w:rsid w:val="00685832"/>
    <w:rsid w:val="00685EF2"/>
    <w:rsid w:val="00686B8D"/>
    <w:rsid w:val="006932D8"/>
    <w:rsid w:val="0069437E"/>
    <w:rsid w:val="00694B10"/>
    <w:rsid w:val="00696417"/>
    <w:rsid w:val="00696466"/>
    <w:rsid w:val="00696CB6"/>
    <w:rsid w:val="0069702B"/>
    <w:rsid w:val="006A0DB0"/>
    <w:rsid w:val="006A19FF"/>
    <w:rsid w:val="006A2106"/>
    <w:rsid w:val="006A360A"/>
    <w:rsid w:val="006A4442"/>
    <w:rsid w:val="006A4745"/>
    <w:rsid w:val="006A54A4"/>
    <w:rsid w:val="006A6629"/>
    <w:rsid w:val="006A6AC2"/>
    <w:rsid w:val="006B192B"/>
    <w:rsid w:val="006B26BF"/>
    <w:rsid w:val="006B490B"/>
    <w:rsid w:val="006B51E4"/>
    <w:rsid w:val="006B6F43"/>
    <w:rsid w:val="006B776E"/>
    <w:rsid w:val="006C0254"/>
    <w:rsid w:val="006C11C2"/>
    <w:rsid w:val="006C1D0A"/>
    <w:rsid w:val="006C3FC8"/>
    <w:rsid w:val="006C4CD4"/>
    <w:rsid w:val="006C5D50"/>
    <w:rsid w:val="006D0513"/>
    <w:rsid w:val="006D2915"/>
    <w:rsid w:val="006D7DF2"/>
    <w:rsid w:val="006E2285"/>
    <w:rsid w:val="006F3C4C"/>
    <w:rsid w:val="00700315"/>
    <w:rsid w:val="007013C7"/>
    <w:rsid w:val="00701B04"/>
    <w:rsid w:val="007031B3"/>
    <w:rsid w:val="00704B93"/>
    <w:rsid w:val="00710859"/>
    <w:rsid w:val="0071087E"/>
    <w:rsid w:val="00710B50"/>
    <w:rsid w:val="00713D44"/>
    <w:rsid w:val="00713F89"/>
    <w:rsid w:val="007147BC"/>
    <w:rsid w:val="00717EBB"/>
    <w:rsid w:val="00721694"/>
    <w:rsid w:val="00722204"/>
    <w:rsid w:val="007224CF"/>
    <w:rsid w:val="0072306E"/>
    <w:rsid w:val="00725329"/>
    <w:rsid w:val="0072581C"/>
    <w:rsid w:val="0073439A"/>
    <w:rsid w:val="00734EE8"/>
    <w:rsid w:val="00736DBE"/>
    <w:rsid w:val="00740175"/>
    <w:rsid w:val="0074050B"/>
    <w:rsid w:val="00740A17"/>
    <w:rsid w:val="00740B92"/>
    <w:rsid w:val="00740EA8"/>
    <w:rsid w:val="0074101A"/>
    <w:rsid w:val="007419CE"/>
    <w:rsid w:val="007447C9"/>
    <w:rsid w:val="007454F7"/>
    <w:rsid w:val="007462D6"/>
    <w:rsid w:val="00746C6D"/>
    <w:rsid w:val="0074738B"/>
    <w:rsid w:val="00751B06"/>
    <w:rsid w:val="00752B79"/>
    <w:rsid w:val="007533E2"/>
    <w:rsid w:val="007542A3"/>
    <w:rsid w:val="00754FB0"/>
    <w:rsid w:val="0076062E"/>
    <w:rsid w:val="00760716"/>
    <w:rsid w:val="00761A25"/>
    <w:rsid w:val="00761BBF"/>
    <w:rsid w:val="00762025"/>
    <w:rsid w:val="007631AE"/>
    <w:rsid w:val="007678A8"/>
    <w:rsid w:val="007726F5"/>
    <w:rsid w:val="00772B57"/>
    <w:rsid w:val="00773055"/>
    <w:rsid w:val="0077373D"/>
    <w:rsid w:val="00775A6E"/>
    <w:rsid w:val="007762B8"/>
    <w:rsid w:val="0078191D"/>
    <w:rsid w:val="007823B4"/>
    <w:rsid w:val="00783ED8"/>
    <w:rsid w:val="00783FD9"/>
    <w:rsid w:val="007874B8"/>
    <w:rsid w:val="00792195"/>
    <w:rsid w:val="007953F3"/>
    <w:rsid w:val="00796682"/>
    <w:rsid w:val="00796AAD"/>
    <w:rsid w:val="00797429"/>
    <w:rsid w:val="007A030B"/>
    <w:rsid w:val="007A2BA7"/>
    <w:rsid w:val="007A2C12"/>
    <w:rsid w:val="007A2D5A"/>
    <w:rsid w:val="007A3F47"/>
    <w:rsid w:val="007A44B2"/>
    <w:rsid w:val="007A5678"/>
    <w:rsid w:val="007A72E7"/>
    <w:rsid w:val="007A75C6"/>
    <w:rsid w:val="007A7803"/>
    <w:rsid w:val="007B035D"/>
    <w:rsid w:val="007B061E"/>
    <w:rsid w:val="007B19F5"/>
    <w:rsid w:val="007B1D23"/>
    <w:rsid w:val="007B29F6"/>
    <w:rsid w:val="007B36F0"/>
    <w:rsid w:val="007B48D5"/>
    <w:rsid w:val="007B7D78"/>
    <w:rsid w:val="007C0125"/>
    <w:rsid w:val="007C3D1F"/>
    <w:rsid w:val="007C4194"/>
    <w:rsid w:val="007C4A21"/>
    <w:rsid w:val="007C5616"/>
    <w:rsid w:val="007C6C94"/>
    <w:rsid w:val="007C7832"/>
    <w:rsid w:val="007D087C"/>
    <w:rsid w:val="007D16BC"/>
    <w:rsid w:val="007D1B29"/>
    <w:rsid w:val="007D1EAA"/>
    <w:rsid w:val="007D2366"/>
    <w:rsid w:val="007D35A9"/>
    <w:rsid w:val="007D4C35"/>
    <w:rsid w:val="007D4C82"/>
    <w:rsid w:val="007D51DF"/>
    <w:rsid w:val="007D62A1"/>
    <w:rsid w:val="007D6B92"/>
    <w:rsid w:val="007D70D5"/>
    <w:rsid w:val="007D7301"/>
    <w:rsid w:val="007D75A9"/>
    <w:rsid w:val="007E049E"/>
    <w:rsid w:val="007E0815"/>
    <w:rsid w:val="007E1116"/>
    <w:rsid w:val="007E1EF6"/>
    <w:rsid w:val="007E33E4"/>
    <w:rsid w:val="007E4866"/>
    <w:rsid w:val="007E4CC9"/>
    <w:rsid w:val="007E59CB"/>
    <w:rsid w:val="007E6C38"/>
    <w:rsid w:val="007F126F"/>
    <w:rsid w:val="007F2808"/>
    <w:rsid w:val="007F67FF"/>
    <w:rsid w:val="007F7156"/>
    <w:rsid w:val="007F76E2"/>
    <w:rsid w:val="0080066E"/>
    <w:rsid w:val="00800D23"/>
    <w:rsid w:val="00801E6D"/>
    <w:rsid w:val="0080208F"/>
    <w:rsid w:val="0080256A"/>
    <w:rsid w:val="00804DD8"/>
    <w:rsid w:val="008101F6"/>
    <w:rsid w:val="0081054F"/>
    <w:rsid w:val="00810BF1"/>
    <w:rsid w:val="00816273"/>
    <w:rsid w:val="0081658D"/>
    <w:rsid w:val="00822605"/>
    <w:rsid w:val="00822B01"/>
    <w:rsid w:val="00823F7E"/>
    <w:rsid w:val="008251E1"/>
    <w:rsid w:val="00826446"/>
    <w:rsid w:val="00826973"/>
    <w:rsid w:val="00826F77"/>
    <w:rsid w:val="0082717B"/>
    <w:rsid w:val="00827B04"/>
    <w:rsid w:val="0083032E"/>
    <w:rsid w:val="00834F62"/>
    <w:rsid w:val="00841907"/>
    <w:rsid w:val="00841E20"/>
    <w:rsid w:val="00842C48"/>
    <w:rsid w:val="00844E11"/>
    <w:rsid w:val="0084593B"/>
    <w:rsid w:val="0084665D"/>
    <w:rsid w:val="00846AA1"/>
    <w:rsid w:val="00847591"/>
    <w:rsid w:val="00851A53"/>
    <w:rsid w:val="00855CB3"/>
    <w:rsid w:val="008574ED"/>
    <w:rsid w:val="0086036A"/>
    <w:rsid w:val="00861544"/>
    <w:rsid w:val="00862E2C"/>
    <w:rsid w:val="00862FD3"/>
    <w:rsid w:val="008653A3"/>
    <w:rsid w:val="008657A2"/>
    <w:rsid w:val="00866645"/>
    <w:rsid w:val="00871A0A"/>
    <w:rsid w:val="008721B2"/>
    <w:rsid w:val="00873107"/>
    <w:rsid w:val="00873265"/>
    <w:rsid w:val="00874D7B"/>
    <w:rsid w:val="008753D0"/>
    <w:rsid w:val="00875625"/>
    <w:rsid w:val="00882210"/>
    <w:rsid w:val="0088260C"/>
    <w:rsid w:val="008832A2"/>
    <w:rsid w:val="00886687"/>
    <w:rsid w:val="0088746D"/>
    <w:rsid w:val="00887DF0"/>
    <w:rsid w:val="008903C2"/>
    <w:rsid w:val="008908F0"/>
    <w:rsid w:val="00894266"/>
    <w:rsid w:val="00894C60"/>
    <w:rsid w:val="008A132C"/>
    <w:rsid w:val="008A3E32"/>
    <w:rsid w:val="008A40A6"/>
    <w:rsid w:val="008A6185"/>
    <w:rsid w:val="008A7236"/>
    <w:rsid w:val="008B0458"/>
    <w:rsid w:val="008B1150"/>
    <w:rsid w:val="008B5F97"/>
    <w:rsid w:val="008B614C"/>
    <w:rsid w:val="008B61BC"/>
    <w:rsid w:val="008B6E8B"/>
    <w:rsid w:val="008B7DF0"/>
    <w:rsid w:val="008C012B"/>
    <w:rsid w:val="008C0A15"/>
    <w:rsid w:val="008C1FE9"/>
    <w:rsid w:val="008C31B2"/>
    <w:rsid w:val="008C3489"/>
    <w:rsid w:val="008C3A5C"/>
    <w:rsid w:val="008C4D5E"/>
    <w:rsid w:val="008C6CE9"/>
    <w:rsid w:val="008C7DCE"/>
    <w:rsid w:val="008D02BD"/>
    <w:rsid w:val="008D18FC"/>
    <w:rsid w:val="008D31BE"/>
    <w:rsid w:val="008D398B"/>
    <w:rsid w:val="008D5EE7"/>
    <w:rsid w:val="008D6726"/>
    <w:rsid w:val="008D72FC"/>
    <w:rsid w:val="008D7E49"/>
    <w:rsid w:val="008E1389"/>
    <w:rsid w:val="008F1A15"/>
    <w:rsid w:val="008F26A0"/>
    <w:rsid w:val="008F364A"/>
    <w:rsid w:val="008F3F53"/>
    <w:rsid w:val="008F67FC"/>
    <w:rsid w:val="008F6D02"/>
    <w:rsid w:val="0090079A"/>
    <w:rsid w:val="00901756"/>
    <w:rsid w:val="00903F11"/>
    <w:rsid w:val="0090439C"/>
    <w:rsid w:val="00910118"/>
    <w:rsid w:val="00910D7C"/>
    <w:rsid w:val="00910FFB"/>
    <w:rsid w:val="00913E03"/>
    <w:rsid w:val="0091570C"/>
    <w:rsid w:val="00916EA4"/>
    <w:rsid w:val="00920981"/>
    <w:rsid w:val="009229E9"/>
    <w:rsid w:val="00923312"/>
    <w:rsid w:val="009233DC"/>
    <w:rsid w:val="00924630"/>
    <w:rsid w:val="00924F28"/>
    <w:rsid w:val="00926953"/>
    <w:rsid w:val="00930EC4"/>
    <w:rsid w:val="00931347"/>
    <w:rsid w:val="009322EA"/>
    <w:rsid w:val="00932703"/>
    <w:rsid w:val="00933318"/>
    <w:rsid w:val="00933711"/>
    <w:rsid w:val="00936469"/>
    <w:rsid w:val="009364D3"/>
    <w:rsid w:val="00937DEB"/>
    <w:rsid w:val="009400B7"/>
    <w:rsid w:val="00940E04"/>
    <w:rsid w:val="00941113"/>
    <w:rsid w:val="00941E02"/>
    <w:rsid w:val="00942EF9"/>
    <w:rsid w:val="00945395"/>
    <w:rsid w:val="009456A3"/>
    <w:rsid w:val="0094606B"/>
    <w:rsid w:val="0094684A"/>
    <w:rsid w:val="00947E48"/>
    <w:rsid w:val="009500AD"/>
    <w:rsid w:val="0095135B"/>
    <w:rsid w:val="00951473"/>
    <w:rsid w:val="009540E3"/>
    <w:rsid w:val="00954DC2"/>
    <w:rsid w:val="009553DA"/>
    <w:rsid w:val="00955B26"/>
    <w:rsid w:val="0095685C"/>
    <w:rsid w:val="00956B70"/>
    <w:rsid w:val="00956DA7"/>
    <w:rsid w:val="00957340"/>
    <w:rsid w:val="00957B92"/>
    <w:rsid w:val="00960202"/>
    <w:rsid w:val="00960AB7"/>
    <w:rsid w:val="00960C61"/>
    <w:rsid w:val="0096200F"/>
    <w:rsid w:val="0096202C"/>
    <w:rsid w:val="00963622"/>
    <w:rsid w:val="00970733"/>
    <w:rsid w:val="00970966"/>
    <w:rsid w:val="0097363C"/>
    <w:rsid w:val="00973A63"/>
    <w:rsid w:val="00973A83"/>
    <w:rsid w:val="00973D5A"/>
    <w:rsid w:val="00973F3A"/>
    <w:rsid w:val="00974442"/>
    <w:rsid w:val="00974E29"/>
    <w:rsid w:val="0097557D"/>
    <w:rsid w:val="009804DE"/>
    <w:rsid w:val="00981829"/>
    <w:rsid w:val="00983AFD"/>
    <w:rsid w:val="00983D49"/>
    <w:rsid w:val="00986C49"/>
    <w:rsid w:val="00991BE5"/>
    <w:rsid w:val="00992F4C"/>
    <w:rsid w:val="00994A29"/>
    <w:rsid w:val="00994A46"/>
    <w:rsid w:val="009963E9"/>
    <w:rsid w:val="00997785"/>
    <w:rsid w:val="009977CC"/>
    <w:rsid w:val="009A1374"/>
    <w:rsid w:val="009A2839"/>
    <w:rsid w:val="009A3DE0"/>
    <w:rsid w:val="009A44A8"/>
    <w:rsid w:val="009A5504"/>
    <w:rsid w:val="009A5CFB"/>
    <w:rsid w:val="009B2AEE"/>
    <w:rsid w:val="009B2E2C"/>
    <w:rsid w:val="009B2E39"/>
    <w:rsid w:val="009B718D"/>
    <w:rsid w:val="009B73BE"/>
    <w:rsid w:val="009B7DB1"/>
    <w:rsid w:val="009C0E63"/>
    <w:rsid w:val="009C41E3"/>
    <w:rsid w:val="009C6B93"/>
    <w:rsid w:val="009C73CB"/>
    <w:rsid w:val="009D1C41"/>
    <w:rsid w:val="009D2023"/>
    <w:rsid w:val="009D274C"/>
    <w:rsid w:val="009D3CD1"/>
    <w:rsid w:val="009D57F6"/>
    <w:rsid w:val="009E1D0D"/>
    <w:rsid w:val="009E25C7"/>
    <w:rsid w:val="009E35C5"/>
    <w:rsid w:val="009E3789"/>
    <w:rsid w:val="009E40D7"/>
    <w:rsid w:val="009E4304"/>
    <w:rsid w:val="009E4FA4"/>
    <w:rsid w:val="009E5155"/>
    <w:rsid w:val="009E5327"/>
    <w:rsid w:val="009E6F15"/>
    <w:rsid w:val="009F1F69"/>
    <w:rsid w:val="009F2618"/>
    <w:rsid w:val="009F45B2"/>
    <w:rsid w:val="009F546D"/>
    <w:rsid w:val="009F5533"/>
    <w:rsid w:val="009F573C"/>
    <w:rsid w:val="00A02009"/>
    <w:rsid w:val="00A02D6C"/>
    <w:rsid w:val="00A033AF"/>
    <w:rsid w:val="00A033C0"/>
    <w:rsid w:val="00A03C41"/>
    <w:rsid w:val="00A04C63"/>
    <w:rsid w:val="00A05F1F"/>
    <w:rsid w:val="00A06ED6"/>
    <w:rsid w:val="00A10AE3"/>
    <w:rsid w:val="00A14FCE"/>
    <w:rsid w:val="00A15446"/>
    <w:rsid w:val="00A158CA"/>
    <w:rsid w:val="00A165BA"/>
    <w:rsid w:val="00A17C42"/>
    <w:rsid w:val="00A217E6"/>
    <w:rsid w:val="00A23BF4"/>
    <w:rsid w:val="00A24619"/>
    <w:rsid w:val="00A250F9"/>
    <w:rsid w:val="00A2593B"/>
    <w:rsid w:val="00A26638"/>
    <w:rsid w:val="00A26E82"/>
    <w:rsid w:val="00A30CF4"/>
    <w:rsid w:val="00A32195"/>
    <w:rsid w:val="00A33052"/>
    <w:rsid w:val="00A34E05"/>
    <w:rsid w:val="00A34E15"/>
    <w:rsid w:val="00A36CC8"/>
    <w:rsid w:val="00A36E70"/>
    <w:rsid w:val="00A40A97"/>
    <w:rsid w:val="00A41F53"/>
    <w:rsid w:val="00A43D8B"/>
    <w:rsid w:val="00A44D0D"/>
    <w:rsid w:val="00A45467"/>
    <w:rsid w:val="00A454F1"/>
    <w:rsid w:val="00A47A11"/>
    <w:rsid w:val="00A531AA"/>
    <w:rsid w:val="00A543CC"/>
    <w:rsid w:val="00A55630"/>
    <w:rsid w:val="00A5771D"/>
    <w:rsid w:val="00A6125B"/>
    <w:rsid w:val="00A62A54"/>
    <w:rsid w:val="00A665A9"/>
    <w:rsid w:val="00A71149"/>
    <w:rsid w:val="00A73EC0"/>
    <w:rsid w:val="00A74DFF"/>
    <w:rsid w:val="00A76575"/>
    <w:rsid w:val="00A7718F"/>
    <w:rsid w:val="00A7741C"/>
    <w:rsid w:val="00A93AED"/>
    <w:rsid w:val="00A93CFF"/>
    <w:rsid w:val="00A9421B"/>
    <w:rsid w:val="00A95EF8"/>
    <w:rsid w:val="00A95FAF"/>
    <w:rsid w:val="00AA0405"/>
    <w:rsid w:val="00AA4221"/>
    <w:rsid w:val="00AA74AC"/>
    <w:rsid w:val="00AB0B56"/>
    <w:rsid w:val="00AB190F"/>
    <w:rsid w:val="00AB2484"/>
    <w:rsid w:val="00AB4298"/>
    <w:rsid w:val="00AB6CFF"/>
    <w:rsid w:val="00AB7B22"/>
    <w:rsid w:val="00AB7DD2"/>
    <w:rsid w:val="00AC0B9C"/>
    <w:rsid w:val="00AC3968"/>
    <w:rsid w:val="00AC41E6"/>
    <w:rsid w:val="00AC5933"/>
    <w:rsid w:val="00AC60FF"/>
    <w:rsid w:val="00AC6CD0"/>
    <w:rsid w:val="00AC6F93"/>
    <w:rsid w:val="00AD036E"/>
    <w:rsid w:val="00AD16CB"/>
    <w:rsid w:val="00AD5107"/>
    <w:rsid w:val="00AD5627"/>
    <w:rsid w:val="00AE16C1"/>
    <w:rsid w:val="00AE3408"/>
    <w:rsid w:val="00AE386C"/>
    <w:rsid w:val="00AE44F9"/>
    <w:rsid w:val="00AE5C89"/>
    <w:rsid w:val="00AF05C0"/>
    <w:rsid w:val="00AF0C7C"/>
    <w:rsid w:val="00AF0FB6"/>
    <w:rsid w:val="00AF1BB3"/>
    <w:rsid w:val="00AF1DB2"/>
    <w:rsid w:val="00AF23C0"/>
    <w:rsid w:val="00AF2588"/>
    <w:rsid w:val="00AF47D1"/>
    <w:rsid w:val="00AF66AD"/>
    <w:rsid w:val="00AF69A5"/>
    <w:rsid w:val="00AF76F2"/>
    <w:rsid w:val="00B011FE"/>
    <w:rsid w:val="00B0192D"/>
    <w:rsid w:val="00B01D86"/>
    <w:rsid w:val="00B02E00"/>
    <w:rsid w:val="00B04FE9"/>
    <w:rsid w:val="00B05482"/>
    <w:rsid w:val="00B05560"/>
    <w:rsid w:val="00B064B1"/>
    <w:rsid w:val="00B07E30"/>
    <w:rsid w:val="00B07E4E"/>
    <w:rsid w:val="00B11FD1"/>
    <w:rsid w:val="00B137E9"/>
    <w:rsid w:val="00B140A7"/>
    <w:rsid w:val="00B15381"/>
    <w:rsid w:val="00B15B81"/>
    <w:rsid w:val="00B17DF3"/>
    <w:rsid w:val="00B20F6B"/>
    <w:rsid w:val="00B216B2"/>
    <w:rsid w:val="00B21B39"/>
    <w:rsid w:val="00B222E6"/>
    <w:rsid w:val="00B2300E"/>
    <w:rsid w:val="00B24800"/>
    <w:rsid w:val="00B255B8"/>
    <w:rsid w:val="00B30EA2"/>
    <w:rsid w:val="00B33942"/>
    <w:rsid w:val="00B3397D"/>
    <w:rsid w:val="00B367D3"/>
    <w:rsid w:val="00B36ED3"/>
    <w:rsid w:val="00B4206D"/>
    <w:rsid w:val="00B4253E"/>
    <w:rsid w:val="00B42864"/>
    <w:rsid w:val="00B43100"/>
    <w:rsid w:val="00B44009"/>
    <w:rsid w:val="00B45A06"/>
    <w:rsid w:val="00B47189"/>
    <w:rsid w:val="00B513C9"/>
    <w:rsid w:val="00B525A4"/>
    <w:rsid w:val="00B53299"/>
    <w:rsid w:val="00B534EC"/>
    <w:rsid w:val="00B5429A"/>
    <w:rsid w:val="00B551FE"/>
    <w:rsid w:val="00B55444"/>
    <w:rsid w:val="00B56EF4"/>
    <w:rsid w:val="00B61C19"/>
    <w:rsid w:val="00B62E95"/>
    <w:rsid w:val="00B64D9D"/>
    <w:rsid w:val="00B65A0F"/>
    <w:rsid w:val="00B6660D"/>
    <w:rsid w:val="00B6664F"/>
    <w:rsid w:val="00B70466"/>
    <w:rsid w:val="00B70485"/>
    <w:rsid w:val="00B70A57"/>
    <w:rsid w:val="00B715DE"/>
    <w:rsid w:val="00B728BA"/>
    <w:rsid w:val="00B80044"/>
    <w:rsid w:val="00B80057"/>
    <w:rsid w:val="00B8169F"/>
    <w:rsid w:val="00B81B9D"/>
    <w:rsid w:val="00B82A13"/>
    <w:rsid w:val="00B83AAD"/>
    <w:rsid w:val="00B83B88"/>
    <w:rsid w:val="00B845AA"/>
    <w:rsid w:val="00B85B57"/>
    <w:rsid w:val="00B865A4"/>
    <w:rsid w:val="00B866BB"/>
    <w:rsid w:val="00B86B60"/>
    <w:rsid w:val="00B86B8A"/>
    <w:rsid w:val="00B903CB"/>
    <w:rsid w:val="00B913A7"/>
    <w:rsid w:val="00B92293"/>
    <w:rsid w:val="00B948EF"/>
    <w:rsid w:val="00B96253"/>
    <w:rsid w:val="00B962D8"/>
    <w:rsid w:val="00B97FA5"/>
    <w:rsid w:val="00BA0A34"/>
    <w:rsid w:val="00BA3AF9"/>
    <w:rsid w:val="00BA4327"/>
    <w:rsid w:val="00BA4C33"/>
    <w:rsid w:val="00BA69C8"/>
    <w:rsid w:val="00BA6A49"/>
    <w:rsid w:val="00BB51C1"/>
    <w:rsid w:val="00BB5EA3"/>
    <w:rsid w:val="00BB700D"/>
    <w:rsid w:val="00BB745C"/>
    <w:rsid w:val="00BC01AB"/>
    <w:rsid w:val="00BC2A6E"/>
    <w:rsid w:val="00BC7880"/>
    <w:rsid w:val="00BD045D"/>
    <w:rsid w:val="00BD1CEB"/>
    <w:rsid w:val="00BD1F59"/>
    <w:rsid w:val="00BD21F3"/>
    <w:rsid w:val="00BD3602"/>
    <w:rsid w:val="00BD4492"/>
    <w:rsid w:val="00BD4894"/>
    <w:rsid w:val="00BD53AD"/>
    <w:rsid w:val="00BD6732"/>
    <w:rsid w:val="00BD6CCA"/>
    <w:rsid w:val="00BD7403"/>
    <w:rsid w:val="00BE2D08"/>
    <w:rsid w:val="00BE50A8"/>
    <w:rsid w:val="00BF0CBC"/>
    <w:rsid w:val="00BF4B99"/>
    <w:rsid w:val="00C009E6"/>
    <w:rsid w:val="00C00A14"/>
    <w:rsid w:val="00C013D7"/>
    <w:rsid w:val="00C02AF8"/>
    <w:rsid w:val="00C03857"/>
    <w:rsid w:val="00C04178"/>
    <w:rsid w:val="00C041A2"/>
    <w:rsid w:val="00C05D53"/>
    <w:rsid w:val="00C06F1C"/>
    <w:rsid w:val="00C073D2"/>
    <w:rsid w:val="00C1258F"/>
    <w:rsid w:val="00C133CC"/>
    <w:rsid w:val="00C1391D"/>
    <w:rsid w:val="00C14AB4"/>
    <w:rsid w:val="00C15604"/>
    <w:rsid w:val="00C1673A"/>
    <w:rsid w:val="00C17E01"/>
    <w:rsid w:val="00C2227F"/>
    <w:rsid w:val="00C23EEF"/>
    <w:rsid w:val="00C25934"/>
    <w:rsid w:val="00C26029"/>
    <w:rsid w:val="00C264F8"/>
    <w:rsid w:val="00C27B9C"/>
    <w:rsid w:val="00C3073E"/>
    <w:rsid w:val="00C3081F"/>
    <w:rsid w:val="00C31AC4"/>
    <w:rsid w:val="00C31C96"/>
    <w:rsid w:val="00C3236C"/>
    <w:rsid w:val="00C33AA0"/>
    <w:rsid w:val="00C33BBC"/>
    <w:rsid w:val="00C37810"/>
    <w:rsid w:val="00C407E1"/>
    <w:rsid w:val="00C409BE"/>
    <w:rsid w:val="00C423CA"/>
    <w:rsid w:val="00C42E12"/>
    <w:rsid w:val="00C45599"/>
    <w:rsid w:val="00C53928"/>
    <w:rsid w:val="00C5407B"/>
    <w:rsid w:val="00C56CA1"/>
    <w:rsid w:val="00C57256"/>
    <w:rsid w:val="00C57D0E"/>
    <w:rsid w:val="00C614EF"/>
    <w:rsid w:val="00C6166D"/>
    <w:rsid w:val="00C652ED"/>
    <w:rsid w:val="00C65EC0"/>
    <w:rsid w:val="00C70577"/>
    <w:rsid w:val="00C71E23"/>
    <w:rsid w:val="00C73B66"/>
    <w:rsid w:val="00C76E19"/>
    <w:rsid w:val="00C7793C"/>
    <w:rsid w:val="00C82D8E"/>
    <w:rsid w:val="00C85291"/>
    <w:rsid w:val="00C873EE"/>
    <w:rsid w:val="00C92DA6"/>
    <w:rsid w:val="00C939A8"/>
    <w:rsid w:val="00C9504C"/>
    <w:rsid w:val="00C97145"/>
    <w:rsid w:val="00CA03D8"/>
    <w:rsid w:val="00CA149D"/>
    <w:rsid w:val="00CA37CC"/>
    <w:rsid w:val="00CA4180"/>
    <w:rsid w:val="00CA4864"/>
    <w:rsid w:val="00CA58AA"/>
    <w:rsid w:val="00CA5E63"/>
    <w:rsid w:val="00CA5FF5"/>
    <w:rsid w:val="00CA7B57"/>
    <w:rsid w:val="00CB0739"/>
    <w:rsid w:val="00CB1796"/>
    <w:rsid w:val="00CB2231"/>
    <w:rsid w:val="00CB4355"/>
    <w:rsid w:val="00CC0A95"/>
    <w:rsid w:val="00CC0E67"/>
    <w:rsid w:val="00CC579A"/>
    <w:rsid w:val="00CC7A3F"/>
    <w:rsid w:val="00CD04E8"/>
    <w:rsid w:val="00CD2F47"/>
    <w:rsid w:val="00CD324B"/>
    <w:rsid w:val="00CD325F"/>
    <w:rsid w:val="00CD399C"/>
    <w:rsid w:val="00CE002D"/>
    <w:rsid w:val="00CE0386"/>
    <w:rsid w:val="00CE16D5"/>
    <w:rsid w:val="00CE3294"/>
    <w:rsid w:val="00CE3C36"/>
    <w:rsid w:val="00CE3C47"/>
    <w:rsid w:val="00CE405E"/>
    <w:rsid w:val="00CE48D2"/>
    <w:rsid w:val="00CE62C1"/>
    <w:rsid w:val="00CE6A31"/>
    <w:rsid w:val="00CF08FF"/>
    <w:rsid w:val="00CF1D7D"/>
    <w:rsid w:val="00CF4293"/>
    <w:rsid w:val="00CF4EBF"/>
    <w:rsid w:val="00CF4F48"/>
    <w:rsid w:val="00CF61E8"/>
    <w:rsid w:val="00D010FD"/>
    <w:rsid w:val="00D015A6"/>
    <w:rsid w:val="00D02812"/>
    <w:rsid w:val="00D03B28"/>
    <w:rsid w:val="00D045F7"/>
    <w:rsid w:val="00D113D6"/>
    <w:rsid w:val="00D11CD0"/>
    <w:rsid w:val="00D1501C"/>
    <w:rsid w:val="00D16ECD"/>
    <w:rsid w:val="00D172D2"/>
    <w:rsid w:val="00D20056"/>
    <w:rsid w:val="00D21A8B"/>
    <w:rsid w:val="00D22189"/>
    <w:rsid w:val="00D2227D"/>
    <w:rsid w:val="00D22972"/>
    <w:rsid w:val="00D22B67"/>
    <w:rsid w:val="00D23B16"/>
    <w:rsid w:val="00D2518E"/>
    <w:rsid w:val="00D27420"/>
    <w:rsid w:val="00D301DA"/>
    <w:rsid w:val="00D31B5B"/>
    <w:rsid w:val="00D334F8"/>
    <w:rsid w:val="00D33AC3"/>
    <w:rsid w:val="00D342E0"/>
    <w:rsid w:val="00D3562D"/>
    <w:rsid w:val="00D36713"/>
    <w:rsid w:val="00D3716E"/>
    <w:rsid w:val="00D40105"/>
    <w:rsid w:val="00D4017B"/>
    <w:rsid w:val="00D40607"/>
    <w:rsid w:val="00D414C0"/>
    <w:rsid w:val="00D434AA"/>
    <w:rsid w:val="00D4389F"/>
    <w:rsid w:val="00D4691C"/>
    <w:rsid w:val="00D46943"/>
    <w:rsid w:val="00D47A69"/>
    <w:rsid w:val="00D51796"/>
    <w:rsid w:val="00D524AF"/>
    <w:rsid w:val="00D531D2"/>
    <w:rsid w:val="00D54F4C"/>
    <w:rsid w:val="00D55128"/>
    <w:rsid w:val="00D57151"/>
    <w:rsid w:val="00D66726"/>
    <w:rsid w:val="00D67A2A"/>
    <w:rsid w:val="00D67C63"/>
    <w:rsid w:val="00D70422"/>
    <w:rsid w:val="00D710CA"/>
    <w:rsid w:val="00D7210E"/>
    <w:rsid w:val="00D75E84"/>
    <w:rsid w:val="00D7616D"/>
    <w:rsid w:val="00D77172"/>
    <w:rsid w:val="00D80FAF"/>
    <w:rsid w:val="00D81E77"/>
    <w:rsid w:val="00D845E0"/>
    <w:rsid w:val="00D85C32"/>
    <w:rsid w:val="00D86058"/>
    <w:rsid w:val="00D93437"/>
    <w:rsid w:val="00D9376B"/>
    <w:rsid w:val="00DA0570"/>
    <w:rsid w:val="00DA172F"/>
    <w:rsid w:val="00DA1C39"/>
    <w:rsid w:val="00DA2095"/>
    <w:rsid w:val="00DA5630"/>
    <w:rsid w:val="00DA6535"/>
    <w:rsid w:val="00DA6B4D"/>
    <w:rsid w:val="00DB1A5C"/>
    <w:rsid w:val="00DB1D68"/>
    <w:rsid w:val="00DB2119"/>
    <w:rsid w:val="00DB4F21"/>
    <w:rsid w:val="00DB6E57"/>
    <w:rsid w:val="00DB7234"/>
    <w:rsid w:val="00DC05BC"/>
    <w:rsid w:val="00DC35EC"/>
    <w:rsid w:val="00DC4476"/>
    <w:rsid w:val="00DC48A8"/>
    <w:rsid w:val="00DC5D9E"/>
    <w:rsid w:val="00DC60E2"/>
    <w:rsid w:val="00DC78E4"/>
    <w:rsid w:val="00DC7BAA"/>
    <w:rsid w:val="00DD0C01"/>
    <w:rsid w:val="00DD3A24"/>
    <w:rsid w:val="00DD4E75"/>
    <w:rsid w:val="00DD51DA"/>
    <w:rsid w:val="00DD713E"/>
    <w:rsid w:val="00DD73A3"/>
    <w:rsid w:val="00DE1465"/>
    <w:rsid w:val="00DE311F"/>
    <w:rsid w:val="00DE7D2E"/>
    <w:rsid w:val="00DF0527"/>
    <w:rsid w:val="00DF0835"/>
    <w:rsid w:val="00DF0F58"/>
    <w:rsid w:val="00DF10A4"/>
    <w:rsid w:val="00DF3516"/>
    <w:rsid w:val="00DF478A"/>
    <w:rsid w:val="00DF4F15"/>
    <w:rsid w:val="00DF516C"/>
    <w:rsid w:val="00DF5417"/>
    <w:rsid w:val="00DF704C"/>
    <w:rsid w:val="00E01BA7"/>
    <w:rsid w:val="00E0279F"/>
    <w:rsid w:val="00E03A6C"/>
    <w:rsid w:val="00E03C07"/>
    <w:rsid w:val="00E0477C"/>
    <w:rsid w:val="00E0587D"/>
    <w:rsid w:val="00E079AE"/>
    <w:rsid w:val="00E07EFA"/>
    <w:rsid w:val="00E136E3"/>
    <w:rsid w:val="00E17A6B"/>
    <w:rsid w:val="00E20791"/>
    <w:rsid w:val="00E20E3C"/>
    <w:rsid w:val="00E239D4"/>
    <w:rsid w:val="00E25251"/>
    <w:rsid w:val="00E2579D"/>
    <w:rsid w:val="00E27F1D"/>
    <w:rsid w:val="00E306E6"/>
    <w:rsid w:val="00E313A4"/>
    <w:rsid w:val="00E33132"/>
    <w:rsid w:val="00E36052"/>
    <w:rsid w:val="00E36290"/>
    <w:rsid w:val="00E36C61"/>
    <w:rsid w:val="00E40640"/>
    <w:rsid w:val="00E411E4"/>
    <w:rsid w:val="00E435DD"/>
    <w:rsid w:val="00E43E60"/>
    <w:rsid w:val="00E44AEC"/>
    <w:rsid w:val="00E45C4D"/>
    <w:rsid w:val="00E4625E"/>
    <w:rsid w:val="00E46AFD"/>
    <w:rsid w:val="00E46CA8"/>
    <w:rsid w:val="00E470A5"/>
    <w:rsid w:val="00E52D21"/>
    <w:rsid w:val="00E54A9B"/>
    <w:rsid w:val="00E5553B"/>
    <w:rsid w:val="00E5743A"/>
    <w:rsid w:val="00E60F89"/>
    <w:rsid w:val="00E6288A"/>
    <w:rsid w:val="00E62D0F"/>
    <w:rsid w:val="00E63899"/>
    <w:rsid w:val="00E63F4D"/>
    <w:rsid w:val="00E6577E"/>
    <w:rsid w:val="00E6673C"/>
    <w:rsid w:val="00E67963"/>
    <w:rsid w:val="00E70B19"/>
    <w:rsid w:val="00E71F69"/>
    <w:rsid w:val="00E72440"/>
    <w:rsid w:val="00E7394C"/>
    <w:rsid w:val="00E74DF5"/>
    <w:rsid w:val="00E756DA"/>
    <w:rsid w:val="00E76300"/>
    <w:rsid w:val="00E76810"/>
    <w:rsid w:val="00E76CF1"/>
    <w:rsid w:val="00E774C3"/>
    <w:rsid w:val="00E805A3"/>
    <w:rsid w:val="00E8067E"/>
    <w:rsid w:val="00E81B54"/>
    <w:rsid w:val="00E81E61"/>
    <w:rsid w:val="00E82FB9"/>
    <w:rsid w:val="00E83386"/>
    <w:rsid w:val="00E83B18"/>
    <w:rsid w:val="00E83F3C"/>
    <w:rsid w:val="00E848B4"/>
    <w:rsid w:val="00E86980"/>
    <w:rsid w:val="00E87794"/>
    <w:rsid w:val="00E912B2"/>
    <w:rsid w:val="00E91417"/>
    <w:rsid w:val="00E9217F"/>
    <w:rsid w:val="00E92954"/>
    <w:rsid w:val="00E93036"/>
    <w:rsid w:val="00E93A7A"/>
    <w:rsid w:val="00E93C6C"/>
    <w:rsid w:val="00E93C73"/>
    <w:rsid w:val="00E94329"/>
    <w:rsid w:val="00E952C6"/>
    <w:rsid w:val="00E95DC2"/>
    <w:rsid w:val="00E97AF3"/>
    <w:rsid w:val="00EA11AA"/>
    <w:rsid w:val="00EA29D9"/>
    <w:rsid w:val="00EA33B2"/>
    <w:rsid w:val="00EA3907"/>
    <w:rsid w:val="00EA5056"/>
    <w:rsid w:val="00EA63BE"/>
    <w:rsid w:val="00EA6EC0"/>
    <w:rsid w:val="00EA7928"/>
    <w:rsid w:val="00EB1377"/>
    <w:rsid w:val="00EB2BD8"/>
    <w:rsid w:val="00EB49CA"/>
    <w:rsid w:val="00EB6E4D"/>
    <w:rsid w:val="00EC00A1"/>
    <w:rsid w:val="00EC0182"/>
    <w:rsid w:val="00EC1CE0"/>
    <w:rsid w:val="00EC1E33"/>
    <w:rsid w:val="00EC3976"/>
    <w:rsid w:val="00EC5698"/>
    <w:rsid w:val="00EC71BC"/>
    <w:rsid w:val="00ED289F"/>
    <w:rsid w:val="00ED358E"/>
    <w:rsid w:val="00ED422A"/>
    <w:rsid w:val="00ED4406"/>
    <w:rsid w:val="00ED699B"/>
    <w:rsid w:val="00ED6A6B"/>
    <w:rsid w:val="00ED7FA3"/>
    <w:rsid w:val="00EE21DD"/>
    <w:rsid w:val="00EE2676"/>
    <w:rsid w:val="00EE4DEB"/>
    <w:rsid w:val="00EE54B7"/>
    <w:rsid w:val="00EE7E9D"/>
    <w:rsid w:val="00EF0424"/>
    <w:rsid w:val="00EF2148"/>
    <w:rsid w:val="00EF4689"/>
    <w:rsid w:val="00F0224F"/>
    <w:rsid w:val="00F02B2C"/>
    <w:rsid w:val="00F05549"/>
    <w:rsid w:val="00F05C1F"/>
    <w:rsid w:val="00F07022"/>
    <w:rsid w:val="00F0768B"/>
    <w:rsid w:val="00F1119E"/>
    <w:rsid w:val="00F130E0"/>
    <w:rsid w:val="00F13511"/>
    <w:rsid w:val="00F16205"/>
    <w:rsid w:val="00F17BE0"/>
    <w:rsid w:val="00F20087"/>
    <w:rsid w:val="00F209DA"/>
    <w:rsid w:val="00F33E30"/>
    <w:rsid w:val="00F34D01"/>
    <w:rsid w:val="00F350B0"/>
    <w:rsid w:val="00F35A34"/>
    <w:rsid w:val="00F35F8D"/>
    <w:rsid w:val="00F40882"/>
    <w:rsid w:val="00F418D3"/>
    <w:rsid w:val="00F43559"/>
    <w:rsid w:val="00F456B9"/>
    <w:rsid w:val="00F47254"/>
    <w:rsid w:val="00F47606"/>
    <w:rsid w:val="00F47D71"/>
    <w:rsid w:val="00F5189D"/>
    <w:rsid w:val="00F51932"/>
    <w:rsid w:val="00F556A2"/>
    <w:rsid w:val="00F565DA"/>
    <w:rsid w:val="00F5789B"/>
    <w:rsid w:val="00F62625"/>
    <w:rsid w:val="00F63521"/>
    <w:rsid w:val="00F653FB"/>
    <w:rsid w:val="00F657E3"/>
    <w:rsid w:val="00F65EDD"/>
    <w:rsid w:val="00F676BC"/>
    <w:rsid w:val="00F72C04"/>
    <w:rsid w:val="00F73AAA"/>
    <w:rsid w:val="00F753CF"/>
    <w:rsid w:val="00F75613"/>
    <w:rsid w:val="00F75AAB"/>
    <w:rsid w:val="00F75C76"/>
    <w:rsid w:val="00F760A2"/>
    <w:rsid w:val="00F76C21"/>
    <w:rsid w:val="00F80A15"/>
    <w:rsid w:val="00F83FB0"/>
    <w:rsid w:val="00F85659"/>
    <w:rsid w:val="00F866BA"/>
    <w:rsid w:val="00F90C93"/>
    <w:rsid w:val="00F91060"/>
    <w:rsid w:val="00F9203B"/>
    <w:rsid w:val="00F93CF3"/>
    <w:rsid w:val="00F94843"/>
    <w:rsid w:val="00F94DBD"/>
    <w:rsid w:val="00F95C6A"/>
    <w:rsid w:val="00F95CDD"/>
    <w:rsid w:val="00F975BE"/>
    <w:rsid w:val="00FA0480"/>
    <w:rsid w:val="00FA4527"/>
    <w:rsid w:val="00FA45BB"/>
    <w:rsid w:val="00FA4CB5"/>
    <w:rsid w:val="00FA4E6B"/>
    <w:rsid w:val="00FA520F"/>
    <w:rsid w:val="00FB7890"/>
    <w:rsid w:val="00FC0E3A"/>
    <w:rsid w:val="00FC1BBA"/>
    <w:rsid w:val="00FC1F0F"/>
    <w:rsid w:val="00FC4200"/>
    <w:rsid w:val="00FC720B"/>
    <w:rsid w:val="00FD0DBF"/>
    <w:rsid w:val="00FD1672"/>
    <w:rsid w:val="00FD1E7A"/>
    <w:rsid w:val="00FD3D27"/>
    <w:rsid w:val="00FD43F7"/>
    <w:rsid w:val="00FD5E54"/>
    <w:rsid w:val="00FD70D9"/>
    <w:rsid w:val="00FE0166"/>
    <w:rsid w:val="00FE0A7A"/>
    <w:rsid w:val="00FE16E0"/>
    <w:rsid w:val="00FE3FE9"/>
    <w:rsid w:val="00FE4233"/>
    <w:rsid w:val="00FE430A"/>
    <w:rsid w:val="00FE526E"/>
    <w:rsid w:val="00FE5C95"/>
    <w:rsid w:val="00FE6956"/>
    <w:rsid w:val="00FE6A10"/>
    <w:rsid w:val="00FF0F6D"/>
    <w:rsid w:val="00FF1271"/>
    <w:rsid w:val="00FF28C9"/>
    <w:rsid w:val="00FF3AC6"/>
    <w:rsid w:val="00FF47FD"/>
    <w:rsid w:val="00FF54C1"/>
    <w:rsid w:val="00FF5D0F"/>
    <w:rsid w:val="00FF67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5F17A"/>
  <w15:chartTrackingRefBased/>
  <w15:docId w15:val="{7DAA52F4-EA11-4350-945A-3F597605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link w:val="Titre1Car"/>
    <w:qFormat/>
    <w:pPr>
      <w:keepNext/>
      <w:spacing w:before="240" w:after="60" w:line="500" w:lineRule="exact"/>
      <w:outlineLvl w:val="0"/>
    </w:pPr>
    <w:rPr>
      <w:b/>
      <w:kern w:val="28"/>
      <w:sz w:val="28"/>
    </w:rPr>
  </w:style>
  <w:style w:type="paragraph" w:styleId="Titre2">
    <w:name w:val="heading 2"/>
    <w:basedOn w:val="Normal"/>
    <w:next w:val="Normal"/>
    <w:link w:val="Titre2Car"/>
    <w:qFormat/>
    <w:pPr>
      <w:keepNext/>
      <w:spacing w:before="240" w:after="60"/>
      <w:outlineLvl w:val="1"/>
    </w:pPr>
    <w:rPr>
      <w:b/>
      <w:i/>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link w:val="Titre4Car"/>
    <w:qFormat/>
    <w:pPr>
      <w:keepNext/>
      <w:spacing w:before="240" w:after="60"/>
      <w:outlineLvl w:val="3"/>
    </w:pPr>
    <w:rPr>
      <w:b/>
    </w:rPr>
  </w:style>
  <w:style w:type="paragraph" w:styleId="Titre5">
    <w:name w:val="heading 5"/>
    <w:basedOn w:val="Normal"/>
    <w:next w:val="Normal"/>
    <w:link w:val="Titre5Car"/>
    <w:qFormat/>
    <w:pPr>
      <w:spacing w:before="240" w:after="60"/>
      <w:outlineLvl w:val="4"/>
    </w:pPr>
    <w:rPr>
      <w:sz w:val="22"/>
    </w:rPr>
  </w:style>
  <w:style w:type="paragraph" w:styleId="Titre6">
    <w:name w:val="heading 6"/>
    <w:basedOn w:val="Normal"/>
    <w:next w:val="Normal"/>
    <w:link w:val="Titre6Car"/>
    <w:qFormat/>
    <w:pPr>
      <w:spacing w:before="240" w:after="60"/>
      <w:outlineLvl w:val="5"/>
    </w:pPr>
    <w:rPr>
      <w:i/>
      <w:sz w:val="22"/>
    </w:rPr>
  </w:style>
  <w:style w:type="paragraph" w:styleId="Titre7">
    <w:name w:val="heading 7"/>
    <w:basedOn w:val="Normal"/>
    <w:next w:val="Normal"/>
    <w:link w:val="Titre7Car"/>
    <w:qFormat/>
    <w:pPr>
      <w:spacing w:before="240" w:after="60"/>
      <w:outlineLvl w:val="6"/>
    </w:pPr>
    <w:rPr>
      <w:sz w:val="20"/>
    </w:rPr>
  </w:style>
  <w:style w:type="paragraph" w:styleId="Titre8">
    <w:name w:val="heading 8"/>
    <w:basedOn w:val="Normal"/>
    <w:next w:val="Normal"/>
    <w:link w:val="Titre8Car"/>
    <w:qFormat/>
    <w:pPr>
      <w:spacing w:before="240" w:after="60"/>
      <w:outlineLvl w:val="7"/>
    </w:pPr>
    <w:rPr>
      <w:i/>
      <w:sz w:val="20"/>
    </w:rPr>
  </w:style>
  <w:style w:type="paragraph" w:styleId="Titre9">
    <w:name w:val="heading 9"/>
    <w:basedOn w:val="Normal"/>
    <w:next w:val="Normal"/>
    <w:link w:val="Titre9Car"/>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link w:val="ParagrapheCar"/>
    <w:qFormat/>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semiHidden/>
    <w:pPr>
      <w:spacing w:after="120"/>
    </w:pPr>
  </w:style>
  <w:style w:type="paragraph" w:styleId="Notedebasdepage">
    <w:name w:val="footnote text"/>
    <w:aliases w:val="Char,Char Char,Char Char Char,Char Char Char Char Char,FA Fu,Footnote Text Char Char Char Char,Footnote Text Char Char Char Char Char,Footnote ak,Footnote reference,Footnote text,Footnotes,Nota de rodapé,fn,ft,ft Char Ch,ft2"/>
    <w:basedOn w:val="Normal"/>
    <w:link w:val="NotedebasdepageCar"/>
    <w:qFormat/>
    <w:pPr>
      <w:spacing w:line="240" w:lineRule="auto"/>
      <w:ind w:left="360" w:hanging="360"/>
      <w:jc w:val="both"/>
    </w:pPr>
    <w:rPr>
      <w:sz w:val="20"/>
    </w:rPr>
  </w:style>
  <w:style w:type="paragraph" w:styleId="Notedefin">
    <w:name w:val="endnote text"/>
    <w:basedOn w:val="Normal"/>
    <w:link w:val="NotedefinCar"/>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qFormat/>
    <w:pPr>
      <w:widowControl w:val="0"/>
      <w:numPr>
        <w:ilvl w:val="1"/>
        <w:numId w:val="1"/>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link w:val="En-tteCar"/>
    <w:semiHidden/>
    <w:pPr>
      <w:tabs>
        <w:tab w:val="center" w:pos="4320"/>
        <w:tab w:val="right" w:pos="8640"/>
      </w:tabs>
    </w:pPr>
  </w:style>
  <w:style w:type="paragraph" w:styleId="Pieddepage">
    <w:name w:val="footer"/>
    <w:basedOn w:val="Normal"/>
    <w:link w:val="PieddepageCar"/>
    <w:semiHidden/>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aliases w:val="Char Char6 Char Char Char Char Char Char Char Char Char Char Char Char,Char6 Char Char Char Char Char Char Char Char Char Char Char Char Char,Footnote,Ref,de nota al pie,fr"/>
    <w:uiPriority w:val="99"/>
    <w:qFormat/>
    <w:rPr>
      <w:noProof w:val="0"/>
      <w:vertAlign w:val="superscript"/>
      <w:lang w:val="fr-CA"/>
    </w:rPr>
  </w:style>
  <w:style w:type="paragraph" w:styleId="Corpsdetexte3">
    <w:name w:val="Body Text 3"/>
    <w:basedOn w:val="Normal"/>
    <w:link w:val="Corpsdetexte3Car"/>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uiPriority w:val="39"/>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paragraph" w:styleId="Paragraphedeliste">
    <w:name w:val="List Paragraph"/>
    <w:basedOn w:val="Normal"/>
    <w:uiPriority w:val="34"/>
    <w:qFormat/>
    <w:rsid w:val="00F7561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NotedebasdepageCar">
    <w:name w:val="Note de bas de page Car"/>
    <w:aliases w:val="Char Car,Char Char Car,Char Char Char Car,Char Char Char Char Char Car,FA Fu Car,Footnote Text Char Char Char Char Car,Footnote Text Char Char Char Char Char Car,Footnote ak Car,Footnote reference Car,Footnote text Car,fn Car"/>
    <w:basedOn w:val="Policepardfaut"/>
    <w:link w:val="Notedebasdepage"/>
    <w:rsid w:val="00F75613"/>
    <w:rPr>
      <w:rFonts w:ascii="Arial" w:hAnsi="Arial"/>
      <w:lang w:eastAsia="fr-FR"/>
    </w:rPr>
  </w:style>
  <w:style w:type="paragraph" w:customStyle="1" w:styleId="1">
    <w:name w:val="1"/>
    <w:basedOn w:val="Normal"/>
    <w:rsid w:val="00F75613"/>
    <w:pPr>
      <w:spacing w:before="100" w:beforeAutospacing="1" w:after="100" w:afterAutospacing="1" w:line="240" w:lineRule="auto"/>
    </w:pPr>
    <w:rPr>
      <w:rFonts w:ascii="Times New Roman" w:hAnsi="Times New Roman"/>
      <w:szCs w:val="24"/>
      <w:lang w:eastAsia="fr-CA"/>
    </w:rPr>
  </w:style>
  <w:style w:type="paragraph" w:styleId="Rvision">
    <w:name w:val="Revision"/>
    <w:hidden/>
    <w:uiPriority w:val="99"/>
    <w:semiHidden/>
    <w:rsid w:val="00F75613"/>
    <w:rPr>
      <w:rFonts w:ascii="Arial" w:hAnsi="Arial"/>
      <w:sz w:val="24"/>
      <w:lang w:eastAsia="fr-FR"/>
    </w:rPr>
  </w:style>
  <w:style w:type="character" w:styleId="Marquedecommentaire">
    <w:name w:val="annotation reference"/>
    <w:basedOn w:val="Policepardfaut"/>
    <w:uiPriority w:val="99"/>
    <w:unhideWhenUsed/>
    <w:rsid w:val="00F75613"/>
    <w:rPr>
      <w:sz w:val="16"/>
      <w:szCs w:val="16"/>
    </w:rPr>
  </w:style>
  <w:style w:type="paragraph" w:styleId="Commentaire">
    <w:name w:val="annotation text"/>
    <w:basedOn w:val="Normal"/>
    <w:link w:val="CommentaireCar"/>
    <w:uiPriority w:val="99"/>
    <w:unhideWhenUsed/>
    <w:rsid w:val="00F75613"/>
    <w:pPr>
      <w:spacing w:line="240" w:lineRule="auto"/>
    </w:pPr>
    <w:rPr>
      <w:sz w:val="20"/>
    </w:rPr>
  </w:style>
  <w:style w:type="character" w:customStyle="1" w:styleId="CommentaireCar">
    <w:name w:val="Commentaire Car"/>
    <w:basedOn w:val="Policepardfaut"/>
    <w:link w:val="Commentaire"/>
    <w:uiPriority w:val="99"/>
    <w:rsid w:val="00F75613"/>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F75613"/>
    <w:rPr>
      <w:b/>
      <w:bCs/>
    </w:rPr>
  </w:style>
  <w:style w:type="character" w:customStyle="1" w:styleId="ObjetducommentaireCar">
    <w:name w:val="Objet du commentaire Car"/>
    <w:basedOn w:val="CommentaireCar"/>
    <w:link w:val="Objetducommentaire"/>
    <w:uiPriority w:val="99"/>
    <w:semiHidden/>
    <w:rsid w:val="00F75613"/>
    <w:rPr>
      <w:rFonts w:ascii="Arial" w:hAnsi="Arial"/>
      <w:b/>
      <w:bCs/>
      <w:lang w:eastAsia="fr-FR"/>
    </w:rPr>
  </w:style>
  <w:style w:type="paragraph" w:customStyle="1" w:styleId="subsection">
    <w:name w:val="subsection"/>
    <w:basedOn w:val="Normal"/>
    <w:rsid w:val="00F75613"/>
    <w:pPr>
      <w:spacing w:before="100" w:beforeAutospacing="1" w:after="100" w:afterAutospacing="1" w:line="240" w:lineRule="auto"/>
    </w:pPr>
    <w:rPr>
      <w:rFonts w:ascii="Times New Roman" w:hAnsi="Times New Roman"/>
      <w:szCs w:val="24"/>
      <w:lang w:eastAsia="fr-CA"/>
    </w:rPr>
  </w:style>
  <w:style w:type="paragraph" w:customStyle="1" w:styleId="paragraph">
    <w:name w:val="paragraph"/>
    <w:basedOn w:val="Normal"/>
    <w:rsid w:val="00F75613"/>
    <w:pPr>
      <w:spacing w:before="100" w:beforeAutospacing="1" w:after="100" w:afterAutospacing="1" w:line="240" w:lineRule="auto"/>
    </w:pPr>
    <w:rPr>
      <w:rFonts w:ascii="Times New Roman" w:hAnsi="Times New Roman"/>
      <w:szCs w:val="24"/>
      <w:lang w:eastAsia="fr-CA"/>
    </w:rPr>
  </w:style>
  <w:style w:type="paragraph" w:customStyle="1" w:styleId="continuedsectionsubsection">
    <w:name w:val="continuedsectionsubsection"/>
    <w:basedOn w:val="Normal"/>
    <w:rsid w:val="00F75613"/>
    <w:pPr>
      <w:spacing w:before="100" w:beforeAutospacing="1" w:after="100" w:afterAutospacing="1" w:line="240" w:lineRule="auto"/>
    </w:pPr>
    <w:rPr>
      <w:rFonts w:ascii="Times New Roman" w:hAnsi="Times New Roman"/>
      <w:szCs w:val="24"/>
      <w:lang w:eastAsia="fr-CA"/>
    </w:rPr>
  </w:style>
  <w:style w:type="character" w:customStyle="1" w:styleId="sectionlabel">
    <w:name w:val="sectionlabel"/>
    <w:basedOn w:val="Policepardfaut"/>
    <w:rsid w:val="00F75613"/>
  </w:style>
  <w:style w:type="character" w:customStyle="1" w:styleId="lawlabel">
    <w:name w:val="lawlabel"/>
    <w:basedOn w:val="Policepardfaut"/>
    <w:rsid w:val="00F75613"/>
  </w:style>
  <w:style w:type="paragraph" w:customStyle="1" w:styleId="paragrsimple">
    <w:name w:val="paragrsimple"/>
    <w:basedOn w:val="Normal"/>
    <w:rsid w:val="00F75613"/>
    <w:pPr>
      <w:spacing w:before="100" w:beforeAutospacing="1" w:after="100" w:afterAutospacing="1" w:line="240" w:lineRule="auto"/>
    </w:pPr>
    <w:rPr>
      <w:rFonts w:ascii="Times New Roman" w:hAnsi="Times New Roman"/>
      <w:szCs w:val="24"/>
      <w:lang w:eastAsia="fr-CA"/>
    </w:rPr>
  </w:style>
  <w:style w:type="paragraph" w:customStyle="1" w:styleId="paragrdouble">
    <w:name w:val="paragrdouble"/>
    <w:basedOn w:val="Normal"/>
    <w:rsid w:val="00F75613"/>
    <w:pPr>
      <w:spacing w:before="100" w:beforeAutospacing="1" w:after="100" w:afterAutospacing="1" w:line="240" w:lineRule="auto"/>
    </w:pPr>
    <w:rPr>
      <w:rFonts w:ascii="Times New Roman" w:hAnsi="Times New Roman"/>
      <w:szCs w:val="24"/>
      <w:lang w:eastAsia="fr-CA"/>
    </w:rPr>
  </w:style>
  <w:style w:type="character" w:styleId="Hyperlien">
    <w:name w:val="Hyperlink"/>
    <w:basedOn w:val="Policepardfaut"/>
    <w:uiPriority w:val="99"/>
    <w:unhideWhenUsed/>
    <w:rsid w:val="00F75613"/>
    <w:rPr>
      <w:color w:val="0000FF"/>
      <w:u w:val="single"/>
    </w:rPr>
  </w:style>
  <w:style w:type="paragraph" w:styleId="Citation">
    <w:name w:val="Quote"/>
    <w:basedOn w:val="Normal"/>
    <w:link w:val="CitationCar"/>
    <w:uiPriority w:val="29"/>
    <w:qFormat/>
    <w:rsid w:val="00F75613"/>
    <w:pPr>
      <w:spacing w:before="100" w:beforeAutospacing="1" w:after="100" w:afterAutospacing="1" w:line="240" w:lineRule="auto"/>
    </w:pPr>
    <w:rPr>
      <w:rFonts w:ascii="Times New Roman" w:hAnsi="Times New Roman"/>
      <w:szCs w:val="24"/>
      <w:lang w:eastAsia="fr-CA"/>
    </w:rPr>
  </w:style>
  <w:style w:type="character" w:customStyle="1" w:styleId="CitationCar">
    <w:name w:val="Citation Car"/>
    <w:basedOn w:val="Policepardfaut"/>
    <w:link w:val="Citation"/>
    <w:uiPriority w:val="29"/>
    <w:rsid w:val="00F75613"/>
    <w:rPr>
      <w:sz w:val="24"/>
      <w:szCs w:val="24"/>
    </w:rPr>
  </w:style>
  <w:style w:type="character" w:customStyle="1" w:styleId="reflex2-link">
    <w:name w:val="reflex2-link"/>
    <w:basedOn w:val="Policepardfaut"/>
    <w:rsid w:val="00F75613"/>
  </w:style>
  <w:style w:type="paragraph" w:customStyle="1" w:styleId="paranondepar-altn">
    <w:name w:val="paranondepar-altn"/>
    <w:basedOn w:val="Normal"/>
    <w:rsid w:val="00F75613"/>
    <w:pPr>
      <w:spacing w:before="100" w:beforeAutospacing="1" w:after="100" w:afterAutospacing="1" w:line="240" w:lineRule="auto"/>
    </w:pPr>
    <w:rPr>
      <w:rFonts w:ascii="Times New Roman" w:hAnsi="Times New Roman"/>
      <w:szCs w:val="24"/>
      <w:lang w:eastAsia="fr-CA"/>
    </w:rPr>
  </w:style>
  <w:style w:type="paragraph" w:customStyle="1" w:styleId="paragraphe0">
    <w:name w:val="paragraphe"/>
    <w:basedOn w:val="Normal"/>
    <w:rsid w:val="00F75613"/>
    <w:pPr>
      <w:spacing w:before="100" w:beforeAutospacing="1" w:after="100" w:afterAutospacing="1" w:line="240" w:lineRule="auto"/>
    </w:pPr>
    <w:rPr>
      <w:rFonts w:ascii="Times New Roman" w:hAnsi="Times New Roman"/>
      <w:szCs w:val="24"/>
      <w:lang w:eastAsia="fr-CA"/>
    </w:rPr>
  </w:style>
  <w:style w:type="paragraph" w:customStyle="1" w:styleId="citationenretrait0">
    <w:name w:val="citationenretrait"/>
    <w:basedOn w:val="Normal"/>
    <w:rsid w:val="00F75613"/>
    <w:pPr>
      <w:spacing w:before="100" w:beforeAutospacing="1" w:after="100" w:afterAutospacing="1" w:line="240" w:lineRule="auto"/>
    </w:pPr>
    <w:rPr>
      <w:rFonts w:ascii="Times New Roman" w:hAnsi="Times New Roman"/>
      <w:szCs w:val="24"/>
      <w:lang w:eastAsia="fr-CA"/>
    </w:rPr>
  </w:style>
  <w:style w:type="character" w:customStyle="1" w:styleId="solexhl">
    <w:name w:val="solexhl"/>
    <w:basedOn w:val="Policepardfaut"/>
    <w:rsid w:val="00F75613"/>
  </w:style>
  <w:style w:type="paragraph" w:customStyle="1" w:styleId="Default">
    <w:name w:val="Default"/>
    <w:rsid w:val="00F75613"/>
    <w:pPr>
      <w:autoSpaceDE w:val="0"/>
      <w:autoSpaceDN w:val="0"/>
      <w:adjustRightInd w:val="0"/>
    </w:pPr>
    <w:rPr>
      <w:rFonts w:ascii="Times" w:hAnsi="Times" w:cs="Times"/>
      <w:color w:val="000000"/>
      <w:sz w:val="24"/>
      <w:szCs w:val="24"/>
    </w:rPr>
  </w:style>
  <w:style w:type="paragraph" w:customStyle="1" w:styleId="Pa13">
    <w:name w:val="Pa13"/>
    <w:basedOn w:val="Default"/>
    <w:next w:val="Default"/>
    <w:uiPriority w:val="99"/>
    <w:rsid w:val="00F75613"/>
    <w:pPr>
      <w:spacing w:line="211" w:lineRule="atLeast"/>
    </w:pPr>
    <w:rPr>
      <w:color w:val="auto"/>
    </w:rPr>
  </w:style>
  <w:style w:type="paragraph" w:customStyle="1" w:styleId="Pa14">
    <w:name w:val="Pa14"/>
    <w:basedOn w:val="Default"/>
    <w:next w:val="Default"/>
    <w:uiPriority w:val="99"/>
    <w:rsid w:val="00F75613"/>
    <w:pPr>
      <w:spacing w:line="211" w:lineRule="atLeast"/>
    </w:pPr>
    <w:rPr>
      <w:color w:val="auto"/>
    </w:rPr>
  </w:style>
  <w:style w:type="character" w:customStyle="1" w:styleId="A9">
    <w:name w:val="A9"/>
    <w:uiPriority w:val="99"/>
    <w:rsid w:val="00F75613"/>
    <w:rPr>
      <w:color w:val="000000"/>
      <w:sz w:val="10"/>
      <w:szCs w:val="10"/>
    </w:rPr>
  </w:style>
  <w:style w:type="paragraph" w:customStyle="1" w:styleId="Pa12">
    <w:name w:val="Pa12"/>
    <w:basedOn w:val="Default"/>
    <w:next w:val="Default"/>
    <w:uiPriority w:val="99"/>
    <w:rsid w:val="00F75613"/>
    <w:pPr>
      <w:spacing w:line="211" w:lineRule="atLeast"/>
    </w:pPr>
    <w:rPr>
      <w:color w:val="auto"/>
    </w:rPr>
  </w:style>
  <w:style w:type="character" w:customStyle="1" w:styleId="A6">
    <w:name w:val="A6"/>
    <w:uiPriority w:val="99"/>
    <w:rsid w:val="00F75613"/>
    <w:rPr>
      <w:rFonts w:ascii="BODIDLYbold" w:hAnsi="BODIDLYbold" w:cs="BODIDLYbold"/>
      <w:color w:val="000000"/>
    </w:rPr>
  </w:style>
  <w:style w:type="paragraph" w:customStyle="1" w:styleId="Pa15">
    <w:name w:val="Pa15"/>
    <w:basedOn w:val="Default"/>
    <w:next w:val="Default"/>
    <w:uiPriority w:val="99"/>
    <w:rsid w:val="00F75613"/>
    <w:pPr>
      <w:spacing w:line="211" w:lineRule="atLeast"/>
    </w:pPr>
    <w:rPr>
      <w:color w:val="auto"/>
    </w:rPr>
  </w:style>
  <w:style w:type="paragraph" w:customStyle="1" w:styleId="Pa16">
    <w:name w:val="Pa16"/>
    <w:basedOn w:val="Default"/>
    <w:next w:val="Default"/>
    <w:uiPriority w:val="99"/>
    <w:rsid w:val="00F75613"/>
    <w:pPr>
      <w:spacing w:line="211" w:lineRule="atLeast"/>
    </w:pPr>
    <w:rPr>
      <w:color w:val="auto"/>
    </w:rPr>
  </w:style>
  <w:style w:type="character" w:customStyle="1" w:styleId="ParagrapheCar">
    <w:name w:val="Paragraphe Car"/>
    <w:link w:val="Paragraphe"/>
    <w:qFormat/>
    <w:rsid w:val="00F75613"/>
    <w:rPr>
      <w:rFonts w:ascii="Arial" w:hAnsi="Arial"/>
      <w:kern w:val="28"/>
      <w:sz w:val="24"/>
      <w:lang w:eastAsia="fr-FR"/>
    </w:rPr>
  </w:style>
  <w:style w:type="paragraph" w:customStyle="1" w:styleId="Style1">
    <w:name w:val="Style1"/>
    <w:basedOn w:val="Paragraphe"/>
    <w:link w:val="Style1Car"/>
    <w:qFormat/>
    <w:rsid w:val="00F75613"/>
    <w:pPr>
      <w:numPr>
        <w:numId w:val="0"/>
      </w:numPr>
      <w:tabs>
        <w:tab w:val="num" w:pos="360"/>
      </w:tabs>
      <w:spacing w:before="60" w:after="60" w:line="360" w:lineRule="auto"/>
    </w:pPr>
  </w:style>
  <w:style w:type="character" w:customStyle="1" w:styleId="Style1Car">
    <w:name w:val="Style1 Car"/>
    <w:basedOn w:val="ParagrapheCar"/>
    <w:link w:val="Style1"/>
    <w:rsid w:val="00F75613"/>
    <w:rPr>
      <w:rFonts w:ascii="Arial" w:hAnsi="Arial"/>
      <w:kern w:val="28"/>
      <w:sz w:val="24"/>
      <w:lang w:eastAsia="fr-FR"/>
    </w:rPr>
  </w:style>
  <w:style w:type="character" w:customStyle="1" w:styleId="Titre4Car">
    <w:name w:val="Titre 4 Car"/>
    <w:basedOn w:val="Policepardfaut"/>
    <w:link w:val="Titre4"/>
    <w:rsid w:val="00F75613"/>
    <w:rPr>
      <w:rFonts w:ascii="Arial" w:hAnsi="Arial"/>
      <w:b/>
      <w:sz w:val="24"/>
      <w:lang w:eastAsia="fr-FR"/>
    </w:rPr>
  </w:style>
  <w:style w:type="character" w:customStyle="1" w:styleId="reflex">
    <w:name w:val="reflex"/>
    <w:basedOn w:val="Policepardfaut"/>
    <w:rsid w:val="00F75613"/>
  </w:style>
  <w:style w:type="character" w:customStyle="1" w:styleId="reflex3-block">
    <w:name w:val="reflex3-block"/>
    <w:basedOn w:val="Policepardfaut"/>
    <w:rsid w:val="00F75613"/>
  </w:style>
  <w:style w:type="character" w:customStyle="1" w:styleId="Titre1Car">
    <w:name w:val="Titre 1 Car"/>
    <w:basedOn w:val="Policepardfaut"/>
    <w:link w:val="Titre1"/>
    <w:rsid w:val="00F75613"/>
    <w:rPr>
      <w:rFonts w:ascii="Arial" w:hAnsi="Arial"/>
      <w:b/>
      <w:kern w:val="28"/>
      <w:sz w:val="28"/>
      <w:lang w:eastAsia="fr-FR"/>
    </w:rPr>
  </w:style>
  <w:style w:type="character" w:customStyle="1" w:styleId="Titre2Car">
    <w:name w:val="Titre 2 Car"/>
    <w:basedOn w:val="Policepardfaut"/>
    <w:link w:val="Titre2"/>
    <w:rsid w:val="00F75613"/>
    <w:rPr>
      <w:rFonts w:ascii="Arial" w:hAnsi="Arial"/>
      <w:b/>
      <w:i/>
      <w:sz w:val="24"/>
      <w:lang w:eastAsia="fr-FR"/>
    </w:rPr>
  </w:style>
  <w:style w:type="character" w:customStyle="1" w:styleId="Titre3Car">
    <w:name w:val="Titre 3 Car"/>
    <w:basedOn w:val="Policepardfaut"/>
    <w:link w:val="Titre3"/>
    <w:rsid w:val="00F75613"/>
    <w:rPr>
      <w:rFonts w:ascii="Arial" w:hAnsi="Arial"/>
      <w:sz w:val="24"/>
      <w:lang w:eastAsia="fr-FR"/>
    </w:rPr>
  </w:style>
  <w:style w:type="character" w:customStyle="1" w:styleId="Titre5Car">
    <w:name w:val="Titre 5 Car"/>
    <w:basedOn w:val="Policepardfaut"/>
    <w:link w:val="Titre5"/>
    <w:rsid w:val="00F75613"/>
    <w:rPr>
      <w:rFonts w:ascii="Arial" w:hAnsi="Arial"/>
      <w:sz w:val="22"/>
      <w:lang w:eastAsia="fr-FR"/>
    </w:rPr>
  </w:style>
  <w:style w:type="character" w:customStyle="1" w:styleId="Titre6Car">
    <w:name w:val="Titre 6 Car"/>
    <w:basedOn w:val="Policepardfaut"/>
    <w:link w:val="Titre6"/>
    <w:rsid w:val="00F75613"/>
    <w:rPr>
      <w:rFonts w:ascii="Arial" w:hAnsi="Arial"/>
      <w:i/>
      <w:sz w:val="22"/>
      <w:lang w:eastAsia="fr-FR"/>
    </w:rPr>
  </w:style>
  <w:style w:type="character" w:customStyle="1" w:styleId="Titre7Car">
    <w:name w:val="Titre 7 Car"/>
    <w:basedOn w:val="Policepardfaut"/>
    <w:link w:val="Titre7"/>
    <w:rsid w:val="00F75613"/>
    <w:rPr>
      <w:rFonts w:ascii="Arial" w:hAnsi="Arial"/>
      <w:lang w:eastAsia="fr-FR"/>
    </w:rPr>
  </w:style>
  <w:style w:type="character" w:customStyle="1" w:styleId="Titre8Car">
    <w:name w:val="Titre 8 Car"/>
    <w:basedOn w:val="Policepardfaut"/>
    <w:link w:val="Titre8"/>
    <w:rsid w:val="00F75613"/>
    <w:rPr>
      <w:rFonts w:ascii="Arial" w:hAnsi="Arial"/>
      <w:i/>
      <w:lang w:eastAsia="fr-FR"/>
    </w:rPr>
  </w:style>
  <w:style w:type="character" w:customStyle="1" w:styleId="Titre9Car">
    <w:name w:val="Titre 9 Car"/>
    <w:basedOn w:val="Policepardfaut"/>
    <w:link w:val="Titre9"/>
    <w:rsid w:val="00F75613"/>
    <w:rPr>
      <w:rFonts w:ascii="Arial" w:hAnsi="Arial"/>
      <w:b/>
      <w:i/>
      <w:sz w:val="18"/>
      <w:lang w:eastAsia="fr-FR"/>
    </w:rPr>
  </w:style>
  <w:style w:type="character" w:customStyle="1" w:styleId="CorpsdetexteCar">
    <w:name w:val="Corps de texte Car"/>
    <w:basedOn w:val="Policepardfaut"/>
    <w:link w:val="Corpsdetexte"/>
    <w:semiHidden/>
    <w:rsid w:val="00F75613"/>
    <w:rPr>
      <w:rFonts w:ascii="Arial" w:hAnsi="Arial"/>
      <w:sz w:val="24"/>
      <w:lang w:eastAsia="fr-FR"/>
    </w:rPr>
  </w:style>
  <w:style w:type="character" w:customStyle="1" w:styleId="NotedefinCar">
    <w:name w:val="Note de fin Car"/>
    <w:basedOn w:val="Policepardfaut"/>
    <w:link w:val="Notedefin"/>
    <w:semiHidden/>
    <w:rsid w:val="00F75613"/>
    <w:rPr>
      <w:rFonts w:ascii="Arial" w:hAnsi="Arial"/>
      <w:lang w:eastAsia="fr-FR"/>
    </w:rPr>
  </w:style>
  <w:style w:type="character" w:customStyle="1" w:styleId="En-tteCar">
    <w:name w:val="En-tête Car"/>
    <w:basedOn w:val="Policepardfaut"/>
    <w:link w:val="En-tte"/>
    <w:semiHidden/>
    <w:rsid w:val="00F75613"/>
    <w:rPr>
      <w:rFonts w:ascii="Arial" w:hAnsi="Arial"/>
      <w:sz w:val="24"/>
      <w:lang w:eastAsia="fr-FR"/>
    </w:rPr>
  </w:style>
  <w:style w:type="character" w:customStyle="1" w:styleId="PieddepageCar">
    <w:name w:val="Pied de page Car"/>
    <w:basedOn w:val="Policepardfaut"/>
    <w:link w:val="Pieddepage"/>
    <w:semiHidden/>
    <w:rsid w:val="00F75613"/>
    <w:rPr>
      <w:rFonts w:ascii="Arial" w:hAnsi="Arial"/>
      <w:sz w:val="24"/>
      <w:lang w:eastAsia="fr-FR"/>
    </w:rPr>
  </w:style>
  <w:style w:type="character" w:customStyle="1" w:styleId="Corpsdetexte3Car">
    <w:name w:val="Corps de texte 3 Car"/>
    <w:basedOn w:val="Policepardfaut"/>
    <w:link w:val="Corpsdetexte3"/>
    <w:semiHidden/>
    <w:rsid w:val="00F75613"/>
    <w:rPr>
      <w:rFonts w:ascii="Arial" w:hAnsi="Arial"/>
      <w:sz w:val="16"/>
      <w:lang w:eastAsia="fr-FR"/>
    </w:rPr>
  </w:style>
  <w:style w:type="character" w:customStyle="1" w:styleId="Mentionnonrsolue1">
    <w:name w:val="Mention non résolue1"/>
    <w:basedOn w:val="Policepardfaut"/>
    <w:uiPriority w:val="99"/>
    <w:semiHidden/>
    <w:unhideWhenUsed/>
    <w:rsid w:val="00F75613"/>
    <w:rPr>
      <w:color w:val="605E5C"/>
      <w:shd w:val="clear" w:color="auto" w:fill="E1DFDD"/>
    </w:rPr>
  </w:style>
  <w:style w:type="character" w:styleId="Textedelespacerserv">
    <w:name w:val="Placeholder Text"/>
    <w:basedOn w:val="Policepardfaut"/>
    <w:uiPriority w:val="99"/>
    <w:semiHidden/>
    <w:rsid w:val="00F75613"/>
    <w:rPr>
      <w:color w:val="808080"/>
    </w:rPr>
  </w:style>
  <w:style w:type="paragraph" w:styleId="Listepuces">
    <w:name w:val="List Bullet"/>
    <w:basedOn w:val="Normal"/>
    <w:rsid w:val="00F75613"/>
    <w:pPr>
      <w:tabs>
        <w:tab w:val="num" w:pos="360"/>
      </w:tabs>
      <w:ind w:left="360" w:hanging="360"/>
      <w:contextualSpacing/>
    </w:pPr>
  </w:style>
  <w:style w:type="paragraph" w:customStyle="1" w:styleId="pf0">
    <w:name w:val="pf0"/>
    <w:basedOn w:val="Normal"/>
    <w:rsid w:val="00F75613"/>
    <w:pPr>
      <w:spacing w:before="100" w:beforeAutospacing="1" w:after="100" w:afterAutospacing="1" w:line="240" w:lineRule="auto"/>
    </w:pPr>
    <w:rPr>
      <w:rFonts w:ascii="Times New Roman" w:hAnsi="Times New Roman"/>
      <w:szCs w:val="24"/>
      <w:lang w:eastAsia="fr-CA"/>
    </w:rPr>
  </w:style>
  <w:style w:type="character" w:customStyle="1" w:styleId="cf01">
    <w:name w:val="cf01"/>
    <w:basedOn w:val="Policepardfaut"/>
    <w:rsid w:val="00F75613"/>
    <w:rPr>
      <w:rFonts w:ascii="Segoe UI" w:hAnsi="Segoe UI" w:cs="Segoe UI" w:hint="default"/>
      <w:sz w:val="18"/>
      <w:szCs w:val="18"/>
    </w:rPr>
  </w:style>
  <w:style w:type="character" w:styleId="Mentionnonrsolue">
    <w:name w:val="Unresolved Mention"/>
    <w:basedOn w:val="Policepardfaut"/>
    <w:uiPriority w:val="99"/>
    <w:rsid w:val="00416AE4"/>
    <w:rPr>
      <w:color w:val="605E5C"/>
      <w:shd w:val="clear" w:color="auto" w:fill="E1DFDD"/>
    </w:rPr>
  </w:style>
  <w:style w:type="character" w:styleId="Lienvisit">
    <w:name w:val="FollowedHyperlink"/>
    <w:basedOn w:val="Policepardfaut"/>
    <w:uiPriority w:val="99"/>
    <w:semiHidden/>
    <w:unhideWhenUsed/>
    <w:rsid w:val="001427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2367">
      <w:bodyDiv w:val="1"/>
      <w:marLeft w:val="0"/>
      <w:marRight w:val="0"/>
      <w:marTop w:val="0"/>
      <w:marBottom w:val="0"/>
      <w:divBdr>
        <w:top w:val="none" w:sz="0" w:space="0" w:color="auto"/>
        <w:left w:val="none" w:sz="0" w:space="0" w:color="auto"/>
        <w:bottom w:val="none" w:sz="0" w:space="0" w:color="auto"/>
        <w:right w:val="none" w:sz="0" w:space="0" w:color="auto"/>
      </w:divBdr>
    </w:div>
    <w:div w:id="191456023">
      <w:bodyDiv w:val="1"/>
      <w:marLeft w:val="0"/>
      <w:marRight w:val="0"/>
      <w:marTop w:val="0"/>
      <w:marBottom w:val="0"/>
      <w:divBdr>
        <w:top w:val="none" w:sz="0" w:space="0" w:color="auto"/>
        <w:left w:val="none" w:sz="0" w:space="0" w:color="auto"/>
        <w:bottom w:val="none" w:sz="0" w:space="0" w:color="auto"/>
        <w:right w:val="none" w:sz="0" w:space="0" w:color="auto"/>
      </w:divBdr>
    </w:div>
    <w:div w:id="782269024">
      <w:bodyDiv w:val="1"/>
      <w:marLeft w:val="0"/>
      <w:marRight w:val="0"/>
      <w:marTop w:val="0"/>
      <w:marBottom w:val="0"/>
      <w:divBdr>
        <w:top w:val="none" w:sz="0" w:space="0" w:color="auto"/>
        <w:left w:val="none" w:sz="0" w:space="0" w:color="auto"/>
        <w:bottom w:val="none" w:sz="0" w:space="0" w:color="auto"/>
        <w:right w:val="none" w:sz="0" w:space="0" w:color="auto"/>
      </w:divBdr>
    </w:div>
    <w:div w:id="818155966">
      <w:bodyDiv w:val="1"/>
      <w:marLeft w:val="0"/>
      <w:marRight w:val="0"/>
      <w:marTop w:val="0"/>
      <w:marBottom w:val="0"/>
      <w:divBdr>
        <w:top w:val="none" w:sz="0" w:space="0" w:color="auto"/>
        <w:left w:val="none" w:sz="0" w:space="0" w:color="auto"/>
        <w:bottom w:val="none" w:sz="0" w:space="0" w:color="auto"/>
        <w:right w:val="none" w:sz="0" w:space="0" w:color="auto"/>
      </w:divBdr>
    </w:div>
    <w:div w:id="1305936892">
      <w:bodyDiv w:val="1"/>
      <w:marLeft w:val="0"/>
      <w:marRight w:val="0"/>
      <w:marTop w:val="0"/>
      <w:marBottom w:val="0"/>
      <w:divBdr>
        <w:top w:val="none" w:sz="0" w:space="0" w:color="auto"/>
        <w:left w:val="none" w:sz="0" w:space="0" w:color="auto"/>
        <w:bottom w:val="none" w:sz="0" w:space="0" w:color="auto"/>
        <w:right w:val="none" w:sz="0" w:space="0" w:color="auto"/>
      </w:divBdr>
    </w:div>
    <w:div w:id="1746143128">
      <w:bodyDiv w:val="1"/>
      <w:marLeft w:val="0"/>
      <w:marRight w:val="0"/>
      <w:marTop w:val="0"/>
      <w:marBottom w:val="0"/>
      <w:divBdr>
        <w:top w:val="none" w:sz="0" w:space="0" w:color="auto"/>
        <w:left w:val="none" w:sz="0" w:space="0" w:color="auto"/>
        <w:bottom w:val="none" w:sz="0" w:space="0" w:color="auto"/>
        <w:right w:val="none" w:sz="0" w:space="0" w:color="auto"/>
      </w:divBdr>
    </w:div>
    <w:div w:id="19473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E-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squebec.gouv.qc.ca/fr/document/lc/E-2.3?langCont=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anlii.ca/t/j2st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86</Pages>
  <Words>30152</Words>
  <Characters>165838</Characters>
  <Application>Microsoft Office Word</Application>
  <DocSecurity>0</DocSecurity>
  <Lines>1381</Lines>
  <Paragraphs>391</Paragraphs>
  <ScaleCrop>false</ScaleCrop>
  <HeadingPairs>
    <vt:vector size="2" baseType="variant">
      <vt:variant>
        <vt:lpstr>Titre</vt:lpstr>
      </vt:variant>
      <vt:variant>
        <vt:i4>1</vt:i4>
      </vt:variant>
    </vt:vector>
  </HeadingPairs>
  <TitlesOfParts>
    <vt:vector size="1" baseType="lpstr">
      <vt:lpstr>Gabarit de jugement pour la cour d'appel</vt:lpstr>
    </vt:vector>
  </TitlesOfParts>
  <Manager>Patrice Tardif</Manager>
  <Company>MJQ</Company>
  <LinksUpToDate>false</LinksUpToDate>
  <CharactersWithSpaces>195599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de jugement pour la cour d'appel</dc:title>
  <dc:creator>Manon Beaudry</dc:creator>
  <cp:lastModifiedBy>Gauthier, François</cp:lastModifiedBy>
  <cp:revision>5</cp:revision>
  <cp:lastPrinted>2025-02-13T18:45:00Z</cp:lastPrinted>
  <dcterms:created xsi:type="dcterms:W3CDTF">2025-04-02T17:24:00Z</dcterms:created>
  <dcterms:modified xsi:type="dcterms:W3CDTF">2025-04-03T18:17:00Z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Cour">
    <vt:lpwstr>CA</vt:lpwstr>
  </property>
  <property fmtid="{D5CDD505-2E9C-101B-9397-08002B2CF9AE}" pid="3" name="Soquij_DateModification">
    <vt:lpwstr>04-26-2001</vt:lpwstr>
  </property>
  <property fmtid="{D5CDD505-2E9C-101B-9397-08002B2CF9AE}" pid="4" name="Soquij_Langue">
    <vt:lpwstr>Fra</vt:lpwstr>
  </property>
  <property fmtid="{D5CDD505-2E9C-101B-9397-08002B2CF9AE}" pid="5" name="Soquij_Modele">
    <vt:lpwstr>Edj</vt:lpwstr>
  </property>
  <property fmtid="{D5CDD505-2E9C-101B-9397-08002B2CF9AE}" pid="6" name="Soquij_ModifiePar">
    <vt:lpwstr>renste</vt:lpwstr>
  </property>
  <property fmtid="{D5CDD505-2E9C-101B-9397-08002B2CF9AE}" pid="7" name="Soquij_Version">
    <vt:lpwstr>1.6</vt:lpwstr>
  </property>
</Properties>
</file>