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25" w:type="dxa"/>
        <w:tblInd w:w="-20" w:type="dxa"/>
        <w:tblLayout w:type="fixed"/>
        <w:tblCellMar>
          <w:left w:w="70" w:type="dxa"/>
          <w:right w:w="70" w:type="dxa"/>
        </w:tblCellMar>
        <w:tblLook w:val="0000" w:firstRow="0" w:lastRow="0" w:firstColumn="0" w:lastColumn="0" w:noHBand="0" w:noVBand="0"/>
      </w:tblPr>
      <w:tblGrid>
        <w:gridCol w:w="1170"/>
        <w:gridCol w:w="475"/>
        <w:gridCol w:w="1685"/>
        <w:gridCol w:w="1890"/>
        <w:gridCol w:w="1885"/>
        <w:gridCol w:w="2420"/>
      </w:tblGrid>
      <w:tr w:rsidR="00594BB3" w:rsidRPr="00594BB3" w14:paraId="60FC634F" w14:textId="77777777" w:rsidTr="004231F8">
        <w:trPr>
          <w:trHeight w:val="360"/>
        </w:trPr>
        <w:tc>
          <w:tcPr>
            <w:tcW w:w="7105" w:type="dxa"/>
            <w:gridSpan w:val="5"/>
          </w:tcPr>
          <w:p w14:paraId="32B8C97E" w14:textId="0E95E664" w:rsidR="002964C0" w:rsidRPr="002756B4" w:rsidRDefault="002756B4" w:rsidP="002756B4">
            <w:pPr>
              <w:pStyle w:val="zSoquijdatRepertorie"/>
              <w:rPr>
                <w:rFonts w:cs="Arial"/>
              </w:rPr>
            </w:pPr>
            <w:r>
              <w:rPr>
                <w:rFonts w:cs="Arial"/>
              </w:rPr>
              <w:t>Institution Royale pour l'avancement des Sciences c. Ministre de l'Enseignement supérieur</w:t>
            </w:r>
          </w:p>
        </w:tc>
        <w:tc>
          <w:tcPr>
            <w:tcW w:w="2420" w:type="dxa"/>
          </w:tcPr>
          <w:p w14:paraId="7616BA77" w14:textId="7CF63891" w:rsidR="002964C0" w:rsidRPr="00A63A81" w:rsidRDefault="00A63A81" w:rsidP="00A63A81">
            <w:pPr>
              <w:pStyle w:val="zSoquijdatRefNeutre"/>
              <w:jc w:val="right"/>
              <w:rPr>
                <w:rFonts w:cs="Arial"/>
              </w:rPr>
            </w:pPr>
            <w:r w:rsidRPr="00A63A81">
              <w:rPr>
                <w:rFonts w:cs="Arial"/>
              </w:rPr>
              <w:t>2025 QCCS 1289</w:t>
            </w:r>
          </w:p>
        </w:tc>
      </w:tr>
      <w:tr w:rsidR="00594BB3" w:rsidRPr="00594BB3" w14:paraId="7A0EF609" w14:textId="77777777" w:rsidTr="004231F8">
        <w:trPr>
          <w:trHeight w:val="900"/>
        </w:trPr>
        <w:tc>
          <w:tcPr>
            <w:tcW w:w="9525" w:type="dxa"/>
            <w:gridSpan w:val="6"/>
            <w:vAlign w:val="bottom"/>
          </w:tcPr>
          <w:p w14:paraId="4D7AC61C" w14:textId="108E8D78" w:rsidR="002964C0" w:rsidRPr="00FD5473" w:rsidRDefault="00F747F0">
            <w:pPr>
              <w:pStyle w:val="zSoquijlblCour"/>
              <w:rPr>
                <w:sz w:val="32"/>
                <w:szCs w:val="32"/>
              </w:rPr>
            </w:pPr>
            <w:r w:rsidRPr="00FD5473">
              <w:rPr>
                <w:sz w:val="32"/>
                <w:szCs w:val="32"/>
              </w:rPr>
              <w:t xml:space="preserve">COUR </w:t>
            </w:r>
            <w:r w:rsidR="00126916" w:rsidRPr="00FD5473">
              <w:rPr>
                <w:sz w:val="32"/>
                <w:szCs w:val="32"/>
              </w:rPr>
              <w:t>SUPÉRIEURE</w:t>
            </w:r>
          </w:p>
        </w:tc>
      </w:tr>
      <w:tr w:rsidR="00594BB3" w:rsidRPr="00594BB3" w14:paraId="7CD42418" w14:textId="77777777" w:rsidTr="004231F8">
        <w:trPr>
          <w:trHeight w:val="540"/>
        </w:trPr>
        <w:tc>
          <w:tcPr>
            <w:tcW w:w="9525" w:type="dxa"/>
            <w:gridSpan w:val="6"/>
          </w:tcPr>
          <w:p w14:paraId="2B01BD9E" w14:textId="1757BDA4" w:rsidR="002964C0" w:rsidRPr="00594BB3" w:rsidRDefault="00C05D82" w:rsidP="009577FC">
            <w:pPr>
              <w:pStyle w:val="zSoquijdatDivision"/>
            </w:pPr>
            <w:r w:rsidRPr="00C05D82">
              <w:t>«</w:t>
            </w:r>
            <w:r w:rsidR="00AC1A97" w:rsidRPr="00DE1AE1">
              <w:rPr>
                <w:rFonts w:cs="Arial"/>
              </w:rPr>
              <w:t> </w:t>
            </w:r>
            <w:r w:rsidRPr="00C05D82">
              <w:t>Chambre civile</w:t>
            </w:r>
            <w:r w:rsidR="00AC1A97" w:rsidRPr="00DE1AE1">
              <w:rPr>
                <w:rFonts w:cs="Arial"/>
              </w:rPr>
              <w:t> </w:t>
            </w:r>
            <w:r w:rsidRPr="00C05D82">
              <w:t>»</w:t>
            </w:r>
          </w:p>
        </w:tc>
      </w:tr>
      <w:tr w:rsidR="00594BB3" w:rsidRPr="00594BB3" w14:paraId="65FF737B" w14:textId="77777777" w:rsidTr="004231F8">
        <w:tc>
          <w:tcPr>
            <w:tcW w:w="9525" w:type="dxa"/>
            <w:gridSpan w:val="6"/>
          </w:tcPr>
          <w:p w14:paraId="7179BAC8" w14:textId="77777777" w:rsidR="002964C0" w:rsidRPr="00594BB3" w:rsidRDefault="00F747F0">
            <w:pPr>
              <w:pStyle w:val="zSoquijlblPays"/>
            </w:pPr>
            <w:r w:rsidRPr="00594BB3">
              <w:t>CANADA</w:t>
            </w:r>
          </w:p>
        </w:tc>
      </w:tr>
      <w:tr w:rsidR="00594BB3" w:rsidRPr="00594BB3" w14:paraId="1552D198" w14:textId="77777777" w:rsidTr="004231F8">
        <w:tc>
          <w:tcPr>
            <w:tcW w:w="9525" w:type="dxa"/>
            <w:gridSpan w:val="6"/>
          </w:tcPr>
          <w:p w14:paraId="13FE1405" w14:textId="77777777" w:rsidR="002964C0" w:rsidRPr="00594BB3" w:rsidRDefault="00F747F0">
            <w:pPr>
              <w:pStyle w:val="zSoquijlblProvince"/>
            </w:pPr>
            <w:r w:rsidRPr="00594BB3">
              <w:t>PROVINCE DE QUÉBEC</w:t>
            </w:r>
          </w:p>
        </w:tc>
      </w:tr>
      <w:tr w:rsidR="00594BB3" w:rsidRPr="00594BB3" w14:paraId="7C705F3C" w14:textId="77777777" w:rsidTr="004231F8">
        <w:tblPrEx>
          <w:tblCellMar>
            <w:left w:w="0" w:type="dxa"/>
            <w:right w:w="0" w:type="dxa"/>
          </w:tblCellMar>
        </w:tblPrEx>
        <w:trPr>
          <w:cantSplit/>
        </w:trPr>
        <w:tc>
          <w:tcPr>
            <w:tcW w:w="1645" w:type="dxa"/>
            <w:gridSpan w:val="2"/>
          </w:tcPr>
          <w:p w14:paraId="253F7C87" w14:textId="77777777" w:rsidR="002964C0" w:rsidRPr="00594BB3" w:rsidRDefault="00F747F0">
            <w:pPr>
              <w:pStyle w:val="zSoquijlblGreffe"/>
            </w:pPr>
            <w:r w:rsidRPr="00594BB3">
              <w:t>DISTRICT DE</w:t>
            </w:r>
          </w:p>
        </w:tc>
        <w:tc>
          <w:tcPr>
            <w:tcW w:w="7880" w:type="dxa"/>
            <w:gridSpan w:val="4"/>
          </w:tcPr>
          <w:p w14:paraId="0F990563" w14:textId="11741BF0" w:rsidR="002964C0" w:rsidRPr="00594BB3" w:rsidRDefault="00F22EFF">
            <w:pPr>
              <w:pStyle w:val="zSoquijdatGreffe"/>
            </w:pPr>
            <w:r>
              <w:t>MONTRÉAL</w:t>
            </w:r>
          </w:p>
        </w:tc>
      </w:tr>
      <w:tr w:rsidR="00594BB3" w:rsidRPr="00594BB3" w14:paraId="3DBA75C0" w14:textId="77777777" w:rsidTr="004231F8">
        <w:trPr>
          <w:trHeight w:val="540"/>
        </w:trPr>
        <w:tc>
          <w:tcPr>
            <w:tcW w:w="9525" w:type="dxa"/>
            <w:gridSpan w:val="6"/>
          </w:tcPr>
          <w:p w14:paraId="7E026A71" w14:textId="0213640D" w:rsidR="002964C0" w:rsidRPr="00594BB3" w:rsidRDefault="002964C0">
            <w:pPr>
              <w:pStyle w:val="zSoquijlblNomChambre"/>
            </w:pPr>
          </w:p>
        </w:tc>
      </w:tr>
      <w:tr w:rsidR="00594BB3" w:rsidRPr="00594BB3" w14:paraId="4C086FED" w14:textId="77777777" w:rsidTr="004231F8">
        <w:tc>
          <w:tcPr>
            <w:tcW w:w="1170" w:type="dxa"/>
          </w:tcPr>
          <w:p w14:paraId="3544149A" w14:textId="0813DCA9" w:rsidR="002964C0" w:rsidRPr="00594BB3" w:rsidRDefault="00F747F0">
            <w:pPr>
              <w:pStyle w:val="zSoquijlblNoDossier"/>
            </w:pPr>
            <w:r w:rsidRPr="00594BB3">
              <w:t>N°:</w:t>
            </w:r>
            <w:r w:rsidR="000469E7">
              <w:t xml:space="preserve"> </w:t>
            </w:r>
          </w:p>
        </w:tc>
        <w:tc>
          <w:tcPr>
            <w:tcW w:w="8355" w:type="dxa"/>
            <w:gridSpan w:val="5"/>
          </w:tcPr>
          <w:p w14:paraId="28C4FB11" w14:textId="77777777" w:rsidR="002964C0" w:rsidRPr="008370E5" w:rsidRDefault="000469E7" w:rsidP="00C342A2">
            <w:pPr>
              <w:pStyle w:val="zSoquijdatNoDossier"/>
            </w:pPr>
            <w:bookmarkStart w:id="0" w:name="_Hlk164427582"/>
            <w:r w:rsidRPr="008370E5">
              <w:t>500-17-128942-243</w:t>
            </w:r>
            <w:bookmarkEnd w:id="0"/>
          </w:p>
          <w:p w14:paraId="0FD72739" w14:textId="6F81879D" w:rsidR="00E75B90" w:rsidRPr="00E75B90" w:rsidRDefault="008370E5" w:rsidP="00C342A2">
            <w:pPr>
              <w:pStyle w:val="zSoquijdatNoDossier"/>
              <w:rPr>
                <w:highlight w:val="green"/>
              </w:rPr>
            </w:pPr>
            <w:r>
              <w:t>500-17-128952-242</w:t>
            </w:r>
          </w:p>
        </w:tc>
      </w:tr>
      <w:tr w:rsidR="00594BB3" w:rsidRPr="00594BB3" w14:paraId="731533D7" w14:textId="77777777" w:rsidTr="004231F8">
        <w:tblPrEx>
          <w:tblCellMar>
            <w:left w:w="0" w:type="dxa"/>
            <w:right w:w="0" w:type="dxa"/>
          </w:tblCellMar>
        </w:tblPrEx>
        <w:trPr>
          <w:cantSplit/>
        </w:trPr>
        <w:tc>
          <w:tcPr>
            <w:tcW w:w="1170" w:type="dxa"/>
          </w:tcPr>
          <w:p w14:paraId="7ABAB61A" w14:textId="77777777" w:rsidR="002964C0" w:rsidRPr="00594BB3" w:rsidRDefault="002964C0">
            <w:pPr>
              <w:pStyle w:val="zSoquijlblGreffe"/>
            </w:pPr>
          </w:p>
        </w:tc>
        <w:tc>
          <w:tcPr>
            <w:tcW w:w="8355" w:type="dxa"/>
            <w:gridSpan w:val="5"/>
          </w:tcPr>
          <w:p w14:paraId="67E90FEF" w14:textId="77777777" w:rsidR="002964C0" w:rsidRPr="00E75B90" w:rsidRDefault="002964C0">
            <w:pPr>
              <w:pStyle w:val="zSoquijdatNoDossierAnt"/>
              <w:rPr>
                <w:highlight w:val="green"/>
              </w:rPr>
            </w:pPr>
          </w:p>
        </w:tc>
      </w:tr>
      <w:tr w:rsidR="00594BB3" w:rsidRPr="00594BB3" w14:paraId="50241BAE" w14:textId="77777777" w:rsidTr="004231F8">
        <w:tc>
          <w:tcPr>
            <w:tcW w:w="1170" w:type="dxa"/>
          </w:tcPr>
          <w:p w14:paraId="0F72AE27" w14:textId="77777777" w:rsidR="002964C0" w:rsidRPr="00594BB3" w:rsidRDefault="00F747F0">
            <w:pPr>
              <w:pStyle w:val="zSoquijlblDateJugement"/>
            </w:pPr>
            <w:r w:rsidRPr="00594BB3">
              <w:t>DATE :</w:t>
            </w:r>
          </w:p>
        </w:tc>
        <w:tc>
          <w:tcPr>
            <w:tcW w:w="8355" w:type="dxa"/>
            <w:gridSpan w:val="5"/>
          </w:tcPr>
          <w:p w14:paraId="3D8FC923" w14:textId="0134CAC1" w:rsidR="002964C0" w:rsidRPr="00431938" w:rsidRDefault="006A75FC">
            <w:pPr>
              <w:pStyle w:val="zSoquijdatDateJugement"/>
            </w:pPr>
            <w:r w:rsidRPr="00431938">
              <w:t>2</w:t>
            </w:r>
            <w:r w:rsidR="00431938" w:rsidRPr="00431938">
              <w:t>4</w:t>
            </w:r>
            <w:r w:rsidRPr="00431938">
              <w:t> </w:t>
            </w:r>
            <w:r w:rsidR="00F63F44" w:rsidRPr="00431938">
              <w:t>avril</w:t>
            </w:r>
            <w:r w:rsidR="00E1333A" w:rsidRPr="00431938">
              <w:rPr>
                <w:rFonts w:cs="Arial"/>
              </w:rPr>
              <w:t> </w:t>
            </w:r>
            <w:r w:rsidR="00326B1C" w:rsidRPr="00431938">
              <w:t>202</w:t>
            </w:r>
            <w:r w:rsidR="00E75B90" w:rsidRPr="00431938">
              <w:t>5</w:t>
            </w:r>
          </w:p>
        </w:tc>
      </w:tr>
      <w:tr w:rsidR="00594BB3" w:rsidRPr="00594BB3" w14:paraId="7A134019" w14:textId="77777777" w:rsidTr="004231F8">
        <w:tc>
          <w:tcPr>
            <w:tcW w:w="9525" w:type="dxa"/>
            <w:gridSpan w:val="6"/>
          </w:tcPr>
          <w:p w14:paraId="1446C57E" w14:textId="77777777" w:rsidR="002964C0" w:rsidRPr="00594BB3" w:rsidRDefault="00F747F0">
            <w:pPr>
              <w:ind w:left="14" w:right="-67"/>
            </w:pPr>
            <w:r w:rsidRPr="00594BB3">
              <w:t>______________________________________________________________________</w:t>
            </w:r>
          </w:p>
        </w:tc>
      </w:tr>
      <w:tr w:rsidR="00594BB3" w:rsidRPr="00594BB3" w14:paraId="38BF897A" w14:textId="77777777" w:rsidTr="004231F8">
        <w:tc>
          <w:tcPr>
            <w:tcW w:w="9525" w:type="dxa"/>
            <w:gridSpan w:val="6"/>
          </w:tcPr>
          <w:p w14:paraId="4F8EEA4E" w14:textId="77777777" w:rsidR="002964C0" w:rsidRPr="00594BB3" w:rsidRDefault="002964C0"/>
        </w:tc>
      </w:tr>
      <w:tr w:rsidR="00594BB3" w:rsidRPr="00594BB3" w14:paraId="6B9D9126" w14:textId="77777777" w:rsidTr="004231F8">
        <w:tblPrEx>
          <w:tblCellMar>
            <w:left w:w="0" w:type="dxa"/>
            <w:right w:w="0" w:type="dxa"/>
          </w:tblCellMar>
        </w:tblPrEx>
        <w:tc>
          <w:tcPr>
            <w:tcW w:w="3330" w:type="dxa"/>
            <w:gridSpan w:val="3"/>
          </w:tcPr>
          <w:p w14:paraId="2709F0AD" w14:textId="77777777" w:rsidR="002964C0" w:rsidRPr="00594BB3" w:rsidRDefault="00F747F0">
            <w:pPr>
              <w:pStyle w:val="zSoquijlblJuge"/>
            </w:pPr>
            <w:r w:rsidRPr="00594BB3">
              <w:t>SOUS LA PRÉSIDENCE DE</w:t>
            </w:r>
          </w:p>
        </w:tc>
        <w:tc>
          <w:tcPr>
            <w:tcW w:w="1890" w:type="dxa"/>
          </w:tcPr>
          <w:p w14:paraId="4362F124" w14:textId="77777777" w:rsidR="002964C0" w:rsidRPr="00594BB3" w:rsidRDefault="00F747F0">
            <w:pPr>
              <w:pStyle w:val="zSoquijdatQteJuge"/>
            </w:pPr>
            <w:r w:rsidRPr="00594BB3">
              <w:t>L’HONORABLE</w:t>
            </w:r>
          </w:p>
        </w:tc>
        <w:tc>
          <w:tcPr>
            <w:tcW w:w="4305" w:type="dxa"/>
            <w:gridSpan w:val="2"/>
          </w:tcPr>
          <w:p w14:paraId="45C9D92E" w14:textId="419A42EB" w:rsidR="002964C0" w:rsidRPr="00594BB3" w:rsidRDefault="007E6BEB">
            <w:pPr>
              <w:pStyle w:val="zSoquijdatJuge"/>
            </w:pPr>
            <w:r w:rsidRPr="00594BB3">
              <w:t>ÉRIC DUFOUR</w:t>
            </w:r>
            <w:r w:rsidR="00465DF8" w:rsidRPr="00594BB3">
              <w:t>,</w:t>
            </w:r>
            <w:r w:rsidR="00F747F0" w:rsidRPr="00594BB3">
              <w:t xml:space="preserve"> J.C.</w:t>
            </w:r>
            <w:r w:rsidR="001374E5">
              <w:t>S</w:t>
            </w:r>
            <w:r w:rsidR="00F747F0" w:rsidRPr="00594BB3">
              <w:t>.</w:t>
            </w:r>
          </w:p>
        </w:tc>
      </w:tr>
      <w:tr w:rsidR="00594BB3" w:rsidRPr="00594BB3" w14:paraId="38E2433B" w14:textId="77777777" w:rsidTr="004231F8">
        <w:tc>
          <w:tcPr>
            <w:tcW w:w="9525" w:type="dxa"/>
            <w:gridSpan w:val="6"/>
          </w:tcPr>
          <w:p w14:paraId="16D65E09" w14:textId="77777777" w:rsidR="002964C0" w:rsidRPr="00594BB3" w:rsidRDefault="00F747F0">
            <w:pPr>
              <w:ind w:left="14" w:right="-67"/>
            </w:pPr>
            <w:r w:rsidRPr="00594BB3">
              <w:t>______________________________________________________________________</w:t>
            </w:r>
          </w:p>
        </w:tc>
      </w:tr>
      <w:tr w:rsidR="00594BB3" w:rsidRPr="00594BB3" w14:paraId="5AE967C9" w14:textId="77777777" w:rsidTr="004231F8">
        <w:tc>
          <w:tcPr>
            <w:tcW w:w="9525" w:type="dxa"/>
            <w:gridSpan w:val="6"/>
          </w:tcPr>
          <w:p w14:paraId="5B39FE9B" w14:textId="77777777" w:rsidR="002964C0" w:rsidRPr="00594BB3" w:rsidRDefault="002964C0">
            <w:pPr>
              <w:pStyle w:val="zSoquijlblTitrePartie"/>
            </w:pPr>
          </w:p>
        </w:tc>
      </w:tr>
      <w:tr w:rsidR="00C5724E" w:rsidRPr="00594BB3" w14:paraId="57C2BEEA" w14:textId="77777777" w:rsidTr="004231F8">
        <w:tc>
          <w:tcPr>
            <w:tcW w:w="9525" w:type="dxa"/>
            <w:gridSpan w:val="6"/>
          </w:tcPr>
          <w:p w14:paraId="00585508" w14:textId="71BDE0C3" w:rsidR="00C5724E" w:rsidRPr="00594BB3" w:rsidRDefault="00C5724E" w:rsidP="00C5724E">
            <w:pPr>
              <w:pStyle w:val="zSoquijdatNoDossier"/>
            </w:pPr>
            <w:r>
              <w:t xml:space="preserve">Dossier </w:t>
            </w:r>
            <w:r w:rsidRPr="008370E5">
              <w:t>500-17-128942-243</w:t>
            </w:r>
          </w:p>
        </w:tc>
      </w:tr>
      <w:tr w:rsidR="00D77B23" w:rsidRPr="00594BB3" w14:paraId="57BC4EAC" w14:textId="77777777" w:rsidTr="004231F8">
        <w:tc>
          <w:tcPr>
            <w:tcW w:w="9525" w:type="dxa"/>
            <w:gridSpan w:val="6"/>
          </w:tcPr>
          <w:p w14:paraId="2F0B189F" w14:textId="77777777" w:rsidR="00D77B23" w:rsidRDefault="00D77B23" w:rsidP="00C5724E">
            <w:pPr>
              <w:pStyle w:val="zSoquijdatNoDossier"/>
            </w:pPr>
          </w:p>
        </w:tc>
      </w:tr>
      <w:tr w:rsidR="00594BB3" w:rsidRPr="00594BB3" w14:paraId="58BCB33F" w14:textId="77777777" w:rsidTr="004231F8">
        <w:tc>
          <w:tcPr>
            <w:tcW w:w="9525" w:type="dxa"/>
            <w:gridSpan w:val="6"/>
          </w:tcPr>
          <w:p w14:paraId="0B5986FB" w14:textId="77777777" w:rsidR="000469E7" w:rsidRDefault="000469E7" w:rsidP="00184570">
            <w:pPr>
              <w:pStyle w:val="zSoquijdatNomPartieDem"/>
            </w:pPr>
            <w:r>
              <w:t>L’INSTITUTION ROYALE POUR L’AVANCEMENT DES SCIENCES</w:t>
            </w:r>
          </w:p>
          <w:p w14:paraId="6503AACF" w14:textId="4F7527A9" w:rsidR="000469E7" w:rsidRPr="00184570" w:rsidRDefault="000469E7" w:rsidP="00184570">
            <w:pPr>
              <w:pStyle w:val="zSoquijdatNomPartieDem"/>
            </w:pPr>
            <w:r>
              <w:t>(UNIVERSITÉ McGILL)</w:t>
            </w:r>
          </w:p>
        </w:tc>
      </w:tr>
      <w:tr w:rsidR="00184570" w:rsidRPr="00594BB3" w14:paraId="3019A158" w14:textId="77777777" w:rsidTr="004231F8">
        <w:tc>
          <w:tcPr>
            <w:tcW w:w="9525" w:type="dxa"/>
            <w:gridSpan w:val="6"/>
          </w:tcPr>
          <w:p w14:paraId="13DD6934" w14:textId="75A68A5D" w:rsidR="00184570" w:rsidRPr="000469E7" w:rsidRDefault="00184570" w:rsidP="00F27F82">
            <w:pPr>
              <w:pStyle w:val="zSoquijdatQtePartieDem"/>
            </w:pPr>
            <w:r w:rsidRPr="00F27F82">
              <w:t>D</w:t>
            </w:r>
            <w:r w:rsidR="00F27F82">
              <w:t>emanderesse</w:t>
            </w:r>
          </w:p>
        </w:tc>
      </w:tr>
      <w:tr w:rsidR="00594BB3" w:rsidRPr="00594BB3" w14:paraId="421DE587" w14:textId="77777777" w:rsidTr="004231F8">
        <w:tc>
          <w:tcPr>
            <w:tcW w:w="9525" w:type="dxa"/>
            <w:gridSpan w:val="6"/>
          </w:tcPr>
          <w:p w14:paraId="580B3C87" w14:textId="0F15EE7B" w:rsidR="005E011E" w:rsidRPr="00AE50E6" w:rsidRDefault="00D87C9D" w:rsidP="00C5724E">
            <w:pPr>
              <w:pStyle w:val="zSoquijlblLienParties"/>
            </w:pPr>
            <w:r w:rsidRPr="00AE50E6">
              <w:t>c.</w:t>
            </w:r>
          </w:p>
        </w:tc>
      </w:tr>
      <w:tr w:rsidR="003A6F61" w:rsidRPr="00594BB3" w14:paraId="3578659D" w14:textId="77777777" w:rsidTr="004231F8">
        <w:tc>
          <w:tcPr>
            <w:tcW w:w="9525" w:type="dxa"/>
            <w:gridSpan w:val="6"/>
          </w:tcPr>
          <w:p w14:paraId="2E98C2DD" w14:textId="77777777" w:rsidR="003A6F61" w:rsidRPr="003A6F61" w:rsidRDefault="003A6F61" w:rsidP="003A6F61">
            <w:pPr>
              <w:pStyle w:val="zSoquijdatQtePartieDem"/>
              <w:ind w:left="0"/>
            </w:pPr>
          </w:p>
        </w:tc>
      </w:tr>
      <w:tr w:rsidR="00594BB3" w:rsidRPr="00594BB3" w14:paraId="35FC9D8B" w14:textId="77777777" w:rsidTr="004231F8">
        <w:tc>
          <w:tcPr>
            <w:tcW w:w="9525" w:type="dxa"/>
            <w:gridSpan w:val="6"/>
          </w:tcPr>
          <w:p w14:paraId="0FFB47C2" w14:textId="5B64EE09" w:rsidR="000469E7" w:rsidRPr="0043444E" w:rsidRDefault="000469E7" w:rsidP="00184570">
            <w:pPr>
              <w:pStyle w:val="zSoquijdatNomPartieDef"/>
            </w:pPr>
            <w:r>
              <w:t>MINISTRE DE L’ENSEIGNEMENT SUPÉRIEUR</w:t>
            </w:r>
          </w:p>
        </w:tc>
      </w:tr>
      <w:tr w:rsidR="00F27F82" w:rsidRPr="00594BB3" w14:paraId="7F37A2A9" w14:textId="77777777" w:rsidTr="004231F8">
        <w:tc>
          <w:tcPr>
            <w:tcW w:w="9525" w:type="dxa"/>
            <w:gridSpan w:val="6"/>
          </w:tcPr>
          <w:p w14:paraId="60E2FE03" w14:textId="36FEE470" w:rsidR="00F27F82" w:rsidRDefault="006A75FC" w:rsidP="00F27F82">
            <w:pPr>
              <w:pStyle w:val="zSoquijlblLienParties"/>
            </w:pPr>
            <w:r>
              <w:t>et</w:t>
            </w:r>
          </w:p>
        </w:tc>
      </w:tr>
      <w:tr w:rsidR="00F27F82" w:rsidRPr="00594BB3" w14:paraId="6A3AE1A8" w14:textId="77777777" w:rsidTr="004231F8">
        <w:tc>
          <w:tcPr>
            <w:tcW w:w="9525" w:type="dxa"/>
            <w:gridSpan w:val="6"/>
          </w:tcPr>
          <w:p w14:paraId="1F57112E" w14:textId="1E50E6EE" w:rsidR="00F27F82" w:rsidRDefault="00F27F82" w:rsidP="00184570">
            <w:pPr>
              <w:pStyle w:val="zSoquijdatNomPartieDef"/>
            </w:pPr>
            <w:r>
              <w:t>PROCUREUR GÉNÉRAL DU QUÉBEC</w:t>
            </w:r>
          </w:p>
        </w:tc>
      </w:tr>
      <w:tr w:rsidR="00F27F82" w:rsidRPr="00594BB3" w14:paraId="55E52D7B" w14:textId="77777777" w:rsidTr="004231F8">
        <w:tc>
          <w:tcPr>
            <w:tcW w:w="9525" w:type="dxa"/>
            <w:gridSpan w:val="6"/>
          </w:tcPr>
          <w:p w14:paraId="07F82662" w14:textId="3B79B7BF" w:rsidR="00F27F82" w:rsidRDefault="00F27F82" w:rsidP="00F27F82">
            <w:pPr>
              <w:pStyle w:val="zSoquijdatQtePartieDef"/>
            </w:pPr>
            <w:r>
              <w:t>Défendeurs</w:t>
            </w:r>
          </w:p>
        </w:tc>
      </w:tr>
      <w:tr w:rsidR="00F27F82" w:rsidRPr="00594BB3" w14:paraId="439D08D7" w14:textId="77777777" w:rsidTr="004231F8">
        <w:tc>
          <w:tcPr>
            <w:tcW w:w="9525" w:type="dxa"/>
            <w:gridSpan w:val="6"/>
          </w:tcPr>
          <w:p w14:paraId="57647302" w14:textId="1F28F0C8" w:rsidR="00F27F82" w:rsidRDefault="004231F8" w:rsidP="00214145">
            <w:pPr>
              <w:pStyle w:val="zSoquijlblLienParties"/>
            </w:pPr>
            <w:r>
              <w:t>et</w:t>
            </w:r>
          </w:p>
        </w:tc>
      </w:tr>
      <w:tr w:rsidR="00F27F82" w:rsidRPr="00594BB3" w14:paraId="2472E8C7" w14:textId="77777777" w:rsidTr="004231F8">
        <w:tc>
          <w:tcPr>
            <w:tcW w:w="9525" w:type="dxa"/>
            <w:gridSpan w:val="6"/>
          </w:tcPr>
          <w:p w14:paraId="3A81E675" w14:textId="32B1E907" w:rsidR="00F27F82" w:rsidRDefault="00F27F82" w:rsidP="00F27F82">
            <w:pPr>
              <w:pStyle w:val="zSoquijlblLienParties"/>
            </w:pPr>
          </w:p>
        </w:tc>
      </w:tr>
      <w:tr w:rsidR="00F27F82" w:rsidRPr="00594BB3" w14:paraId="247DF0EC" w14:textId="77777777" w:rsidTr="004231F8">
        <w:tc>
          <w:tcPr>
            <w:tcW w:w="9525" w:type="dxa"/>
            <w:gridSpan w:val="6"/>
          </w:tcPr>
          <w:p w14:paraId="2DEAD1C3" w14:textId="660BAD7C" w:rsidR="00F27F82" w:rsidRPr="00F27F82" w:rsidRDefault="00F27F82" w:rsidP="00F27F82">
            <w:pPr>
              <w:pStyle w:val="zSoquijdatQtePartieDef"/>
              <w:ind w:left="0"/>
              <w:rPr>
                <w:b/>
                <w:bCs/>
              </w:rPr>
            </w:pPr>
            <w:r w:rsidRPr="000469E7">
              <w:rPr>
                <w:b/>
                <w:bCs/>
              </w:rPr>
              <w:t>UNIVERSITÉ CONCORDIA</w:t>
            </w:r>
          </w:p>
        </w:tc>
      </w:tr>
      <w:tr w:rsidR="00214145" w:rsidRPr="00594BB3" w14:paraId="7E11F567" w14:textId="77777777" w:rsidTr="004231F8">
        <w:tc>
          <w:tcPr>
            <w:tcW w:w="9525" w:type="dxa"/>
            <w:gridSpan w:val="6"/>
          </w:tcPr>
          <w:p w14:paraId="6046254D" w14:textId="780C7572" w:rsidR="00214145" w:rsidRPr="000469E7" w:rsidRDefault="004231F8" w:rsidP="00214145">
            <w:pPr>
              <w:pStyle w:val="zSoquijlblLienParties"/>
            </w:pPr>
            <w:r>
              <w:t>et</w:t>
            </w:r>
          </w:p>
        </w:tc>
      </w:tr>
      <w:tr w:rsidR="00594BB3" w:rsidRPr="00594BB3" w14:paraId="7867FE15" w14:textId="77777777" w:rsidTr="004231F8">
        <w:tc>
          <w:tcPr>
            <w:tcW w:w="9525" w:type="dxa"/>
            <w:gridSpan w:val="6"/>
          </w:tcPr>
          <w:p w14:paraId="37349C96" w14:textId="5AA4C425" w:rsidR="000469E7" w:rsidRPr="000469E7" w:rsidRDefault="000469E7" w:rsidP="000469E7">
            <w:pPr>
              <w:pStyle w:val="zSoquijdatQtePartieDef"/>
              <w:ind w:left="0"/>
              <w:rPr>
                <w:b/>
                <w:bCs/>
                <w:highlight w:val="yellow"/>
              </w:rPr>
            </w:pPr>
            <w:r w:rsidRPr="000469E7">
              <w:rPr>
                <w:b/>
                <w:bCs/>
              </w:rPr>
              <w:t>LUCAS MELDRUM</w:t>
            </w:r>
          </w:p>
        </w:tc>
      </w:tr>
      <w:tr w:rsidR="00C5724E" w:rsidRPr="00594BB3" w14:paraId="2CC193BB" w14:textId="77777777" w:rsidTr="004231F8">
        <w:tc>
          <w:tcPr>
            <w:tcW w:w="9525" w:type="dxa"/>
            <w:gridSpan w:val="6"/>
          </w:tcPr>
          <w:p w14:paraId="4EF1C93A" w14:textId="0C862C84" w:rsidR="00C5724E" w:rsidRPr="00C5724E" w:rsidRDefault="00C5724E" w:rsidP="00C5724E">
            <w:pPr>
              <w:pStyle w:val="zSoquijdatQtePartieDef"/>
            </w:pPr>
            <w:r>
              <w:t>Intervenants</w:t>
            </w:r>
          </w:p>
        </w:tc>
      </w:tr>
      <w:tr w:rsidR="00C5724E" w:rsidRPr="00594BB3" w14:paraId="3A18C3D5" w14:textId="77777777" w:rsidTr="004231F8">
        <w:tc>
          <w:tcPr>
            <w:tcW w:w="9525" w:type="dxa"/>
            <w:gridSpan w:val="6"/>
          </w:tcPr>
          <w:p w14:paraId="496B729D" w14:textId="77777777" w:rsidR="00C5724E" w:rsidRPr="000469E7" w:rsidRDefault="00C5724E" w:rsidP="000469E7">
            <w:pPr>
              <w:pStyle w:val="zSoquijdatQtePartieDef"/>
              <w:ind w:left="0"/>
              <w:rPr>
                <w:b/>
                <w:bCs/>
              </w:rPr>
            </w:pPr>
          </w:p>
        </w:tc>
      </w:tr>
      <w:tr w:rsidR="00C5724E" w:rsidRPr="00594BB3" w14:paraId="7F48B3C5" w14:textId="77777777" w:rsidTr="004231F8">
        <w:tc>
          <w:tcPr>
            <w:tcW w:w="9525" w:type="dxa"/>
            <w:gridSpan w:val="6"/>
          </w:tcPr>
          <w:p w14:paraId="59DFF1B6" w14:textId="69B453AE" w:rsidR="00C5724E" w:rsidRPr="00C5724E" w:rsidRDefault="00C5724E" w:rsidP="000469E7">
            <w:pPr>
              <w:pStyle w:val="zSoquijdatQtePartieDef"/>
              <w:ind w:left="0"/>
            </w:pPr>
            <w:r w:rsidRPr="00C5724E">
              <w:t>Dossier 500-17-128952-242</w:t>
            </w:r>
          </w:p>
        </w:tc>
      </w:tr>
      <w:tr w:rsidR="00D77B23" w:rsidRPr="00594BB3" w14:paraId="7FBC3223" w14:textId="77777777" w:rsidTr="004231F8">
        <w:tc>
          <w:tcPr>
            <w:tcW w:w="9525" w:type="dxa"/>
            <w:gridSpan w:val="6"/>
          </w:tcPr>
          <w:p w14:paraId="4F11FA4D" w14:textId="77777777" w:rsidR="00D77B23" w:rsidRPr="00C5724E" w:rsidRDefault="00D77B23" w:rsidP="000469E7">
            <w:pPr>
              <w:pStyle w:val="zSoquijdatQtePartieDef"/>
              <w:ind w:left="0"/>
            </w:pPr>
          </w:p>
        </w:tc>
      </w:tr>
      <w:tr w:rsidR="00C5724E" w:rsidRPr="00594BB3" w14:paraId="09302639" w14:textId="77777777" w:rsidTr="004231F8">
        <w:tc>
          <w:tcPr>
            <w:tcW w:w="9525" w:type="dxa"/>
            <w:gridSpan w:val="6"/>
          </w:tcPr>
          <w:p w14:paraId="69C36CC1" w14:textId="12E257CA" w:rsidR="00C5724E" w:rsidRPr="000469E7" w:rsidRDefault="00C5724E" w:rsidP="00C5724E">
            <w:pPr>
              <w:pStyle w:val="zSoquijdatNomPartieDem"/>
            </w:pPr>
            <w:r w:rsidRPr="000469E7">
              <w:t>UNIVERSITÉ CONCORDIA</w:t>
            </w:r>
          </w:p>
        </w:tc>
      </w:tr>
      <w:tr w:rsidR="00C5724E" w:rsidRPr="00594BB3" w14:paraId="2F73F8B6" w14:textId="77777777" w:rsidTr="004231F8">
        <w:tc>
          <w:tcPr>
            <w:tcW w:w="9525" w:type="dxa"/>
            <w:gridSpan w:val="6"/>
          </w:tcPr>
          <w:p w14:paraId="310888C7" w14:textId="7783E1E1" w:rsidR="00C5724E" w:rsidRPr="000469E7" w:rsidRDefault="004231F8" w:rsidP="00C5724E">
            <w:pPr>
              <w:pStyle w:val="zSoquijlblLienParties"/>
            </w:pPr>
            <w:r>
              <w:t>et</w:t>
            </w:r>
          </w:p>
        </w:tc>
      </w:tr>
      <w:tr w:rsidR="00C5724E" w:rsidRPr="00594BB3" w14:paraId="26A3577A" w14:textId="77777777" w:rsidTr="004231F8">
        <w:tc>
          <w:tcPr>
            <w:tcW w:w="9525" w:type="dxa"/>
            <w:gridSpan w:val="6"/>
          </w:tcPr>
          <w:p w14:paraId="3CE48A88" w14:textId="5D7E8367" w:rsidR="00C5724E" w:rsidRPr="000469E7" w:rsidRDefault="00C5724E" w:rsidP="000469E7">
            <w:pPr>
              <w:pStyle w:val="zSoquijdatQtePartieDef"/>
              <w:ind w:left="0"/>
              <w:rPr>
                <w:b/>
                <w:bCs/>
              </w:rPr>
            </w:pPr>
            <w:r w:rsidRPr="000469E7">
              <w:rPr>
                <w:b/>
                <w:bCs/>
              </w:rPr>
              <w:t>LUCAS MELDRUM</w:t>
            </w:r>
          </w:p>
        </w:tc>
      </w:tr>
      <w:tr w:rsidR="00C5724E" w:rsidRPr="00594BB3" w14:paraId="3DCADE6E" w14:textId="77777777" w:rsidTr="004231F8">
        <w:tc>
          <w:tcPr>
            <w:tcW w:w="9525" w:type="dxa"/>
            <w:gridSpan w:val="6"/>
          </w:tcPr>
          <w:p w14:paraId="45E6AEC0" w14:textId="5BF861FE" w:rsidR="00C5724E" w:rsidRPr="00C5724E" w:rsidRDefault="00C5724E" w:rsidP="00C5724E">
            <w:pPr>
              <w:pStyle w:val="zSoquijdatQtePartieDem"/>
            </w:pPr>
            <w:r>
              <w:t>Demandeurs</w:t>
            </w:r>
          </w:p>
        </w:tc>
      </w:tr>
      <w:tr w:rsidR="00C5724E" w:rsidRPr="00594BB3" w14:paraId="3189823B" w14:textId="77777777" w:rsidTr="004231F8">
        <w:tc>
          <w:tcPr>
            <w:tcW w:w="9525" w:type="dxa"/>
            <w:gridSpan w:val="6"/>
          </w:tcPr>
          <w:p w14:paraId="3486C6E8" w14:textId="1118DAA6" w:rsidR="00C5724E" w:rsidRPr="000469E7" w:rsidRDefault="00C5724E" w:rsidP="00C5724E">
            <w:pPr>
              <w:pStyle w:val="zSoquijlblLienParties"/>
            </w:pPr>
            <w:r>
              <w:t>c.</w:t>
            </w:r>
          </w:p>
        </w:tc>
      </w:tr>
      <w:tr w:rsidR="00C5724E" w:rsidRPr="00594BB3" w14:paraId="0EC4C090" w14:textId="77777777" w:rsidTr="004231F8">
        <w:tc>
          <w:tcPr>
            <w:tcW w:w="9525" w:type="dxa"/>
            <w:gridSpan w:val="6"/>
          </w:tcPr>
          <w:p w14:paraId="2BBD0DBC" w14:textId="77777777" w:rsidR="00C5724E" w:rsidRDefault="00C5724E" w:rsidP="00C5724E">
            <w:pPr>
              <w:pStyle w:val="zSoquijlblLienParties"/>
            </w:pPr>
          </w:p>
        </w:tc>
      </w:tr>
      <w:tr w:rsidR="00C5724E" w:rsidRPr="00594BB3" w14:paraId="41DB4323" w14:textId="77777777" w:rsidTr="004231F8">
        <w:tc>
          <w:tcPr>
            <w:tcW w:w="9525" w:type="dxa"/>
            <w:gridSpan w:val="6"/>
          </w:tcPr>
          <w:p w14:paraId="28C25247" w14:textId="323F93A1" w:rsidR="00C5724E" w:rsidRDefault="00C5724E" w:rsidP="00C5724E">
            <w:pPr>
              <w:pStyle w:val="zSoquijdatNomPartieDef"/>
            </w:pPr>
            <w:r>
              <w:lastRenderedPageBreak/>
              <w:t>MINISTRE DE L’ENSEIGNEMENT SUPÉRIEUR</w:t>
            </w:r>
          </w:p>
        </w:tc>
      </w:tr>
      <w:tr w:rsidR="00C5724E" w:rsidRPr="00594BB3" w14:paraId="1E4CEC03" w14:textId="77777777" w:rsidTr="004231F8">
        <w:tc>
          <w:tcPr>
            <w:tcW w:w="9525" w:type="dxa"/>
            <w:gridSpan w:val="6"/>
          </w:tcPr>
          <w:p w14:paraId="2A1FBAC5" w14:textId="3E46EA29" w:rsidR="00C5724E" w:rsidRDefault="00E47D08" w:rsidP="00C5724E">
            <w:pPr>
              <w:pStyle w:val="zSoquijlblLienParties"/>
            </w:pPr>
            <w:r>
              <w:t>et</w:t>
            </w:r>
          </w:p>
        </w:tc>
      </w:tr>
      <w:tr w:rsidR="00C5724E" w:rsidRPr="00594BB3" w14:paraId="6149B9F3" w14:textId="77777777" w:rsidTr="004231F8">
        <w:tc>
          <w:tcPr>
            <w:tcW w:w="9525" w:type="dxa"/>
            <w:gridSpan w:val="6"/>
          </w:tcPr>
          <w:p w14:paraId="4C75E11B" w14:textId="1C3687E8" w:rsidR="00C5724E" w:rsidRDefault="00C5724E" w:rsidP="00C5724E">
            <w:pPr>
              <w:pStyle w:val="zSoquijdatNomPartieDef"/>
            </w:pPr>
            <w:r>
              <w:t>PROCUREUR GÉNÉRAL DU QUÉBEC</w:t>
            </w:r>
          </w:p>
        </w:tc>
      </w:tr>
      <w:tr w:rsidR="00C5724E" w:rsidRPr="00594BB3" w14:paraId="2A0F1BCE" w14:textId="77777777" w:rsidTr="004231F8">
        <w:tc>
          <w:tcPr>
            <w:tcW w:w="9525" w:type="dxa"/>
            <w:gridSpan w:val="6"/>
          </w:tcPr>
          <w:p w14:paraId="4CD88910" w14:textId="7917B53A" w:rsidR="00C5724E" w:rsidRPr="00C5724E" w:rsidRDefault="00C5724E" w:rsidP="00C5724E">
            <w:pPr>
              <w:pStyle w:val="zSoquijdatQtePartieDef"/>
            </w:pPr>
            <w:r>
              <w:t>Défendeurs</w:t>
            </w:r>
          </w:p>
        </w:tc>
      </w:tr>
      <w:tr w:rsidR="00594BB3" w:rsidRPr="00594BB3" w14:paraId="515AAEE9" w14:textId="77777777" w:rsidTr="004231F8">
        <w:tc>
          <w:tcPr>
            <w:tcW w:w="9525" w:type="dxa"/>
            <w:gridSpan w:val="6"/>
          </w:tcPr>
          <w:tbl>
            <w:tblPr>
              <w:tblW w:w="9525" w:type="dxa"/>
              <w:tblLayout w:type="fixed"/>
              <w:tblCellMar>
                <w:left w:w="70" w:type="dxa"/>
                <w:right w:w="70" w:type="dxa"/>
              </w:tblCellMar>
              <w:tblLook w:val="0000" w:firstRow="0" w:lastRow="0" w:firstColumn="0" w:lastColumn="0" w:noHBand="0" w:noVBand="0"/>
            </w:tblPr>
            <w:tblGrid>
              <w:gridCol w:w="9525"/>
            </w:tblGrid>
            <w:tr w:rsidR="00594BB3" w:rsidRPr="00594BB3" w14:paraId="7564C3F2" w14:textId="77777777" w:rsidTr="00B33A39">
              <w:tc>
                <w:tcPr>
                  <w:tcW w:w="9525" w:type="dxa"/>
                </w:tcPr>
                <w:p w14:paraId="4E3C2BAF" w14:textId="77777777" w:rsidR="00C62274" w:rsidRPr="00594BB3" w:rsidRDefault="00C62274" w:rsidP="00C62274">
                  <w:pPr>
                    <w:ind w:left="14" w:right="-95"/>
                  </w:pPr>
                  <w:r w:rsidRPr="00594BB3">
                    <w:t>______________________________________________________________________</w:t>
                  </w:r>
                </w:p>
              </w:tc>
            </w:tr>
            <w:tr w:rsidR="00594BB3" w:rsidRPr="00594BB3" w14:paraId="550FAE84" w14:textId="77777777" w:rsidTr="00B33A39">
              <w:tc>
                <w:tcPr>
                  <w:tcW w:w="9525" w:type="dxa"/>
                </w:tcPr>
                <w:p w14:paraId="35BDFFEB" w14:textId="77777777" w:rsidR="00C62274" w:rsidRPr="00594BB3" w:rsidRDefault="00C62274" w:rsidP="00C62274">
                  <w:pPr>
                    <w:jc w:val="center"/>
                  </w:pPr>
                </w:p>
              </w:tc>
            </w:tr>
            <w:tr w:rsidR="00594BB3" w:rsidRPr="00594BB3" w14:paraId="5A20213E" w14:textId="77777777" w:rsidTr="00B33A39">
              <w:tc>
                <w:tcPr>
                  <w:tcW w:w="9525" w:type="dxa"/>
                </w:tcPr>
                <w:p w14:paraId="7C977994" w14:textId="63FA1F8D" w:rsidR="00FC1951" w:rsidRPr="00FC1951" w:rsidRDefault="00FC1951" w:rsidP="00FC1951">
                  <w:pPr>
                    <w:pStyle w:val="zSoquijlblTypeDocument"/>
                    <w:rPr>
                      <w:b/>
                    </w:rPr>
                  </w:pPr>
                  <w:r>
                    <w:rPr>
                      <w:b/>
                    </w:rPr>
                    <w:t xml:space="preserve">JUGEMENT SUR POURVOIS EN CONTRÔLE JUDICIAIRE EN CONTESTATION DE MODIFICATIONS AUX RÈGLES BUDGÉTAIRES RELATIVES AUX DROITS DE SCOLARITÉ EXIGIBLES </w:t>
                  </w:r>
                  <w:r w:rsidR="000324EC" w:rsidRPr="00D55E18">
                    <w:rPr>
                      <w:b/>
                    </w:rPr>
                    <w:t xml:space="preserve">ET À L’ACQUISITION DE COMPÉTENCES EN FRANÇAIS </w:t>
                  </w:r>
                  <w:r>
                    <w:rPr>
                      <w:b/>
                    </w:rPr>
                    <w:t xml:space="preserve">DE CERTAINS ÉTUDIANTS DES UNIVERSITÉS </w:t>
                  </w:r>
                  <w:r w:rsidR="003B6EE2">
                    <w:rPr>
                      <w:b/>
                    </w:rPr>
                    <w:t xml:space="preserve">ANGLOPHONES </w:t>
                  </w:r>
                  <w:r>
                    <w:rPr>
                      <w:b/>
                    </w:rPr>
                    <w:t>QUÉBÉCOISES</w:t>
                  </w:r>
                </w:p>
              </w:tc>
            </w:tr>
            <w:tr w:rsidR="00594BB3" w:rsidRPr="00594BB3" w14:paraId="5995961B" w14:textId="77777777" w:rsidTr="00B33A39">
              <w:tc>
                <w:tcPr>
                  <w:tcW w:w="9525" w:type="dxa"/>
                </w:tcPr>
                <w:p w14:paraId="1DA838BE" w14:textId="4C4C4EB4" w:rsidR="00C62274" w:rsidRPr="00594BB3" w:rsidRDefault="00C62274" w:rsidP="00C62274">
                  <w:pPr>
                    <w:ind w:left="14" w:right="-70"/>
                  </w:pPr>
                  <w:r w:rsidRPr="00594BB3">
                    <w:t>______________________________________________________________________</w:t>
                  </w:r>
                </w:p>
              </w:tc>
            </w:tr>
            <w:tr w:rsidR="00594BB3" w:rsidRPr="00594BB3" w14:paraId="252F49AE" w14:textId="77777777" w:rsidTr="00B33A39">
              <w:tc>
                <w:tcPr>
                  <w:tcW w:w="9525" w:type="dxa"/>
                </w:tcPr>
                <w:p w14:paraId="5AAC75C7" w14:textId="77777777" w:rsidR="00C62274" w:rsidRPr="00594BB3" w:rsidRDefault="00C62274" w:rsidP="00156B4C">
                  <w:pPr>
                    <w:pStyle w:val="zSoquijlblTypeDocument"/>
                    <w:jc w:val="left"/>
                  </w:pPr>
                </w:p>
              </w:tc>
            </w:tr>
          </w:tbl>
          <w:p w14:paraId="222A71C1" w14:textId="77777777" w:rsidR="002964C0" w:rsidRPr="00594BB3" w:rsidRDefault="002964C0" w:rsidP="00C94006"/>
        </w:tc>
      </w:tr>
    </w:tbl>
    <w:p w14:paraId="2919E619" w14:textId="49065668" w:rsidR="00C166B4" w:rsidRPr="00C166B4" w:rsidRDefault="00C166B4" w:rsidP="00C166B4">
      <w:pPr>
        <w:pStyle w:val="Paragraphe"/>
        <w:numPr>
          <w:ilvl w:val="0"/>
          <w:numId w:val="0"/>
        </w:numPr>
        <w:spacing w:line="240" w:lineRule="auto"/>
        <w:rPr>
          <w:rFonts w:cs="Arial"/>
          <w:b/>
          <w:bCs/>
        </w:rPr>
      </w:pPr>
      <w:r>
        <w:rPr>
          <w:rFonts w:cs="Arial"/>
          <w:b/>
          <w:bCs/>
        </w:rPr>
        <w:t>SURVOL</w:t>
      </w:r>
    </w:p>
    <w:p w14:paraId="595FB6DD" w14:textId="68B49F74" w:rsidR="00EF3282" w:rsidRPr="00EF3282" w:rsidRDefault="00616E3F" w:rsidP="0076154D">
      <w:pPr>
        <w:pStyle w:val="Paragraphe"/>
        <w:tabs>
          <w:tab w:val="clear" w:pos="2204"/>
        </w:tabs>
        <w:spacing w:line="240" w:lineRule="auto"/>
        <w:ind w:left="0"/>
        <w:rPr>
          <w:rFonts w:cs="Arial"/>
          <w:b/>
          <w:bCs/>
        </w:rPr>
      </w:pPr>
      <w:r>
        <w:rPr>
          <w:rFonts w:cs="Arial"/>
        </w:rPr>
        <w:t xml:space="preserve">L’Institution </w:t>
      </w:r>
      <w:r w:rsidR="001869B0">
        <w:rPr>
          <w:rFonts w:cs="Arial"/>
        </w:rPr>
        <w:t>r</w:t>
      </w:r>
      <w:r>
        <w:rPr>
          <w:rFonts w:cs="Arial"/>
        </w:rPr>
        <w:t>oyal</w:t>
      </w:r>
      <w:r w:rsidR="001869B0">
        <w:rPr>
          <w:rFonts w:cs="Arial"/>
        </w:rPr>
        <w:t>e</w:t>
      </w:r>
      <w:r>
        <w:rPr>
          <w:rFonts w:cs="Arial"/>
        </w:rPr>
        <w:t xml:space="preserve"> pour l’avancement des sciences (</w:t>
      </w:r>
      <w:r w:rsidR="006850A9" w:rsidRPr="006850A9">
        <w:rPr>
          <w:rFonts w:cs="Arial"/>
          <w:b/>
          <w:bCs/>
        </w:rPr>
        <w:t>McGill</w:t>
      </w:r>
      <w:r w:rsidR="006850A9">
        <w:rPr>
          <w:rFonts w:cs="Arial"/>
        </w:rPr>
        <w:t xml:space="preserve"> ou </w:t>
      </w:r>
      <w:r w:rsidRPr="00C166B4">
        <w:rPr>
          <w:rFonts w:cs="Arial"/>
          <w:b/>
          <w:bCs/>
        </w:rPr>
        <w:t>Université McGill</w:t>
      </w:r>
      <w:r>
        <w:rPr>
          <w:rFonts w:cs="Arial"/>
        </w:rPr>
        <w:t>) conteste</w:t>
      </w:r>
      <w:r w:rsidR="00FB4EFF">
        <w:rPr>
          <w:rFonts w:cs="Arial"/>
        </w:rPr>
        <w:t>, par pourvoi en contrôle judiciaire,</w:t>
      </w:r>
      <w:r>
        <w:rPr>
          <w:rFonts w:cs="Arial"/>
        </w:rPr>
        <w:t xml:space="preserve"> la validité de modifications qu’apporte </w:t>
      </w:r>
      <w:r w:rsidR="00AE570C">
        <w:rPr>
          <w:rFonts w:cs="Arial"/>
        </w:rPr>
        <w:t>en janvier</w:t>
      </w:r>
      <w:r w:rsidR="00827537" w:rsidRPr="00DE1AE1">
        <w:rPr>
          <w:rFonts w:cs="Arial"/>
        </w:rPr>
        <w:t> </w:t>
      </w:r>
      <w:r w:rsidR="00AE570C">
        <w:rPr>
          <w:rFonts w:cs="Arial"/>
        </w:rPr>
        <w:t xml:space="preserve">2024 </w:t>
      </w:r>
      <w:r>
        <w:rPr>
          <w:rFonts w:cs="Arial"/>
        </w:rPr>
        <w:t xml:space="preserve">la </w:t>
      </w:r>
      <w:r w:rsidR="000E1815">
        <w:rPr>
          <w:rFonts w:cs="Arial"/>
        </w:rPr>
        <w:t xml:space="preserve">ministre </w:t>
      </w:r>
      <w:r w:rsidR="006A250D" w:rsidRPr="00281A81">
        <w:rPr>
          <w:rFonts w:cs="Arial"/>
        </w:rPr>
        <w:t>de l’Enseignement supérieur, de la</w:t>
      </w:r>
      <w:r w:rsidR="00FF7C02">
        <w:rPr>
          <w:rFonts w:cs="Arial"/>
        </w:rPr>
        <w:t xml:space="preserve"> </w:t>
      </w:r>
      <w:r w:rsidR="006A250D" w:rsidRPr="00281A81">
        <w:rPr>
          <w:rFonts w:cs="Arial"/>
        </w:rPr>
        <w:t>Recherche, de la</w:t>
      </w:r>
      <w:r w:rsidR="00FF7C02">
        <w:rPr>
          <w:rFonts w:cs="Arial"/>
        </w:rPr>
        <w:t xml:space="preserve"> </w:t>
      </w:r>
      <w:r w:rsidR="006A250D" w:rsidRPr="00281A81">
        <w:rPr>
          <w:rFonts w:cs="Arial"/>
        </w:rPr>
        <w:t>Science et de la</w:t>
      </w:r>
      <w:r w:rsidR="00FF7C02">
        <w:rPr>
          <w:rFonts w:cs="Arial"/>
        </w:rPr>
        <w:t xml:space="preserve"> </w:t>
      </w:r>
      <w:r w:rsidR="006A250D" w:rsidRPr="00281A81">
        <w:rPr>
          <w:rFonts w:cs="Arial"/>
        </w:rPr>
        <w:t>Technologie</w:t>
      </w:r>
      <w:r w:rsidR="006A250D">
        <w:rPr>
          <w:rFonts w:cs="Arial"/>
        </w:rPr>
        <w:t xml:space="preserve"> </w:t>
      </w:r>
      <w:r>
        <w:rPr>
          <w:rFonts w:cs="Arial"/>
        </w:rPr>
        <w:t>(</w:t>
      </w:r>
      <w:r w:rsidRPr="00C166B4">
        <w:rPr>
          <w:rFonts w:cs="Arial"/>
          <w:b/>
          <w:bCs/>
        </w:rPr>
        <w:t>Ministre</w:t>
      </w:r>
      <w:r>
        <w:rPr>
          <w:rFonts w:cs="Arial"/>
        </w:rPr>
        <w:t>)</w:t>
      </w:r>
      <w:r w:rsidR="00372B24">
        <w:rPr>
          <w:rStyle w:val="Appelnotedebasdep"/>
          <w:rFonts w:cs="Arial"/>
        </w:rPr>
        <w:footnoteReference w:id="2"/>
      </w:r>
      <w:r>
        <w:rPr>
          <w:rFonts w:cs="Arial"/>
        </w:rPr>
        <w:t xml:space="preserve"> aux </w:t>
      </w:r>
      <w:bookmarkStart w:id="1" w:name="_Hlk191905919"/>
      <w:r w:rsidR="009731BF" w:rsidRPr="00281A81">
        <w:rPr>
          <w:rFonts w:cs="Arial"/>
          <w:i/>
          <w:iCs/>
        </w:rPr>
        <w:t>Règles budgétaires</w:t>
      </w:r>
      <w:r w:rsidR="00FF7C02">
        <w:rPr>
          <w:rFonts w:cs="Arial"/>
          <w:i/>
          <w:iCs/>
        </w:rPr>
        <w:t xml:space="preserve"> </w:t>
      </w:r>
      <w:r w:rsidR="009731BF" w:rsidRPr="00281A81">
        <w:rPr>
          <w:rFonts w:cs="Arial"/>
          <w:i/>
          <w:iCs/>
        </w:rPr>
        <w:t>et</w:t>
      </w:r>
      <w:r w:rsidR="00FF7C02">
        <w:rPr>
          <w:rFonts w:cs="Arial"/>
          <w:i/>
          <w:iCs/>
        </w:rPr>
        <w:t xml:space="preserve"> </w:t>
      </w:r>
      <w:r w:rsidR="009731BF" w:rsidRPr="00281A81">
        <w:rPr>
          <w:rFonts w:cs="Arial"/>
          <w:i/>
          <w:iCs/>
        </w:rPr>
        <w:t>calcul des subventions de fonctionnement aux universités du Québec, année universitaire 2023-2024</w:t>
      </w:r>
      <w:bookmarkEnd w:id="1"/>
      <w:r w:rsidR="00EF3282" w:rsidRPr="00EF3282">
        <w:rPr>
          <w:rStyle w:val="Appelnotedebasdep"/>
          <w:rFonts w:cs="Arial"/>
        </w:rPr>
        <w:footnoteReference w:id="3"/>
      </w:r>
      <w:r w:rsidR="00EF3282">
        <w:rPr>
          <w:rFonts w:cs="Arial"/>
          <w:i/>
          <w:iCs/>
        </w:rPr>
        <w:t xml:space="preserve"> </w:t>
      </w:r>
      <w:r w:rsidR="00EF3282" w:rsidRPr="00EF3282">
        <w:rPr>
          <w:rFonts w:cs="Arial"/>
        </w:rPr>
        <w:t>(</w:t>
      </w:r>
      <w:r w:rsidR="00EF3282" w:rsidRPr="00EF3282">
        <w:rPr>
          <w:rFonts w:cs="Arial"/>
          <w:b/>
          <w:bCs/>
        </w:rPr>
        <w:t>Règles</w:t>
      </w:r>
      <w:r w:rsidR="00EF3282" w:rsidRPr="00EF3282">
        <w:rPr>
          <w:rFonts w:cs="Arial"/>
        </w:rPr>
        <w:t xml:space="preserve"> </w:t>
      </w:r>
      <w:r w:rsidR="00EF3282" w:rsidRPr="00EF3282">
        <w:rPr>
          <w:rFonts w:cs="Arial"/>
          <w:b/>
          <w:bCs/>
        </w:rPr>
        <w:t>budgétaires</w:t>
      </w:r>
      <w:r w:rsidR="00EF3282" w:rsidRPr="00EF3282">
        <w:rPr>
          <w:rFonts w:cs="Arial"/>
        </w:rPr>
        <w:t>)</w:t>
      </w:r>
      <w:r w:rsidR="00EF3282">
        <w:rPr>
          <w:rFonts w:cs="Arial"/>
        </w:rPr>
        <w:t>.</w:t>
      </w:r>
      <w:r w:rsidR="009731BF">
        <w:rPr>
          <w:rFonts w:cs="Arial"/>
        </w:rPr>
        <w:t xml:space="preserve"> </w:t>
      </w:r>
      <w:r w:rsidR="00EF3282">
        <w:rPr>
          <w:rFonts w:cs="Arial"/>
        </w:rPr>
        <w:t>McGill attaque plus particulièrement les hausses des montants forfaitaires que provoquent ces modifications et que doivent maintenant payer ses étudiants internationaux (</w:t>
      </w:r>
      <w:r w:rsidR="00EF3282" w:rsidRPr="00CA4F12">
        <w:rPr>
          <w:rFonts w:cs="Arial"/>
          <w:b/>
          <w:bCs/>
        </w:rPr>
        <w:t>Internationaux</w:t>
      </w:r>
      <w:r w:rsidR="00EF3282">
        <w:rPr>
          <w:rFonts w:cs="Arial"/>
        </w:rPr>
        <w:t xml:space="preserve">) et ses étudiants canadiens </w:t>
      </w:r>
      <w:r w:rsidR="00F329D0" w:rsidRPr="004A4BC4">
        <w:rPr>
          <w:rFonts w:cs="Arial"/>
        </w:rPr>
        <w:t>non</w:t>
      </w:r>
      <w:r w:rsidR="00D24DA1" w:rsidRPr="004A4BC4">
        <w:rPr>
          <w:rFonts w:cs="Arial"/>
        </w:rPr>
        <w:noBreakHyphen/>
      </w:r>
      <w:r w:rsidR="00F329D0" w:rsidRPr="004A4BC4">
        <w:rPr>
          <w:rFonts w:cs="Arial"/>
        </w:rPr>
        <w:t>résidents du Québec</w:t>
      </w:r>
      <w:r w:rsidR="00EF3282">
        <w:rPr>
          <w:rFonts w:cs="Arial"/>
        </w:rPr>
        <w:t xml:space="preserve"> (</w:t>
      </w:r>
      <w:r w:rsidR="00EF3282" w:rsidRPr="00C33F7B">
        <w:rPr>
          <w:rFonts w:cs="Arial"/>
          <w:b/>
          <w:bCs/>
        </w:rPr>
        <w:t>CNRQ</w:t>
      </w:r>
      <w:r w:rsidR="00EF3282">
        <w:rPr>
          <w:rFonts w:cs="Arial"/>
        </w:rPr>
        <w:t>)</w:t>
      </w:r>
      <w:r w:rsidR="00AE570C">
        <w:rPr>
          <w:rFonts w:cs="Arial"/>
        </w:rPr>
        <w:t xml:space="preserve"> inscrits dans des programmes de langue anglaise</w:t>
      </w:r>
      <w:r w:rsidR="00EF3282">
        <w:rPr>
          <w:rFonts w:cs="Arial"/>
        </w:rPr>
        <w:t>.</w:t>
      </w:r>
    </w:p>
    <w:p w14:paraId="5B25FCDF" w14:textId="60BABA02" w:rsidR="00EF3282" w:rsidRPr="00277701" w:rsidRDefault="00EF3282" w:rsidP="0076154D">
      <w:pPr>
        <w:pStyle w:val="Paragraphe"/>
        <w:tabs>
          <w:tab w:val="clear" w:pos="2204"/>
        </w:tabs>
        <w:spacing w:line="240" w:lineRule="auto"/>
        <w:ind w:left="0"/>
        <w:rPr>
          <w:rFonts w:cs="Arial"/>
          <w:b/>
          <w:bCs/>
        </w:rPr>
      </w:pPr>
      <w:r>
        <w:rPr>
          <w:rFonts w:cs="Arial"/>
        </w:rPr>
        <w:t>McGill conteste également un</w:t>
      </w:r>
      <w:r w:rsidR="00FB7A74">
        <w:rPr>
          <w:rFonts w:cs="Arial"/>
        </w:rPr>
        <w:t xml:space="preserve">e modification </w:t>
      </w:r>
      <w:r w:rsidR="00AE570C">
        <w:rPr>
          <w:rFonts w:cs="Arial"/>
        </w:rPr>
        <w:t xml:space="preserve">survenue </w:t>
      </w:r>
      <w:r>
        <w:rPr>
          <w:rFonts w:cs="Arial"/>
        </w:rPr>
        <w:t>e</w:t>
      </w:r>
      <w:r w:rsidR="00AE570C">
        <w:rPr>
          <w:rFonts w:cs="Arial"/>
        </w:rPr>
        <w:t>n</w:t>
      </w:r>
      <w:r>
        <w:rPr>
          <w:rFonts w:cs="Arial"/>
        </w:rPr>
        <w:t xml:space="preserve"> juin</w:t>
      </w:r>
      <w:r w:rsidR="006D703B">
        <w:rPr>
          <w:rFonts w:cs="Arial"/>
        </w:rPr>
        <w:t> </w:t>
      </w:r>
      <w:r>
        <w:rPr>
          <w:rFonts w:cs="Arial"/>
        </w:rPr>
        <w:t xml:space="preserve">2024 </w:t>
      </w:r>
      <w:r w:rsidR="00AE570C">
        <w:rPr>
          <w:rFonts w:cs="Arial"/>
        </w:rPr>
        <w:t>concernant l</w:t>
      </w:r>
      <w:r w:rsidR="00E22121">
        <w:rPr>
          <w:rFonts w:cs="Arial"/>
        </w:rPr>
        <w:t xml:space="preserve">’acquisition </w:t>
      </w:r>
      <w:r>
        <w:rPr>
          <w:rFonts w:cs="Arial"/>
        </w:rPr>
        <w:t>de compétences en français des étudiants provenant de l’extérieur du Québec (</w:t>
      </w:r>
      <w:r w:rsidRPr="00EF3282">
        <w:rPr>
          <w:rFonts w:cs="Arial"/>
          <w:b/>
          <w:bCs/>
        </w:rPr>
        <w:t>Règle d’acquisition de compétences</w:t>
      </w:r>
      <w:r w:rsidR="00DE1AE1">
        <w:rPr>
          <w:rFonts w:cs="Arial"/>
          <w:b/>
          <w:bCs/>
        </w:rPr>
        <w:t xml:space="preserve"> en français</w:t>
      </w:r>
      <w:r>
        <w:rPr>
          <w:rFonts w:cs="Arial"/>
        </w:rPr>
        <w:t>)</w:t>
      </w:r>
      <w:r w:rsidR="002F0E39">
        <w:rPr>
          <w:rStyle w:val="Appelnotedebasdep"/>
          <w:rFonts w:cs="Arial"/>
        </w:rPr>
        <w:footnoteReference w:id="4"/>
      </w:r>
      <w:r>
        <w:rPr>
          <w:rFonts w:cs="Arial"/>
        </w:rPr>
        <w:t>.</w:t>
      </w:r>
    </w:p>
    <w:p w14:paraId="6353CA2C" w14:textId="4CE9A810" w:rsidR="00277701" w:rsidRPr="00B56806" w:rsidRDefault="00277701" w:rsidP="0076154D">
      <w:pPr>
        <w:pStyle w:val="Paragraphe"/>
        <w:tabs>
          <w:tab w:val="clear" w:pos="2204"/>
        </w:tabs>
        <w:spacing w:line="240" w:lineRule="auto"/>
        <w:ind w:left="0"/>
        <w:rPr>
          <w:rFonts w:cs="Arial"/>
          <w:b/>
          <w:bCs/>
        </w:rPr>
      </w:pPr>
      <w:r w:rsidRPr="00B56806">
        <w:rPr>
          <w:rFonts w:cs="Arial"/>
        </w:rPr>
        <w:t>Ces modifications aux Règles budgétaires s</w:t>
      </w:r>
      <w:r w:rsidR="002F0E39" w:rsidRPr="00B56806">
        <w:rPr>
          <w:rFonts w:cs="Arial"/>
        </w:rPr>
        <w:t>’avèrent discriminatoires,</w:t>
      </w:r>
      <w:r w:rsidRPr="00B56806">
        <w:rPr>
          <w:rFonts w:cs="Arial"/>
        </w:rPr>
        <w:t xml:space="preserve"> selon McGill.</w:t>
      </w:r>
    </w:p>
    <w:p w14:paraId="07847EB1" w14:textId="77777777" w:rsidR="00D44DB9" w:rsidRPr="00BA7E09" w:rsidRDefault="00FB4EFF" w:rsidP="0076154D">
      <w:pPr>
        <w:pStyle w:val="Paragraphe"/>
        <w:tabs>
          <w:tab w:val="clear" w:pos="2204"/>
        </w:tabs>
        <w:spacing w:line="240" w:lineRule="auto"/>
        <w:ind w:left="0"/>
        <w:rPr>
          <w:rFonts w:cs="Arial"/>
          <w:b/>
          <w:bCs/>
        </w:rPr>
      </w:pPr>
      <w:r>
        <w:rPr>
          <w:rFonts w:cs="Arial"/>
        </w:rPr>
        <w:t>Dans un autre</w:t>
      </w:r>
      <w:r w:rsidR="00616E3F">
        <w:rPr>
          <w:rFonts w:cs="Arial"/>
        </w:rPr>
        <w:t xml:space="preserve"> </w:t>
      </w:r>
      <w:r>
        <w:rPr>
          <w:rFonts w:cs="Arial"/>
        </w:rPr>
        <w:t>p</w:t>
      </w:r>
      <w:r w:rsidR="00616E3F">
        <w:rPr>
          <w:rFonts w:cs="Arial"/>
        </w:rPr>
        <w:t>ourvoi, l’Université Concordia (</w:t>
      </w:r>
      <w:r w:rsidR="00616E3F" w:rsidRPr="00C166B4">
        <w:rPr>
          <w:rFonts w:cs="Arial"/>
          <w:b/>
          <w:bCs/>
        </w:rPr>
        <w:t>Concordia</w:t>
      </w:r>
      <w:r w:rsidR="006850A9">
        <w:rPr>
          <w:rFonts w:cs="Arial"/>
          <w:b/>
          <w:bCs/>
        </w:rPr>
        <w:t xml:space="preserve"> </w:t>
      </w:r>
      <w:r w:rsidR="006850A9" w:rsidRPr="006850A9">
        <w:rPr>
          <w:rFonts w:cs="Arial"/>
        </w:rPr>
        <w:t>ou</w:t>
      </w:r>
      <w:r w:rsidR="006850A9">
        <w:rPr>
          <w:rFonts w:cs="Arial"/>
          <w:b/>
          <w:bCs/>
        </w:rPr>
        <w:t xml:space="preserve"> Université Concordia</w:t>
      </w:r>
      <w:r w:rsidR="00616E3F">
        <w:rPr>
          <w:rFonts w:cs="Arial"/>
        </w:rPr>
        <w:t xml:space="preserve">) et </w:t>
      </w:r>
      <w:r w:rsidR="00CA4F12">
        <w:rPr>
          <w:rFonts w:cs="Arial"/>
        </w:rPr>
        <w:t>Lucas Meldrum (</w:t>
      </w:r>
      <w:r w:rsidR="00CA4F12" w:rsidRPr="00C166B4">
        <w:rPr>
          <w:rFonts w:cs="Arial"/>
          <w:b/>
          <w:bCs/>
        </w:rPr>
        <w:t>Meldrum</w:t>
      </w:r>
      <w:r w:rsidR="00CA4F12">
        <w:rPr>
          <w:rFonts w:cs="Arial"/>
        </w:rPr>
        <w:t xml:space="preserve">), </w:t>
      </w:r>
      <w:r w:rsidR="00616E3F">
        <w:rPr>
          <w:rFonts w:cs="Arial"/>
        </w:rPr>
        <w:t>un de ses étudiants</w:t>
      </w:r>
      <w:r>
        <w:rPr>
          <w:rFonts w:cs="Arial"/>
        </w:rPr>
        <w:t xml:space="preserve"> inscrit au baccalauréat en informatique</w:t>
      </w:r>
      <w:r w:rsidR="00616E3F">
        <w:rPr>
          <w:rFonts w:cs="Arial"/>
        </w:rPr>
        <w:t xml:space="preserve">, </w:t>
      </w:r>
      <w:r w:rsidR="000B0CEF">
        <w:rPr>
          <w:rFonts w:cs="Arial"/>
        </w:rPr>
        <w:t>emboitent le pas</w:t>
      </w:r>
      <w:r w:rsidR="00FB7A74">
        <w:rPr>
          <w:rFonts w:cs="Arial"/>
        </w:rPr>
        <w:t xml:space="preserve">. </w:t>
      </w:r>
      <w:r w:rsidR="00AE570C">
        <w:rPr>
          <w:rFonts w:cs="Arial"/>
        </w:rPr>
        <w:t xml:space="preserve">Ils </w:t>
      </w:r>
      <w:r w:rsidR="00FB7A74">
        <w:rPr>
          <w:rFonts w:cs="Arial"/>
        </w:rPr>
        <w:t xml:space="preserve">appuient les arguments </w:t>
      </w:r>
      <w:r w:rsidR="00D44DB9">
        <w:rPr>
          <w:rFonts w:cs="Arial"/>
        </w:rPr>
        <w:t xml:space="preserve">principaux </w:t>
      </w:r>
      <w:r w:rsidR="00FB7A74">
        <w:rPr>
          <w:rFonts w:cs="Arial"/>
        </w:rPr>
        <w:t>de McGill portant sur la discrimination</w:t>
      </w:r>
      <w:r w:rsidR="00D44DB9">
        <w:rPr>
          <w:rFonts w:cs="Arial"/>
        </w:rPr>
        <w:t>,</w:t>
      </w:r>
      <w:r w:rsidR="00FB7A74">
        <w:rPr>
          <w:rFonts w:cs="Arial"/>
        </w:rPr>
        <w:t xml:space="preserve"> mais </w:t>
      </w:r>
      <w:r w:rsidR="00D44DB9">
        <w:rPr>
          <w:rFonts w:cs="Arial"/>
        </w:rPr>
        <w:t xml:space="preserve">en développent </w:t>
      </w:r>
      <w:r w:rsidR="00FB7A74">
        <w:rPr>
          <w:rFonts w:cs="Arial"/>
        </w:rPr>
        <w:t>qui leur sont propres</w:t>
      </w:r>
      <w:r w:rsidR="00D44DB9">
        <w:rPr>
          <w:rFonts w:cs="Arial"/>
        </w:rPr>
        <w:t xml:space="preserve"> axés sur l’absence de </w:t>
      </w:r>
      <w:r w:rsidR="00D44DB9">
        <w:rPr>
          <w:rFonts w:cs="Arial"/>
        </w:rPr>
        <w:lastRenderedPageBreak/>
        <w:t xml:space="preserve">prise en considération des valeurs sous-jacentes à la </w:t>
      </w:r>
      <w:r w:rsidR="00FB7A74" w:rsidRPr="00AE570C">
        <w:rPr>
          <w:rFonts w:cs="Arial"/>
          <w:i/>
          <w:iCs/>
        </w:rPr>
        <w:t xml:space="preserve">Charte canadienne </w:t>
      </w:r>
      <w:r w:rsidR="00AE570C" w:rsidRPr="00AE570C">
        <w:rPr>
          <w:rFonts w:cs="Arial"/>
          <w:i/>
          <w:iCs/>
        </w:rPr>
        <w:t>des droits et libertés</w:t>
      </w:r>
      <w:r w:rsidR="00AE570C" w:rsidRPr="0076154D">
        <w:rPr>
          <w:rStyle w:val="Appelnotedebasdep"/>
          <w:rFonts w:cs="Arial"/>
        </w:rPr>
        <w:footnoteReference w:id="5"/>
      </w:r>
      <w:r w:rsidR="00AE570C">
        <w:rPr>
          <w:rFonts w:cs="Arial"/>
        </w:rPr>
        <w:t xml:space="preserve"> </w:t>
      </w:r>
      <w:r w:rsidR="00D44DB9">
        <w:rPr>
          <w:rFonts w:cs="Arial"/>
        </w:rPr>
        <w:t xml:space="preserve">par la Ministre </w:t>
      </w:r>
      <w:r w:rsidR="00FB7A74">
        <w:rPr>
          <w:rFonts w:cs="Arial"/>
        </w:rPr>
        <w:t>lors de</w:t>
      </w:r>
      <w:r w:rsidR="00AE570C">
        <w:rPr>
          <w:rFonts w:cs="Arial"/>
        </w:rPr>
        <w:t xml:space="preserve"> la confection des </w:t>
      </w:r>
      <w:r w:rsidR="00D44DB9">
        <w:rPr>
          <w:rFonts w:cs="Arial"/>
        </w:rPr>
        <w:t xml:space="preserve">Règles </w:t>
      </w:r>
      <w:r w:rsidR="00FB7A74">
        <w:rPr>
          <w:rFonts w:cs="Arial"/>
        </w:rPr>
        <w:t>contestées</w:t>
      </w:r>
      <w:r w:rsidR="00D44DB9">
        <w:rPr>
          <w:rFonts w:cs="Arial"/>
        </w:rPr>
        <w:t>.</w:t>
      </w:r>
    </w:p>
    <w:p w14:paraId="1751F2A3" w14:textId="269B70D3" w:rsidR="000B0CEF" w:rsidRPr="00BA7E09" w:rsidRDefault="00BA7E09" w:rsidP="004B2CE3">
      <w:pPr>
        <w:pStyle w:val="Paragraphe"/>
        <w:tabs>
          <w:tab w:val="clear" w:pos="2204"/>
        </w:tabs>
        <w:spacing w:line="240" w:lineRule="auto"/>
        <w:ind w:left="0"/>
        <w:rPr>
          <w:rFonts w:cs="Arial"/>
          <w:b/>
          <w:bCs/>
        </w:rPr>
      </w:pPr>
      <w:r w:rsidRPr="00BA7E09">
        <w:rPr>
          <w:rFonts w:cs="Arial"/>
        </w:rPr>
        <w:t xml:space="preserve">Usant de ses pouvoirs de gestion, le Tribunal a joint les deux instances pour fins d’instruction et de jugement, suivant l’article 210 </w:t>
      </w:r>
      <w:r w:rsidRPr="00BA7E09">
        <w:rPr>
          <w:rFonts w:cs="Arial"/>
          <w:i/>
          <w:iCs/>
        </w:rPr>
        <w:t>C.p.c</w:t>
      </w:r>
      <w:r w:rsidRPr="00BA7E09">
        <w:rPr>
          <w:rFonts w:cs="Arial"/>
        </w:rPr>
        <w:t>. Cela dit, l</w:t>
      </w:r>
      <w:r w:rsidR="00C166B4" w:rsidRPr="00BA7E09">
        <w:rPr>
          <w:rFonts w:cs="Arial"/>
        </w:rPr>
        <w:t xml:space="preserve">es questions que soulèvent les </w:t>
      </w:r>
      <w:r w:rsidR="00373DFE" w:rsidRPr="00396808">
        <w:rPr>
          <w:rFonts w:cs="Arial"/>
        </w:rPr>
        <w:t>parties demanderesses</w:t>
      </w:r>
      <w:r w:rsidR="00373DFE">
        <w:rPr>
          <w:rFonts w:cs="Arial"/>
        </w:rPr>
        <w:t xml:space="preserve"> </w:t>
      </w:r>
      <w:r w:rsidR="00D44DB9" w:rsidRPr="00BA7E09">
        <w:rPr>
          <w:rFonts w:cs="Arial"/>
        </w:rPr>
        <w:t xml:space="preserve">dans leurs </w:t>
      </w:r>
      <w:r w:rsidR="00213F4C">
        <w:rPr>
          <w:rFonts w:cs="Arial"/>
        </w:rPr>
        <w:t>p</w:t>
      </w:r>
      <w:r w:rsidR="00D44DB9" w:rsidRPr="00BA7E09">
        <w:rPr>
          <w:rFonts w:cs="Arial"/>
        </w:rPr>
        <w:t>ourvois</w:t>
      </w:r>
      <w:r w:rsidR="00C166B4" w:rsidRPr="00BA7E09">
        <w:rPr>
          <w:rFonts w:cs="Arial"/>
        </w:rPr>
        <w:t>, quoique similaires</w:t>
      </w:r>
      <w:r w:rsidR="00AE570C" w:rsidRPr="00BA7E09">
        <w:rPr>
          <w:rFonts w:cs="Arial"/>
        </w:rPr>
        <w:t>,</w:t>
      </w:r>
      <w:r w:rsidR="00C166B4" w:rsidRPr="00BA7E09">
        <w:rPr>
          <w:rFonts w:cs="Arial"/>
        </w:rPr>
        <w:t xml:space="preserve"> reposent sur des moyens indépendants</w:t>
      </w:r>
      <w:r w:rsidR="00FB4EFF" w:rsidRPr="00BA7E09">
        <w:rPr>
          <w:rFonts w:cs="Arial"/>
        </w:rPr>
        <w:t>, que voici</w:t>
      </w:r>
      <w:r w:rsidR="00C166B4" w:rsidRPr="00BA7E09">
        <w:rPr>
          <w:rFonts w:cs="Arial"/>
        </w:rPr>
        <w:t>.</w:t>
      </w:r>
    </w:p>
    <w:p w14:paraId="42DCC303" w14:textId="5A34CD4B" w:rsidR="005E59C8" w:rsidRPr="005E59C8" w:rsidRDefault="005E59C8" w:rsidP="00F10E04">
      <w:pPr>
        <w:pStyle w:val="Paragraphe"/>
        <w:numPr>
          <w:ilvl w:val="0"/>
          <w:numId w:val="8"/>
        </w:numPr>
        <w:spacing w:line="240" w:lineRule="auto"/>
        <w:ind w:left="1080"/>
        <w:rPr>
          <w:rFonts w:cs="Arial"/>
          <w:b/>
          <w:bCs/>
          <w:u w:val="single"/>
        </w:rPr>
      </w:pPr>
      <w:r w:rsidRPr="005E59C8">
        <w:rPr>
          <w:rFonts w:cs="Arial"/>
          <w:u w:val="single"/>
        </w:rPr>
        <w:t>Les arguments de l’Université McGill</w:t>
      </w:r>
    </w:p>
    <w:p w14:paraId="0CE67C0B" w14:textId="500FED52" w:rsidR="003B4CF3" w:rsidRDefault="008368E1" w:rsidP="004B2CE3">
      <w:pPr>
        <w:pStyle w:val="Paragraphe"/>
        <w:tabs>
          <w:tab w:val="clear" w:pos="2204"/>
        </w:tabs>
        <w:spacing w:line="240" w:lineRule="auto"/>
        <w:ind w:left="0"/>
        <w:rPr>
          <w:rFonts w:cs="Arial"/>
        </w:rPr>
      </w:pPr>
      <w:r w:rsidRPr="005E59C8">
        <w:rPr>
          <w:rFonts w:cs="Arial"/>
        </w:rPr>
        <w:t>L’Université McGill plaide que</w:t>
      </w:r>
      <w:r w:rsidR="00FF7C02">
        <w:rPr>
          <w:rFonts w:cs="Arial"/>
        </w:rPr>
        <w:t xml:space="preserve"> </w:t>
      </w:r>
      <w:r w:rsidR="005E59C8" w:rsidRPr="005E59C8">
        <w:rPr>
          <w:rFonts w:cs="Arial"/>
        </w:rPr>
        <w:t>l</w:t>
      </w:r>
      <w:r w:rsidR="00C33F7B" w:rsidRPr="005E59C8">
        <w:rPr>
          <w:rFonts w:cs="Arial"/>
        </w:rPr>
        <w:t xml:space="preserve">es modifications aux Règles budgétaires s’avèrent contraires au droit à l’égalité protégé par l’article 15 de la </w:t>
      </w:r>
      <w:r w:rsidR="00C33F7B" w:rsidRPr="005E59C8">
        <w:rPr>
          <w:rFonts w:cs="Arial"/>
          <w:i/>
          <w:iCs/>
        </w:rPr>
        <w:t xml:space="preserve">Charte canadienne </w:t>
      </w:r>
      <w:r w:rsidR="00C33F7B" w:rsidRPr="005E59C8">
        <w:rPr>
          <w:rFonts w:cs="Arial"/>
        </w:rPr>
        <w:t xml:space="preserve">alors qu’elles discriminent </w:t>
      </w:r>
      <w:r w:rsidR="00FB4EFF" w:rsidRPr="005E59C8">
        <w:rPr>
          <w:rFonts w:cs="Arial"/>
        </w:rPr>
        <w:t>l</w:t>
      </w:r>
      <w:r w:rsidR="00C33F7B" w:rsidRPr="005E59C8">
        <w:rPr>
          <w:rFonts w:cs="Arial"/>
        </w:rPr>
        <w:t>es étudiants</w:t>
      </w:r>
      <w:r w:rsidR="00EF3282" w:rsidRPr="005E59C8">
        <w:rPr>
          <w:rFonts w:cs="Arial"/>
        </w:rPr>
        <w:t xml:space="preserve"> Internationaux et CNRQ</w:t>
      </w:r>
      <w:r w:rsidR="00C33F7B" w:rsidRPr="005E59C8">
        <w:rPr>
          <w:rFonts w:cs="Arial"/>
        </w:rPr>
        <w:t xml:space="preserve"> </w:t>
      </w:r>
      <w:r w:rsidR="00AE570C" w:rsidRPr="005E59C8">
        <w:rPr>
          <w:rFonts w:cs="Arial"/>
        </w:rPr>
        <w:t xml:space="preserve">anglophones </w:t>
      </w:r>
      <w:r w:rsidR="00FB4EFF" w:rsidRPr="005E59C8">
        <w:rPr>
          <w:rFonts w:cs="Arial"/>
        </w:rPr>
        <w:t>inscrit</w:t>
      </w:r>
      <w:r w:rsidR="00CA4F12" w:rsidRPr="005E59C8">
        <w:rPr>
          <w:rFonts w:cs="Arial"/>
        </w:rPr>
        <w:t>s</w:t>
      </w:r>
      <w:r w:rsidR="00FB4EFF" w:rsidRPr="005E59C8">
        <w:rPr>
          <w:rFonts w:cs="Arial"/>
        </w:rPr>
        <w:t xml:space="preserve"> dans un programme de langue anglaise</w:t>
      </w:r>
      <w:r w:rsidR="00C33F7B" w:rsidRPr="005E59C8">
        <w:rPr>
          <w:rFonts w:cs="Arial"/>
        </w:rPr>
        <w:t xml:space="preserve"> sur la base d’un motif analogue, à savoir la langue</w:t>
      </w:r>
      <w:r w:rsidR="005E59C8" w:rsidRPr="005E59C8">
        <w:rPr>
          <w:rFonts w:cs="Arial"/>
        </w:rPr>
        <w:t>. Elle ajoute que l</w:t>
      </w:r>
      <w:r w:rsidR="003629CC" w:rsidRPr="005E59C8">
        <w:rPr>
          <w:rFonts w:cs="Arial"/>
        </w:rPr>
        <w:t xml:space="preserve">a décision de la Ministre se fonde sur des motifs </w:t>
      </w:r>
      <w:r w:rsidR="004C6252">
        <w:rPr>
          <w:rFonts w:cs="Arial"/>
        </w:rPr>
        <w:t>dont certains</w:t>
      </w:r>
      <w:r w:rsidR="003629CC" w:rsidRPr="005E59C8">
        <w:rPr>
          <w:rFonts w:cs="Arial"/>
        </w:rPr>
        <w:t xml:space="preserve"> </w:t>
      </w:r>
      <w:r w:rsidR="004C6252">
        <w:rPr>
          <w:rFonts w:cs="Arial"/>
        </w:rPr>
        <w:t xml:space="preserve">sont </w:t>
      </w:r>
      <w:r w:rsidR="003629CC" w:rsidRPr="005E59C8">
        <w:rPr>
          <w:rFonts w:cs="Arial"/>
        </w:rPr>
        <w:t xml:space="preserve">erronés </w:t>
      </w:r>
      <w:r w:rsidR="004C6252">
        <w:rPr>
          <w:rFonts w:cs="Arial"/>
        </w:rPr>
        <w:t>et d’autres</w:t>
      </w:r>
      <w:r w:rsidR="003629CC" w:rsidRPr="005E59C8">
        <w:rPr>
          <w:rFonts w:cs="Arial"/>
        </w:rPr>
        <w:t xml:space="preserve"> qu’elle n’étaye d’aucune preuve</w:t>
      </w:r>
      <w:r w:rsidR="005E59C8" w:rsidRPr="005E59C8">
        <w:rPr>
          <w:rFonts w:cs="Arial"/>
        </w:rPr>
        <w:t xml:space="preserve">. </w:t>
      </w:r>
      <w:r w:rsidR="00CA4F12" w:rsidRPr="005E59C8">
        <w:rPr>
          <w:rFonts w:cs="Arial"/>
        </w:rPr>
        <w:t>Selon elle</w:t>
      </w:r>
      <w:r w:rsidR="00C33F7B" w:rsidRPr="005E59C8">
        <w:rPr>
          <w:rFonts w:cs="Arial"/>
        </w:rPr>
        <w:t>, les modifications aux Règles budgétaires affectent directement et de manière non négligeable</w:t>
      </w:r>
      <w:r w:rsidR="005E59C8" w:rsidRPr="005E59C8">
        <w:rPr>
          <w:rFonts w:cs="Arial"/>
        </w:rPr>
        <w:t xml:space="preserve"> ces étudiants</w:t>
      </w:r>
      <w:r w:rsidR="00C33F7B" w:rsidRPr="005E59C8">
        <w:rPr>
          <w:rFonts w:cs="Arial"/>
        </w:rPr>
        <w:t xml:space="preserve"> en haussant</w:t>
      </w:r>
      <w:r w:rsidR="0026569F" w:rsidRPr="005E59C8">
        <w:rPr>
          <w:rFonts w:cs="Arial"/>
        </w:rPr>
        <w:t xml:space="preserve"> de manière considérable </w:t>
      </w:r>
      <w:r w:rsidR="00CA4F12" w:rsidRPr="005E59C8">
        <w:rPr>
          <w:rFonts w:cs="Arial"/>
        </w:rPr>
        <w:t>l</w:t>
      </w:r>
      <w:r w:rsidR="00C33F7B" w:rsidRPr="005E59C8">
        <w:rPr>
          <w:rFonts w:cs="Arial"/>
        </w:rPr>
        <w:t>es droits de scolarité qu</w:t>
      </w:r>
      <w:r w:rsidR="005E59C8" w:rsidRPr="005E59C8">
        <w:rPr>
          <w:rFonts w:cs="Arial"/>
        </w:rPr>
        <w:t>’ils</w:t>
      </w:r>
      <w:r w:rsidR="00C33F7B" w:rsidRPr="005E59C8">
        <w:rPr>
          <w:rFonts w:cs="Arial"/>
        </w:rPr>
        <w:t xml:space="preserve"> doivent payer </w:t>
      </w:r>
      <w:r w:rsidR="005E59C8" w:rsidRPr="005E59C8">
        <w:rPr>
          <w:rFonts w:cs="Arial"/>
        </w:rPr>
        <w:t>alors qu’ils sont</w:t>
      </w:r>
      <w:r w:rsidR="0026569F" w:rsidRPr="005E59C8">
        <w:rPr>
          <w:rFonts w:cs="Arial"/>
        </w:rPr>
        <w:t xml:space="preserve"> inscrits dans un programme anglophone </w:t>
      </w:r>
      <w:r w:rsidR="00C33F7B" w:rsidRPr="005E59C8">
        <w:rPr>
          <w:rFonts w:cs="Arial"/>
        </w:rPr>
        <w:t>pour chaque crédit universitaire</w:t>
      </w:r>
      <w:r w:rsidR="0022438F">
        <w:rPr>
          <w:rFonts w:cs="Arial"/>
        </w:rPr>
        <w:t>,</w:t>
      </w:r>
      <w:r w:rsidR="00C33F7B" w:rsidRPr="005E59C8">
        <w:rPr>
          <w:rFonts w:cs="Arial"/>
        </w:rPr>
        <w:t xml:space="preserve"> et ce, </w:t>
      </w:r>
      <w:r w:rsidR="00CA4F12" w:rsidRPr="005E59C8">
        <w:rPr>
          <w:rFonts w:cs="Arial"/>
        </w:rPr>
        <w:t xml:space="preserve">uniquement </w:t>
      </w:r>
      <w:r w:rsidR="00C33F7B" w:rsidRPr="005E59C8">
        <w:rPr>
          <w:rFonts w:cs="Arial"/>
        </w:rPr>
        <w:t xml:space="preserve">en raison de leur langue. </w:t>
      </w:r>
      <w:r w:rsidR="00BA7E09">
        <w:rPr>
          <w:rFonts w:cs="Arial"/>
        </w:rPr>
        <w:t>McGill souligne que l</w:t>
      </w:r>
      <w:r w:rsidR="003B4CF3" w:rsidRPr="005E59C8">
        <w:rPr>
          <w:rFonts w:cs="Arial"/>
        </w:rPr>
        <w:t xml:space="preserve">a Ministre </w:t>
      </w:r>
      <w:r w:rsidR="00B50AD5" w:rsidRPr="004D0068">
        <w:rPr>
          <w:rFonts w:cs="Arial"/>
        </w:rPr>
        <w:t>s’appuie</w:t>
      </w:r>
      <w:r w:rsidR="00B50AD5">
        <w:rPr>
          <w:rFonts w:cs="Arial"/>
        </w:rPr>
        <w:t xml:space="preserve"> </w:t>
      </w:r>
      <w:r w:rsidR="003B4CF3" w:rsidRPr="005E59C8">
        <w:rPr>
          <w:rFonts w:cs="Arial"/>
        </w:rPr>
        <w:t>d’ailleurs précisément sur les périls que cour</w:t>
      </w:r>
      <w:r w:rsidR="0026569F" w:rsidRPr="005E59C8">
        <w:rPr>
          <w:rFonts w:cs="Arial"/>
        </w:rPr>
        <w:t>t</w:t>
      </w:r>
      <w:r w:rsidR="003B4CF3" w:rsidRPr="005E59C8">
        <w:rPr>
          <w:rFonts w:cs="Arial"/>
        </w:rPr>
        <w:t xml:space="preserve"> la langue française, particulièrement au centre-ville de Montréal, dans la conception des modifications attaquées</w:t>
      </w:r>
      <w:r w:rsidR="00CA4F12" w:rsidRPr="005E59C8">
        <w:rPr>
          <w:rFonts w:cs="Arial"/>
        </w:rPr>
        <w:t xml:space="preserve"> qu’elle estime constituer un outil dans la mission gouvernementale de protection de la langue</w:t>
      </w:r>
      <w:r w:rsidR="005E59C8" w:rsidRPr="005E59C8">
        <w:rPr>
          <w:rFonts w:cs="Arial"/>
        </w:rPr>
        <w:t>.</w:t>
      </w:r>
    </w:p>
    <w:p w14:paraId="6FF1D6F7" w14:textId="7A130C2F" w:rsidR="005E59C8" w:rsidRDefault="00E22121" w:rsidP="004B2CE3">
      <w:pPr>
        <w:pStyle w:val="Paragraphe"/>
        <w:tabs>
          <w:tab w:val="clear" w:pos="2204"/>
        </w:tabs>
        <w:spacing w:line="240" w:lineRule="auto"/>
        <w:ind w:left="0"/>
      </w:pPr>
      <w:r>
        <w:t>Selon McGill, la</w:t>
      </w:r>
      <w:r w:rsidR="005E59C8">
        <w:t xml:space="preserve"> hausse des droits de scolarité porterait aussi atteinte à la réputation dont elle jouit aux niveaux national et international ainsi qu’à sa liberté académique. McGill réfère à son droit à la réputation </w:t>
      </w:r>
      <w:r w:rsidR="00213F4C">
        <w:t xml:space="preserve">dans le cadre de l’analyse suivant </w:t>
      </w:r>
      <w:r w:rsidR="005E59C8">
        <w:t xml:space="preserve">l’article 10 de la </w:t>
      </w:r>
      <w:r w:rsidR="005E59C8" w:rsidRPr="005E59C8">
        <w:rPr>
          <w:i/>
          <w:iCs/>
        </w:rPr>
        <w:t>Charte des droits et libertés de la personne</w:t>
      </w:r>
      <w:r w:rsidR="005E59C8" w:rsidRPr="00A94BF3">
        <w:rPr>
          <w:rStyle w:val="Appelnotedebasdep"/>
          <w:rFonts w:cs="Arial"/>
        </w:rPr>
        <w:footnoteReference w:id="6"/>
      </w:r>
      <w:r w:rsidR="005E59C8">
        <w:t>. Quant à sa liberté académique, elle en discute afin d’attaquer la validité de la Règle d’acquisition de compétences en français, dont elle avance qu’elle interfère avec cette autonomie quant aux matières à enseigner.</w:t>
      </w:r>
    </w:p>
    <w:p w14:paraId="6BDDE5B7" w14:textId="004E34C5" w:rsidR="009F7504" w:rsidRPr="00213F4C" w:rsidRDefault="005E59C8" w:rsidP="004B2CE3">
      <w:pPr>
        <w:pStyle w:val="Paragraphe"/>
        <w:tabs>
          <w:tab w:val="clear" w:pos="2204"/>
        </w:tabs>
        <w:spacing w:line="240" w:lineRule="auto"/>
        <w:ind w:left="0"/>
        <w:rPr>
          <w:rFonts w:cs="Arial"/>
        </w:rPr>
      </w:pPr>
      <w:r w:rsidRPr="00213F4C">
        <w:rPr>
          <w:rFonts w:cs="Arial"/>
        </w:rPr>
        <w:t>McGill plaide aussi d’autres moyens constitutionnels. Ainsi, l</w:t>
      </w:r>
      <w:r w:rsidR="003B4CF3" w:rsidRPr="00213F4C">
        <w:rPr>
          <w:rFonts w:cs="Arial"/>
        </w:rPr>
        <w:t xml:space="preserve">es modifications </w:t>
      </w:r>
      <w:r w:rsidR="007D4CAA" w:rsidRPr="00213F4C">
        <w:rPr>
          <w:rFonts w:cs="Arial"/>
        </w:rPr>
        <w:t>aux Règles budgétaires c</w:t>
      </w:r>
      <w:r w:rsidR="007B4182" w:rsidRPr="00213F4C">
        <w:rPr>
          <w:rFonts w:cs="Arial"/>
        </w:rPr>
        <w:t>onstitue</w:t>
      </w:r>
      <w:r w:rsidRPr="00213F4C">
        <w:rPr>
          <w:rFonts w:cs="Arial"/>
        </w:rPr>
        <w:t>raie</w:t>
      </w:r>
      <w:r w:rsidR="007B4182" w:rsidRPr="00213F4C">
        <w:rPr>
          <w:rFonts w:cs="Arial"/>
        </w:rPr>
        <w:t>nt des mesures tarifaire</w:t>
      </w:r>
      <w:r w:rsidR="00CA4F12" w:rsidRPr="00213F4C">
        <w:rPr>
          <w:rFonts w:cs="Arial"/>
        </w:rPr>
        <w:t>s</w:t>
      </w:r>
      <w:r w:rsidR="007B4182" w:rsidRPr="00213F4C">
        <w:rPr>
          <w:rFonts w:cs="Arial"/>
        </w:rPr>
        <w:t xml:space="preserve"> </w:t>
      </w:r>
      <w:r w:rsidR="003B4CF3" w:rsidRPr="00213F4C">
        <w:rPr>
          <w:rFonts w:cs="Arial"/>
        </w:rPr>
        <w:t xml:space="preserve">contraires </w:t>
      </w:r>
      <w:r w:rsidR="003629CC" w:rsidRPr="00213F4C">
        <w:rPr>
          <w:rFonts w:cs="Arial"/>
        </w:rPr>
        <w:t xml:space="preserve">au </w:t>
      </w:r>
      <w:r w:rsidR="00806D6A" w:rsidRPr="00213F4C">
        <w:rPr>
          <w:rFonts w:cs="Arial"/>
        </w:rPr>
        <w:t xml:space="preserve">libre </w:t>
      </w:r>
      <w:r w:rsidR="009F7504" w:rsidRPr="00213F4C">
        <w:rPr>
          <w:rFonts w:cs="Arial"/>
        </w:rPr>
        <w:t>commerce interprovincial</w:t>
      </w:r>
      <w:r w:rsidR="00806D6A" w:rsidRPr="00213F4C">
        <w:rPr>
          <w:rFonts w:cs="Arial"/>
        </w:rPr>
        <w:t xml:space="preserve"> que prévoit l’article 121 </w:t>
      </w:r>
      <w:r w:rsidR="00D24DA1" w:rsidRPr="00213F4C">
        <w:t xml:space="preserve">de la </w:t>
      </w:r>
      <w:r w:rsidR="00D24DA1" w:rsidRPr="00213F4C">
        <w:rPr>
          <w:bCs/>
          <w:i/>
          <w:iCs/>
        </w:rPr>
        <w:t>Loi constitutionnelle de 1867</w:t>
      </w:r>
      <w:r w:rsidR="00D24DA1" w:rsidRPr="00213F4C">
        <w:rPr>
          <w:rStyle w:val="Appelnotedebasdep"/>
          <w:bCs/>
        </w:rPr>
        <w:footnoteReference w:id="7"/>
      </w:r>
      <w:r w:rsidR="00806D6A" w:rsidRPr="00213F4C">
        <w:rPr>
          <w:rFonts w:cs="Arial"/>
        </w:rPr>
        <w:t>.</w:t>
      </w:r>
      <w:r w:rsidR="007D4CAA" w:rsidRPr="00213F4C">
        <w:rPr>
          <w:rFonts w:cs="Arial"/>
        </w:rPr>
        <w:t xml:space="preserve"> Elles </w:t>
      </w:r>
      <w:r w:rsidR="009F7504" w:rsidRPr="00213F4C">
        <w:rPr>
          <w:rFonts w:cs="Arial"/>
        </w:rPr>
        <w:t>constitue</w:t>
      </w:r>
      <w:r w:rsidRPr="00213F4C">
        <w:rPr>
          <w:rFonts w:cs="Arial"/>
        </w:rPr>
        <w:t>raie</w:t>
      </w:r>
      <w:r w:rsidR="009F7504" w:rsidRPr="00213F4C">
        <w:rPr>
          <w:rFonts w:cs="Arial"/>
        </w:rPr>
        <w:t xml:space="preserve">nt </w:t>
      </w:r>
      <w:r w:rsidR="00E22121" w:rsidRPr="00213F4C">
        <w:rPr>
          <w:rFonts w:cs="Arial"/>
        </w:rPr>
        <w:t>enfin</w:t>
      </w:r>
      <w:r w:rsidR="007D4CAA" w:rsidRPr="00213F4C">
        <w:rPr>
          <w:rFonts w:cs="Arial"/>
        </w:rPr>
        <w:t xml:space="preserve"> </w:t>
      </w:r>
      <w:r w:rsidR="009F7504" w:rsidRPr="00213F4C">
        <w:rPr>
          <w:rFonts w:cs="Arial"/>
        </w:rPr>
        <w:t xml:space="preserve">une taxe indirecte </w:t>
      </w:r>
      <w:r w:rsidR="004C6252">
        <w:rPr>
          <w:rFonts w:cs="Arial"/>
        </w:rPr>
        <w:t>par le Québec, ce</w:t>
      </w:r>
      <w:r w:rsidR="009F7504" w:rsidRPr="00213F4C">
        <w:rPr>
          <w:rFonts w:cs="Arial"/>
        </w:rPr>
        <w:t xml:space="preserve"> que prohibe l</w:t>
      </w:r>
      <w:r w:rsidR="00E22121" w:rsidRPr="00213F4C">
        <w:rPr>
          <w:rFonts w:cs="Arial"/>
        </w:rPr>
        <w:t>a Constitution</w:t>
      </w:r>
      <w:r w:rsidR="00D44DB9" w:rsidRPr="00213F4C">
        <w:rPr>
          <w:rFonts w:cs="Arial"/>
        </w:rPr>
        <w:t>.</w:t>
      </w:r>
    </w:p>
    <w:p w14:paraId="3BEBD7DE" w14:textId="5906D10B" w:rsidR="00D44DB9" w:rsidRPr="00D44DB9" w:rsidRDefault="00D44DB9" w:rsidP="00806D6A">
      <w:pPr>
        <w:pStyle w:val="Paragraphe"/>
        <w:numPr>
          <w:ilvl w:val="0"/>
          <w:numId w:val="8"/>
        </w:numPr>
        <w:spacing w:line="240" w:lineRule="auto"/>
        <w:rPr>
          <w:rFonts w:cs="Arial"/>
          <w:u w:val="single"/>
        </w:rPr>
      </w:pPr>
      <w:r w:rsidRPr="00D44DB9">
        <w:rPr>
          <w:rFonts w:cs="Arial"/>
          <w:u w:val="single"/>
        </w:rPr>
        <w:t xml:space="preserve">Les arguments de </w:t>
      </w:r>
      <w:r w:rsidR="00D15348">
        <w:rPr>
          <w:rFonts w:cs="Arial"/>
          <w:u w:val="single"/>
        </w:rPr>
        <w:t xml:space="preserve">l’Université </w:t>
      </w:r>
      <w:r w:rsidRPr="00D44DB9">
        <w:rPr>
          <w:rFonts w:cs="Arial"/>
          <w:u w:val="single"/>
        </w:rPr>
        <w:t>Concordia et Meldrum</w:t>
      </w:r>
    </w:p>
    <w:p w14:paraId="7B389279" w14:textId="000E20EC" w:rsidR="003629CC" w:rsidRPr="00D44DB9" w:rsidRDefault="008368E1" w:rsidP="004B2CE3">
      <w:pPr>
        <w:pStyle w:val="Paragraphe"/>
        <w:tabs>
          <w:tab w:val="clear" w:pos="2204"/>
        </w:tabs>
        <w:spacing w:line="240" w:lineRule="auto"/>
        <w:ind w:left="0"/>
        <w:rPr>
          <w:rFonts w:cs="Arial"/>
          <w:b/>
          <w:bCs/>
        </w:rPr>
      </w:pPr>
      <w:r>
        <w:rPr>
          <w:rFonts w:cs="Arial"/>
        </w:rPr>
        <w:t>De leur côté, l’Université Concordia et Meldrum avancent que</w:t>
      </w:r>
      <w:r w:rsidR="00D44DB9">
        <w:rPr>
          <w:rFonts w:cs="Arial"/>
          <w:b/>
          <w:bCs/>
        </w:rPr>
        <w:t xml:space="preserve"> </w:t>
      </w:r>
      <w:r w:rsidR="00D44DB9">
        <w:rPr>
          <w:rFonts w:cs="Arial"/>
        </w:rPr>
        <w:t>la</w:t>
      </w:r>
      <w:r w:rsidR="003629CC" w:rsidRPr="00D44DB9">
        <w:rPr>
          <w:rFonts w:cs="Arial"/>
        </w:rPr>
        <w:t xml:space="preserve"> Ministre omet de tenir compte des valeurs que sous-tend</w:t>
      </w:r>
      <w:r w:rsidR="0026569F" w:rsidRPr="00D44DB9">
        <w:rPr>
          <w:rFonts w:cs="Arial"/>
        </w:rPr>
        <w:t xml:space="preserve">ent </w:t>
      </w:r>
      <w:r w:rsidR="003629CC" w:rsidRPr="00D44DB9">
        <w:rPr>
          <w:rFonts w:cs="Arial"/>
        </w:rPr>
        <w:t>l</w:t>
      </w:r>
      <w:r w:rsidR="0026569F" w:rsidRPr="00D44DB9">
        <w:rPr>
          <w:rFonts w:cs="Arial"/>
        </w:rPr>
        <w:t xml:space="preserve">es </w:t>
      </w:r>
      <w:r w:rsidR="003629CC" w:rsidRPr="00D44DB9">
        <w:rPr>
          <w:rFonts w:cs="Arial"/>
        </w:rPr>
        <w:t>article</w:t>
      </w:r>
      <w:r w:rsidR="0026569F" w:rsidRPr="00D44DB9">
        <w:rPr>
          <w:rFonts w:cs="Arial"/>
        </w:rPr>
        <w:t>s 15 et</w:t>
      </w:r>
      <w:r w:rsidR="003629CC" w:rsidRPr="00D44DB9">
        <w:rPr>
          <w:rFonts w:cs="Arial"/>
        </w:rPr>
        <w:t xml:space="preserve"> 23 de la </w:t>
      </w:r>
      <w:r w:rsidR="003629CC" w:rsidRPr="00D44DB9">
        <w:rPr>
          <w:rFonts w:cs="Arial"/>
          <w:i/>
          <w:iCs/>
        </w:rPr>
        <w:t>Charte canadienne</w:t>
      </w:r>
      <w:r w:rsidR="003629CC" w:rsidRPr="00D44DB9">
        <w:rPr>
          <w:rFonts w:cs="Arial"/>
        </w:rPr>
        <w:t xml:space="preserve"> </w:t>
      </w:r>
      <w:r w:rsidR="003629CC" w:rsidRPr="00D44DB9">
        <w:rPr>
          <w:rFonts w:cs="Arial"/>
        </w:rPr>
        <w:lastRenderedPageBreak/>
        <w:t>dans l’élaboration de sa décision</w:t>
      </w:r>
      <w:r w:rsidR="00213F4C">
        <w:rPr>
          <w:rFonts w:cs="Arial"/>
        </w:rPr>
        <w:t>. S</w:t>
      </w:r>
      <w:r w:rsidR="003629CC" w:rsidRPr="00D44DB9">
        <w:rPr>
          <w:rFonts w:cs="Arial"/>
        </w:rPr>
        <w:t xml:space="preserve">on omission de le faire rend </w:t>
      </w:r>
      <w:r w:rsidR="00BA7E09">
        <w:rPr>
          <w:rFonts w:cs="Arial"/>
        </w:rPr>
        <w:t>cette</w:t>
      </w:r>
      <w:r w:rsidR="003629CC" w:rsidRPr="00D44DB9">
        <w:rPr>
          <w:rFonts w:cs="Arial"/>
        </w:rPr>
        <w:t xml:space="preserve"> décision invalide sur simple constat de cette </w:t>
      </w:r>
      <w:r w:rsidR="00BA7E09">
        <w:rPr>
          <w:rFonts w:cs="Arial"/>
        </w:rPr>
        <w:t>lacune</w:t>
      </w:r>
      <w:r w:rsidR="003629CC" w:rsidRPr="00D44DB9">
        <w:rPr>
          <w:rFonts w:cs="Arial"/>
        </w:rPr>
        <w:t>, aucune retenue judiciaire n’étant alors de mise</w:t>
      </w:r>
      <w:r w:rsidR="00D44DB9">
        <w:rPr>
          <w:rFonts w:cs="Arial"/>
        </w:rPr>
        <w:t>.</w:t>
      </w:r>
    </w:p>
    <w:p w14:paraId="0078DAFB" w14:textId="13B922E6" w:rsidR="008368E1" w:rsidRPr="00D44DB9" w:rsidRDefault="003629CC" w:rsidP="00E50F59">
      <w:pPr>
        <w:pStyle w:val="Paragraphe"/>
        <w:tabs>
          <w:tab w:val="clear" w:pos="2204"/>
        </w:tabs>
        <w:spacing w:line="240" w:lineRule="auto"/>
        <w:ind w:left="0"/>
        <w:rPr>
          <w:rFonts w:cs="Arial"/>
          <w:b/>
          <w:bCs/>
        </w:rPr>
      </w:pPr>
      <w:r w:rsidRPr="00D44DB9">
        <w:rPr>
          <w:rFonts w:cs="Arial"/>
        </w:rPr>
        <w:t>Sur le fond, l</w:t>
      </w:r>
      <w:r w:rsidR="00D06367" w:rsidRPr="00D44DB9">
        <w:rPr>
          <w:rFonts w:cs="Arial"/>
        </w:rPr>
        <w:t>es modifications aux Règles budgétaires s</w:t>
      </w:r>
      <w:r w:rsidR="00E22121">
        <w:rPr>
          <w:rFonts w:cs="Arial"/>
        </w:rPr>
        <w:t>eraien</w:t>
      </w:r>
      <w:r w:rsidR="00D06367" w:rsidRPr="00D44DB9">
        <w:rPr>
          <w:rFonts w:cs="Arial"/>
        </w:rPr>
        <w:t>t issues d’une décision déraisonnable de la Ministre</w:t>
      </w:r>
      <w:r w:rsidRPr="00D44DB9">
        <w:rPr>
          <w:rFonts w:cs="Arial"/>
        </w:rPr>
        <w:t>. L</w:t>
      </w:r>
      <w:r w:rsidR="00D06367" w:rsidRPr="00D44DB9">
        <w:rPr>
          <w:rFonts w:cs="Arial"/>
        </w:rPr>
        <w:t>es motifs sur lesquel</w:t>
      </w:r>
      <w:r w:rsidR="00213F4C">
        <w:rPr>
          <w:rFonts w:cs="Arial"/>
        </w:rPr>
        <w:t>le</w:t>
      </w:r>
      <w:r w:rsidR="00D06367" w:rsidRPr="00D44DB9">
        <w:rPr>
          <w:rFonts w:cs="Arial"/>
        </w:rPr>
        <w:t>s</w:t>
      </w:r>
      <w:r w:rsidR="004C6252">
        <w:rPr>
          <w:rFonts w:cs="Arial"/>
        </w:rPr>
        <w:t xml:space="preserve"> elles</w:t>
      </w:r>
      <w:r w:rsidR="00D06367" w:rsidRPr="00D44DB9">
        <w:rPr>
          <w:rFonts w:cs="Arial"/>
        </w:rPr>
        <w:t xml:space="preserve"> repose</w:t>
      </w:r>
      <w:r w:rsidRPr="00D44DB9">
        <w:rPr>
          <w:rFonts w:cs="Arial"/>
        </w:rPr>
        <w:t xml:space="preserve">nt ne trouvent pas appui dans la preuve et </w:t>
      </w:r>
      <w:r w:rsidR="00D06367" w:rsidRPr="00D44DB9">
        <w:rPr>
          <w:rFonts w:cs="Arial"/>
        </w:rPr>
        <w:t>contrecarrent</w:t>
      </w:r>
      <w:r w:rsidRPr="00D44DB9">
        <w:rPr>
          <w:rFonts w:cs="Arial"/>
        </w:rPr>
        <w:t xml:space="preserve"> même</w:t>
      </w:r>
      <w:r w:rsidR="00D06367" w:rsidRPr="00D44DB9">
        <w:rPr>
          <w:rFonts w:cs="Arial"/>
        </w:rPr>
        <w:t xml:space="preserve"> les objectifs législatifs que confie le législateur</w:t>
      </w:r>
      <w:r w:rsidR="004D4740" w:rsidRPr="00D44DB9">
        <w:rPr>
          <w:rFonts w:cs="Arial"/>
        </w:rPr>
        <w:t xml:space="preserve"> à la Ministre à</w:t>
      </w:r>
      <w:r w:rsidR="00D06367" w:rsidRPr="00D44DB9">
        <w:rPr>
          <w:rFonts w:cs="Arial"/>
        </w:rPr>
        <w:t xml:space="preserve"> l’article 5 de la </w:t>
      </w:r>
      <w:r w:rsidR="00D06367" w:rsidRPr="00D44DB9">
        <w:rPr>
          <w:rFonts w:cs="Arial"/>
          <w:i/>
          <w:iCs/>
        </w:rPr>
        <w:t xml:space="preserve">Loi sur le </w:t>
      </w:r>
      <w:r w:rsidR="006052AB">
        <w:rPr>
          <w:rFonts w:cs="Arial"/>
          <w:i/>
          <w:iCs/>
        </w:rPr>
        <w:t>m</w:t>
      </w:r>
      <w:r w:rsidR="00D06367" w:rsidRPr="00D44DB9">
        <w:rPr>
          <w:rFonts w:cs="Arial"/>
          <w:i/>
          <w:iCs/>
        </w:rPr>
        <w:t>inistère de l’</w:t>
      </w:r>
      <w:r w:rsidR="00B50AD5">
        <w:rPr>
          <w:rFonts w:cs="Arial"/>
          <w:i/>
          <w:iCs/>
        </w:rPr>
        <w:t>E</w:t>
      </w:r>
      <w:r w:rsidR="00D06367" w:rsidRPr="00D44DB9">
        <w:rPr>
          <w:rFonts w:cs="Arial"/>
          <w:i/>
          <w:iCs/>
        </w:rPr>
        <w:t>nseignement supérieur</w:t>
      </w:r>
      <w:r w:rsidR="004708BD" w:rsidRPr="00D44DB9">
        <w:rPr>
          <w:rFonts w:cs="Arial"/>
          <w:i/>
          <w:iCs/>
        </w:rPr>
        <w:t xml:space="preserve">, de la </w:t>
      </w:r>
      <w:r w:rsidR="00B50AD5">
        <w:rPr>
          <w:rFonts w:cs="Arial"/>
          <w:i/>
          <w:iCs/>
        </w:rPr>
        <w:t>R</w:t>
      </w:r>
      <w:r w:rsidR="004708BD" w:rsidRPr="00D44DB9">
        <w:rPr>
          <w:rFonts w:cs="Arial"/>
          <w:i/>
          <w:iCs/>
        </w:rPr>
        <w:t xml:space="preserve">echerche, de la </w:t>
      </w:r>
      <w:r w:rsidR="00B50AD5">
        <w:rPr>
          <w:rFonts w:cs="Arial"/>
          <w:i/>
          <w:iCs/>
        </w:rPr>
        <w:t>S</w:t>
      </w:r>
      <w:r w:rsidR="004708BD" w:rsidRPr="00D44DB9">
        <w:rPr>
          <w:rFonts w:cs="Arial"/>
          <w:i/>
          <w:iCs/>
        </w:rPr>
        <w:t xml:space="preserve">cience et de la </w:t>
      </w:r>
      <w:r w:rsidR="00B50AD5">
        <w:rPr>
          <w:rFonts w:cs="Arial"/>
          <w:i/>
          <w:iCs/>
        </w:rPr>
        <w:t>T</w:t>
      </w:r>
      <w:r w:rsidR="004708BD" w:rsidRPr="00D44DB9">
        <w:rPr>
          <w:rFonts w:cs="Arial"/>
          <w:i/>
          <w:iCs/>
        </w:rPr>
        <w:t>echnologie</w:t>
      </w:r>
      <w:r w:rsidR="00D06367" w:rsidRPr="004708BD">
        <w:rPr>
          <w:rStyle w:val="Appelnotedebasdep"/>
          <w:rFonts w:cs="Arial"/>
        </w:rPr>
        <w:footnoteReference w:id="8"/>
      </w:r>
      <w:r w:rsidR="004708BD" w:rsidRPr="00D44DB9">
        <w:rPr>
          <w:rFonts w:cs="Arial"/>
          <w:i/>
          <w:iCs/>
        </w:rPr>
        <w:t xml:space="preserve"> </w:t>
      </w:r>
      <w:r w:rsidR="004708BD" w:rsidRPr="00D44DB9">
        <w:rPr>
          <w:rFonts w:cs="Arial"/>
        </w:rPr>
        <w:t>(</w:t>
      </w:r>
      <w:r w:rsidR="004708BD" w:rsidRPr="00D44DB9">
        <w:rPr>
          <w:rFonts w:cs="Arial"/>
          <w:b/>
          <w:bCs/>
        </w:rPr>
        <w:t>LMES</w:t>
      </w:r>
      <w:r w:rsidR="004708BD" w:rsidRPr="00D44DB9">
        <w:rPr>
          <w:rFonts w:cs="Arial"/>
        </w:rPr>
        <w:t>)</w:t>
      </w:r>
      <w:r w:rsidR="00D44DB9">
        <w:rPr>
          <w:rFonts w:cs="Arial"/>
        </w:rPr>
        <w:t>.</w:t>
      </w:r>
    </w:p>
    <w:p w14:paraId="09359150" w14:textId="2D3CA0A4" w:rsidR="00F3106F" w:rsidRPr="00EE1680" w:rsidRDefault="00E22121" w:rsidP="00E50F59">
      <w:pPr>
        <w:pStyle w:val="Paragraphe"/>
        <w:tabs>
          <w:tab w:val="clear" w:pos="2204"/>
        </w:tabs>
        <w:spacing w:line="240" w:lineRule="auto"/>
        <w:ind w:left="0"/>
        <w:rPr>
          <w:rFonts w:cs="Arial"/>
          <w:b/>
          <w:bCs/>
        </w:rPr>
      </w:pPr>
      <w:r w:rsidRPr="00EE1680">
        <w:rPr>
          <w:rFonts w:cs="Arial"/>
        </w:rPr>
        <w:t>Jaugeant la validité des modifications aux Règles budgétaires, l</w:t>
      </w:r>
      <w:r w:rsidR="00F3106F" w:rsidRPr="00EE1680">
        <w:rPr>
          <w:rFonts w:cs="Arial"/>
        </w:rPr>
        <w:t xml:space="preserve">e Tribunal </w:t>
      </w:r>
      <w:r w:rsidR="003629CC" w:rsidRPr="00EE1680">
        <w:rPr>
          <w:rFonts w:cs="Arial"/>
        </w:rPr>
        <w:t xml:space="preserve">devrait adopter </w:t>
      </w:r>
      <w:r w:rsidR="00F3106F" w:rsidRPr="00EE1680">
        <w:rPr>
          <w:rFonts w:cs="Arial"/>
        </w:rPr>
        <w:t>le schéma d’analyse que prévoi</w:t>
      </w:r>
      <w:r w:rsidR="0022438F">
        <w:rPr>
          <w:rFonts w:cs="Arial"/>
        </w:rPr>
        <w:t>en</w:t>
      </w:r>
      <w:r w:rsidR="00F3106F" w:rsidRPr="00EE1680">
        <w:rPr>
          <w:rFonts w:cs="Arial"/>
        </w:rPr>
        <w:t>t l</w:t>
      </w:r>
      <w:r w:rsidR="004232F4" w:rsidRPr="00EE1680">
        <w:rPr>
          <w:rFonts w:cs="Arial"/>
        </w:rPr>
        <w:t xml:space="preserve">es </w:t>
      </w:r>
      <w:r w:rsidR="00F3106F" w:rsidRPr="00EE1680">
        <w:rPr>
          <w:rFonts w:cs="Arial"/>
        </w:rPr>
        <w:t>arrêt</w:t>
      </w:r>
      <w:r w:rsidR="004232F4" w:rsidRPr="00EE1680">
        <w:rPr>
          <w:rFonts w:cs="Arial"/>
        </w:rPr>
        <w:t>s</w:t>
      </w:r>
      <w:r w:rsidR="00F3106F" w:rsidRPr="00EE1680">
        <w:rPr>
          <w:rFonts w:cs="Arial"/>
        </w:rPr>
        <w:t xml:space="preserve"> </w:t>
      </w:r>
      <w:r w:rsidR="00FF3BB8" w:rsidRPr="00EE1680">
        <w:rPr>
          <w:rFonts w:cs="Arial"/>
          <w:i/>
          <w:iCs/>
        </w:rPr>
        <w:t>Doré</w:t>
      </w:r>
      <w:bookmarkStart w:id="2" w:name="_Ref193982739"/>
      <w:r w:rsidR="00213F4C">
        <w:rPr>
          <w:rFonts w:cs="Arial"/>
        </w:rPr>
        <w:t xml:space="preserve"> c. </w:t>
      </w:r>
      <w:r w:rsidR="00213F4C">
        <w:rPr>
          <w:rFonts w:cs="Arial"/>
          <w:i/>
          <w:iCs/>
        </w:rPr>
        <w:t>Bar</w:t>
      </w:r>
      <w:r w:rsidR="00FD2AB8">
        <w:rPr>
          <w:rFonts w:cs="Arial"/>
          <w:i/>
          <w:iCs/>
        </w:rPr>
        <w:t>r</w:t>
      </w:r>
      <w:r w:rsidR="00213F4C">
        <w:rPr>
          <w:rFonts w:cs="Arial"/>
          <w:i/>
          <w:iCs/>
        </w:rPr>
        <w:t>eau du Québec</w:t>
      </w:r>
      <w:bookmarkStart w:id="3" w:name="_Ref196117284"/>
      <w:r w:rsidR="00F3106F" w:rsidRPr="00EE1680">
        <w:rPr>
          <w:rStyle w:val="Appelnotedebasdep"/>
          <w:rFonts w:cs="Arial"/>
        </w:rPr>
        <w:footnoteReference w:id="9"/>
      </w:r>
      <w:bookmarkEnd w:id="2"/>
      <w:bookmarkEnd w:id="3"/>
      <w:r w:rsidR="004232F4" w:rsidRPr="00EE1680">
        <w:rPr>
          <w:rFonts w:cs="Arial"/>
          <w:i/>
          <w:iCs/>
        </w:rPr>
        <w:t xml:space="preserve"> </w:t>
      </w:r>
      <w:r w:rsidR="004232F4" w:rsidRPr="00EE1680">
        <w:rPr>
          <w:rFonts w:cs="Arial"/>
        </w:rPr>
        <w:t xml:space="preserve">et </w:t>
      </w:r>
      <w:r w:rsidR="004232F4" w:rsidRPr="00EE1680">
        <w:rPr>
          <w:rFonts w:cs="Arial"/>
          <w:i/>
          <w:iCs/>
        </w:rPr>
        <w:t>C</w:t>
      </w:r>
      <w:r w:rsidR="00EE1680" w:rsidRPr="00EE1680">
        <w:rPr>
          <w:rFonts w:cs="Arial"/>
          <w:i/>
          <w:iCs/>
        </w:rPr>
        <w:t>ommission scolaire francophone des Territoires du No</w:t>
      </w:r>
      <w:r w:rsidR="00AC6E6C">
        <w:rPr>
          <w:rFonts w:cs="Arial"/>
          <w:i/>
          <w:iCs/>
        </w:rPr>
        <w:t>rd</w:t>
      </w:r>
      <w:r w:rsidR="00EE1680" w:rsidRPr="00EE1680">
        <w:rPr>
          <w:rFonts w:cs="Arial"/>
          <w:i/>
          <w:iCs/>
        </w:rPr>
        <w:t xml:space="preserve">-Ouest </w:t>
      </w:r>
      <w:r w:rsidR="00EE1680" w:rsidRPr="00C20E80">
        <w:rPr>
          <w:rFonts w:cs="Arial"/>
        </w:rPr>
        <w:t>c.</w:t>
      </w:r>
      <w:r w:rsidR="00EE1680" w:rsidRPr="00EE1680">
        <w:rPr>
          <w:rFonts w:cs="Arial"/>
          <w:i/>
          <w:iCs/>
        </w:rPr>
        <w:t xml:space="preserve"> Territoires du Nord-Ouest</w:t>
      </w:r>
      <w:bookmarkStart w:id="4" w:name="_Ref194065368"/>
      <w:r w:rsidR="00EE1680" w:rsidRPr="00EE1680">
        <w:rPr>
          <w:rFonts w:cs="Arial"/>
          <w:i/>
          <w:iCs/>
        </w:rPr>
        <w:t xml:space="preserve"> (Éducation, </w:t>
      </w:r>
      <w:r w:rsidR="00291844">
        <w:rPr>
          <w:rFonts w:cs="Arial"/>
          <w:i/>
          <w:iCs/>
        </w:rPr>
        <w:t>C</w:t>
      </w:r>
      <w:r w:rsidR="00EE1680" w:rsidRPr="00EE1680">
        <w:rPr>
          <w:rFonts w:cs="Arial"/>
          <w:i/>
          <w:iCs/>
        </w:rPr>
        <w:t>ulture et Formation)</w:t>
      </w:r>
      <w:r w:rsidR="004232F4" w:rsidRPr="00EE1680">
        <w:rPr>
          <w:rStyle w:val="Appelnotedebasdep"/>
          <w:rFonts w:cs="Arial"/>
        </w:rPr>
        <w:footnoteReference w:id="10"/>
      </w:r>
      <w:bookmarkEnd w:id="4"/>
      <w:r w:rsidR="003629CC" w:rsidRPr="00EE1680">
        <w:rPr>
          <w:rFonts w:cs="Arial"/>
        </w:rPr>
        <w:t>.</w:t>
      </w:r>
    </w:p>
    <w:p w14:paraId="7D60E195" w14:textId="608DDD01" w:rsidR="00D44DB9" w:rsidRPr="00D44DB9" w:rsidRDefault="00D44DB9" w:rsidP="00806D6A">
      <w:pPr>
        <w:pStyle w:val="Paragraphe"/>
        <w:keepNext/>
        <w:numPr>
          <w:ilvl w:val="0"/>
          <w:numId w:val="8"/>
        </w:numPr>
        <w:spacing w:line="240" w:lineRule="auto"/>
        <w:rPr>
          <w:rFonts w:cs="Arial"/>
          <w:b/>
          <w:bCs/>
          <w:u w:val="single"/>
        </w:rPr>
      </w:pPr>
      <w:r w:rsidRPr="00D44DB9">
        <w:rPr>
          <w:rFonts w:cs="Arial"/>
          <w:u w:val="single"/>
        </w:rPr>
        <w:t>Les arguments du Procureur général du Québec</w:t>
      </w:r>
    </w:p>
    <w:p w14:paraId="56AEC8C3" w14:textId="5DEE8072" w:rsidR="006217F1" w:rsidRPr="00213F4C" w:rsidRDefault="0036009A" w:rsidP="00E50F59">
      <w:pPr>
        <w:pStyle w:val="Paragraphe"/>
        <w:keepNext/>
        <w:tabs>
          <w:tab w:val="clear" w:pos="2204"/>
        </w:tabs>
        <w:spacing w:line="240" w:lineRule="auto"/>
        <w:ind w:left="0"/>
        <w:rPr>
          <w:rFonts w:cs="Arial"/>
          <w:b/>
          <w:bCs/>
        </w:rPr>
      </w:pPr>
      <w:r w:rsidRPr="00213F4C">
        <w:rPr>
          <w:rFonts w:cs="Arial"/>
        </w:rPr>
        <w:t>Le Pr</w:t>
      </w:r>
      <w:r w:rsidR="009F7504" w:rsidRPr="00213F4C">
        <w:rPr>
          <w:rFonts w:cs="Arial"/>
        </w:rPr>
        <w:t>ocureur général du Québec (</w:t>
      </w:r>
      <w:r w:rsidR="009F7504" w:rsidRPr="00213F4C">
        <w:rPr>
          <w:rFonts w:cs="Arial"/>
          <w:b/>
          <w:bCs/>
        </w:rPr>
        <w:t>PGQ</w:t>
      </w:r>
      <w:r w:rsidR="009F7504" w:rsidRPr="00213F4C">
        <w:rPr>
          <w:rFonts w:cs="Arial"/>
        </w:rPr>
        <w:t>)</w:t>
      </w:r>
      <w:r w:rsidRPr="00213F4C">
        <w:rPr>
          <w:rFonts w:cs="Arial"/>
        </w:rPr>
        <w:t xml:space="preserve">, qui </w:t>
      </w:r>
      <w:r w:rsidR="00C84573" w:rsidRPr="00213F4C">
        <w:rPr>
          <w:rFonts w:cs="Arial"/>
        </w:rPr>
        <w:t>plaide</w:t>
      </w:r>
      <w:r w:rsidRPr="00213F4C">
        <w:rPr>
          <w:rFonts w:cs="Arial"/>
        </w:rPr>
        <w:t xml:space="preserve"> aux droits de la Ministre, réfute chacune </w:t>
      </w:r>
      <w:r w:rsidRPr="000764D5">
        <w:rPr>
          <w:rFonts w:cs="Arial"/>
        </w:rPr>
        <w:t>d</w:t>
      </w:r>
      <w:r w:rsidR="007D4CAA" w:rsidRPr="000764D5">
        <w:rPr>
          <w:rFonts w:cs="Arial"/>
        </w:rPr>
        <w:t>e</w:t>
      </w:r>
      <w:r w:rsidRPr="000764D5">
        <w:rPr>
          <w:rFonts w:cs="Arial"/>
        </w:rPr>
        <w:t>s</w:t>
      </w:r>
      <w:r w:rsidRPr="00213F4C">
        <w:rPr>
          <w:rFonts w:cs="Arial"/>
        </w:rPr>
        <w:t xml:space="preserve"> prétentions</w:t>
      </w:r>
      <w:r w:rsidR="004C6252" w:rsidRPr="000764D5">
        <w:rPr>
          <w:rFonts w:cs="Arial"/>
        </w:rPr>
        <w:t xml:space="preserve"> des parties demanderesses</w:t>
      </w:r>
      <w:r w:rsidRPr="000764D5">
        <w:rPr>
          <w:rFonts w:cs="Arial"/>
        </w:rPr>
        <w:t>.</w:t>
      </w:r>
      <w:r w:rsidRPr="00213F4C">
        <w:rPr>
          <w:rFonts w:cs="Arial"/>
        </w:rPr>
        <w:t xml:space="preserve"> Selon lui</w:t>
      </w:r>
      <w:r w:rsidR="004D0068" w:rsidRPr="00213F4C">
        <w:rPr>
          <w:rFonts w:cs="Arial"/>
        </w:rPr>
        <w:t xml:space="preserve">, </w:t>
      </w:r>
      <w:r w:rsidR="00D44DB9" w:rsidRPr="00213F4C">
        <w:rPr>
          <w:rFonts w:cs="Arial"/>
        </w:rPr>
        <w:t>l</w:t>
      </w:r>
      <w:r w:rsidRPr="00213F4C">
        <w:rPr>
          <w:rFonts w:cs="Arial"/>
        </w:rPr>
        <w:t xml:space="preserve">es Règles budgétaires ne constituent </w:t>
      </w:r>
      <w:r w:rsidR="00C84573" w:rsidRPr="00213F4C">
        <w:rPr>
          <w:rFonts w:cs="Arial"/>
        </w:rPr>
        <w:t>ni</w:t>
      </w:r>
      <w:r w:rsidRPr="00213F4C">
        <w:rPr>
          <w:rFonts w:cs="Arial"/>
        </w:rPr>
        <w:t xml:space="preserve"> des mesures législatives </w:t>
      </w:r>
      <w:r w:rsidR="00C84573" w:rsidRPr="00213F4C">
        <w:rPr>
          <w:rFonts w:cs="Arial"/>
        </w:rPr>
        <w:t xml:space="preserve">ni des normes de type </w:t>
      </w:r>
      <w:r w:rsidRPr="000764D5">
        <w:rPr>
          <w:rFonts w:cs="Arial"/>
        </w:rPr>
        <w:t>règlementaire</w:t>
      </w:r>
      <w:r w:rsidR="0022438F" w:rsidRPr="000764D5">
        <w:rPr>
          <w:rFonts w:cs="Arial"/>
        </w:rPr>
        <w:t>,</w:t>
      </w:r>
      <w:r w:rsidRPr="00213F4C">
        <w:rPr>
          <w:rFonts w:cs="Arial"/>
        </w:rPr>
        <w:t xml:space="preserve"> </w:t>
      </w:r>
      <w:r w:rsidR="00B146E3" w:rsidRPr="00213F4C">
        <w:rPr>
          <w:rFonts w:cs="Arial"/>
        </w:rPr>
        <w:t xml:space="preserve">mais plutôt de simples </w:t>
      </w:r>
      <w:r w:rsidR="00B146E3" w:rsidRPr="00213F4C">
        <w:rPr>
          <w:rFonts w:cs="Arial"/>
          <w:i/>
          <w:iCs/>
        </w:rPr>
        <w:t>directives</w:t>
      </w:r>
      <w:r w:rsidR="00B146E3" w:rsidRPr="00213F4C">
        <w:rPr>
          <w:rFonts w:cs="Arial"/>
        </w:rPr>
        <w:t xml:space="preserve">, comme l’a décidé la Cour d’appel </w:t>
      </w:r>
      <w:r w:rsidR="009F7504" w:rsidRPr="00213F4C">
        <w:rPr>
          <w:rFonts w:cs="Arial"/>
        </w:rPr>
        <w:t xml:space="preserve">du Québec </w:t>
      </w:r>
      <w:r w:rsidR="00B146E3" w:rsidRPr="00213F4C">
        <w:rPr>
          <w:rFonts w:cs="Arial"/>
        </w:rPr>
        <w:t xml:space="preserve">dans l’arrêt </w:t>
      </w:r>
      <w:r w:rsidR="00B146E3" w:rsidRPr="00213F4C">
        <w:rPr>
          <w:rFonts w:cs="Arial"/>
          <w:i/>
          <w:iCs/>
        </w:rPr>
        <w:t>Ruel</w:t>
      </w:r>
      <w:r w:rsidR="00B146E3" w:rsidRPr="00213F4C">
        <w:rPr>
          <w:rFonts w:cs="Arial"/>
        </w:rPr>
        <w:t xml:space="preserve"> c. </w:t>
      </w:r>
      <w:r w:rsidR="00617F94" w:rsidRPr="000764D5">
        <w:rPr>
          <w:rFonts w:cs="Arial"/>
          <w:i/>
          <w:iCs/>
        </w:rPr>
        <w:t>Québec (Éducation)</w:t>
      </w:r>
      <w:r w:rsidR="00B146E3" w:rsidRPr="000764D5">
        <w:rPr>
          <w:rStyle w:val="Appelnotedebasdep"/>
          <w:rFonts w:cs="Arial"/>
        </w:rPr>
        <w:footnoteReference w:id="11"/>
      </w:r>
      <w:r w:rsidR="00D44DB9" w:rsidRPr="000764D5">
        <w:rPr>
          <w:rFonts w:cs="Arial"/>
        </w:rPr>
        <w:t>.</w:t>
      </w:r>
      <w:r w:rsidR="00213F4C" w:rsidRPr="00213F4C">
        <w:rPr>
          <w:rFonts w:cs="Arial"/>
        </w:rPr>
        <w:t xml:space="preserve"> </w:t>
      </w:r>
      <w:r w:rsidR="00213F4C">
        <w:rPr>
          <w:rFonts w:cs="Arial"/>
        </w:rPr>
        <w:t>Ell</w:t>
      </w:r>
      <w:r w:rsidR="007702F1" w:rsidRPr="00213F4C">
        <w:rPr>
          <w:rFonts w:cs="Arial"/>
        </w:rPr>
        <w:t>es participe</w:t>
      </w:r>
      <w:r w:rsidR="0074368C" w:rsidRPr="00213F4C">
        <w:rPr>
          <w:rFonts w:cs="Arial"/>
        </w:rPr>
        <w:t>raie</w:t>
      </w:r>
      <w:r w:rsidR="007702F1" w:rsidRPr="00213F4C">
        <w:rPr>
          <w:rFonts w:cs="Arial"/>
        </w:rPr>
        <w:t xml:space="preserve">nt d’un large pouvoir </w:t>
      </w:r>
      <w:r w:rsidR="009F7504" w:rsidRPr="00213F4C">
        <w:rPr>
          <w:rFonts w:cs="Arial"/>
        </w:rPr>
        <w:t xml:space="preserve">étatique </w:t>
      </w:r>
      <w:r w:rsidR="007702F1" w:rsidRPr="00213F4C">
        <w:rPr>
          <w:rFonts w:cs="Arial"/>
        </w:rPr>
        <w:t>hautement discrétionnaire à l’égard duquel le Tribunal ne saurait intervenir</w:t>
      </w:r>
      <w:r w:rsidR="00D44DB9" w:rsidRPr="00213F4C">
        <w:rPr>
          <w:rFonts w:cs="Arial"/>
        </w:rPr>
        <w:t>.</w:t>
      </w:r>
    </w:p>
    <w:p w14:paraId="6FD4B9B7" w14:textId="15A2DE02" w:rsidR="005B39ED" w:rsidRPr="007179A8" w:rsidRDefault="007D4CAA" w:rsidP="00E50F59">
      <w:pPr>
        <w:pStyle w:val="Paragraphe"/>
        <w:tabs>
          <w:tab w:val="clear" w:pos="2204"/>
        </w:tabs>
        <w:spacing w:line="240" w:lineRule="auto"/>
        <w:ind w:left="0"/>
        <w:rPr>
          <w:rFonts w:cs="Arial"/>
          <w:b/>
          <w:bCs/>
        </w:rPr>
      </w:pPr>
      <w:r w:rsidRPr="00D44DB9">
        <w:rPr>
          <w:rFonts w:cs="Arial"/>
        </w:rPr>
        <w:t>Subsidiairement, l</w:t>
      </w:r>
      <w:r w:rsidR="005B39ED" w:rsidRPr="00D44DB9">
        <w:rPr>
          <w:rFonts w:cs="Arial"/>
        </w:rPr>
        <w:t>a décision de modifier les Règles budgétaires et les modifications elles-mêmes s’avère</w:t>
      </w:r>
      <w:r w:rsidR="0074368C">
        <w:rPr>
          <w:rFonts w:cs="Arial"/>
        </w:rPr>
        <w:t>raie</w:t>
      </w:r>
      <w:r w:rsidR="005B39ED" w:rsidRPr="00D44DB9">
        <w:rPr>
          <w:rFonts w:cs="Arial"/>
        </w:rPr>
        <w:t>nt raisonnables, tenant compte des contraintes</w:t>
      </w:r>
      <w:r w:rsidRPr="00D44DB9">
        <w:rPr>
          <w:rFonts w:cs="Arial"/>
        </w:rPr>
        <w:t xml:space="preserve"> factuelles et juridiques</w:t>
      </w:r>
      <w:r w:rsidR="005B39ED" w:rsidRPr="00D44DB9">
        <w:rPr>
          <w:rFonts w:cs="Arial"/>
        </w:rPr>
        <w:t xml:space="preserve"> en présence. </w:t>
      </w:r>
      <w:r w:rsidR="004C6252">
        <w:rPr>
          <w:rFonts w:cs="Arial"/>
        </w:rPr>
        <w:t>Selon le PGQ, l</w:t>
      </w:r>
      <w:r w:rsidR="005B39ED" w:rsidRPr="00D44DB9">
        <w:rPr>
          <w:rFonts w:cs="Arial"/>
        </w:rPr>
        <w:t>a Ministre pouvait</w:t>
      </w:r>
      <w:r w:rsidR="00213F4C">
        <w:rPr>
          <w:rFonts w:cs="Arial"/>
        </w:rPr>
        <w:t xml:space="preserve"> notamment</w:t>
      </w:r>
      <w:r w:rsidR="005B39ED" w:rsidRPr="00D44DB9">
        <w:rPr>
          <w:rFonts w:cs="Arial"/>
        </w:rPr>
        <w:t xml:space="preserve"> tenir compte de la protection de la </w:t>
      </w:r>
      <w:r w:rsidR="004D0068">
        <w:rPr>
          <w:rFonts w:cs="Arial"/>
        </w:rPr>
        <w:t xml:space="preserve">langue </w:t>
      </w:r>
      <w:r w:rsidR="005B39ED" w:rsidRPr="00D44DB9">
        <w:rPr>
          <w:rFonts w:cs="Arial"/>
        </w:rPr>
        <w:t xml:space="preserve">française </w:t>
      </w:r>
      <w:r w:rsidR="004C6252">
        <w:rPr>
          <w:rFonts w:cs="Arial"/>
        </w:rPr>
        <w:t>pour</w:t>
      </w:r>
      <w:r w:rsidR="005B39ED" w:rsidRPr="00D44DB9">
        <w:rPr>
          <w:rFonts w:cs="Arial"/>
        </w:rPr>
        <w:t xml:space="preserve"> établir de nouvelles règles de distribution des deniers publics à l’ensemble des universités du Québec</w:t>
      </w:r>
      <w:r w:rsidR="00D44DB9">
        <w:rPr>
          <w:rFonts w:cs="Arial"/>
        </w:rPr>
        <w:t>.</w:t>
      </w:r>
    </w:p>
    <w:p w14:paraId="06513E4F" w14:textId="6C31DAB1" w:rsidR="007179A8" w:rsidRPr="00D44DB9" w:rsidRDefault="007179A8" w:rsidP="00E50F59">
      <w:pPr>
        <w:pStyle w:val="Paragraphe"/>
        <w:tabs>
          <w:tab w:val="clear" w:pos="2204"/>
        </w:tabs>
        <w:spacing w:line="240" w:lineRule="auto"/>
        <w:ind w:left="0"/>
        <w:rPr>
          <w:b/>
          <w:bCs/>
        </w:rPr>
      </w:pPr>
      <w:r w:rsidRPr="00D44DB9">
        <w:t xml:space="preserve">Le cadre analytique qu’indique la Cour suprême du Canada dans l’arrêt </w:t>
      </w:r>
      <w:r w:rsidRPr="00D44DB9">
        <w:rPr>
          <w:i/>
          <w:iCs/>
        </w:rPr>
        <w:t>Doré</w:t>
      </w:r>
      <w:r w:rsidRPr="00372B24">
        <w:rPr>
          <w:rStyle w:val="Appelnotedebasdep"/>
          <w:rFonts w:cs="Arial"/>
        </w:rPr>
        <w:footnoteReference w:id="12"/>
      </w:r>
      <w:r w:rsidRPr="00D44DB9">
        <w:t xml:space="preserve"> ne </w:t>
      </w:r>
      <w:r>
        <w:t>conviendrait</w:t>
      </w:r>
      <w:r w:rsidRPr="00D44DB9">
        <w:t xml:space="preserve"> pas à l’analyse de la validité de modifications aux Règles budgétaires en cause.</w:t>
      </w:r>
      <w:r w:rsidR="00213F4C">
        <w:t xml:space="preserve"> Selon lui, la justification des Règles attaquées passerait par le test de l’arrêt</w:t>
      </w:r>
      <w:r w:rsidR="00B3257E">
        <w:t xml:space="preserve"> </w:t>
      </w:r>
      <w:r w:rsidR="00213F4C" w:rsidRPr="00213F4C">
        <w:rPr>
          <w:i/>
          <w:iCs/>
        </w:rPr>
        <w:t>Oakes</w:t>
      </w:r>
      <w:r w:rsidR="00213F4C" w:rsidRPr="00E50F59">
        <w:rPr>
          <w:rStyle w:val="Appelnotedebasdep"/>
        </w:rPr>
        <w:footnoteReference w:id="13"/>
      </w:r>
      <w:r w:rsidR="00213F4C">
        <w:t>.</w:t>
      </w:r>
    </w:p>
    <w:p w14:paraId="632FB9C7" w14:textId="698F8147" w:rsidR="007D4CAA" w:rsidRPr="00D44DB9" w:rsidRDefault="00E22121" w:rsidP="00E50F59">
      <w:pPr>
        <w:pStyle w:val="Paragraphe"/>
        <w:tabs>
          <w:tab w:val="clear" w:pos="2204"/>
        </w:tabs>
        <w:spacing w:line="240" w:lineRule="auto"/>
        <w:ind w:left="0"/>
        <w:rPr>
          <w:rFonts w:cs="Arial"/>
          <w:b/>
          <w:bCs/>
        </w:rPr>
      </w:pPr>
      <w:r>
        <w:rPr>
          <w:rFonts w:cs="Arial"/>
        </w:rPr>
        <w:t xml:space="preserve">Pour le PGQ, </w:t>
      </w:r>
      <w:r w:rsidR="007D4CAA" w:rsidRPr="00D44DB9">
        <w:rPr>
          <w:rFonts w:cs="Arial"/>
        </w:rPr>
        <w:t xml:space="preserve">McGill ne peut invoquer l’article 15 de la </w:t>
      </w:r>
      <w:r w:rsidR="007D4CAA" w:rsidRPr="00D44DB9">
        <w:rPr>
          <w:rFonts w:cs="Arial"/>
          <w:i/>
          <w:iCs/>
        </w:rPr>
        <w:t>Charte</w:t>
      </w:r>
      <w:r w:rsidR="006217F1" w:rsidRPr="00D44DB9">
        <w:rPr>
          <w:rFonts w:cs="Arial"/>
          <w:i/>
          <w:iCs/>
        </w:rPr>
        <w:t xml:space="preserve"> canadienne, </w:t>
      </w:r>
      <w:r w:rsidR="007D4CAA" w:rsidRPr="00D44DB9">
        <w:rPr>
          <w:rFonts w:cs="Arial"/>
        </w:rPr>
        <w:t>d’autant moins que la langue ne constitue</w:t>
      </w:r>
      <w:r w:rsidR="007179A8">
        <w:rPr>
          <w:rFonts w:cs="Arial"/>
        </w:rPr>
        <w:t>rait</w:t>
      </w:r>
      <w:r w:rsidR="007D4CAA" w:rsidRPr="00D44DB9">
        <w:rPr>
          <w:rFonts w:cs="Arial"/>
        </w:rPr>
        <w:t xml:space="preserve"> pas un motif analogue à ceux énumérés à cet article</w:t>
      </w:r>
      <w:r w:rsidR="006217F1" w:rsidRPr="00D44DB9">
        <w:rPr>
          <w:rFonts w:cs="Arial"/>
        </w:rPr>
        <w:t>. Quant à l’article 10 de la</w:t>
      </w:r>
      <w:r w:rsidR="006217F1" w:rsidRPr="00D44DB9">
        <w:rPr>
          <w:rFonts w:cs="Arial"/>
          <w:i/>
          <w:iCs/>
        </w:rPr>
        <w:t xml:space="preserve"> Charte </w:t>
      </w:r>
      <w:r w:rsidR="00823EF9" w:rsidRPr="00D55E18">
        <w:rPr>
          <w:rFonts w:cs="Arial"/>
          <w:i/>
          <w:iCs/>
        </w:rPr>
        <w:t>québécoise</w:t>
      </w:r>
      <w:r w:rsidR="006217F1" w:rsidRPr="00D44DB9">
        <w:rPr>
          <w:rFonts w:cs="Arial"/>
        </w:rPr>
        <w:t>, il ne trouve</w:t>
      </w:r>
      <w:r w:rsidR="007179A8">
        <w:rPr>
          <w:rFonts w:cs="Arial"/>
        </w:rPr>
        <w:t>rait</w:t>
      </w:r>
      <w:r w:rsidR="006217F1" w:rsidRPr="00D44DB9">
        <w:rPr>
          <w:rFonts w:cs="Arial"/>
        </w:rPr>
        <w:t xml:space="preserve"> aucune application du fait qu</w:t>
      </w:r>
      <w:r w:rsidR="00A86966" w:rsidRPr="00D44DB9">
        <w:rPr>
          <w:rFonts w:cs="Arial"/>
        </w:rPr>
        <w:t xml:space="preserve">e l’article 4, </w:t>
      </w:r>
      <w:r w:rsidR="007179A8">
        <w:rPr>
          <w:rFonts w:cs="Arial"/>
        </w:rPr>
        <w:t xml:space="preserve">auquel réfère </w:t>
      </w:r>
      <w:r w:rsidR="00A86966" w:rsidRPr="00D44DB9">
        <w:rPr>
          <w:rFonts w:cs="Arial"/>
        </w:rPr>
        <w:t>McGill</w:t>
      </w:r>
      <w:r w:rsidR="007179A8">
        <w:rPr>
          <w:rFonts w:cs="Arial"/>
        </w:rPr>
        <w:t xml:space="preserve"> dans l’application du test de l’article 10</w:t>
      </w:r>
      <w:r w:rsidR="00A86966" w:rsidRPr="00D44DB9">
        <w:rPr>
          <w:rFonts w:cs="Arial"/>
        </w:rPr>
        <w:t xml:space="preserve">, est </w:t>
      </w:r>
      <w:r w:rsidR="00A86966" w:rsidRPr="00D44DB9">
        <w:rPr>
          <w:rFonts w:cs="Arial"/>
        </w:rPr>
        <w:lastRenderedPageBreak/>
        <w:t>habituellement invoqué dans l</w:t>
      </w:r>
      <w:r w:rsidR="0022438F">
        <w:rPr>
          <w:rFonts w:cs="Arial"/>
        </w:rPr>
        <w:t>e</w:t>
      </w:r>
      <w:r w:rsidR="00A86966" w:rsidRPr="00D44DB9">
        <w:rPr>
          <w:rFonts w:cs="Arial"/>
        </w:rPr>
        <w:t xml:space="preserve"> cadre d’un recours en diffamation</w:t>
      </w:r>
      <w:r w:rsidR="0074368C">
        <w:rPr>
          <w:rFonts w:cs="Arial"/>
        </w:rPr>
        <w:t xml:space="preserve"> et non </w:t>
      </w:r>
      <w:r w:rsidR="004C6252">
        <w:rPr>
          <w:rFonts w:cs="Arial"/>
        </w:rPr>
        <w:t>comme disposition pouvant être invoquée dans un contexte de discrimination</w:t>
      </w:r>
      <w:r w:rsidR="0074368C">
        <w:rPr>
          <w:rFonts w:cs="Arial"/>
        </w:rPr>
        <w:t xml:space="preserve"> afin d’attaquer une décision de l’Administration</w:t>
      </w:r>
      <w:r w:rsidR="00D44DB9">
        <w:rPr>
          <w:rFonts w:cs="Arial"/>
        </w:rPr>
        <w:t>.</w:t>
      </w:r>
    </w:p>
    <w:p w14:paraId="3F726B89" w14:textId="51123CA4" w:rsidR="004C6252" w:rsidRPr="004C6252" w:rsidRDefault="00A86966" w:rsidP="008D14BB">
      <w:pPr>
        <w:pStyle w:val="Paragraphe"/>
        <w:tabs>
          <w:tab w:val="clear" w:pos="2204"/>
        </w:tabs>
        <w:spacing w:line="240" w:lineRule="auto"/>
        <w:ind w:left="0"/>
        <w:rPr>
          <w:rFonts w:cs="Arial"/>
          <w:b/>
          <w:bCs/>
        </w:rPr>
      </w:pPr>
      <w:r w:rsidRPr="008D14BB">
        <w:rPr>
          <w:rFonts w:cs="Arial"/>
        </w:rPr>
        <w:t xml:space="preserve">Les autres </w:t>
      </w:r>
      <w:r w:rsidR="004C6252">
        <w:rPr>
          <w:rFonts w:cs="Arial"/>
        </w:rPr>
        <w:t>moyens</w:t>
      </w:r>
      <w:r w:rsidRPr="008D14BB">
        <w:rPr>
          <w:rFonts w:cs="Arial"/>
        </w:rPr>
        <w:t xml:space="preserve"> que soulève McGill, à savoir </w:t>
      </w:r>
      <w:r w:rsidR="004C6252">
        <w:rPr>
          <w:rFonts w:cs="Arial"/>
        </w:rPr>
        <w:t>l’entrave au</w:t>
      </w:r>
      <w:r w:rsidRPr="008D14BB">
        <w:rPr>
          <w:rFonts w:cs="Arial"/>
        </w:rPr>
        <w:t xml:space="preserve"> commerce interprovincial</w:t>
      </w:r>
      <w:r w:rsidR="00DE1AE1" w:rsidRPr="008D14BB">
        <w:rPr>
          <w:rFonts w:cs="Arial"/>
        </w:rPr>
        <w:t xml:space="preserve"> </w:t>
      </w:r>
      <w:r w:rsidRPr="008D14BB">
        <w:rPr>
          <w:rFonts w:cs="Arial"/>
        </w:rPr>
        <w:t xml:space="preserve">et </w:t>
      </w:r>
      <w:r w:rsidR="004C6252">
        <w:rPr>
          <w:rFonts w:cs="Arial"/>
        </w:rPr>
        <w:t>l’atteinte</w:t>
      </w:r>
      <w:r w:rsidRPr="008D14BB">
        <w:rPr>
          <w:rFonts w:cs="Arial"/>
        </w:rPr>
        <w:t xml:space="preserve"> à sa charte et </w:t>
      </w:r>
      <w:r w:rsidR="004C6252">
        <w:rPr>
          <w:rFonts w:cs="Arial"/>
        </w:rPr>
        <w:t xml:space="preserve">l’intrusion dans </w:t>
      </w:r>
      <w:r w:rsidRPr="008D14BB">
        <w:rPr>
          <w:rFonts w:cs="Arial"/>
        </w:rPr>
        <w:t>sa liberté académique</w:t>
      </w:r>
      <w:r w:rsidR="00DE1AE1" w:rsidRPr="008D14BB">
        <w:rPr>
          <w:rFonts w:cs="Arial"/>
        </w:rPr>
        <w:t>,</w:t>
      </w:r>
      <w:r w:rsidRPr="008D14BB">
        <w:rPr>
          <w:rFonts w:cs="Arial"/>
        </w:rPr>
        <w:t xml:space="preserve"> ne s</w:t>
      </w:r>
      <w:r w:rsidR="0074368C" w:rsidRPr="008D14BB">
        <w:rPr>
          <w:rFonts w:cs="Arial"/>
        </w:rPr>
        <w:t>eraie</w:t>
      </w:r>
      <w:r w:rsidRPr="008D14BB">
        <w:rPr>
          <w:rFonts w:cs="Arial"/>
        </w:rPr>
        <w:t>nt pas fondés</w:t>
      </w:r>
      <w:r w:rsidR="00D44DB9" w:rsidRPr="008D14BB">
        <w:rPr>
          <w:rFonts w:cs="Arial"/>
        </w:rPr>
        <w:t>.</w:t>
      </w:r>
    </w:p>
    <w:p w14:paraId="1F163E87" w14:textId="26C605BD" w:rsidR="00A86966" w:rsidRPr="008D14BB" w:rsidRDefault="007179A8" w:rsidP="008D14BB">
      <w:pPr>
        <w:pStyle w:val="Paragraphe"/>
        <w:tabs>
          <w:tab w:val="clear" w:pos="2204"/>
        </w:tabs>
        <w:spacing w:line="240" w:lineRule="auto"/>
        <w:ind w:left="0"/>
        <w:rPr>
          <w:rFonts w:cs="Arial"/>
          <w:b/>
          <w:bCs/>
        </w:rPr>
      </w:pPr>
      <w:r w:rsidRPr="008D14BB">
        <w:rPr>
          <w:rFonts w:cs="Arial"/>
        </w:rPr>
        <w:t>Enfin, l</w:t>
      </w:r>
      <w:r w:rsidR="00E22121" w:rsidRPr="008D14BB">
        <w:rPr>
          <w:rFonts w:cs="Arial"/>
        </w:rPr>
        <w:t>e PGQ ne répond pas à l’argument relatif à la taxation indirecte, qu’il estime abandonné par McGill.</w:t>
      </w:r>
    </w:p>
    <w:p w14:paraId="7488CF87" w14:textId="77777777" w:rsidR="00593C1F" w:rsidRPr="00DF4EDD" w:rsidRDefault="00D44DB9" w:rsidP="00795542">
      <w:pPr>
        <w:pStyle w:val="Paragraphe"/>
        <w:numPr>
          <w:ilvl w:val="0"/>
          <w:numId w:val="16"/>
        </w:numPr>
        <w:spacing w:line="240" w:lineRule="auto"/>
        <w:ind w:left="1080"/>
        <w:rPr>
          <w:u w:val="single"/>
        </w:rPr>
      </w:pPr>
      <w:r w:rsidRPr="00DF4EDD">
        <w:rPr>
          <w:u w:val="single"/>
        </w:rPr>
        <w:t>Les conclusions du Tribunal</w:t>
      </w:r>
    </w:p>
    <w:p w14:paraId="3C68F3AC" w14:textId="29458BAA" w:rsidR="00213F4C" w:rsidRPr="00A94BFB" w:rsidRDefault="00213F4C" w:rsidP="008D14BB">
      <w:pPr>
        <w:pStyle w:val="Paragraphe"/>
        <w:tabs>
          <w:tab w:val="clear" w:pos="2204"/>
        </w:tabs>
        <w:spacing w:line="240" w:lineRule="auto"/>
        <w:ind w:left="0"/>
        <w:rPr>
          <w:rFonts w:cs="Arial"/>
          <w:b/>
          <w:bCs/>
          <w:u w:val="single"/>
        </w:rPr>
      </w:pPr>
      <w:r>
        <w:rPr>
          <w:rFonts w:cs="Arial"/>
        </w:rPr>
        <w:t>Pour les motifs qui suivent, le Tribunal conclura que</w:t>
      </w:r>
      <w:r w:rsidR="00F156BF">
        <w:rPr>
          <w:rFonts w:cs="Arial"/>
        </w:rPr>
        <w:t xml:space="preserve"> </w:t>
      </w:r>
      <w:r>
        <w:rPr>
          <w:rFonts w:cs="Arial"/>
        </w:rPr>
        <w:t>les pourvois réussissent en partie.</w:t>
      </w:r>
    </w:p>
    <w:p w14:paraId="7967B2F3" w14:textId="314B3978" w:rsidR="00A90E67" w:rsidRPr="00DF4EDD" w:rsidRDefault="00593C1F" w:rsidP="00A94BFB">
      <w:pPr>
        <w:pStyle w:val="Paragraphe"/>
        <w:numPr>
          <w:ilvl w:val="2"/>
          <w:numId w:val="8"/>
        </w:numPr>
        <w:spacing w:line="240" w:lineRule="auto"/>
        <w:rPr>
          <w:u w:val="single"/>
        </w:rPr>
      </w:pPr>
      <w:r w:rsidRPr="00DF4EDD">
        <w:rPr>
          <w:u w:val="single"/>
        </w:rPr>
        <w:t xml:space="preserve">S’agissant des </w:t>
      </w:r>
      <w:r w:rsidR="00A90E67" w:rsidRPr="00DF4EDD">
        <w:rPr>
          <w:u w:val="single"/>
        </w:rPr>
        <w:t>arguments de droit administratif</w:t>
      </w:r>
    </w:p>
    <w:p w14:paraId="1F6B6EEC" w14:textId="752CE40D" w:rsidR="007D4CAA" w:rsidRDefault="007D4CAA" w:rsidP="008D14BB">
      <w:pPr>
        <w:pStyle w:val="Paragraphe"/>
        <w:tabs>
          <w:tab w:val="clear" w:pos="2204"/>
        </w:tabs>
        <w:spacing w:line="240" w:lineRule="auto"/>
        <w:ind w:left="0"/>
        <w:rPr>
          <w:rFonts w:cs="Arial"/>
        </w:rPr>
      </w:pPr>
      <w:r>
        <w:rPr>
          <w:rFonts w:cs="Arial"/>
        </w:rPr>
        <w:t>L</w:t>
      </w:r>
      <w:r w:rsidR="004F3324" w:rsidRPr="004F3324">
        <w:rPr>
          <w:rFonts w:cs="Arial"/>
        </w:rPr>
        <w:t xml:space="preserve">es Règles budgétaires </w:t>
      </w:r>
      <w:r>
        <w:rPr>
          <w:rFonts w:cs="Arial"/>
        </w:rPr>
        <w:t>s</w:t>
      </w:r>
      <w:r w:rsidR="00DE1AE1">
        <w:rPr>
          <w:rFonts w:cs="Arial"/>
        </w:rPr>
        <w:t>e</w:t>
      </w:r>
      <w:r>
        <w:rPr>
          <w:rFonts w:cs="Arial"/>
        </w:rPr>
        <w:t xml:space="preserve"> </w:t>
      </w:r>
      <w:r w:rsidR="00DE1AE1">
        <w:rPr>
          <w:rFonts w:cs="Arial"/>
        </w:rPr>
        <w:t xml:space="preserve">qualifient de </w:t>
      </w:r>
      <w:r w:rsidRPr="00DE1AE1">
        <w:rPr>
          <w:rFonts w:cs="Arial"/>
          <w:i/>
          <w:iCs/>
        </w:rPr>
        <w:t>directives</w:t>
      </w:r>
      <w:r w:rsidR="00E22121">
        <w:rPr>
          <w:rFonts w:cs="Arial"/>
        </w:rPr>
        <w:t xml:space="preserve"> et i</w:t>
      </w:r>
      <w:r>
        <w:rPr>
          <w:rFonts w:cs="Arial"/>
        </w:rPr>
        <w:t>l n’y a</w:t>
      </w:r>
      <w:r w:rsidR="00DE1AE1">
        <w:rPr>
          <w:rFonts w:cs="Arial"/>
        </w:rPr>
        <w:t xml:space="preserve"> à cet égard </w:t>
      </w:r>
      <w:r>
        <w:rPr>
          <w:rFonts w:cs="Arial"/>
        </w:rPr>
        <w:t>aucune raison de s’écarte</w:t>
      </w:r>
      <w:r w:rsidR="008A12A6">
        <w:rPr>
          <w:rFonts w:cs="Arial"/>
        </w:rPr>
        <w:t>r</w:t>
      </w:r>
      <w:r>
        <w:rPr>
          <w:rFonts w:cs="Arial"/>
        </w:rPr>
        <w:t xml:space="preserve"> de l’arrêt </w:t>
      </w:r>
      <w:r w:rsidRPr="008A12A6">
        <w:rPr>
          <w:rFonts w:cs="Arial"/>
          <w:i/>
          <w:iCs/>
        </w:rPr>
        <w:t>Ruel</w:t>
      </w:r>
      <w:r w:rsidR="007E5423" w:rsidRPr="007E5423">
        <w:rPr>
          <w:rStyle w:val="Appelnotedebasdep"/>
          <w:rFonts w:cs="Arial"/>
        </w:rPr>
        <w:footnoteReference w:id="14"/>
      </w:r>
      <w:r>
        <w:rPr>
          <w:rFonts w:cs="Arial"/>
        </w:rPr>
        <w:t>, qui lie le Tribunal</w:t>
      </w:r>
      <w:r w:rsidR="00D44DB9">
        <w:rPr>
          <w:rFonts w:cs="Arial"/>
        </w:rPr>
        <w:t>.</w:t>
      </w:r>
    </w:p>
    <w:p w14:paraId="22841612" w14:textId="56896D43" w:rsidR="007D4CAA" w:rsidRPr="00B56806" w:rsidRDefault="007D4CAA" w:rsidP="008D14BB">
      <w:pPr>
        <w:pStyle w:val="Paragraphe"/>
        <w:tabs>
          <w:tab w:val="clear" w:pos="2204"/>
        </w:tabs>
        <w:spacing w:line="240" w:lineRule="auto"/>
        <w:ind w:left="0"/>
        <w:rPr>
          <w:rFonts w:cs="Arial"/>
        </w:rPr>
      </w:pPr>
      <w:r w:rsidRPr="00B56806">
        <w:rPr>
          <w:rFonts w:cs="Arial"/>
        </w:rPr>
        <w:t xml:space="preserve">La norme </w:t>
      </w:r>
      <w:r w:rsidR="00213F4C">
        <w:rPr>
          <w:rFonts w:cs="Arial"/>
        </w:rPr>
        <w:t>présumée</w:t>
      </w:r>
      <w:r w:rsidRPr="00B56806">
        <w:rPr>
          <w:rFonts w:cs="Arial"/>
        </w:rPr>
        <w:t xml:space="preserve"> de la décision raisonnable s’applique au contrôle de la légalité de la décision de la Ministre et des Règles </w:t>
      </w:r>
      <w:r w:rsidR="007179A8" w:rsidRPr="00B56806">
        <w:rPr>
          <w:rFonts w:cs="Arial"/>
        </w:rPr>
        <w:t>contestées</w:t>
      </w:r>
      <w:r w:rsidR="00DE1AE1" w:rsidRPr="00B56806">
        <w:rPr>
          <w:rFonts w:cs="Arial"/>
        </w:rPr>
        <w:t xml:space="preserve"> elles-mêmes</w:t>
      </w:r>
      <w:r w:rsidRPr="00B56806">
        <w:rPr>
          <w:rFonts w:cs="Arial"/>
        </w:rPr>
        <w:t xml:space="preserve">. </w:t>
      </w:r>
      <w:r w:rsidR="00E22121" w:rsidRPr="00B56806">
        <w:rPr>
          <w:rFonts w:cs="Arial"/>
        </w:rPr>
        <w:t xml:space="preserve">Or, cette décision </w:t>
      </w:r>
      <w:r w:rsidR="00213F4C">
        <w:rPr>
          <w:rFonts w:cs="Arial"/>
        </w:rPr>
        <w:t>ainsi que</w:t>
      </w:r>
      <w:r w:rsidR="00E22121" w:rsidRPr="00B56806">
        <w:rPr>
          <w:rFonts w:cs="Arial"/>
        </w:rPr>
        <w:t xml:space="preserve"> les Règles </w:t>
      </w:r>
      <w:r w:rsidR="00213F4C">
        <w:rPr>
          <w:rFonts w:cs="Arial"/>
        </w:rPr>
        <w:t>contestées</w:t>
      </w:r>
      <w:r w:rsidR="00E22121" w:rsidRPr="00B56806">
        <w:rPr>
          <w:rFonts w:cs="Arial"/>
        </w:rPr>
        <w:t xml:space="preserve"> </w:t>
      </w:r>
      <w:r w:rsidRPr="00B56806">
        <w:rPr>
          <w:rFonts w:cs="Arial"/>
        </w:rPr>
        <w:t xml:space="preserve">s’avèrent </w:t>
      </w:r>
      <w:r w:rsidR="001F7CA5" w:rsidRPr="00B56806">
        <w:rPr>
          <w:rFonts w:cs="Arial"/>
        </w:rPr>
        <w:t xml:space="preserve">en partie </w:t>
      </w:r>
      <w:r w:rsidRPr="00B56806">
        <w:rPr>
          <w:rFonts w:cs="Arial"/>
        </w:rPr>
        <w:t>déraisonnables, au sens de</w:t>
      </w:r>
      <w:r w:rsidR="00DE1AE1" w:rsidRPr="00B56806">
        <w:rPr>
          <w:rFonts w:cs="Arial"/>
        </w:rPr>
        <w:t>s</w:t>
      </w:r>
      <w:r w:rsidRPr="00B56806">
        <w:rPr>
          <w:rFonts w:cs="Arial"/>
        </w:rPr>
        <w:t xml:space="preserve"> arrêt</w:t>
      </w:r>
      <w:r w:rsidR="00DE1AE1" w:rsidRPr="00B56806">
        <w:rPr>
          <w:rFonts w:cs="Arial"/>
        </w:rPr>
        <w:t>s</w:t>
      </w:r>
      <w:r w:rsidRPr="00B56806">
        <w:rPr>
          <w:rFonts w:cs="Arial"/>
        </w:rPr>
        <w:t xml:space="preserve"> </w:t>
      </w:r>
      <w:r w:rsidRPr="00B56806">
        <w:rPr>
          <w:rFonts w:cs="Arial"/>
          <w:i/>
          <w:iCs/>
        </w:rPr>
        <w:t>Vavilov</w:t>
      </w:r>
      <w:bookmarkStart w:id="5" w:name="_Ref194175098"/>
      <w:r w:rsidR="007E5423" w:rsidRPr="00B56806">
        <w:rPr>
          <w:rStyle w:val="Appelnotedebasdep"/>
          <w:rFonts w:cs="Arial"/>
        </w:rPr>
        <w:footnoteReference w:id="15"/>
      </w:r>
      <w:bookmarkEnd w:id="5"/>
      <w:r w:rsidR="007C6825" w:rsidRPr="00B56806">
        <w:rPr>
          <w:rFonts w:cs="Arial"/>
        </w:rPr>
        <w:t xml:space="preserve">, </w:t>
      </w:r>
      <w:r w:rsidR="007C6825" w:rsidRPr="00B56806">
        <w:rPr>
          <w:rFonts w:cs="Arial"/>
          <w:i/>
          <w:iCs/>
        </w:rPr>
        <w:t>Transalta</w:t>
      </w:r>
      <w:bookmarkStart w:id="6" w:name="_Ref194178027"/>
      <w:r w:rsidR="00D849B1" w:rsidRPr="00B56806">
        <w:rPr>
          <w:rStyle w:val="Appelnotedebasdep"/>
          <w:rFonts w:cs="Arial"/>
        </w:rPr>
        <w:footnoteReference w:id="16"/>
      </w:r>
      <w:bookmarkEnd w:id="6"/>
      <w:r w:rsidR="007C6825" w:rsidRPr="00B56806">
        <w:rPr>
          <w:rFonts w:cs="Arial"/>
        </w:rPr>
        <w:t xml:space="preserve"> e</w:t>
      </w:r>
      <w:r w:rsidR="00DE1AE1" w:rsidRPr="00B56806">
        <w:rPr>
          <w:rFonts w:cs="Arial"/>
        </w:rPr>
        <w:t>t</w:t>
      </w:r>
      <w:r w:rsidR="00DE1AE1" w:rsidRPr="00B56806">
        <w:rPr>
          <w:rFonts w:cs="Arial"/>
          <w:i/>
          <w:iCs/>
        </w:rPr>
        <w:t xml:space="preserve"> Auer</w:t>
      </w:r>
      <w:bookmarkStart w:id="7" w:name="_Ref194178095"/>
      <w:r w:rsidR="007E5423" w:rsidRPr="00B56806">
        <w:rPr>
          <w:rStyle w:val="Appelnotedebasdep"/>
          <w:rFonts w:cs="Arial"/>
        </w:rPr>
        <w:footnoteReference w:id="17"/>
      </w:r>
      <w:bookmarkEnd w:id="7"/>
      <w:r w:rsidR="00DE1AE1" w:rsidRPr="00B56806">
        <w:rPr>
          <w:rFonts w:cs="Arial"/>
          <w:i/>
          <w:iCs/>
        </w:rPr>
        <w:t xml:space="preserve">, </w:t>
      </w:r>
      <w:r w:rsidRPr="00B56806">
        <w:rPr>
          <w:rFonts w:cs="Arial"/>
        </w:rPr>
        <w:t>puisque :</w:t>
      </w:r>
    </w:p>
    <w:p w14:paraId="00A67137" w14:textId="4F8558D2" w:rsidR="007179A8" w:rsidRDefault="00262C77" w:rsidP="00F25353">
      <w:pPr>
        <w:pStyle w:val="Paragraphe"/>
        <w:numPr>
          <w:ilvl w:val="0"/>
          <w:numId w:val="6"/>
        </w:numPr>
        <w:spacing w:line="240" w:lineRule="auto"/>
        <w:ind w:left="1080"/>
        <w:rPr>
          <w:rFonts w:cs="Arial"/>
        </w:rPr>
      </w:pPr>
      <w:bookmarkStart w:id="8" w:name="_Hlk190677935"/>
      <w:r w:rsidRPr="00DE1AE1">
        <w:rPr>
          <w:rFonts w:cs="Arial"/>
        </w:rPr>
        <w:t>L</w:t>
      </w:r>
      <w:r w:rsidR="00EF2AEF" w:rsidRPr="00DE1AE1">
        <w:rPr>
          <w:rFonts w:cs="Arial"/>
        </w:rPr>
        <w:t xml:space="preserve">es Règles </w:t>
      </w:r>
      <w:r w:rsidR="00213F4C">
        <w:rPr>
          <w:rFonts w:cs="Arial"/>
        </w:rPr>
        <w:t>contestées</w:t>
      </w:r>
      <w:r w:rsidR="00EF2AEF" w:rsidRPr="00DE1AE1">
        <w:rPr>
          <w:rFonts w:cs="Arial"/>
        </w:rPr>
        <w:t xml:space="preserve"> </w:t>
      </w:r>
      <w:r w:rsidR="00097C71" w:rsidRPr="00DE1AE1">
        <w:rPr>
          <w:rFonts w:cs="Arial"/>
        </w:rPr>
        <w:t xml:space="preserve">proviennent </w:t>
      </w:r>
      <w:r w:rsidR="00EF2AEF" w:rsidRPr="00DE1AE1">
        <w:rPr>
          <w:rFonts w:cs="Arial"/>
        </w:rPr>
        <w:t xml:space="preserve">d’une volonté </w:t>
      </w:r>
      <w:r w:rsidRPr="00DE1AE1">
        <w:rPr>
          <w:rFonts w:cs="Arial"/>
        </w:rPr>
        <w:t xml:space="preserve">gouvernementale </w:t>
      </w:r>
      <w:r w:rsidR="00097C71" w:rsidRPr="00DE1AE1">
        <w:rPr>
          <w:rFonts w:cs="Arial"/>
        </w:rPr>
        <w:t xml:space="preserve">ouvertement déclarée </w:t>
      </w:r>
      <w:r w:rsidR="00EF2AEF" w:rsidRPr="00DE1AE1">
        <w:rPr>
          <w:rFonts w:cs="Arial"/>
        </w:rPr>
        <w:t>de réduire le bassin des étudiants anglophones</w:t>
      </w:r>
      <w:r w:rsidRPr="00DE1AE1">
        <w:rPr>
          <w:rFonts w:cs="Arial"/>
        </w:rPr>
        <w:t xml:space="preserve"> proven</w:t>
      </w:r>
      <w:r w:rsidR="00DE1AE1" w:rsidRPr="00DE1AE1">
        <w:rPr>
          <w:rFonts w:cs="Arial"/>
        </w:rPr>
        <w:t>a</w:t>
      </w:r>
      <w:r w:rsidRPr="00DE1AE1">
        <w:rPr>
          <w:rFonts w:cs="Arial"/>
        </w:rPr>
        <w:t>nt de l’extérieur du Québec</w:t>
      </w:r>
      <w:r w:rsidR="00EF2AEF" w:rsidRPr="00DE1AE1">
        <w:rPr>
          <w:rFonts w:cs="Arial"/>
        </w:rPr>
        <w:t xml:space="preserve">. </w:t>
      </w:r>
      <w:r w:rsidR="0069129F" w:rsidRPr="00DE1AE1">
        <w:rPr>
          <w:rFonts w:cs="Arial"/>
        </w:rPr>
        <w:t xml:space="preserve">La Ministre dit fonder sa décision sur trois motifs : rééquilibrer les finances des universités québécoises dans leur ensemble, s’assurer </w:t>
      </w:r>
      <w:r w:rsidR="00AE6FE7" w:rsidRPr="00DE1AE1">
        <w:rPr>
          <w:rFonts w:cs="Arial"/>
        </w:rPr>
        <w:t>d’un taux de rétention des étudiants hors Québec qui fréquentent une université anglophone dans un programme anglophone et s’assurer de leur intégration à la société québécoise par l’apprentissage de la langue française</w:t>
      </w:r>
      <w:r w:rsidR="00557712">
        <w:rPr>
          <w:rFonts w:cs="Arial"/>
        </w:rPr>
        <w:t>;</w:t>
      </w:r>
    </w:p>
    <w:p w14:paraId="2B408BEF" w14:textId="77777777" w:rsidR="00135028" w:rsidRDefault="007179A8" w:rsidP="00F25353">
      <w:pPr>
        <w:pStyle w:val="Paragraphe"/>
        <w:numPr>
          <w:ilvl w:val="0"/>
          <w:numId w:val="6"/>
        </w:numPr>
        <w:spacing w:line="240" w:lineRule="auto"/>
        <w:ind w:left="1080"/>
        <w:rPr>
          <w:rFonts w:cs="Arial"/>
        </w:rPr>
      </w:pPr>
      <w:r>
        <w:rPr>
          <w:rFonts w:cs="Arial"/>
        </w:rPr>
        <w:t>Le rééquilibrage des finances des universités constitue un motif pertinent</w:t>
      </w:r>
      <w:r w:rsidR="00557712">
        <w:rPr>
          <w:rFonts w:cs="Arial"/>
        </w:rPr>
        <w:t xml:space="preserve"> en ce qui concerne les étudiants Internationaux. </w:t>
      </w:r>
      <w:r w:rsidR="00213F4C">
        <w:rPr>
          <w:rFonts w:cs="Arial"/>
        </w:rPr>
        <w:t xml:space="preserve">Cette </w:t>
      </w:r>
      <w:r w:rsidR="00557712">
        <w:rPr>
          <w:rFonts w:cs="Arial"/>
        </w:rPr>
        <w:t xml:space="preserve">décision de la Ministre se situe au cœur de politiques budgétaires gouvernementales et les universités ne convainquent pas du bien-fondé de leurs prétentions à cet égard. Les modifications </w:t>
      </w:r>
      <w:r w:rsidR="00135028">
        <w:rPr>
          <w:rFonts w:cs="Arial"/>
        </w:rPr>
        <w:t xml:space="preserve">qu’apportent les </w:t>
      </w:r>
      <w:r w:rsidR="00557712">
        <w:rPr>
          <w:rFonts w:cs="Arial"/>
        </w:rPr>
        <w:t>Règle</w:t>
      </w:r>
      <w:r w:rsidR="00135028">
        <w:rPr>
          <w:rFonts w:cs="Arial"/>
        </w:rPr>
        <w:t>s</w:t>
      </w:r>
      <w:r w:rsidR="00557712">
        <w:rPr>
          <w:rFonts w:cs="Arial"/>
        </w:rPr>
        <w:t xml:space="preserve"> budgétaire</w:t>
      </w:r>
      <w:r w:rsidR="00135028">
        <w:rPr>
          <w:rFonts w:cs="Arial"/>
        </w:rPr>
        <w:t>s</w:t>
      </w:r>
      <w:r w:rsidR="00557712">
        <w:rPr>
          <w:rFonts w:cs="Arial"/>
        </w:rPr>
        <w:t xml:space="preserve"> </w:t>
      </w:r>
      <w:r w:rsidR="00135028">
        <w:rPr>
          <w:rFonts w:cs="Arial"/>
        </w:rPr>
        <w:t xml:space="preserve">3.5 et 3.6 </w:t>
      </w:r>
      <w:r w:rsidR="00557712">
        <w:rPr>
          <w:rFonts w:cs="Arial"/>
        </w:rPr>
        <w:t>s’avère</w:t>
      </w:r>
      <w:r w:rsidR="00135028">
        <w:rPr>
          <w:rFonts w:cs="Arial"/>
        </w:rPr>
        <w:t>nt</w:t>
      </w:r>
      <w:r w:rsidR="00557712">
        <w:rPr>
          <w:rFonts w:cs="Arial"/>
        </w:rPr>
        <w:t xml:space="preserve"> donc </w:t>
      </w:r>
      <w:r>
        <w:rPr>
          <w:rFonts w:cs="Arial"/>
        </w:rPr>
        <w:t>raisonnable</w:t>
      </w:r>
      <w:r w:rsidR="00135028">
        <w:rPr>
          <w:rFonts w:cs="Arial"/>
        </w:rPr>
        <w:t>s</w:t>
      </w:r>
      <w:r w:rsidR="00557712">
        <w:rPr>
          <w:rFonts w:cs="Arial"/>
        </w:rPr>
        <w:t xml:space="preserve"> à l’égard des étudiants Internationaux. </w:t>
      </w:r>
    </w:p>
    <w:p w14:paraId="2CE4A92B" w14:textId="79BF2F71" w:rsidR="00EF2AEF" w:rsidRPr="00DE1AE1" w:rsidRDefault="00E437E5" w:rsidP="00F25353">
      <w:pPr>
        <w:pStyle w:val="Paragraphe"/>
        <w:numPr>
          <w:ilvl w:val="0"/>
          <w:numId w:val="6"/>
        </w:numPr>
        <w:spacing w:line="240" w:lineRule="auto"/>
        <w:ind w:left="1080"/>
        <w:rPr>
          <w:rFonts w:cs="Arial"/>
        </w:rPr>
      </w:pPr>
      <w:r>
        <w:rPr>
          <w:rFonts w:cs="Arial"/>
        </w:rPr>
        <w:lastRenderedPageBreak/>
        <w:t>Toutefois, e</w:t>
      </w:r>
      <w:r w:rsidR="00557712">
        <w:rPr>
          <w:rFonts w:cs="Arial"/>
        </w:rPr>
        <w:t>n ce qui concerne le taux de rétention des étudiants provenant de l’extérieur du Québec et leur capacité à s’intégrer à la société québécoise,</w:t>
      </w:r>
      <w:r w:rsidR="00135028">
        <w:rPr>
          <w:rFonts w:cs="Arial"/>
        </w:rPr>
        <w:t xml:space="preserve"> qui concernent tant les étudiants Internationaux que les CNRQ, </w:t>
      </w:r>
      <w:r w:rsidR="00AE6FE7" w:rsidRPr="00DE1AE1">
        <w:rPr>
          <w:rFonts w:cs="Arial"/>
        </w:rPr>
        <w:t>l</w:t>
      </w:r>
      <w:r w:rsidR="0069129F" w:rsidRPr="00DE1AE1">
        <w:rPr>
          <w:rFonts w:cs="Arial"/>
        </w:rPr>
        <w:t xml:space="preserve">a preuve </w:t>
      </w:r>
      <w:r w:rsidR="00262C77" w:rsidRPr="00DE1AE1">
        <w:rPr>
          <w:rFonts w:cs="Arial"/>
        </w:rPr>
        <w:t xml:space="preserve">démontre que la Ministre ne </w:t>
      </w:r>
      <w:r w:rsidR="00AE6FE7" w:rsidRPr="00DE1AE1">
        <w:rPr>
          <w:rFonts w:cs="Arial"/>
        </w:rPr>
        <w:t>disposait</w:t>
      </w:r>
      <w:r w:rsidR="00262C77" w:rsidRPr="00DE1AE1">
        <w:rPr>
          <w:rFonts w:cs="Arial"/>
        </w:rPr>
        <w:t xml:space="preserve"> d’aucune donnée</w:t>
      </w:r>
      <w:r w:rsidR="00557712">
        <w:rPr>
          <w:rFonts w:cs="Arial"/>
        </w:rPr>
        <w:t xml:space="preserve"> à ce sujet</w:t>
      </w:r>
      <w:r w:rsidR="00E22121">
        <w:rPr>
          <w:rFonts w:cs="Arial"/>
        </w:rPr>
        <w:t xml:space="preserve">, sinon </w:t>
      </w:r>
      <w:r>
        <w:rPr>
          <w:rFonts w:cs="Arial"/>
        </w:rPr>
        <w:t>d’</w:t>
      </w:r>
      <w:r w:rsidR="00E22121">
        <w:rPr>
          <w:rFonts w:cs="Arial"/>
        </w:rPr>
        <w:t>informations fragiles</w:t>
      </w:r>
      <w:r w:rsidR="00135028">
        <w:rPr>
          <w:rFonts w:cs="Arial"/>
        </w:rPr>
        <w:t>. La modification qu’apporte la Règle budgétaire 3.4 devient ainsi déraisonnable</w:t>
      </w:r>
      <w:r w:rsidR="00262C77" w:rsidRPr="00DE1AE1">
        <w:rPr>
          <w:rFonts w:cs="Arial"/>
        </w:rPr>
        <w:t>;</w:t>
      </w:r>
    </w:p>
    <w:p w14:paraId="380F07D6" w14:textId="3C33CF3E" w:rsidR="00DE1AE1" w:rsidRDefault="00097C71" w:rsidP="00F25353">
      <w:pPr>
        <w:pStyle w:val="Paragraphe"/>
        <w:numPr>
          <w:ilvl w:val="0"/>
          <w:numId w:val="6"/>
        </w:numPr>
        <w:spacing w:line="240" w:lineRule="auto"/>
        <w:ind w:left="1080"/>
        <w:rPr>
          <w:rFonts w:cs="Arial"/>
        </w:rPr>
      </w:pPr>
      <w:r w:rsidRPr="00B56806">
        <w:rPr>
          <w:rFonts w:cs="Arial"/>
        </w:rPr>
        <w:t xml:space="preserve">La </w:t>
      </w:r>
      <w:r w:rsidR="00EF6896" w:rsidRPr="00B56806">
        <w:rPr>
          <w:rFonts w:cs="Arial"/>
        </w:rPr>
        <w:t>cible de 80</w:t>
      </w:r>
      <w:r w:rsidR="0050132B">
        <w:rPr>
          <w:rFonts w:cs="Arial"/>
        </w:rPr>
        <w:t> </w:t>
      </w:r>
      <w:r w:rsidR="00EF6896" w:rsidRPr="00B56806">
        <w:rPr>
          <w:rFonts w:cs="Arial"/>
        </w:rPr>
        <w:t xml:space="preserve">% prévue par la </w:t>
      </w:r>
      <w:r w:rsidR="00135028">
        <w:rPr>
          <w:rFonts w:cs="Arial"/>
        </w:rPr>
        <w:t xml:space="preserve">Règle 2.5.2 de la </w:t>
      </w:r>
      <w:r w:rsidRPr="00B56806">
        <w:rPr>
          <w:rFonts w:cs="Arial"/>
          <w:i/>
          <w:iCs/>
        </w:rPr>
        <w:t>Règle d</w:t>
      </w:r>
      <w:r w:rsidR="00DE1AE1" w:rsidRPr="00B56806">
        <w:rPr>
          <w:rFonts w:cs="Arial"/>
          <w:i/>
          <w:iCs/>
        </w:rPr>
        <w:t>’acquisition de compétences en français</w:t>
      </w:r>
      <w:r w:rsidR="00DE1AE1" w:rsidRPr="00B56806">
        <w:rPr>
          <w:rFonts w:cs="Arial"/>
        </w:rPr>
        <w:t xml:space="preserve">, </w:t>
      </w:r>
      <w:r w:rsidR="00690016" w:rsidRPr="00B56806">
        <w:rPr>
          <w:rFonts w:cs="Arial"/>
        </w:rPr>
        <w:t xml:space="preserve">pour </w:t>
      </w:r>
      <w:r w:rsidRPr="00B56806">
        <w:rPr>
          <w:rFonts w:cs="Arial"/>
        </w:rPr>
        <w:t>sa part</w:t>
      </w:r>
      <w:r w:rsidR="00690016" w:rsidRPr="00B56806">
        <w:rPr>
          <w:rFonts w:cs="Arial"/>
        </w:rPr>
        <w:t>, s’avère</w:t>
      </w:r>
      <w:r w:rsidRPr="00B56806">
        <w:rPr>
          <w:rFonts w:cs="Arial"/>
        </w:rPr>
        <w:t xml:space="preserve"> </w:t>
      </w:r>
      <w:r w:rsidR="00135028">
        <w:rPr>
          <w:rFonts w:cs="Arial"/>
        </w:rPr>
        <w:t xml:space="preserve">tout autant </w:t>
      </w:r>
      <w:r w:rsidRPr="00B56806">
        <w:rPr>
          <w:rFonts w:cs="Arial"/>
        </w:rPr>
        <w:t xml:space="preserve">déraisonnable en raison de son impossibilité </w:t>
      </w:r>
      <w:r w:rsidR="006D005C" w:rsidRPr="00B56806">
        <w:rPr>
          <w:rFonts w:cs="Arial"/>
        </w:rPr>
        <w:t>quasi</w:t>
      </w:r>
      <w:r w:rsidR="0022438F">
        <w:rPr>
          <w:rFonts w:cs="Arial"/>
        </w:rPr>
        <w:t xml:space="preserve"> </w:t>
      </w:r>
      <w:r w:rsidR="006D005C" w:rsidRPr="00B56806">
        <w:rPr>
          <w:rFonts w:cs="Arial"/>
        </w:rPr>
        <w:t xml:space="preserve">certaine </w:t>
      </w:r>
      <w:r w:rsidR="00262C77" w:rsidRPr="00B56806">
        <w:rPr>
          <w:rFonts w:cs="Arial"/>
        </w:rPr>
        <w:t>de</w:t>
      </w:r>
      <w:r w:rsidRPr="00B56806">
        <w:rPr>
          <w:rFonts w:cs="Arial"/>
        </w:rPr>
        <w:t xml:space="preserve"> l’atteindre. En outre, les conséquences du défaut d</w:t>
      </w:r>
      <w:r w:rsidR="00690016" w:rsidRPr="00B56806">
        <w:rPr>
          <w:rFonts w:cs="Arial"/>
        </w:rPr>
        <w:t>e respecter ce</w:t>
      </w:r>
      <w:r w:rsidR="00E22121" w:rsidRPr="00B56806">
        <w:rPr>
          <w:rFonts w:cs="Arial"/>
        </w:rPr>
        <w:t>tte règle</w:t>
      </w:r>
      <w:r w:rsidR="00DE1AE1" w:rsidRPr="00B56806">
        <w:rPr>
          <w:rFonts w:cs="Arial"/>
        </w:rPr>
        <w:t xml:space="preserve">, qui peuvent aller jusqu’au retrait total des subventions, même rétroactivement, </w:t>
      </w:r>
      <w:r w:rsidRPr="00B56806">
        <w:rPr>
          <w:rFonts w:cs="Arial"/>
        </w:rPr>
        <w:t>demeurent floues</w:t>
      </w:r>
      <w:r w:rsidR="00DE1AE1" w:rsidRPr="00B56806">
        <w:rPr>
          <w:rFonts w:cs="Arial"/>
        </w:rPr>
        <w:t>;</w:t>
      </w:r>
    </w:p>
    <w:p w14:paraId="0A0C7314" w14:textId="0301C037" w:rsidR="00135028" w:rsidRDefault="00E437E5" w:rsidP="00135028">
      <w:pPr>
        <w:pStyle w:val="Paragraphe"/>
        <w:numPr>
          <w:ilvl w:val="0"/>
          <w:numId w:val="6"/>
        </w:numPr>
        <w:spacing w:line="240" w:lineRule="auto"/>
        <w:ind w:left="1080"/>
        <w:rPr>
          <w:rFonts w:cs="Arial"/>
        </w:rPr>
      </w:pPr>
      <w:r>
        <w:rPr>
          <w:rFonts w:cs="Arial"/>
        </w:rPr>
        <w:t>Enfin, s</w:t>
      </w:r>
      <w:r w:rsidR="00135028">
        <w:rPr>
          <w:rFonts w:cs="Arial"/>
        </w:rPr>
        <w:t>uivant la LMES, la Ministre doit consulter le Comité consultatif sur l’aide financière aux études (</w:t>
      </w:r>
      <w:r w:rsidR="00135028" w:rsidRPr="00A644A1">
        <w:rPr>
          <w:rFonts w:cs="Arial"/>
          <w:b/>
          <w:bCs/>
        </w:rPr>
        <w:t>CCAF</w:t>
      </w:r>
      <w:r w:rsidR="00135028">
        <w:rPr>
          <w:rFonts w:cs="Arial"/>
          <w:b/>
          <w:bCs/>
        </w:rPr>
        <w:t>É</w:t>
      </w:r>
      <w:r w:rsidR="00135028">
        <w:rPr>
          <w:rFonts w:cs="Arial"/>
        </w:rPr>
        <w:t xml:space="preserve">). En l’occurrence, elle devait mener cette consultation valablement et se montrer ouverte </w:t>
      </w:r>
      <w:r>
        <w:rPr>
          <w:rFonts w:cs="Arial"/>
        </w:rPr>
        <w:t>aux</w:t>
      </w:r>
      <w:r w:rsidR="00135028">
        <w:rPr>
          <w:rFonts w:cs="Arial"/>
        </w:rPr>
        <w:t xml:space="preserve"> suggestions</w:t>
      </w:r>
      <w:r>
        <w:rPr>
          <w:rFonts w:cs="Arial"/>
        </w:rPr>
        <w:t xml:space="preserve"> du CCAFÉ</w:t>
      </w:r>
      <w:r w:rsidR="00135028">
        <w:rPr>
          <w:rFonts w:cs="Arial"/>
        </w:rPr>
        <w:t>, ce qui n’a pas été le cas</w:t>
      </w:r>
      <w:r>
        <w:rPr>
          <w:rFonts w:cs="Arial"/>
        </w:rPr>
        <w:t>.</w:t>
      </w:r>
      <w:r w:rsidR="00135028">
        <w:rPr>
          <w:rFonts w:cs="Arial"/>
        </w:rPr>
        <w:t xml:space="preserve"> Ce devoir ne </w:t>
      </w:r>
      <w:r w:rsidR="00135028" w:rsidRPr="004D0068">
        <w:rPr>
          <w:rFonts w:cs="Arial"/>
        </w:rPr>
        <w:t>s’étend</w:t>
      </w:r>
      <w:r w:rsidR="00135028">
        <w:rPr>
          <w:rFonts w:cs="Arial"/>
        </w:rPr>
        <w:t xml:space="preserve"> cependant pas à la consultation des universités elles-mêmes;</w:t>
      </w:r>
    </w:p>
    <w:p w14:paraId="24EADA67" w14:textId="5C1F6E89" w:rsidR="00AE6FE7" w:rsidRPr="00FB4EFF" w:rsidRDefault="007179A8" w:rsidP="00F25353">
      <w:pPr>
        <w:pStyle w:val="Paragraphe"/>
        <w:numPr>
          <w:ilvl w:val="0"/>
          <w:numId w:val="6"/>
        </w:numPr>
        <w:spacing w:line="240" w:lineRule="auto"/>
        <w:ind w:left="1080"/>
        <w:rPr>
          <w:rFonts w:cs="Arial"/>
        </w:rPr>
      </w:pPr>
      <w:r>
        <w:rPr>
          <w:rFonts w:cs="Arial"/>
        </w:rPr>
        <w:t>Vu ce qui précède, l</w:t>
      </w:r>
      <w:r w:rsidR="00AE6FE7">
        <w:rPr>
          <w:rFonts w:cs="Arial"/>
        </w:rPr>
        <w:t xml:space="preserve">a Ministre </w:t>
      </w:r>
      <w:r w:rsidR="00593C1F">
        <w:rPr>
          <w:rFonts w:cs="Arial"/>
        </w:rPr>
        <w:t>r</w:t>
      </w:r>
      <w:r w:rsidR="00AE6FE7">
        <w:rPr>
          <w:rFonts w:cs="Arial"/>
        </w:rPr>
        <w:t xml:space="preserve">end </w:t>
      </w:r>
      <w:r w:rsidR="00262C77">
        <w:rPr>
          <w:rFonts w:cs="Arial"/>
        </w:rPr>
        <w:t>des</w:t>
      </w:r>
      <w:r w:rsidR="00AE6FE7">
        <w:rPr>
          <w:rFonts w:cs="Arial"/>
        </w:rPr>
        <w:t xml:space="preserve"> décision</w:t>
      </w:r>
      <w:r w:rsidR="008A6BC5">
        <w:rPr>
          <w:rFonts w:cs="Arial"/>
        </w:rPr>
        <w:t>s</w:t>
      </w:r>
      <w:r w:rsidR="00AE6FE7">
        <w:rPr>
          <w:rFonts w:cs="Arial"/>
        </w:rPr>
        <w:t xml:space="preserve"> qui v</w:t>
      </w:r>
      <w:r w:rsidR="00262C77">
        <w:rPr>
          <w:rFonts w:cs="Arial"/>
        </w:rPr>
        <w:t>ont</w:t>
      </w:r>
      <w:r w:rsidR="00AE6FE7">
        <w:rPr>
          <w:rFonts w:cs="Arial"/>
        </w:rPr>
        <w:t xml:space="preserve"> à l’encontre de sa mission législative</w:t>
      </w:r>
      <w:r w:rsidR="00593C1F">
        <w:rPr>
          <w:rFonts w:cs="Arial"/>
        </w:rPr>
        <w:t xml:space="preserve"> en ce qui concerne la modification aux Règles budgétaires concernant les étudiants </w:t>
      </w:r>
      <w:r w:rsidR="00216A1F">
        <w:rPr>
          <w:rFonts w:cs="Arial"/>
        </w:rPr>
        <w:t>CNRQ</w:t>
      </w:r>
      <w:r w:rsidR="00593C1F">
        <w:rPr>
          <w:rFonts w:cs="Arial"/>
        </w:rPr>
        <w:t xml:space="preserve"> et la </w:t>
      </w:r>
      <w:r w:rsidR="00593C1F" w:rsidRPr="00593C1F">
        <w:rPr>
          <w:rFonts w:cs="Arial"/>
          <w:i/>
          <w:iCs/>
        </w:rPr>
        <w:t>Règle d’acquisition de compétences en français</w:t>
      </w:r>
      <w:r w:rsidR="00AE6FE7">
        <w:rPr>
          <w:rFonts w:cs="Arial"/>
        </w:rPr>
        <w:t>.</w:t>
      </w:r>
    </w:p>
    <w:p w14:paraId="71C09E8B" w14:textId="76DE6BA4" w:rsidR="00A90E67" w:rsidRDefault="00A90E67" w:rsidP="0032249D">
      <w:pPr>
        <w:pStyle w:val="Paragraphe"/>
        <w:tabs>
          <w:tab w:val="clear" w:pos="2204"/>
        </w:tabs>
        <w:spacing w:line="240" w:lineRule="auto"/>
        <w:ind w:left="0"/>
        <w:rPr>
          <w:rFonts w:cs="Arial"/>
        </w:rPr>
      </w:pPr>
      <w:r>
        <w:rPr>
          <w:rFonts w:cs="Arial"/>
        </w:rPr>
        <w:t>La retenue judiciaire en matière d’administration de fonds publics ne va pas</w:t>
      </w:r>
      <w:r w:rsidR="00E22121">
        <w:rPr>
          <w:rFonts w:cs="Arial"/>
        </w:rPr>
        <w:t xml:space="preserve">, en l’occurrence, </w:t>
      </w:r>
      <w:r>
        <w:rPr>
          <w:rFonts w:cs="Arial"/>
        </w:rPr>
        <w:t>jusqu’à immuniser l’État des conséquence</w:t>
      </w:r>
      <w:r w:rsidR="00097C71">
        <w:rPr>
          <w:rFonts w:cs="Arial"/>
        </w:rPr>
        <w:t>s</w:t>
      </w:r>
      <w:r>
        <w:rPr>
          <w:rFonts w:cs="Arial"/>
        </w:rPr>
        <w:t xml:space="preserve"> </w:t>
      </w:r>
      <w:r w:rsidR="006D005C">
        <w:rPr>
          <w:rFonts w:cs="Arial"/>
        </w:rPr>
        <w:t xml:space="preserve">juridiques </w:t>
      </w:r>
      <w:r>
        <w:rPr>
          <w:rFonts w:cs="Arial"/>
        </w:rPr>
        <w:t xml:space="preserve">de mesures déraisonnables puisque non justifiées par des données probantes et existantes ou contraires à </w:t>
      </w:r>
      <w:r w:rsidR="001A727B">
        <w:rPr>
          <w:rFonts w:cs="Arial"/>
        </w:rPr>
        <w:t>l</w:t>
      </w:r>
      <w:r>
        <w:rPr>
          <w:rFonts w:cs="Arial"/>
        </w:rPr>
        <w:t xml:space="preserve">a mission </w:t>
      </w:r>
      <w:r w:rsidR="00F26E0A">
        <w:rPr>
          <w:rFonts w:cs="Arial"/>
        </w:rPr>
        <w:t>ministérielle prévue à la loi</w:t>
      </w:r>
      <w:r w:rsidR="00097C71">
        <w:rPr>
          <w:rFonts w:cs="Arial"/>
        </w:rPr>
        <w:t xml:space="preserve"> </w:t>
      </w:r>
      <w:r>
        <w:rPr>
          <w:rFonts w:cs="Arial"/>
        </w:rPr>
        <w:t>(</w:t>
      </w:r>
      <w:r w:rsidRPr="00107645">
        <w:rPr>
          <w:rFonts w:cs="Arial"/>
          <w:i/>
          <w:iCs/>
        </w:rPr>
        <w:t>Roncarelli</w:t>
      </w:r>
      <w:r>
        <w:rPr>
          <w:rFonts w:cs="Arial"/>
        </w:rPr>
        <w:t xml:space="preserve"> c. </w:t>
      </w:r>
      <w:r w:rsidRPr="00107645">
        <w:rPr>
          <w:rFonts w:cs="Arial"/>
          <w:i/>
          <w:iCs/>
        </w:rPr>
        <w:t>Duplessis</w:t>
      </w:r>
      <w:bookmarkStart w:id="9" w:name="_Ref194265045"/>
      <w:r w:rsidR="00E22121" w:rsidRPr="00953E19">
        <w:rPr>
          <w:rStyle w:val="Appelnotedebasdep"/>
          <w:rFonts w:cs="Arial"/>
        </w:rPr>
        <w:footnoteReference w:id="18"/>
      </w:r>
      <w:bookmarkEnd w:id="9"/>
      <w:r>
        <w:rPr>
          <w:rFonts w:cs="Arial"/>
        </w:rPr>
        <w:t>).</w:t>
      </w:r>
      <w:r w:rsidR="00ED1514">
        <w:rPr>
          <w:rFonts w:cs="Arial"/>
        </w:rPr>
        <w:t xml:space="preserve"> Ici, les bases factuelles erronées</w:t>
      </w:r>
      <w:r w:rsidR="00E22121">
        <w:rPr>
          <w:rFonts w:cs="Arial"/>
        </w:rPr>
        <w:t>, absentes ou</w:t>
      </w:r>
      <w:r w:rsidR="00ED1514">
        <w:rPr>
          <w:rFonts w:cs="Arial"/>
        </w:rPr>
        <w:t xml:space="preserve"> contraires à la mission législative de la Ministre rendent </w:t>
      </w:r>
      <w:r w:rsidR="001F7CA5" w:rsidRPr="00B56806">
        <w:rPr>
          <w:rFonts w:cs="Arial"/>
        </w:rPr>
        <w:t>en partie</w:t>
      </w:r>
      <w:r w:rsidR="001F7CA5">
        <w:rPr>
          <w:rFonts w:cs="Arial"/>
        </w:rPr>
        <w:t xml:space="preserve"> </w:t>
      </w:r>
      <w:r w:rsidR="001A727B">
        <w:rPr>
          <w:rFonts w:cs="Arial"/>
        </w:rPr>
        <w:t xml:space="preserve">illégales </w:t>
      </w:r>
      <w:r w:rsidR="0074368C">
        <w:rPr>
          <w:rFonts w:cs="Arial"/>
        </w:rPr>
        <w:t>sa</w:t>
      </w:r>
      <w:r w:rsidR="00ED1514">
        <w:rPr>
          <w:rFonts w:cs="Arial"/>
        </w:rPr>
        <w:t xml:space="preserve"> décision </w:t>
      </w:r>
      <w:r w:rsidR="001A727B">
        <w:rPr>
          <w:rFonts w:cs="Arial"/>
        </w:rPr>
        <w:t xml:space="preserve">et </w:t>
      </w:r>
      <w:r w:rsidR="0074368C">
        <w:rPr>
          <w:rFonts w:cs="Arial"/>
        </w:rPr>
        <w:t>l</w:t>
      </w:r>
      <w:r w:rsidR="001A727B">
        <w:rPr>
          <w:rFonts w:cs="Arial"/>
        </w:rPr>
        <w:t>es Règles budgétaires</w:t>
      </w:r>
      <w:r w:rsidR="0074368C">
        <w:rPr>
          <w:rFonts w:cs="Arial"/>
        </w:rPr>
        <w:t xml:space="preserve"> attaquées</w:t>
      </w:r>
      <w:r w:rsidR="00ED1514">
        <w:rPr>
          <w:rFonts w:cs="Arial"/>
        </w:rPr>
        <w:t xml:space="preserve"> en ce qu</w:t>
      </w:r>
      <w:r w:rsidR="006D005C">
        <w:rPr>
          <w:rFonts w:cs="Arial"/>
        </w:rPr>
        <w:t>e, tenant compte des contraintes factuelles et juridiques</w:t>
      </w:r>
      <w:r w:rsidR="009A4AC9">
        <w:rPr>
          <w:rFonts w:cs="Arial"/>
        </w:rPr>
        <w:t xml:space="preserve"> qui s’imposaient</w:t>
      </w:r>
      <w:r w:rsidR="006D005C">
        <w:rPr>
          <w:rFonts w:cs="Arial"/>
        </w:rPr>
        <w:t xml:space="preserve">, </w:t>
      </w:r>
      <w:r w:rsidR="00ED1514">
        <w:rPr>
          <w:rFonts w:cs="Arial"/>
        </w:rPr>
        <w:t>elle</w:t>
      </w:r>
      <w:r w:rsidR="001A727B">
        <w:rPr>
          <w:rFonts w:cs="Arial"/>
        </w:rPr>
        <w:t>s</w:t>
      </w:r>
      <w:r w:rsidR="00ED1514">
        <w:rPr>
          <w:rFonts w:cs="Arial"/>
        </w:rPr>
        <w:t xml:space="preserve"> dépasse</w:t>
      </w:r>
      <w:r w:rsidR="001A727B">
        <w:rPr>
          <w:rFonts w:cs="Arial"/>
        </w:rPr>
        <w:t>nt</w:t>
      </w:r>
      <w:r w:rsidR="00ED1514">
        <w:rPr>
          <w:rFonts w:cs="Arial"/>
        </w:rPr>
        <w:t xml:space="preserve"> les limites de la raisonnabilité</w:t>
      </w:r>
      <w:r w:rsidR="0074368C">
        <w:rPr>
          <w:rFonts w:cs="Arial"/>
        </w:rPr>
        <w:t>.</w:t>
      </w:r>
    </w:p>
    <w:p w14:paraId="0918D79A" w14:textId="2ACDBEAF" w:rsidR="006A77F0" w:rsidRPr="00DF4EDD" w:rsidRDefault="006A77F0" w:rsidP="00A94BFB">
      <w:pPr>
        <w:pStyle w:val="Paragraphe"/>
        <w:numPr>
          <w:ilvl w:val="2"/>
          <w:numId w:val="8"/>
        </w:numPr>
        <w:spacing w:line="240" w:lineRule="auto"/>
        <w:rPr>
          <w:u w:val="single"/>
        </w:rPr>
      </w:pPr>
      <w:r w:rsidRPr="00DF4EDD">
        <w:rPr>
          <w:u w:val="single"/>
        </w:rPr>
        <w:t>S</w:t>
      </w:r>
      <w:r w:rsidR="00A90E67" w:rsidRPr="00DF4EDD">
        <w:rPr>
          <w:u w:val="single"/>
        </w:rPr>
        <w:t xml:space="preserve">’agissant des </w:t>
      </w:r>
      <w:r w:rsidR="00675A5F">
        <w:rPr>
          <w:rFonts w:cs="Arial"/>
          <w:u w:val="single"/>
        </w:rPr>
        <w:t>arguments de droit</w:t>
      </w:r>
      <w:r w:rsidR="00A90E67" w:rsidRPr="00AF1490">
        <w:rPr>
          <w:rFonts w:cs="Arial"/>
          <w:u w:val="single"/>
        </w:rPr>
        <w:t xml:space="preserve"> constitutio</w:t>
      </w:r>
      <w:r w:rsidR="006D005C" w:rsidRPr="00AF1490">
        <w:rPr>
          <w:rFonts w:cs="Arial"/>
          <w:u w:val="single"/>
        </w:rPr>
        <w:t>n</w:t>
      </w:r>
      <w:r w:rsidR="00A90E67" w:rsidRPr="00AF1490">
        <w:rPr>
          <w:rFonts w:cs="Arial"/>
          <w:u w:val="single"/>
        </w:rPr>
        <w:t>nel</w:t>
      </w:r>
    </w:p>
    <w:p w14:paraId="732B67B9" w14:textId="47191872" w:rsidR="009A4AC9" w:rsidRDefault="007050D5" w:rsidP="0032249D">
      <w:pPr>
        <w:pStyle w:val="Paragraphe"/>
        <w:keepNext/>
        <w:tabs>
          <w:tab w:val="clear" w:pos="2204"/>
        </w:tabs>
        <w:spacing w:line="240" w:lineRule="auto"/>
        <w:ind w:left="0"/>
        <w:rPr>
          <w:rFonts w:cs="Arial"/>
        </w:rPr>
      </w:pPr>
      <w:r w:rsidRPr="009A4AC9">
        <w:rPr>
          <w:rFonts w:cs="Arial"/>
        </w:rPr>
        <w:t xml:space="preserve">Les </w:t>
      </w:r>
      <w:r w:rsidR="00135028">
        <w:rPr>
          <w:rFonts w:cs="Arial"/>
        </w:rPr>
        <w:t>p</w:t>
      </w:r>
      <w:r w:rsidRPr="009A4AC9">
        <w:rPr>
          <w:rFonts w:cs="Arial"/>
        </w:rPr>
        <w:t>ou</w:t>
      </w:r>
      <w:r w:rsidR="008A6BC5" w:rsidRPr="009A4AC9">
        <w:rPr>
          <w:rFonts w:cs="Arial"/>
        </w:rPr>
        <w:t>r</w:t>
      </w:r>
      <w:r w:rsidRPr="009A4AC9">
        <w:rPr>
          <w:rFonts w:cs="Arial"/>
        </w:rPr>
        <w:t xml:space="preserve">vois pouvant se résoudre </w:t>
      </w:r>
      <w:r w:rsidR="00F65C72">
        <w:rPr>
          <w:rFonts w:cs="Arial"/>
        </w:rPr>
        <w:t xml:space="preserve">en grande partie </w:t>
      </w:r>
      <w:r w:rsidR="00E437E5">
        <w:rPr>
          <w:rFonts w:cs="Arial"/>
        </w:rPr>
        <w:t>sous l’angle</w:t>
      </w:r>
      <w:r w:rsidRPr="009A4AC9">
        <w:rPr>
          <w:rFonts w:cs="Arial"/>
        </w:rPr>
        <w:t xml:space="preserve"> du droit administratif, il s’avère inutile de traiter des </w:t>
      </w:r>
      <w:r w:rsidR="00E437E5">
        <w:rPr>
          <w:rFonts w:cs="Arial"/>
        </w:rPr>
        <w:t>arguments</w:t>
      </w:r>
      <w:r w:rsidRPr="009A4AC9">
        <w:rPr>
          <w:rFonts w:cs="Arial"/>
        </w:rPr>
        <w:t xml:space="preserve"> constitutionnels</w:t>
      </w:r>
      <w:r w:rsidR="008A6BC5" w:rsidRPr="009A4AC9">
        <w:rPr>
          <w:rFonts w:cs="Arial"/>
        </w:rPr>
        <w:t xml:space="preserve">, suivant l’arrêt </w:t>
      </w:r>
      <w:r w:rsidRPr="009A4AC9">
        <w:rPr>
          <w:rFonts w:cs="Arial"/>
          <w:i/>
          <w:iCs/>
        </w:rPr>
        <w:t>Baker</w:t>
      </w:r>
      <w:bookmarkStart w:id="10" w:name="_Ref195012867"/>
      <w:r w:rsidR="00147784" w:rsidRPr="00983DD0">
        <w:rPr>
          <w:rStyle w:val="Appelnotedebasdep"/>
          <w:rFonts w:cs="Arial"/>
        </w:rPr>
        <w:footnoteReference w:id="19"/>
      </w:r>
      <w:bookmarkEnd w:id="10"/>
      <w:r w:rsidR="009A4AC9" w:rsidRPr="009A4AC9">
        <w:rPr>
          <w:rFonts w:cs="Arial"/>
        </w:rPr>
        <w:t xml:space="preserve">. </w:t>
      </w:r>
      <w:r w:rsidR="009A4AC9">
        <w:rPr>
          <w:rFonts w:cs="Arial"/>
        </w:rPr>
        <w:t>L</w:t>
      </w:r>
      <w:r w:rsidR="009A4AC9" w:rsidRPr="009A4AC9">
        <w:rPr>
          <w:rFonts w:cs="Arial"/>
        </w:rPr>
        <w:t xml:space="preserve">es écueils factuels </w:t>
      </w:r>
      <w:r w:rsidR="009A4AC9">
        <w:rPr>
          <w:rFonts w:cs="Arial"/>
        </w:rPr>
        <w:t xml:space="preserve">que présentent les </w:t>
      </w:r>
      <w:r w:rsidR="00135028">
        <w:rPr>
          <w:rFonts w:cs="Arial"/>
        </w:rPr>
        <w:t>instances</w:t>
      </w:r>
      <w:r w:rsidR="00F65C72">
        <w:rPr>
          <w:rFonts w:cs="Arial"/>
        </w:rPr>
        <w:t xml:space="preserve">, notamment l’absence de </w:t>
      </w:r>
      <w:r w:rsidR="00F65C72">
        <w:rPr>
          <w:rFonts w:cs="Arial"/>
        </w:rPr>
        <w:lastRenderedPageBreak/>
        <w:t>preuve d’une atteinte personnalisée à un étudiant International</w:t>
      </w:r>
      <w:r w:rsidR="00135028">
        <w:rPr>
          <w:rFonts w:cs="Arial"/>
        </w:rPr>
        <w:t xml:space="preserve"> de son droit à l’égalité</w:t>
      </w:r>
      <w:r w:rsidR="00F65C72">
        <w:rPr>
          <w:rFonts w:cs="Arial"/>
        </w:rPr>
        <w:t>,</w:t>
      </w:r>
      <w:r w:rsidR="009A4AC9" w:rsidRPr="009A4AC9">
        <w:rPr>
          <w:rFonts w:cs="Arial"/>
        </w:rPr>
        <w:t xml:space="preserve"> </w:t>
      </w:r>
      <w:r w:rsidR="009A4AC9">
        <w:rPr>
          <w:rFonts w:cs="Arial"/>
        </w:rPr>
        <w:t xml:space="preserve">renforcent </w:t>
      </w:r>
      <w:r w:rsidR="009A4AC9" w:rsidRPr="009A4AC9">
        <w:rPr>
          <w:rFonts w:cs="Arial"/>
        </w:rPr>
        <w:t>cette retenue judiciaire.</w:t>
      </w:r>
    </w:p>
    <w:p w14:paraId="62C14955" w14:textId="1281AF50" w:rsidR="0074368C" w:rsidRPr="00DF4EDD" w:rsidRDefault="0074368C" w:rsidP="00135CD7">
      <w:pPr>
        <w:pStyle w:val="Paragraphe"/>
        <w:keepNext/>
        <w:numPr>
          <w:ilvl w:val="2"/>
          <w:numId w:val="8"/>
        </w:numPr>
        <w:spacing w:line="240" w:lineRule="auto"/>
        <w:rPr>
          <w:u w:val="single"/>
        </w:rPr>
      </w:pPr>
      <w:r w:rsidRPr="00DF4EDD">
        <w:rPr>
          <w:u w:val="single"/>
        </w:rPr>
        <w:t xml:space="preserve">Les </w:t>
      </w:r>
      <w:r w:rsidR="00C452CB" w:rsidRPr="00DF4EDD">
        <w:rPr>
          <w:u w:val="single"/>
        </w:rPr>
        <w:t xml:space="preserve">conclusions </w:t>
      </w:r>
      <w:r w:rsidRPr="00DF4EDD">
        <w:rPr>
          <w:u w:val="single"/>
        </w:rPr>
        <w:t>appropriées</w:t>
      </w:r>
    </w:p>
    <w:bookmarkEnd w:id="8"/>
    <w:p w14:paraId="123753B2" w14:textId="499A99F4" w:rsidR="00F65C72" w:rsidRPr="00F65C72" w:rsidRDefault="001B7234" w:rsidP="006A3C93">
      <w:pPr>
        <w:pStyle w:val="Paragraphe"/>
        <w:keepNext/>
        <w:tabs>
          <w:tab w:val="clear" w:pos="2204"/>
        </w:tabs>
        <w:spacing w:line="240" w:lineRule="auto"/>
        <w:ind w:left="0"/>
        <w:rPr>
          <w:rFonts w:cs="Arial"/>
          <w:b/>
          <w:bCs/>
        </w:rPr>
      </w:pPr>
      <w:r w:rsidRPr="009A4AC9">
        <w:rPr>
          <w:rFonts w:cs="Arial"/>
        </w:rPr>
        <w:t>Le Tribunal accueillera</w:t>
      </w:r>
      <w:r w:rsidR="00A705D4">
        <w:rPr>
          <w:rFonts w:cs="Arial"/>
        </w:rPr>
        <w:t xml:space="preserve"> </w:t>
      </w:r>
      <w:r w:rsidR="00A705D4" w:rsidRPr="0032249D">
        <w:rPr>
          <w:rFonts w:cs="Arial"/>
        </w:rPr>
        <w:t>en partie</w:t>
      </w:r>
      <w:r w:rsidR="00A705D4">
        <w:rPr>
          <w:rFonts w:cs="Arial"/>
        </w:rPr>
        <w:t xml:space="preserve"> </w:t>
      </w:r>
      <w:r w:rsidRPr="009A4AC9">
        <w:rPr>
          <w:rFonts w:cs="Arial"/>
        </w:rPr>
        <w:t>le</w:t>
      </w:r>
      <w:r w:rsidR="001A727B" w:rsidRPr="009A4AC9">
        <w:rPr>
          <w:rFonts w:cs="Arial"/>
        </w:rPr>
        <w:t xml:space="preserve">s </w:t>
      </w:r>
      <w:r w:rsidR="00E437E5" w:rsidRPr="00E437E5">
        <w:rPr>
          <w:rFonts w:cs="Arial"/>
        </w:rPr>
        <w:t>p</w:t>
      </w:r>
      <w:r w:rsidR="001A727B" w:rsidRPr="00E437E5">
        <w:rPr>
          <w:rFonts w:cs="Arial"/>
        </w:rPr>
        <w:t>ourvois</w:t>
      </w:r>
      <w:r w:rsidR="00F65C72">
        <w:rPr>
          <w:rFonts w:cs="Arial"/>
        </w:rPr>
        <w:t xml:space="preserve"> et déclarera </w:t>
      </w:r>
      <w:r w:rsidR="00C452CB">
        <w:rPr>
          <w:rFonts w:cs="Arial"/>
        </w:rPr>
        <w:t xml:space="preserve">invalides les Règles attaquées, sauf les </w:t>
      </w:r>
      <w:r w:rsidR="00325C29">
        <w:rPr>
          <w:rFonts w:cs="Arial"/>
        </w:rPr>
        <w:t>Rè</w:t>
      </w:r>
      <w:r w:rsidR="00C452CB">
        <w:rPr>
          <w:rFonts w:cs="Arial"/>
        </w:rPr>
        <w:t>gles budgétaires</w:t>
      </w:r>
      <w:r w:rsidR="00325C29">
        <w:rPr>
          <w:rFonts w:cs="Arial"/>
        </w:rPr>
        <w:t xml:space="preserve"> 3.5 et 3.6</w:t>
      </w:r>
      <w:r w:rsidR="00C452CB">
        <w:rPr>
          <w:rFonts w:cs="Arial"/>
        </w:rPr>
        <w:t xml:space="preserve"> qui concernent les étudiants Internationaux</w:t>
      </w:r>
      <w:r w:rsidR="001A727B" w:rsidRPr="009A4AC9">
        <w:rPr>
          <w:rFonts w:cs="Arial"/>
        </w:rPr>
        <w:t xml:space="preserve">. </w:t>
      </w:r>
      <w:r w:rsidR="009A4AC9">
        <w:rPr>
          <w:rFonts w:cs="Arial"/>
        </w:rPr>
        <w:t xml:space="preserve">Toutefois, </w:t>
      </w:r>
      <w:r w:rsidR="00C452CB">
        <w:rPr>
          <w:rFonts w:cs="Arial"/>
        </w:rPr>
        <w:t xml:space="preserve">comme les Règles budgétaires constituent un ensemble indissociable, et </w:t>
      </w:r>
      <w:r w:rsidR="009A4AC9">
        <w:rPr>
          <w:rFonts w:cs="Arial"/>
        </w:rPr>
        <w:t>afin d’</w:t>
      </w:r>
      <w:r w:rsidR="00C32D49" w:rsidRPr="009A4AC9">
        <w:rPr>
          <w:rFonts w:cs="Arial"/>
        </w:rPr>
        <w:t xml:space="preserve">éviter toute impasse </w:t>
      </w:r>
      <w:r w:rsidR="00135028">
        <w:rPr>
          <w:rFonts w:cs="Arial"/>
        </w:rPr>
        <w:t xml:space="preserve">dans </w:t>
      </w:r>
      <w:r w:rsidR="00E437E5" w:rsidRPr="00E437E5">
        <w:rPr>
          <w:rFonts w:cs="Arial"/>
        </w:rPr>
        <w:t>leurs</w:t>
      </w:r>
      <w:r w:rsidR="00135028">
        <w:rPr>
          <w:rFonts w:cs="Arial"/>
        </w:rPr>
        <w:t xml:space="preserve"> applications linéaire et cohérente</w:t>
      </w:r>
      <w:r w:rsidR="00C32D49" w:rsidRPr="009A4AC9">
        <w:rPr>
          <w:rFonts w:cs="Arial"/>
        </w:rPr>
        <w:t>, le Tribunal suspendra</w:t>
      </w:r>
      <w:r w:rsidR="009A4AC9">
        <w:rPr>
          <w:rFonts w:cs="Arial"/>
        </w:rPr>
        <w:t xml:space="preserve"> </w:t>
      </w:r>
      <w:r w:rsidR="00C32D49" w:rsidRPr="009A4AC9">
        <w:rPr>
          <w:rFonts w:cs="Arial"/>
        </w:rPr>
        <w:t xml:space="preserve">l’exécution des conclusions du présent jugement </w:t>
      </w:r>
      <w:r w:rsidR="009A4AC9" w:rsidRPr="009A4AC9">
        <w:rPr>
          <w:rFonts w:cs="Arial"/>
        </w:rPr>
        <w:t xml:space="preserve">jusqu’à ce que </w:t>
      </w:r>
      <w:r w:rsidR="00C32D49" w:rsidRPr="009A4AC9">
        <w:rPr>
          <w:rFonts w:cs="Arial"/>
        </w:rPr>
        <w:t>la Ministre</w:t>
      </w:r>
      <w:r w:rsidR="00F65C72">
        <w:rPr>
          <w:rFonts w:cs="Arial"/>
        </w:rPr>
        <w:t xml:space="preserve"> les</w:t>
      </w:r>
      <w:r w:rsidR="00C32D49" w:rsidRPr="009A4AC9">
        <w:rPr>
          <w:rFonts w:cs="Arial"/>
        </w:rPr>
        <w:t xml:space="preserve"> modifie à nouveau de manière </w:t>
      </w:r>
      <w:r w:rsidR="008A6BC5" w:rsidRPr="009A4AC9">
        <w:rPr>
          <w:rFonts w:cs="Arial"/>
        </w:rPr>
        <w:t xml:space="preserve">à </w:t>
      </w:r>
      <w:r w:rsidR="001A727B" w:rsidRPr="009A4AC9">
        <w:rPr>
          <w:rFonts w:cs="Arial"/>
        </w:rPr>
        <w:t xml:space="preserve">se </w:t>
      </w:r>
      <w:r w:rsidR="00C32D49" w:rsidRPr="009A4AC9">
        <w:rPr>
          <w:rFonts w:cs="Arial"/>
        </w:rPr>
        <w:t>conforme</w:t>
      </w:r>
      <w:r w:rsidR="001A727B" w:rsidRPr="009A4AC9">
        <w:rPr>
          <w:rFonts w:cs="Arial"/>
        </w:rPr>
        <w:t>r</w:t>
      </w:r>
      <w:r w:rsidR="00C32D49" w:rsidRPr="009A4AC9">
        <w:rPr>
          <w:rFonts w:cs="Arial"/>
        </w:rPr>
        <w:t xml:space="preserve"> aux présents motifs.</w:t>
      </w:r>
      <w:r w:rsidR="00E437E5" w:rsidRPr="00E437E5">
        <w:rPr>
          <w:rFonts w:cs="Arial"/>
        </w:rPr>
        <w:t xml:space="preserve"> </w:t>
      </w:r>
      <w:r w:rsidR="00C32D49" w:rsidRPr="009A4AC9">
        <w:rPr>
          <w:rFonts w:cs="Arial"/>
        </w:rPr>
        <w:t>Da</w:t>
      </w:r>
      <w:r w:rsidR="00F57D2E" w:rsidRPr="009A4AC9">
        <w:rPr>
          <w:rFonts w:cs="Arial"/>
        </w:rPr>
        <w:t xml:space="preserve">ns l’intervalle, les </w:t>
      </w:r>
      <w:r w:rsidR="009A4AC9">
        <w:rPr>
          <w:rFonts w:cs="Arial"/>
        </w:rPr>
        <w:t>R</w:t>
      </w:r>
      <w:r w:rsidR="00F57D2E" w:rsidRPr="009A4AC9">
        <w:rPr>
          <w:rFonts w:cs="Arial"/>
        </w:rPr>
        <w:t>ègles budgétaires</w:t>
      </w:r>
      <w:r w:rsidR="009A4AC9">
        <w:rPr>
          <w:rFonts w:cs="Arial"/>
        </w:rPr>
        <w:t xml:space="preserve"> </w:t>
      </w:r>
      <w:r w:rsidR="00F57D2E" w:rsidRPr="009A4AC9">
        <w:rPr>
          <w:rFonts w:cs="Arial"/>
        </w:rPr>
        <w:t>actuelles demeure</w:t>
      </w:r>
      <w:r w:rsidR="0037178A" w:rsidRPr="009A4AC9">
        <w:rPr>
          <w:rFonts w:cs="Arial"/>
        </w:rPr>
        <w:t>ro</w:t>
      </w:r>
      <w:r w:rsidR="00F57D2E" w:rsidRPr="009A4AC9">
        <w:rPr>
          <w:rFonts w:cs="Arial"/>
        </w:rPr>
        <w:t>nt</w:t>
      </w:r>
      <w:r w:rsidR="00F65C72">
        <w:rPr>
          <w:rFonts w:cs="Arial"/>
        </w:rPr>
        <w:t xml:space="preserve"> </w:t>
      </w:r>
      <w:r w:rsidR="00135028">
        <w:rPr>
          <w:rFonts w:cs="Arial"/>
        </w:rPr>
        <w:t xml:space="preserve">donc </w:t>
      </w:r>
      <w:r w:rsidR="00F65C72">
        <w:rPr>
          <w:rFonts w:cs="Arial"/>
        </w:rPr>
        <w:t>applicables.</w:t>
      </w:r>
    </w:p>
    <w:p w14:paraId="21DBDDE2" w14:textId="3D4C3584" w:rsidR="001B7234" w:rsidRPr="009A4AC9" w:rsidRDefault="00135028" w:rsidP="0032249D">
      <w:pPr>
        <w:pStyle w:val="Paragraphe"/>
        <w:tabs>
          <w:tab w:val="clear" w:pos="2204"/>
        </w:tabs>
        <w:spacing w:line="240" w:lineRule="auto"/>
        <w:ind w:left="0"/>
        <w:rPr>
          <w:rFonts w:cs="Arial"/>
          <w:b/>
          <w:bCs/>
        </w:rPr>
      </w:pPr>
      <w:r>
        <w:rPr>
          <w:rFonts w:cs="Arial"/>
        </w:rPr>
        <w:t>En revanche</w:t>
      </w:r>
      <w:r w:rsidR="00F65C72">
        <w:rPr>
          <w:rFonts w:cs="Arial"/>
        </w:rPr>
        <w:t xml:space="preserve">, </w:t>
      </w:r>
      <w:r w:rsidR="001A727B" w:rsidRPr="0032249D">
        <w:rPr>
          <w:rFonts w:cs="Arial"/>
        </w:rPr>
        <w:t>l</w:t>
      </w:r>
      <w:r w:rsidR="009A4AC9" w:rsidRPr="0032249D">
        <w:rPr>
          <w:rFonts w:cs="Arial"/>
        </w:rPr>
        <w:t>a</w:t>
      </w:r>
      <w:r w:rsidR="005B1506" w:rsidRPr="0032249D">
        <w:rPr>
          <w:rFonts w:cs="Arial"/>
        </w:rPr>
        <w:t xml:space="preserve"> cible prévue par </w:t>
      </w:r>
      <w:r w:rsidR="005B1506" w:rsidRPr="0086527A">
        <w:rPr>
          <w:rFonts w:cs="Arial"/>
        </w:rPr>
        <w:t>la</w:t>
      </w:r>
      <w:r w:rsidR="009A4AC9">
        <w:rPr>
          <w:rFonts w:cs="Arial"/>
        </w:rPr>
        <w:t xml:space="preserve"> </w:t>
      </w:r>
      <w:r w:rsidR="00C32D49" w:rsidRPr="009A4AC9">
        <w:rPr>
          <w:rFonts w:cs="Arial"/>
        </w:rPr>
        <w:t>Règle</w:t>
      </w:r>
      <w:r w:rsidR="009A4AC9">
        <w:rPr>
          <w:rFonts w:cs="Arial"/>
        </w:rPr>
        <w:t xml:space="preserve"> d’acquisition de compétences en français</w:t>
      </w:r>
      <w:r w:rsidR="00C32D49" w:rsidRPr="009A4AC9">
        <w:rPr>
          <w:rFonts w:cs="Arial"/>
        </w:rPr>
        <w:t xml:space="preserve"> cesse</w:t>
      </w:r>
      <w:r>
        <w:rPr>
          <w:rFonts w:cs="Arial"/>
        </w:rPr>
        <w:t>ra</w:t>
      </w:r>
      <w:r w:rsidR="00C32D49" w:rsidRPr="009A4AC9">
        <w:rPr>
          <w:rFonts w:cs="Arial"/>
        </w:rPr>
        <w:t xml:space="preserve"> d’avoir effet immédiatement.</w:t>
      </w:r>
    </w:p>
    <w:p w14:paraId="31CEB853" w14:textId="77777777" w:rsidR="00AE6FE7" w:rsidRDefault="00AE6FE7" w:rsidP="00E61D16">
      <w:pPr>
        <w:pStyle w:val="Paragraphe"/>
        <w:numPr>
          <w:ilvl w:val="0"/>
          <w:numId w:val="0"/>
        </w:numPr>
        <w:spacing w:line="240" w:lineRule="auto"/>
        <w:rPr>
          <w:b/>
          <w:bCs/>
        </w:rPr>
      </w:pPr>
      <w:r w:rsidRPr="00AE6FE7">
        <w:rPr>
          <w:b/>
          <w:bCs/>
        </w:rPr>
        <w:t>ANALYSE</w:t>
      </w:r>
    </w:p>
    <w:p w14:paraId="54C2E57B" w14:textId="18174A81" w:rsidR="00116AD6" w:rsidRPr="00AE6FE7" w:rsidRDefault="00116AD6" w:rsidP="00E61D16">
      <w:pPr>
        <w:pStyle w:val="Paragraphe"/>
        <w:numPr>
          <w:ilvl w:val="0"/>
          <w:numId w:val="0"/>
        </w:numPr>
        <w:spacing w:line="240" w:lineRule="auto"/>
        <w:rPr>
          <w:b/>
          <w:bCs/>
        </w:rPr>
      </w:pPr>
      <w:r>
        <w:rPr>
          <w:b/>
          <w:bCs/>
        </w:rPr>
        <w:t xml:space="preserve">LE CADRE </w:t>
      </w:r>
      <w:r w:rsidR="00C452CB">
        <w:rPr>
          <w:b/>
          <w:bCs/>
        </w:rPr>
        <w:t>LÉGISLATIF</w:t>
      </w:r>
      <w:r w:rsidR="001B63BA">
        <w:rPr>
          <w:b/>
          <w:bCs/>
        </w:rPr>
        <w:t xml:space="preserve"> GÉNÉRAL</w:t>
      </w:r>
    </w:p>
    <w:p w14:paraId="19337F79" w14:textId="21649735" w:rsidR="00116AD6" w:rsidRDefault="00116AD6" w:rsidP="005041E7">
      <w:pPr>
        <w:pStyle w:val="Paragraphe"/>
        <w:tabs>
          <w:tab w:val="clear" w:pos="2204"/>
          <w:tab w:val="num" w:pos="0"/>
        </w:tabs>
        <w:spacing w:line="240" w:lineRule="auto"/>
        <w:ind w:left="0"/>
      </w:pPr>
      <w:r w:rsidRPr="00281A81">
        <w:t>La</w:t>
      </w:r>
      <w:r w:rsidR="00645A42">
        <w:t xml:space="preserve"> </w:t>
      </w:r>
      <w:r>
        <w:t>M</w:t>
      </w:r>
      <w:r w:rsidRPr="00281A81">
        <w:t xml:space="preserve">inistre </w:t>
      </w:r>
      <w:r>
        <w:t>p</w:t>
      </w:r>
      <w:r w:rsidRPr="00281A81">
        <w:t>eut accorder</w:t>
      </w:r>
      <w:r w:rsidR="00645A42">
        <w:t xml:space="preserve"> </w:t>
      </w:r>
      <w:r w:rsidRPr="00281A81">
        <w:t>annuellement</w:t>
      </w:r>
      <w:r w:rsidR="00645A42">
        <w:t xml:space="preserve"> </w:t>
      </w:r>
      <w:r w:rsidRPr="00281A81">
        <w:t>aux universités du Québec, aux conditions qu’elle croit devoir fixer, une aide financière</w:t>
      </w:r>
      <w:r w:rsidR="00645A42">
        <w:t xml:space="preserve"> </w:t>
      </w:r>
      <w:r w:rsidRPr="00281A81">
        <w:t>prélevée sur les sommes mises à sa disposition à cette fin par le</w:t>
      </w:r>
      <w:r w:rsidR="00645A42">
        <w:t xml:space="preserve"> </w:t>
      </w:r>
      <w:r w:rsidRPr="00281A81">
        <w:t>gouvernement</w:t>
      </w:r>
      <w:bookmarkStart w:id="11" w:name="_ftnref1"/>
      <w:bookmarkEnd w:id="11"/>
      <w:r w:rsidRPr="00281A81">
        <w:t xml:space="preserve">. </w:t>
      </w:r>
      <w:r>
        <w:t xml:space="preserve">Elle s’y prend au moyen de règles budgétaires qu’elle </w:t>
      </w:r>
      <w:r w:rsidR="006A5A02" w:rsidRPr="00D55E18">
        <w:t>adopte</w:t>
      </w:r>
      <w:r>
        <w:t xml:space="preserve"> dans le cadre d’une politique de financement. La Ministre </w:t>
      </w:r>
      <w:r w:rsidRPr="00281A81">
        <w:t xml:space="preserve">puise son pouvoir à </w:t>
      </w:r>
      <w:r>
        <w:t>la</w:t>
      </w:r>
      <w:r w:rsidRPr="00281A81">
        <w:t xml:space="preserve"> </w:t>
      </w:r>
      <w:r w:rsidRPr="00116AD6">
        <w:rPr>
          <w:i/>
          <w:iCs/>
        </w:rPr>
        <w:t>LMES</w:t>
      </w:r>
      <w:bookmarkStart w:id="12" w:name="_ftnref2"/>
      <w:bookmarkEnd w:id="12"/>
      <w:r>
        <w:t>, plus particulièrement à l’article 5.</w:t>
      </w:r>
    </w:p>
    <w:p w14:paraId="0A25DA69" w14:textId="2A5DB3B7" w:rsidR="00116AD6" w:rsidRDefault="00116AD6" w:rsidP="005041E7">
      <w:pPr>
        <w:pStyle w:val="Paragraphe"/>
        <w:tabs>
          <w:tab w:val="clear" w:pos="2204"/>
        </w:tabs>
        <w:spacing w:line="240" w:lineRule="auto"/>
        <w:ind w:left="0"/>
        <w:rPr>
          <w:rFonts w:cs="Arial"/>
        </w:rPr>
      </w:pPr>
      <w:r>
        <w:rPr>
          <w:rFonts w:cs="Arial"/>
        </w:rPr>
        <w:t xml:space="preserve">Voici </w:t>
      </w:r>
      <w:r w:rsidR="00E437E5">
        <w:rPr>
          <w:rFonts w:cs="Arial"/>
        </w:rPr>
        <w:t>l’environnement législatif</w:t>
      </w:r>
      <w:r>
        <w:rPr>
          <w:rFonts w:cs="Arial"/>
        </w:rPr>
        <w:t xml:space="preserve"> que prévoit la </w:t>
      </w:r>
      <w:r w:rsidRPr="00DF4EDD">
        <w:rPr>
          <w:i/>
        </w:rPr>
        <w:t>LMES</w:t>
      </w:r>
      <w:r w:rsidR="00E437E5">
        <w:rPr>
          <w:rFonts w:cs="Arial"/>
        </w:rPr>
        <w:t xml:space="preserve"> dans lequel agit la ministre</w:t>
      </w:r>
      <w:r>
        <w:rPr>
          <w:rFonts w:cs="Arial"/>
        </w:rPr>
        <w:t> :</w:t>
      </w:r>
    </w:p>
    <w:p w14:paraId="41B72306" w14:textId="7931F944" w:rsidR="00116AD6" w:rsidRPr="007A3087" w:rsidRDefault="00116AD6" w:rsidP="00116AD6">
      <w:pPr>
        <w:pStyle w:val="Citationenretrait"/>
      </w:pPr>
      <w:r w:rsidRPr="007A3087">
        <w:t>1.- Le ministère de l’Enseignement supérieur, de la Recherche, de la Science et de la Technologie est dirigé par le ministre de l’Enseignement supérieur, de la Recherche, de la Science et de la Technologie nommé en vertu de la Loi sur l’exécutif (</w:t>
      </w:r>
      <w:hyperlink r:id="rId8" w:tgtFrame="_blank" w:history="1">
        <w:r w:rsidR="007813AF">
          <w:t>chapitre E-18</w:t>
        </w:r>
      </w:hyperlink>
      <w:r w:rsidRPr="007A3087">
        <w:t>).</w:t>
      </w:r>
    </w:p>
    <w:p w14:paraId="29C76F27" w14:textId="77777777" w:rsidR="00116AD6" w:rsidRPr="007A3087" w:rsidRDefault="00116AD6" w:rsidP="00116AD6">
      <w:pPr>
        <w:pStyle w:val="Citationenretrait"/>
      </w:pPr>
      <w:r w:rsidRPr="007A3087">
        <w:t xml:space="preserve">2.- Le ministre a pour mission de </w:t>
      </w:r>
      <w:bookmarkStart w:id="13" w:name="_Hlk190957308"/>
      <w:r w:rsidRPr="007A3087">
        <w:t>soutenir le développement et promouvoir la qualité de l’enseignement collégial et de l’enseignement universitaire afin de favoriser l’accès aux formes les plus élevées du savoir et de la culture, notamment par le développement des connaissances et des compétences, à toute personne qui en a la volonté et l’aptitude.</w:t>
      </w:r>
    </w:p>
    <w:p w14:paraId="62FFFA11" w14:textId="77777777" w:rsidR="00116AD6" w:rsidRPr="007A3087" w:rsidRDefault="00116AD6" w:rsidP="00116AD6">
      <w:pPr>
        <w:pStyle w:val="Citationenretrait"/>
      </w:pPr>
      <w:r w:rsidRPr="007A3087">
        <w:t>Il a également pour mission de contribuer à l’essor de la recherche, notamment fondamentale et appliquée, de la science, de l’innovation et de la technologie, entre autres dans les milieux académiques, industriels et sociaux, dans une perspective de développement durable en favorisant particulièrement l’accès au savoir, le développement économique, le progrès social et le respect de l’environnement. Pour ce faire, il favorise la synergie des actions des différents acteurs concernés.</w:t>
      </w:r>
      <w:bookmarkEnd w:id="13"/>
    </w:p>
    <w:p w14:paraId="11294248" w14:textId="77777777" w:rsidR="00116AD6" w:rsidRDefault="00116AD6" w:rsidP="00116AD6">
      <w:pPr>
        <w:pStyle w:val="Citationenretrait"/>
        <w:rPr>
          <w:rFonts w:cs="Arial"/>
          <w:color w:val="212529"/>
          <w:szCs w:val="22"/>
          <w:lang w:eastAsia="fr-CA"/>
        </w:rPr>
      </w:pPr>
      <w:r>
        <w:rPr>
          <w:rFonts w:cs="Arial"/>
          <w:color w:val="212529"/>
          <w:szCs w:val="22"/>
          <w:lang w:eastAsia="fr-CA"/>
        </w:rPr>
        <w:lastRenderedPageBreak/>
        <w:t xml:space="preserve">3.- </w:t>
      </w:r>
      <w:r w:rsidRPr="004708BD">
        <w:rPr>
          <w:rFonts w:cs="Arial"/>
          <w:color w:val="212529"/>
          <w:szCs w:val="22"/>
          <w:lang w:eastAsia="fr-CA"/>
        </w:rPr>
        <w:t>Le ministre élabore et propose au gouvernement des orientations et des politiques relatives aux domaines de sa compétence.</w:t>
      </w:r>
    </w:p>
    <w:p w14:paraId="17B8D571" w14:textId="4901699F" w:rsidR="00AA1831" w:rsidRPr="004708BD" w:rsidRDefault="00AA1831" w:rsidP="00116AD6">
      <w:pPr>
        <w:pStyle w:val="Citationenretrait"/>
        <w:rPr>
          <w:rFonts w:cs="Arial"/>
          <w:color w:val="212529"/>
          <w:szCs w:val="22"/>
          <w:lang w:eastAsia="fr-CA"/>
        </w:rPr>
      </w:pPr>
      <w:r w:rsidRPr="00C452CB">
        <w:rPr>
          <w:rFonts w:cs="Arial"/>
          <w:color w:val="212529"/>
          <w:szCs w:val="22"/>
          <w:lang w:eastAsia="fr-CA"/>
        </w:rPr>
        <w:t>Il coordonne la mise en œuvre de ces orientations et politiques et en assure le suivi.</w:t>
      </w:r>
    </w:p>
    <w:p w14:paraId="76E09167" w14:textId="509201F1" w:rsidR="00116AD6" w:rsidRPr="004708BD" w:rsidRDefault="00116AD6" w:rsidP="00116AD6">
      <w:pPr>
        <w:pStyle w:val="Citationenretrait"/>
        <w:rPr>
          <w:rFonts w:cs="Arial"/>
          <w:color w:val="212529"/>
          <w:szCs w:val="22"/>
          <w:lang w:eastAsia="fr-CA"/>
        </w:rPr>
      </w:pPr>
      <w:r>
        <w:rPr>
          <w:rFonts w:cs="Arial"/>
          <w:color w:val="212529"/>
          <w:szCs w:val="22"/>
          <w:lang w:eastAsia="fr-CA"/>
        </w:rPr>
        <w:t xml:space="preserve">4.- </w:t>
      </w:r>
      <w:r w:rsidR="00AA1831">
        <w:rPr>
          <w:rFonts w:cs="Arial"/>
          <w:color w:val="212529"/>
          <w:szCs w:val="22"/>
          <w:lang w:eastAsia="fr-CA"/>
        </w:rPr>
        <w:t xml:space="preserve">Les </w:t>
      </w:r>
      <w:r w:rsidRPr="004708BD">
        <w:rPr>
          <w:rFonts w:cs="Arial"/>
          <w:color w:val="212529"/>
          <w:szCs w:val="22"/>
          <w:lang w:eastAsia="fr-CA"/>
        </w:rPr>
        <w:t>fonctions du ministre consistent plus particulièrement à:</w:t>
      </w:r>
    </w:p>
    <w:p w14:paraId="2037270A"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t>1°</w:t>
      </w:r>
      <w:bookmarkStart w:id="14" w:name="_Hlk190957759"/>
      <w:r>
        <w:rPr>
          <w:rFonts w:cs="Arial"/>
          <w:color w:val="212529"/>
          <w:szCs w:val="22"/>
          <w:lang w:eastAsia="fr-CA"/>
        </w:rPr>
        <w:t xml:space="preserve"> </w:t>
      </w:r>
      <w:r w:rsidRPr="004708BD">
        <w:rPr>
          <w:rFonts w:cs="Arial"/>
          <w:color w:val="212529"/>
          <w:szCs w:val="22"/>
          <w:lang w:eastAsia="fr-CA"/>
        </w:rPr>
        <w:t>faire la promotion de l’enseignement supérieur, de la recherche, de la science, de l’innovation et de la technologie et favoriser, dans ces domaines, la concertation entre les différents acteurs, la cohérence de l’action gouvernementale et le rayonnement du Québec au Canada et à l’étranger;</w:t>
      </w:r>
    </w:p>
    <w:p w14:paraId="7EE15F9B"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t>2°</w:t>
      </w:r>
      <w:r>
        <w:rPr>
          <w:rFonts w:cs="Arial"/>
          <w:color w:val="212529"/>
          <w:szCs w:val="22"/>
          <w:lang w:eastAsia="fr-CA"/>
        </w:rPr>
        <w:t xml:space="preserve"> </w:t>
      </w:r>
      <w:r w:rsidRPr="004708BD">
        <w:rPr>
          <w:rFonts w:cs="Arial"/>
          <w:color w:val="212529"/>
          <w:szCs w:val="22"/>
          <w:lang w:eastAsia="fr-CA"/>
        </w:rPr>
        <w:t>contribuer au développement et au soutien de ces domaines, ainsi qu’à l’élévation du niveau scientifique, culturel et professionnel de la population québécoise;</w:t>
      </w:r>
    </w:p>
    <w:p w14:paraId="271DA742"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t>3°</w:t>
      </w:r>
      <w:r>
        <w:rPr>
          <w:rFonts w:cs="Arial"/>
          <w:color w:val="212529"/>
          <w:szCs w:val="22"/>
          <w:lang w:eastAsia="fr-CA"/>
        </w:rPr>
        <w:t xml:space="preserve"> </w:t>
      </w:r>
      <w:r w:rsidRPr="004708BD">
        <w:rPr>
          <w:rFonts w:cs="Arial"/>
          <w:color w:val="212529"/>
          <w:szCs w:val="22"/>
          <w:lang w:eastAsia="fr-CA"/>
        </w:rPr>
        <w:t>favoriser le développement des établissements d’enseignement supérieur et veiller à la qualité des services dispensés, en lien avec sa mission, par ces établissements;</w:t>
      </w:r>
      <w:bookmarkEnd w:id="14"/>
    </w:p>
    <w:p w14:paraId="37A662D2"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t>4°</w:t>
      </w:r>
      <w:r>
        <w:rPr>
          <w:rFonts w:cs="Arial"/>
          <w:color w:val="212529"/>
          <w:szCs w:val="22"/>
          <w:lang w:eastAsia="fr-CA"/>
        </w:rPr>
        <w:t xml:space="preserve"> </w:t>
      </w:r>
      <w:r w:rsidRPr="004708BD">
        <w:rPr>
          <w:rFonts w:cs="Arial"/>
          <w:color w:val="212529"/>
          <w:szCs w:val="22"/>
          <w:lang w:eastAsia="fr-CA"/>
        </w:rPr>
        <w:t>favoriser la probité, la valorisation et la qualité des activités de recherche;</w:t>
      </w:r>
    </w:p>
    <w:p w14:paraId="0529F5F3"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t>5°</w:t>
      </w:r>
      <w:r>
        <w:rPr>
          <w:rFonts w:cs="Arial"/>
          <w:color w:val="212529"/>
          <w:szCs w:val="22"/>
          <w:lang w:eastAsia="fr-CA"/>
        </w:rPr>
        <w:t xml:space="preserve"> </w:t>
      </w:r>
      <w:r w:rsidRPr="004708BD">
        <w:rPr>
          <w:rFonts w:cs="Arial"/>
          <w:color w:val="212529"/>
          <w:szCs w:val="22"/>
          <w:lang w:eastAsia="fr-CA"/>
        </w:rPr>
        <w:t>contribuer à l’efficacité des initiatives gouvernementales visant le développement économique par des mesures relatives à la recherche, la science, l’innovation ou la technologie;</w:t>
      </w:r>
    </w:p>
    <w:p w14:paraId="35CD0EB8"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t>6°</w:t>
      </w:r>
      <w:r>
        <w:rPr>
          <w:rFonts w:cs="Arial"/>
          <w:color w:val="212529"/>
          <w:szCs w:val="22"/>
          <w:lang w:eastAsia="fr-CA"/>
        </w:rPr>
        <w:t xml:space="preserve"> </w:t>
      </w:r>
      <w:r w:rsidRPr="004708BD">
        <w:rPr>
          <w:rFonts w:cs="Arial"/>
          <w:color w:val="212529"/>
          <w:szCs w:val="22"/>
          <w:lang w:eastAsia="fr-CA"/>
        </w:rPr>
        <w:t>mener des actions concertées avec le ministre de l’Éducation, du Loisir et du Sport afin de favoriser la continuité, le développement et l’intégration des parcours éducatifs;</w:t>
      </w:r>
    </w:p>
    <w:p w14:paraId="16BA7F77"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t>7°</w:t>
      </w:r>
      <w:r>
        <w:rPr>
          <w:rFonts w:cs="Arial"/>
          <w:color w:val="212529"/>
          <w:szCs w:val="22"/>
          <w:lang w:eastAsia="fr-CA"/>
        </w:rPr>
        <w:t xml:space="preserve"> </w:t>
      </w:r>
      <w:r w:rsidRPr="004708BD">
        <w:rPr>
          <w:rFonts w:cs="Arial"/>
          <w:color w:val="212529"/>
          <w:szCs w:val="22"/>
          <w:lang w:eastAsia="fr-CA"/>
        </w:rPr>
        <w:t>assumer la gestion de l’ensemble des programmes d’aide financière institués par la Loi sur l’aide financière aux études (</w:t>
      </w:r>
      <w:r w:rsidRPr="004E12E3">
        <w:rPr>
          <w:rFonts w:cs="Arial"/>
          <w:szCs w:val="22"/>
          <w:lang w:eastAsia="fr-CA"/>
        </w:rPr>
        <w:t>chapitre A-13.3);</w:t>
      </w:r>
    </w:p>
    <w:p w14:paraId="0BB8AAD0"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t>8°</w:t>
      </w:r>
      <w:r>
        <w:rPr>
          <w:rFonts w:cs="Arial"/>
          <w:color w:val="212529"/>
          <w:szCs w:val="22"/>
          <w:lang w:eastAsia="fr-CA"/>
        </w:rPr>
        <w:t xml:space="preserve"> </w:t>
      </w:r>
      <w:r w:rsidRPr="004708BD">
        <w:rPr>
          <w:rFonts w:cs="Arial"/>
          <w:color w:val="212529"/>
          <w:szCs w:val="22"/>
          <w:lang w:eastAsia="fr-CA"/>
        </w:rPr>
        <w:t>participer, avec les ministres concernés et dans le cadre de la politique en matière d’affaires intergouvernementales canadiennes et de celle en matière d’affaires internationales, à l’élaboration et à la réalisation de programmes de coopération avec l’extérieur dans les secteurs où les échanges favorisent le développement des domaines de sa compétence;</w:t>
      </w:r>
    </w:p>
    <w:p w14:paraId="467D91FA"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t>9°</w:t>
      </w:r>
      <w:r>
        <w:rPr>
          <w:rFonts w:cs="Arial"/>
          <w:color w:val="212529"/>
          <w:szCs w:val="22"/>
          <w:lang w:eastAsia="fr-CA"/>
        </w:rPr>
        <w:t xml:space="preserve"> </w:t>
      </w:r>
      <w:r w:rsidRPr="004708BD">
        <w:rPr>
          <w:rFonts w:cs="Arial"/>
          <w:color w:val="212529"/>
          <w:szCs w:val="22"/>
          <w:lang w:eastAsia="fr-CA"/>
        </w:rPr>
        <w:t>conseiller le gouvernement, les ministères et les organismes et, le cas échéant, leur f</w:t>
      </w:r>
      <w:r>
        <w:rPr>
          <w:rFonts w:cs="Arial"/>
          <w:color w:val="212529"/>
          <w:szCs w:val="22"/>
          <w:lang w:eastAsia="fr-CA"/>
        </w:rPr>
        <w:t>a</w:t>
      </w:r>
      <w:r w:rsidRPr="004708BD">
        <w:rPr>
          <w:rFonts w:cs="Arial"/>
          <w:color w:val="212529"/>
          <w:szCs w:val="22"/>
          <w:lang w:eastAsia="fr-CA"/>
        </w:rPr>
        <w:t>ire des recommandations.</w:t>
      </w:r>
    </w:p>
    <w:p w14:paraId="5A56084C" w14:textId="77777777" w:rsidR="00116AD6" w:rsidRDefault="00116AD6" w:rsidP="00116AD6">
      <w:pPr>
        <w:pStyle w:val="Citationenretrait"/>
        <w:rPr>
          <w:rFonts w:cs="Arial"/>
          <w:color w:val="212529"/>
          <w:szCs w:val="22"/>
          <w:lang w:eastAsia="fr-CA"/>
        </w:rPr>
      </w:pPr>
      <w:r w:rsidRPr="004708BD">
        <w:rPr>
          <w:rFonts w:cs="Arial"/>
          <w:color w:val="212529"/>
          <w:szCs w:val="22"/>
          <w:lang w:eastAsia="fr-CA"/>
        </w:rPr>
        <w:t>Le ministre assume, en outre, toute autre responsabilité que lui confie le gouverneme</w:t>
      </w:r>
      <w:r>
        <w:rPr>
          <w:rFonts w:cs="Arial"/>
          <w:color w:val="212529"/>
          <w:szCs w:val="22"/>
          <w:lang w:eastAsia="fr-CA"/>
        </w:rPr>
        <w:t>nt.</w:t>
      </w:r>
    </w:p>
    <w:p w14:paraId="31893BB4" w14:textId="77777777" w:rsidR="00116AD6" w:rsidRPr="007A3087" w:rsidRDefault="00116AD6" w:rsidP="00116AD6">
      <w:pPr>
        <w:pStyle w:val="Citationenretrait"/>
        <w:rPr>
          <w:rFonts w:cs="Arial"/>
          <w:color w:val="212529"/>
          <w:szCs w:val="22"/>
          <w:shd w:val="clear" w:color="auto" w:fill="FFFFFF"/>
          <w:lang w:eastAsia="fr-CA"/>
        </w:rPr>
      </w:pPr>
      <w:r>
        <w:rPr>
          <w:rFonts w:cs="Arial"/>
          <w:color w:val="212529"/>
          <w:szCs w:val="22"/>
          <w:shd w:val="clear" w:color="auto" w:fill="FFFFFF"/>
          <w:lang w:eastAsia="fr-CA"/>
        </w:rPr>
        <w:t>5.- P</w:t>
      </w:r>
      <w:r w:rsidRPr="004708BD">
        <w:rPr>
          <w:rFonts w:cs="Arial"/>
          <w:color w:val="212529"/>
          <w:szCs w:val="22"/>
          <w:shd w:val="clear" w:color="auto" w:fill="FFFFFF"/>
          <w:lang w:eastAsia="fr-CA"/>
        </w:rPr>
        <w:t>our la réalisation de sa mission, le ministre peut notamment:</w:t>
      </w:r>
    </w:p>
    <w:p w14:paraId="78C43809"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lastRenderedPageBreak/>
        <w:t>1°</w:t>
      </w:r>
      <w:r>
        <w:rPr>
          <w:rFonts w:cs="Arial"/>
          <w:color w:val="212529"/>
          <w:szCs w:val="22"/>
          <w:lang w:eastAsia="fr-CA"/>
        </w:rPr>
        <w:t xml:space="preserve"> </w:t>
      </w:r>
      <w:r w:rsidRPr="004708BD">
        <w:rPr>
          <w:rFonts w:cs="Arial"/>
          <w:color w:val="212529"/>
          <w:szCs w:val="22"/>
          <w:lang w:eastAsia="fr-CA"/>
        </w:rPr>
        <w:t>accorder, aux conditions qu’il fixe, une aide financière sur les sommes mises à sa disposition à cette fin;</w:t>
      </w:r>
    </w:p>
    <w:p w14:paraId="1AA6B4B2"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t>2°</w:t>
      </w:r>
      <w:r>
        <w:rPr>
          <w:rFonts w:cs="Arial"/>
          <w:color w:val="212529"/>
          <w:szCs w:val="22"/>
          <w:lang w:eastAsia="fr-CA"/>
        </w:rPr>
        <w:t xml:space="preserve"> </w:t>
      </w:r>
      <w:r w:rsidRPr="004708BD">
        <w:rPr>
          <w:rFonts w:cs="Arial"/>
          <w:color w:val="212529"/>
          <w:szCs w:val="22"/>
          <w:lang w:eastAsia="fr-CA"/>
        </w:rPr>
        <w:t>obtenir les renseignements nécessaires des ministères et de tout organisme public visé par la Loi sur l’accès aux documents des organismes publics et sur la protection des renseignements personnels (</w:t>
      </w:r>
      <w:r w:rsidRPr="00B91531">
        <w:t>chapitre A-2.1</w:t>
      </w:r>
      <w:r w:rsidRPr="004708BD">
        <w:rPr>
          <w:rFonts w:cs="Arial"/>
          <w:color w:val="212529"/>
          <w:szCs w:val="22"/>
          <w:lang w:eastAsia="fr-CA"/>
        </w:rPr>
        <w:t>) ou de tout organisme privé;</w:t>
      </w:r>
    </w:p>
    <w:p w14:paraId="086EDB39"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t>3°</w:t>
      </w:r>
      <w:r>
        <w:rPr>
          <w:rFonts w:cs="Arial"/>
          <w:color w:val="212529"/>
          <w:szCs w:val="22"/>
          <w:lang w:eastAsia="fr-CA"/>
        </w:rPr>
        <w:t xml:space="preserve"> </w:t>
      </w:r>
      <w:r w:rsidRPr="004708BD">
        <w:rPr>
          <w:rFonts w:cs="Arial"/>
          <w:color w:val="212529"/>
          <w:szCs w:val="22"/>
          <w:lang w:eastAsia="fr-CA"/>
        </w:rPr>
        <w:t>conclure, conformément à la loi, des ententes avec un gouvernement autre que celui du Québec ou l’un de ses ministères ou organismes, ou avec une organisation internationale ou l’un de ses organismes;</w:t>
      </w:r>
    </w:p>
    <w:p w14:paraId="1FDCC2EB"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t>4°</w:t>
      </w:r>
      <w:r>
        <w:rPr>
          <w:rFonts w:cs="Arial"/>
          <w:color w:val="212529"/>
          <w:szCs w:val="22"/>
          <w:lang w:eastAsia="fr-CA"/>
        </w:rPr>
        <w:t xml:space="preserve"> </w:t>
      </w:r>
      <w:r w:rsidRPr="004708BD">
        <w:rPr>
          <w:rFonts w:cs="Arial"/>
          <w:color w:val="212529"/>
          <w:szCs w:val="22"/>
          <w:lang w:eastAsia="fr-CA"/>
        </w:rPr>
        <w:t>réaliser ou faire réaliser des recherches, études et analyses;</w:t>
      </w:r>
    </w:p>
    <w:p w14:paraId="732E8776" w14:textId="77777777" w:rsidR="00116AD6" w:rsidRPr="004708BD" w:rsidRDefault="00116AD6" w:rsidP="00116AD6">
      <w:pPr>
        <w:pStyle w:val="Citationenretrait"/>
        <w:ind w:left="1468"/>
        <w:rPr>
          <w:rFonts w:cs="Arial"/>
          <w:color w:val="212529"/>
          <w:szCs w:val="22"/>
          <w:lang w:eastAsia="fr-CA"/>
        </w:rPr>
      </w:pPr>
      <w:r w:rsidRPr="004708BD">
        <w:rPr>
          <w:rFonts w:cs="Arial"/>
          <w:color w:val="212529"/>
          <w:szCs w:val="22"/>
          <w:lang w:eastAsia="fr-CA"/>
        </w:rPr>
        <w:t>5°</w:t>
      </w:r>
      <w:r>
        <w:rPr>
          <w:rFonts w:cs="Arial"/>
          <w:color w:val="212529"/>
          <w:szCs w:val="22"/>
          <w:lang w:eastAsia="fr-CA"/>
        </w:rPr>
        <w:t xml:space="preserve"> </w:t>
      </w:r>
      <w:r w:rsidRPr="004708BD">
        <w:rPr>
          <w:rFonts w:cs="Arial"/>
          <w:color w:val="212529"/>
          <w:szCs w:val="22"/>
          <w:lang w:eastAsia="fr-CA"/>
        </w:rPr>
        <w:t>fournir à toute personne, groupe ou organisme les services qu’il juge nécessai</w:t>
      </w:r>
      <w:r>
        <w:rPr>
          <w:rFonts w:cs="Arial"/>
          <w:color w:val="212529"/>
          <w:szCs w:val="22"/>
          <w:lang w:eastAsia="fr-CA"/>
        </w:rPr>
        <w:t>re.</w:t>
      </w:r>
    </w:p>
    <w:p w14:paraId="298B43D1" w14:textId="269CA90E" w:rsidR="00281A81" w:rsidRDefault="00281A81" w:rsidP="00693A7D">
      <w:pPr>
        <w:pStyle w:val="Paragraphe"/>
        <w:tabs>
          <w:tab w:val="clear" w:pos="2204"/>
        </w:tabs>
        <w:spacing w:line="240" w:lineRule="auto"/>
        <w:ind w:left="0"/>
        <w:rPr>
          <w:rFonts w:cs="Arial"/>
        </w:rPr>
      </w:pPr>
      <w:r w:rsidRPr="00281A81">
        <w:rPr>
          <w:rFonts w:cs="Arial"/>
        </w:rPr>
        <w:t>Le</w:t>
      </w:r>
      <w:r w:rsidR="00E437E5">
        <w:rPr>
          <w:rFonts w:cs="Arial"/>
        </w:rPr>
        <w:t xml:space="preserve"> gouvernement doit approuver les</w:t>
      </w:r>
      <w:r w:rsidRPr="00281A81">
        <w:rPr>
          <w:rFonts w:cs="Arial"/>
        </w:rPr>
        <w:t xml:space="preserve"> modalités de financement, conformément à la</w:t>
      </w:r>
      <w:r w:rsidR="00544F0E">
        <w:rPr>
          <w:rFonts w:cs="Arial"/>
        </w:rPr>
        <w:t xml:space="preserve"> </w:t>
      </w:r>
      <w:r w:rsidRPr="00281A81">
        <w:rPr>
          <w:rFonts w:cs="Arial"/>
          <w:i/>
          <w:iCs/>
        </w:rPr>
        <w:t>Loi sur l’administration publique</w:t>
      </w:r>
      <w:bookmarkStart w:id="15" w:name="_ftnref3"/>
      <w:bookmarkEnd w:id="15"/>
      <w:r w:rsidR="00412C73" w:rsidRPr="00412C73">
        <w:rPr>
          <w:rStyle w:val="Appelnotedebasdep"/>
          <w:rFonts w:cs="Arial"/>
        </w:rPr>
        <w:footnoteReference w:id="20"/>
      </w:r>
      <w:r w:rsidRPr="00412C73">
        <w:rPr>
          <w:rFonts w:cs="Arial"/>
        </w:rPr>
        <w:t>.</w:t>
      </w:r>
      <w:r w:rsidR="00135028">
        <w:rPr>
          <w:rFonts w:cs="Arial"/>
        </w:rPr>
        <w:t xml:space="preserve"> Les pourvois ne nécessitent aucune analyse approfondie de la mécanique prévue à cette loi.</w:t>
      </w:r>
    </w:p>
    <w:p w14:paraId="02F0B492" w14:textId="50088280" w:rsidR="00116AD6" w:rsidRDefault="00116AD6" w:rsidP="00116AD6">
      <w:pPr>
        <w:pStyle w:val="Paragraphe"/>
        <w:numPr>
          <w:ilvl w:val="0"/>
          <w:numId w:val="0"/>
        </w:numPr>
        <w:spacing w:line="240" w:lineRule="auto"/>
        <w:rPr>
          <w:rFonts w:cs="Arial"/>
          <w:b/>
          <w:bCs/>
        </w:rPr>
      </w:pPr>
      <w:r>
        <w:rPr>
          <w:rFonts w:cs="Arial"/>
          <w:b/>
          <w:bCs/>
        </w:rPr>
        <w:t>LE</w:t>
      </w:r>
      <w:r w:rsidR="00E437E5">
        <w:rPr>
          <w:rFonts w:cs="Arial"/>
          <w:b/>
          <w:bCs/>
        </w:rPr>
        <w:t xml:space="preserve"> CADRE FACTUEL</w:t>
      </w:r>
      <w:r>
        <w:rPr>
          <w:rFonts w:cs="Arial"/>
          <w:b/>
          <w:bCs/>
        </w:rPr>
        <w:t xml:space="preserve"> À L’ORIGINE DES POURVOIS</w:t>
      </w:r>
    </w:p>
    <w:p w14:paraId="069025A0" w14:textId="63F53A77" w:rsidR="00C214FD" w:rsidRPr="00693A7D" w:rsidRDefault="00281A81" w:rsidP="00693A7D">
      <w:pPr>
        <w:pStyle w:val="Paragraphe"/>
        <w:tabs>
          <w:tab w:val="clear" w:pos="2204"/>
        </w:tabs>
        <w:spacing w:line="240" w:lineRule="auto"/>
        <w:ind w:left="0"/>
        <w:rPr>
          <w:rFonts w:cs="Arial"/>
        </w:rPr>
      </w:pPr>
      <w:r w:rsidRPr="00693A7D">
        <w:rPr>
          <w:rFonts w:cs="Arial"/>
        </w:rPr>
        <w:t>Le 24</w:t>
      </w:r>
      <w:r w:rsidR="00544F0E" w:rsidRPr="00693A7D">
        <w:rPr>
          <w:rFonts w:cs="Arial"/>
        </w:rPr>
        <w:t> </w:t>
      </w:r>
      <w:r w:rsidRPr="00693A7D">
        <w:rPr>
          <w:rFonts w:cs="Arial"/>
        </w:rPr>
        <w:t>janvier</w:t>
      </w:r>
      <w:r w:rsidR="00544F0E" w:rsidRPr="00693A7D">
        <w:rPr>
          <w:rFonts w:cs="Arial"/>
        </w:rPr>
        <w:t> </w:t>
      </w:r>
      <w:r w:rsidRPr="00693A7D">
        <w:rPr>
          <w:rFonts w:cs="Arial"/>
        </w:rPr>
        <w:t>2024, la Ministre</w:t>
      </w:r>
      <w:r w:rsidR="00C674DD" w:rsidRPr="00693A7D">
        <w:rPr>
          <w:rFonts w:cs="Arial"/>
        </w:rPr>
        <w:t xml:space="preserve"> </w:t>
      </w:r>
      <w:r w:rsidRPr="00693A7D">
        <w:rPr>
          <w:rFonts w:cs="Arial"/>
        </w:rPr>
        <w:t>modifie les</w:t>
      </w:r>
      <w:r w:rsidR="009731BF" w:rsidRPr="00693A7D">
        <w:rPr>
          <w:rFonts w:cs="Arial"/>
        </w:rPr>
        <w:t xml:space="preserve"> Règles budgétaires.</w:t>
      </w:r>
      <w:r w:rsidR="00544F0E" w:rsidRPr="00693A7D">
        <w:rPr>
          <w:rFonts w:cs="Arial"/>
        </w:rPr>
        <w:t xml:space="preserve"> </w:t>
      </w:r>
      <w:r w:rsidRPr="00693A7D">
        <w:rPr>
          <w:rFonts w:cs="Arial"/>
        </w:rPr>
        <w:t>Ces modifications</w:t>
      </w:r>
      <w:r w:rsidR="00544F0E" w:rsidRPr="00693A7D">
        <w:rPr>
          <w:rFonts w:cs="Arial"/>
        </w:rPr>
        <w:t xml:space="preserve"> </w:t>
      </w:r>
      <w:r w:rsidR="00751EED" w:rsidRPr="00693A7D">
        <w:rPr>
          <w:rFonts w:cs="Arial"/>
        </w:rPr>
        <w:t xml:space="preserve">visent les étudiants CNRQ et Internationaux </w:t>
      </w:r>
      <w:r w:rsidR="008B469A" w:rsidRPr="00693A7D">
        <w:rPr>
          <w:rFonts w:cs="Arial"/>
        </w:rPr>
        <w:t>de 1</w:t>
      </w:r>
      <w:r w:rsidR="008B469A" w:rsidRPr="00693A7D">
        <w:rPr>
          <w:rFonts w:cs="Arial"/>
          <w:vertAlign w:val="superscript"/>
        </w:rPr>
        <w:t>er</w:t>
      </w:r>
      <w:r w:rsidR="008B469A" w:rsidRPr="00693A7D">
        <w:rPr>
          <w:rFonts w:cs="Arial"/>
        </w:rPr>
        <w:t xml:space="preserve"> cycle et de 2</w:t>
      </w:r>
      <w:r w:rsidR="008B469A" w:rsidRPr="00693A7D">
        <w:rPr>
          <w:rFonts w:cs="Arial"/>
          <w:vertAlign w:val="superscript"/>
        </w:rPr>
        <w:t>e</w:t>
      </w:r>
      <w:r w:rsidR="008B469A" w:rsidRPr="00693A7D">
        <w:rPr>
          <w:rFonts w:cs="Arial"/>
        </w:rPr>
        <w:t xml:space="preserve"> cycle de type professionnel. Elles </w:t>
      </w:r>
      <w:r w:rsidRPr="00693A7D">
        <w:rPr>
          <w:rFonts w:cs="Arial"/>
        </w:rPr>
        <w:t xml:space="preserve">entrainent </w:t>
      </w:r>
      <w:r w:rsidR="00D15FBB" w:rsidRPr="00693A7D">
        <w:rPr>
          <w:rFonts w:cs="Arial"/>
        </w:rPr>
        <w:t>depuis l’automne</w:t>
      </w:r>
      <w:r w:rsidR="00A427B0">
        <w:rPr>
          <w:rFonts w:cs="Arial"/>
        </w:rPr>
        <w:t> </w:t>
      </w:r>
      <w:r w:rsidR="00D15FBB" w:rsidRPr="00693A7D">
        <w:rPr>
          <w:rFonts w:cs="Arial"/>
        </w:rPr>
        <w:t xml:space="preserve">2024 </w:t>
      </w:r>
      <w:r w:rsidR="00B75165" w:rsidRPr="00693A7D">
        <w:rPr>
          <w:rFonts w:cs="Arial"/>
        </w:rPr>
        <w:t>la</w:t>
      </w:r>
      <w:r w:rsidRPr="00693A7D">
        <w:rPr>
          <w:rFonts w:cs="Arial"/>
        </w:rPr>
        <w:t xml:space="preserve"> hausse des </w:t>
      </w:r>
      <w:r w:rsidR="00116AD6" w:rsidRPr="00693A7D">
        <w:rPr>
          <w:rFonts w:cs="Arial"/>
        </w:rPr>
        <w:t xml:space="preserve">montants forfaitaires </w:t>
      </w:r>
      <w:r w:rsidRPr="00693A7D">
        <w:rPr>
          <w:rFonts w:cs="Arial"/>
        </w:rPr>
        <w:t xml:space="preserve">minimalement exigibles de </w:t>
      </w:r>
      <w:r w:rsidR="008B469A" w:rsidRPr="00693A7D">
        <w:rPr>
          <w:rFonts w:cs="Arial"/>
        </w:rPr>
        <w:t xml:space="preserve">ces </w:t>
      </w:r>
      <w:r w:rsidRPr="00693A7D">
        <w:rPr>
          <w:rFonts w:cs="Arial"/>
        </w:rPr>
        <w:t>étudiants CNRQ</w:t>
      </w:r>
      <w:r w:rsidR="00544F0E" w:rsidRPr="00693A7D">
        <w:rPr>
          <w:rFonts w:cs="Arial"/>
        </w:rPr>
        <w:t xml:space="preserve"> </w:t>
      </w:r>
      <w:r w:rsidRPr="00693A7D">
        <w:rPr>
          <w:rFonts w:cs="Arial"/>
        </w:rPr>
        <w:t xml:space="preserve">et </w:t>
      </w:r>
      <w:r w:rsidR="008B469A" w:rsidRPr="00693A7D">
        <w:rPr>
          <w:rFonts w:cs="Arial"/>
        </w:rPr>
        <w:t xml:space="preserve">la réglementation de </w:t>
      </w:r>
      <w:r w:rsidR="00D15FBB" w:rsidRPr="00693A7D">
        <w:rPr>
          <w:rFonts w:cs="Arial"/>
        </w:rPr>
        <w:t>tous l</w:t>
      </w:r>
      <w:r w:rsidR="008B469A" w:rsidRPr="00693A7D">
        <w:rPr>
          <w:rFonts w:cs="Arial"/>
        </w:rPr>
        <w:t xml:space="preserve">es </w:t>
      </w:r>
      <w:r w:rsidRPr="00693A7D">
        <w:rPr>
          <w:rFonts w:cs="Arial"/>
        </w:rPr>
        <w:t xml:space="preserve">étudiants </w:t>
      </w:r>
      <w:r w:rsidR="0027402A" w:rsidRPr="00693A7D">
        <w:rPr>
          <w:rFonts w:cs="Arial"/>
        </w:rPr>
        <w:t>I</w:t>
      </w:r>
      <w:r w:rsidRPr="00693A7D">
        <w:rPr>
          <w:rFonts w:cs="Arial"/>
        </w:rPr>
        <w:t>nternationaux.</w:t>
      </w:r>
      <w:r w:rsidR="00544F0E" w:rsidRPr="00693A7D">
        <w:rPr>
          <w:rFonts w:cs="Arial"/>
        </w:rPr>
        <w:t xml:space="preserve"> </w:t>
      </w:r>
      <w:r w:rsidR="00181763" w:rsidRPr="00693A7D">
        <w:rPr>
          <w:rFonts w:cs="Arial"/>
        </w:rPr>
        <w:t xml:space="preserve">Les </w:t>
      </w:r>
      <w:r w:rsidR="00E437E5">
        <w:rPr>
          <w:rFonts w:cs="Arial"/>
        </w:rPr>
        <w:t>parties demanderesses</w:t>
      </w:r>
      <w:r w:rsidR="00181763" w:rsidRPr="00693A7D">
        <w:rPr>
          <w:rFonts w:cs="Arial"/>
        </w:rPr>
        <w:t xml:space="preserve"> recherchent plus particulièrement à obtenir </w:t>
      </w:r>
      <w:r w:rsidR="0009217F" w:rsidRPr="00693A7D">
        <w:rPr>
          <w:rFonts w:cs="Arial"/>
        </w:rPr>
        <w:t xml:space="preserve">l’annulation </w:t>
      </w:r>
      <w:r w:rsidR="00181763" w:rsidRPr="00693A7D">
        <w:rPr>
          <w:rFonts w:cs="Arial"/>
        </w:rPr>
        <w:t xml:space="preserve">des </w:t>
      </w:r>
      <w:r w:rsidR="00B55179" w:rsidRPr="00693A7D">
        <w:rPr>
          <w:rFonts w:cs="Arial"/>
          <w:szCs w:val="24"/>
        </w:rPr>
        <w:t xml:space="preserve">règles </w:t>
      </w:r>
      <w:r w:rsidR="00181763" w:rsidRPr="00693A7D">
        <w:rPr>
          <w:rFonts w:cs="Arial"/>
          <w:szCs w:val="24"/>
        </w:rPr>
        <w:t>3.4, 3.5 et 3.6 des Règles budgétaires</w:t>
      </w:r>
      <w:r w:rsidR="00144869" w:rsidRPr="00693A7D">
        <w:rPr>
          <w:rFonts w:cs="Arial"/>
          <w:szCs w:val="24"/>
        </w:rPr>
        <w:t xml:space="preserve"> telles que modifiées</w:t>
      </w:r>
      <w:r w:rsidR="00181763" w:rsidRPr="00693A7D">
        <w:rPr>
          <w:rFonts w:cs="Arial"/>
          <w:szCs w:val="24"/>
        </w:rPr>
        <w:t>.</w:t>
      </w:r>
    </w:p>
    <w:p w14:paraId="4DA84A46" w14:textId="643F4707" w:rsidR="00B75165" w:rsidRDefault="00B75165" w:rsidP="00693A7D">
      <w:pPr>
        <w:pStyle w:val="Paragraphe"/>
        <w:tabs>
          <w:tab w:val="clear" w:pos="2204"/>
        </w:tabs>
        <w:spacing w:line="240" w:lineRule="auto"/>
        <w:ind w:left="0"/>
        <w:rPr>
          <w:rFonts w:cs="Arial"/>
        </w:rPr>
      </w:pPr>
      <w:r>
        <w:rPr>
          <w:rFonts w:cs="Arial"/>
        </w:rPr>
        <w:t>L</w:t>
      </w:r>
      <w:r w:rsidR="00281A81" w:rsidRPr="00281A81">
        <w:rPr>
          <w:rFonts w:cs="Arial"/>
        </w:rPr>
        <w:t>es modifications</w:t>
      </w:r>
      <w:r w:rsidR="00E518EC">
        <w:rPr>
          <w:rFonts w:cs="Arial"/>
        </w:rPr>
        <w:t xml:space="preserve"> </w:t>
      </w:r>
      <w:r w:rsidR="00281A81" w:rsidRPr="00281A81">
        <w:rPr>
          <w:rFonts w:cs="Arial"/>
        </w:rPr>
        <w:t>affectent directement le financement des universités</w:t>
      </w:r>
      <w:r w:rsidR="00E518EC">
        <w:rPr>
          <w:rFonts w:cs="Arial"/>
        </w:rPr>
        <w:t xml:space="preserve"> </w:t>
      </w:r>
      <w:r w:rsidR="00281A81" w:rsidRPr="00281A81">
        <w:rPr>
          <w:rFonts w:cs="Arial"/>
        </w:rPr>
        <w:t>désignées</w:t>
      </w:r>
      <w:r w:rsidR="00544F0E">
        <w:rPr>
          <w:rFonts w:cs="Arial"/>
        </w:rPr>
        <w:t xml:space="preserve"> </w:t>
      </w:r>
      <w:r w:rsidR="00281A81" w:rsidRPr="00281A81">
        <w:rPr>
          <w:rFonts w:cs="Arial"/>
          <w:i/>
          <w:iCs/>
        </w:rPr>
        <w:t>anglophones</w:t>
      </w:r>
      <w:bookmarkStart w:id="16" w:name="_ftnref5"/>
      <w:bookmarkEnd w:id="16"/>
      <w:r w:rsidR="0027402A" w:rsidRPr="00B75165">
        <w:rPr>
          <w:rStyle w:val="Appelnotedebasdep"/>
          <w:rFonts w:cs="Arial"/>
        </w:rPr>
        <w:footnoteReference w:id="21"/>
      </w:r>
      <w:r>
        <w:rPr>
          <w:rFonts w:cs="Arial"/>
        </w:rPr>
        <w:t xml:space="preserve">, sauf l’Université </w:t>
      </w:r>
      <w:r w:rsidR="00C674DD" w:rsidRPr="00E40D21">
        <w:rPr>
          <w:rFonts w:cs="Arial"/>
        </w:rPr>
        <w:t>Bishop’s</w:t>
      </w:r>
      <w:r>
        <w:rPr>
          <w:rFonts w:cs="Arial"/>
        </w:rPr>
        <w:t xml:space="preserve"> pour </w:t>
      </w:r>
      <w:r w:rsidR="00412C73">
        <w:rPr>
          <w:rFonts w:cs="Arial"/>
        </w:rPr>
        <w:t>l</w:t>
      </w:r>
      <w:r>
        <w:rPr>
          <w:rFonts w:cs="Arial"/>
        </w:rPr>
        <w:t xml:space="preserve">es motifs </w:t>
      </w:r>
      <w:r w:rsidR="00412C73">
        <w:rPr>
          <w:rFonts w:cs="Arial"/>
        </w:rPr>
        <w:t>relatés</w:t>
      </w:r>
      <w:r>
        <w:rPr>
          <w:rFonts w:cs="Arial"/>
        </w:rPr>
        <w:t xml:space="preserve"> plus loin.</w:t>
      </w:r>
    </w:p>
    <w:p w14:paraId="630E45E1" w14:textId="2242D02A" w:rsidR="0009217F" w:rsidRDefault="0037178A" w:rsidP="0052395A">
      <w:pPr>
        <w:pStyle w:val="Paragraphe"/>
        <w:tabs>
          <w:tab w:val="clear" w:pos="2204"/>
        </w:tabs>
        <w:spacing w:line="240" w:lineRule="auto"/>
        <w:ind w:left="0"/>
        <w:rPr>
          <w:rFonts w:cs="Arial"/>
        </w:rPr>
      </w:pPr>
      <w:r>
        <w:rPr>
          <w:rFonts w:cs="Arial"/>
        </w:rPr>
        <w:t xml:space="preserve">Exposées succinctement, les modifications amènent une redistribution des sommes d’argent que le </w:t>
      </w:r>
      <w:r w:rsidR="0009217F">
        <w:rPr>
          <w:rFonts w:cs="Arial"/>
        </w:rPr>
        <w:t>g</w:t>
      </w:r>
      <w:r>
        <w:rPr>
          <w:rFonts w:cs="Arial"/>
        </w:rPr>
        <w:t xml:space="preserve">ouvernement du Québec </w:t>
      </w:r>
      <w:r w:rsidR="00E437E5">
        <w:rPr>
          <w:rFonts w:cs="Arial"/>
        </w:rPr>
        <w:t>alloue</w:t>
      </w:r>
      <w:r>
        <w:rPr>
          <w:rFonts w:cs="Arial"/>
        </w:rPr>
        <w:t xml:space="preserve"> </w:t>
      </w:r>
      <w:r w:rsidR="00476C48">
        <w:rPr>
          <w:rFonts w:cs="Arial"/>
        </w:rPr>
        <w:t>à l’ensemble des</w:t>
      </w:r>
      <w:r>
        <w:rPr>
          <w:rFonts w:cs="Arial"/>
        </w:rPr>
        <w:t xml:space="preserve"> universités québécoises</w:t>
      </w:r>
      <w:r w:rsidR="00476C48">
        <w:rPr>
          <w:rFonts w:cs="Arial"/>
        </w:rPr>
        <w:t xml:space="preserve"> par la détermination d’</w:t>
      </w:r>
      <w:r>
        <w:rPr>
          <w:rFonts w:cs="Arial"/>
        </w:rPr>
        <w:t>un nouveau partage de</w:t>
      </w:r>
      <w:r w:rsidR="00412C73">
        <w:rPr>
          <w:rFonts w:cs="Arial"/>
        </w:rPr>
        <w:t>s</w:t>
      </w:r>
      <w:r>
        <w:rPr>
          <w:rFonts w:cs="Arial"/>
        </w:rPr>
        <w:t xml:space="preserve"> enveloppes monétaires disponibles.</w:t>
      </w:r>
    </w:p>
    <w:p w14:paraId="15FD59CC" w14:textId="03D72BC1" w:rsidR="001579F2" w:rsidRPr="001579F2" w:rsidRDefault="001579F2" w:rsidP="001579F2">
      <w:pPr>
        <w:pStyle w:val="Paragraphe"/>
        <w:numPr>
          <w:ilvl w:val="0"/>
          <w:numId w:val="8"/>
        </w:numPr>
        <w:spacing w:line="240" w:lineRule="auto"/>
        <w:rPr>
          <w:rFonts w:cs="Arial"/>
          <w:b/>
          <w:bCs/>
        </w:rPr>
      </w:pPr>
      <w:r w:rsidRPr="001579F2">
        <w:rPr>
          <w:rFonts w:cs="Arial"/>
          <w:b/>
          <w:bCs/>
        </w:rPr>
        <w:t>Le financement des universités québécoises</w:t>
      </w:r>
    </w:p>
    <w:p w14:paraId="5946664A" w14:textId="53DE7F9E" w:rsidR="0037178A" w:rsidRDefault="0037178A" w:rsidP="0052395A">
      <w:pPr>
        <w:pStyle w:val="Paragraphe"/>
        <w:tabs>
          <w:tab w:val="clear" w:pos="2204"/>
        </w:tabs>
        <w:spacing w:line="240" w:lineRule="auto"/>
        <w:ind w:left="0"/>
        <w:rPr>
          <w:rFonts w:cs="Arial"/>
        </w:rPr>
      </w:pPr>
      <w:r>
        <w:rPr>
          <w:rFonts w:cs="Arial"/>
        </w:rPr>
        <w:t xml:space="preserve">Depuis </w:t>
      </w:r>
      <w:r w:rsidR="00C674DD" w:rsidRPr="00E40D21">
        <w:rPr>
          <w:rFonts w:cs="Arial"/>
        </w:rPr>
        <w:t>plusieurs</w:t>
      </w:r>
      <w:r w:rsidR="00C674DD">
        <w:rPr>
          <w:rFonts w:cs="Arial"/>
        </w:rPr>
        <w:t xml:space="preserve"> </w:t>
      </w:r>
      <w:r w:rsidR="00C32D49">
        <w:rPr>
          <w:rFonts w:cs="Arial"/>
        </w:rPr>
        <w:t>décennies</w:t>
      </w:r>
      <w:r>
        <w:rPr>
          <w:rFonts w:cs="Arial"/>
        </w:rPr>
        <w:t xml:space="preserve"> déjà les universités du Québec, c’est-à-dire l’Université Laval, l’Université McGill, l’Université de Montréal, l’Université de Sherbrooke, l’Université Concordia, l’Université </w:t>
      </w:r>
      <w:r w:rsidR="008323B8" w:rsidRPr="003B7DB6">
        <w:rPr>
          <w:rFonts w:cs="Arial"/>
        </w:rPr>
        <w:t>Bishop’s</w:t>
      </w:r>
      <w:r w:rsidR="00891B95">
        <w:rPr>
          <w:rFonts w:cs="Arial"/>
        </w:rPr>
        <w:t xml:space="preserve">, </w:t>
      </w:r>
      <w:r w:rsidR="006F65F5" w:rsidRPr="00DF4EDD">
        <w:t>l’École des hautes études commerciales</w:t>
      </w:r>
      <w:r w:rsidR="005B2482">
        <w:t xml:space="preserve"> </w:t>
      </w:r>
      <w:r w:rsidR="005B2482">
        <w:lastRenderedPageBreak/>
        <w:t>(</w:t>
      </w:r>
      <w:r w:rsidR="005B2482" w:rsidRPr="005B2482">
        <w:rPr>
          <w:b/>
          <w:bCs/>
        </w:rPr>
        <w:t>HEC</w:t>
      </w:r>
      <w:r w:rsidR="005B2482">
        <w:t>)</w:t>
      </w:r>
      <w:r w:rsidR="00891B95" w:rsidRPr="00E437E5">
        <w:rPr>
          <w:rFonts w:cs="Arial"/>
        </w:rPr>
        <w:t>, l</w:t>
      </w:r>
      <w:r w:rsidR="00E437E5">
        <w:rPr>
          <w:rFonts w:cs="Arial"/>
        </w:rPr>
        <w:t xml:space="preserve">’école </w:t>
      </w:r>
      <w:r w:rsidR="006F65F5" w:rsidRPr="00DF4EDD">
        <w:t xml:space="preserve">Polytechnique </w:t>
      </w:r>
      <w:r w:rsidR="00E437E5">
        <w:rPr>
          <w:rFonts w:cs="Arial"/>
        </w:rPr>
        <w:t xml:space="preserve">de </w:t>
      </w:r>
      <w:r w:rsidR="006F65F5" w:rsidRPr="00DF4EDD">
        <w:t>Montréal</w:t>
      </w:r>
      <w:r w:rsidR="006F65F5">
        <w:rPr>
          <w:rFonts w:cs="Arial"/>
        </w:rPr>
        <w:t xml:space="preserve"> </w:t>
      </w:r>
      <w:r w:rsidR="002D0A26">
        <w:rPr>
          <w:rFonts w:cs="Arial"/>
        </w:rPr>
        <w:t>(</w:t>
      </w:r>
      <w:r w:rsidR="002D0A26" w:rsidRPr="002D0A26">
        <w:rPr>
          <w:rFonts w:cs="Arial"/>
          <w:b/>
          <w:bCs/>
        </w:rPr>
        <w:t>Polytechnique Montréal</w:t>
      </w:r>
      <w:r w:rsidR="002D0A26">
        <w:rPr>
          <w:rFonts w:cs="Arial"/>
        </w:rPr>
        <w:t xml:space="preserve">) </w:t>
      </w:r>
      <w:r>
        <w:rPr>
          <w:rFonts w:cs="Arial"/>
        </w:rPr>
        <w:t>et l</w:t>
      </w:r>
      <w:r w:rsidR="00891B95">
        <w:rPr>
          <w:rFonts w:cs="Arial"/>
        </w:rPr>
        <w:t>’U</w:t>
      </w:r>
      <w:r>
        <w:rPr>
          <w:rFonts w:cs="Arial"/>
        </w:rPr>
        <w:t>niversité du Québec</w:t>
      </w:r>
      <w:r>
        <w:rPr>
          <w:rStyle w:val="Appelnotedebasdep"/>
          <w:rFonts w:cs="Arial"/>
        </w:rPr>
        <w:footnoteReference w:id="22"/>
      </w:r>
      <w:r>
        <w:rPr>
          <w:rFonts w:cs="Arial"/>
        </w:rPr>
        <w:t xml:space="preserve"> </w:t>
      </w:r>
      <w:r w:rsidR="000F2C4C">
        <w:rPr>
          <w:rFonts w:cs="Arial"/>
        </w:rPr>
        <w:t>dépendent du financement étatique</w:t>
      </w:r>
      <w:r>
        <w:rPr>
          <w:rFonts w:cs="Arial"/>
        </w:rPr>
        <w:t xml:space="preserve">. </w:t>
      </w:r>
      <w:r w:rsidR="000F2C4C">
        <w:rPr>
          <w:rFonts w:cs="Arial"/>
        </w:rPr>
        <w:t>On peut dire</w:t>
      </w:r>
      <w:r w:rsidR="0009217F">
        <w:rPr>
          <w:rFonts w:cs="Arial"/>
        </w:rPr>
        <w:t xml:space="preserve"> que</w:t>
      </w:r>
      <w:r w:rsidR="000F2C4C">
        <w:rPr>
          <w:rFonts w:cs="Arial"/>
        </w:rPr>
        <w:t xml:space="preserve">, si les </w:t>
      </w:r>
      <w:r w:rsidR="00561239">
        <w:rPr>
          <w:rFonts w:cs="Arial"/>
        </w:rPr>
        <w:t xml:space="preserve">universités se consacrent à leurs </w:t>
      </w:r>
      <w:r w:rsidR="000F2C4C">
        <w:rPr>
          <w:rFonts w:cs="Arial"/>
        </w:rPr>
        <w:t xml:space="preserve">missions </w:t>
      </w:r>
      <w:r w:rsidR="00561239">
        <w:rPr>
          <w:rFonts w:cs="Arial"/>
        </w:rPr>
        <w:t>liées à l’enseignement et la recherche</w:t>
      </w:r>
      <w:r w:rsidR="000F2C4C">
        <w:rPr>
          <w:rFonts w:cs="Arial"/>
        </w:rPr>
        <w:t xml:space="preserve">, c’est grâce à </w:t>
      </w:r>
      <w:r w:rsidR="00561239">
        <w:rPr>
          <w:rFonts w:cs="Arial"/>
        </w:rPr>
        <w:t>l’État</w:t>
      </w:r>
      <w:r w:rsidR="000F2C4C">
        <w:rPr>
          <w:rFonts w:cs="Arial"/>
        </w:rPr>
        <w:t xml:space="preserve"> qui</w:t>
      </w:r>
      <w:r w:rsidR="00561239">
        <w:rPr>
          <w:rFonts w:cs="Arial"/>
        </w:rPr>
        <w:t xml:space="preserve"> pourvoit substantiellement </w:t>
      </w:r>
      <w:r w:rsidR="000F2C4C">
        <w:rPr>
          <w:rFonts w:cs="Arial"/>
        </w:rPr>
        <w:t xml:space="preserve">à leurs </w:t>
      </w:r>
      <w:r w:rsidR="00561239">
        <w:rPr>
          <w:rFonts w:cs="Arial"/>
        </w:rPr>
        <w:t>budgets.</w:t>
      </w:r>
    </w:p>
    <w:p w14:paraId="761C72C7" w14:textId="0CA4DD38" w:rsidR="00412C73" w:rsidRPr="00412C73" w:rsidRDefault="00561239" w:rsidP="00BE1512">
      <w:pPr>
        <w:pStyle w:val="Paragraphe"/>
        <w:tabs>
          <w:tab w:val="clear" w:pos="2204"/>
        </w:tabs>
        <w:spacing w:line="240" w:lineRule="auto"/>
        <w:ind w:left="0"/>
        <w:rPr>
          <w:rFonts w:cs="Arial"/>
          <w:szCs w:val="24"/>
        </w:rPr>
      </w:pPr>
      <w:r>
        <w:rPr>
          <w:rFonts w:cs="Arial"/>
        </w:rPr>
        <w:t xml:space="preserve">Il existe plusieurs types de subventions, </w:t>
      </w:r>
      <w:r w:rsidR="009F3DF5">
        <w:rPr>
          <w:rFonts w:cs="Arial"/>
        </w:rPr>
        <w:t xml:space="preserve">ce </w:t>
      </w:r>
      <w:r>
        <w:rPr>
          <w:rFonts w:cs="Arial"/>
        </w:rPr>
        <w:t xml:space="preserve">que le Tribunal a déjà exposé dans le cadre du jugement </w:t>
      </w:r>
      <w:r w:rsidR="00E437E5">
        <w:rPr>
          <w:rFonts w:cs="Arial"/>
        </w:rPr>
        <w:t>rejetant</w:t>
      </w:r>
      <w:r>
        <w:rPr>
          <w:rFonts w:cs="Arial"/>
        </w:rPr>
        <w:t xml:space="preserve"> la demande de sursis de Concordia et Meldrum</w:t>
      </w:r>
      <w:bookmarkStart w:id="17" w:name="_Ref194264917"/>
      <w:r w:rsidR="009F3DF5">
        <w:rPr>
          <w:rStyle w:val="Appelnotedebasdep"/>
          <w:rFonts w:cs="Arial"/>
        </w:rPr>
        <w:footnoteReference w:id="23"/>
      </w:r>
      <w:bookmarkEnd w:id="17"/>
      <w:r>
        <w:rPr>
          <w:rFonts w:cs="Arial"/>
        </w:rPr>
        <w:t>.</w:t>
      </w:r>
      <w:r w:rsidR="00412C73">
        <w:rPr>
          <w:rFonts w:cs="Arial"/>
        </w:rPr>
        <w:t xml:space="preserve"> Revoyons-les.</w:t>
      </w:r>
    </w:p>
    <w:p w14:paraId="6F717F49" w14:textId="2C38C3A5" w:rsidR="00705CAE" w:rsidRPr="00705CAE" w:rsidRDefault="00561239" w:rsidP="00BE1512">
      <w:pPr>
        <w:pStyle w:val="Paragraphe"/>
        <w:tabs>
          <w:tab w:val="clear" w:pos="2204"/>
        </w:tabs>
        <w:spacing w:line="240" w:lineRule="auto"/>
        <w:ind w:left="0"/>
        <w:rPr>
          <w:rFonts w:cs="Arial"/>
          <w:szCs w:val="24"/>
        </w:rPr>
      </w:pPr>
      <w:r w:rsidRPr="00705CAE">
        <w:rPr>
          <w:rFonts w:cs="Arial"/>
          <w:szCs w:val="24"/>
        </w:rPr>
        <w:t>Largement dépendantes du financement étatique, les universités se voient attribuer</w:t>
      </w:r>
      <w:r w:rsidR="00CE2175">
        <w:rPr>
          <w:rFonts w:cs="Arial"/>
          <w:szCs w:val="24"/>
        </w:rPr>
        <w:t>,</w:t>
      </w:r>
      <w:r w:rsidRPr="00705CAE">
        <w:rPr>
          <w:rFonts w:cs="Arial"/>
          <w:szCs w:val="24"/>
        </w:rPr>
        <w:t xml:space="preserve"> par l’intermédiaire</w:t>
      </w:r>
      <w:r w:rsidR="00E15B44">
        <w:rPr>
          <w:rFonts w:cs="Arial"/>
          <w:szCs w:val="24"/>
        </w:rPr>
        <w:t xml:space="preserve"> </w:t>
      </w:r>
      <w:r w:rsidRPr="00705CAE">
        <w:rPr>
          <w:rFonts w:cs="Arial"/>
          <w:szCs w:val="24"/>
        </w:rPr>
        <w:t>du ministère de l’Enseignement supérieur, une subvention de fonctionnement,</w:t>
      </w:r>
      <w:r w:rsidR="00E15B44">
        <w:rPr>
          <w:rFonts w:cs="Arial"/>
          <w:szCs w:val="24"/>
        </w:rPr>
        <w:t xml:space="preserve"> </w:t>
      </w:r>
      <w:r w:rsidRPr="00705CAE">
        <w:rPr>
          <w:rFonts w:cs="Arial"/>
          <w:szCs w:val="24"/>
        </w:rPr>
        <w:t>composée d’une subvention générale pour les coûts récurrents et de subventions spécifiques qui visent à répondre</w:t>
      </w:r>
      <w:r w:rsidR="00E15B44">
        <w:rPr>
          <w:rFonts w:cs="Arial"/>
          <w:szCs w:val="24"/>
        </w:rPr>
        <w:t xml:space="preserve"> </w:t>
      </w:r>
      <w:r w:rsidRPr="00705CAE">
        <w:rPr>
          <w:rFonts w:cs="Arial"/>
          <w:szCs w:val="24"/>
        </w:rPr>
        <w:t>à leurs</w:t>
      </w:r>
      <w:r w:rsidR="00E15B44">
        <w:rPr>
          <w:rFonts w:cs="Arial"/>
          <w:szCs w:val="24"/>
        </w:rPr>
        <w:t xml:space="preserve"> </w:t>
      </w:r>
      <w:r w:rsidRPr="00705CAE">
        <w:rPr>
          <w:rFonts w:cs="Arial"/>
          <w:szCs w:val="24"/>
        </w:rPr>
        <w:t>besoins</w:t>
      </w:r>
      <w:r w:rsidR="00E15B44">
        <w:rPr>
          <w:rFonts w:cs="Arial"/>
          <w:szCs w:val="24"/>
        </w:rPr>
        <w:t xml:space="preserve"> </w:t>
      </w:r>
      <w:r w:rsidRPr="00705CAE">
        <w:rPr>
          <w:rFonts w:cs="Arial"/>
          <w:szCs w:val="24"/>
        </w:rPr>
        <w:t>particuliers.</w:t>
      </w:r>
      <w:r w:rsidR="00E15B44">
        <w:rPr>
          <w:rFonts w:cs="Arial"/>
          <w:szCs w:val="24"/>
        </w:rPr>
        <w:t xml:space="preserve"> </w:t>
      </w:r>
      <w:r w:rsidRPr="00705CAE">
        <w:rPr>
          <w:rFonts w:cs="Arial"/>
          <w:szCs w:val="24"/>
        </w:rPr>
        <w:t xml:space="preserve">À titre d’illustration, pour l’année universitaire 2023-2024, l’appui au recrutement d’étudiants </w:t>
      </w:r>
      <w:r w:rsidR="0031401B" w:rsidRPr="001579F2">
        <w:rPr>
          <w:rFonts w:cs="Arial"/>
          <w:szCs w:val="24"/>
        </w:rPr>
        <w:t>I</w:t>
      </w:r>
      <w:r w:rsidRPr="001579F2">
        <w:rPr>
          <w:rFonts w:cs="Arial"/>
          <w:szCs w:val="24"/>
        </w:rPr>
        <w:t>nternationaux</w:t>
      </w:r>
      <w:r w:rsidRPr="00705CAE">
        <w:rPr>
          <w:rFonts w:cs="Arial"/>
          <w:szCs w:val="24"/>
        </w:rPr>
        <w:t xml:space="preserve"> et l’allocation aux universités francophones pour les étudiants </w:t>
      </w:r>
      <w:r w:rsidR="0031401B" w:rsidRPr="001579F2">
        <w:rPr>
          <w:rFonts w:cs="Arial"/>
          <w:szCs w:val="24"/>
        </w:rPr>
        <w:t>Internationaux</w:t>
      </w:r>
      <w:r w:rsidR="0031401B">
        <w:rPr>
          <w:rFonts w:cs="Arial"/>
          <w:szCs w:val="24"/>
        </w:rPr>
        <w:t xml:space="preserve"> </w:t>
      </w:r>
      <w:r w:rsidRPr="00705CAE">
        <w:rPr>
          <w:rFonts w:cs="Arial"/>
          <w:szCs w:val="24"/>
        </w:rPr>
        <w:t>déréglementés font partie des subventions spécifiques</w:t>
      </w:r>
      <w:bookmarkStart w:id="18" w:name="_ftnref17"/>
      <w:bookmarkEnd w:id="18"/>
      <w:r w:rsidR="009E7F62">
        <w:rPr>
          <w:rStyle w:val="Appelnotedebasdep"/>
          <w:rFonts w:cs="Arial"/>
          <w:szCs w:val="24"/>
        </w:rPr>
        <w:footnoteReference w:id="24"/>
      </w:r>
      <w:r w:rsidRPr="00705CAE">
        <w:rPr>
          <w:rFonts w:cs="Arial"/>
          <w:szCs w:val="24"/>
        </w:rPr>
        <w:t>.</w:t>
      </w:r>
    </w:p>
    <w:p w14:paraId="21C4CCFB" w14:textId="09F75652" w:rsidR="00561239" w:rsidRPr="0009217F" w:rsidRDefault="00561239" w:rsidP="00BE1512">
      <w:pPr>
        <w:pStyle w:val="Paragraphe"/>
        <w:tabs>
          <w:tab w:val="clear" w:pos="2204"/>
        </w:tabs>
        <w:spacing w:line="240" w:lineRule="auto"/>
        <w:ind w:left="0"/>
        <w:rPr>
          <w:rFonts w:cs="Arial"/>
          <w:szCs w:val="24"/>
        </w:rPr>
      </w:pPr>
      <w:r w:rsidRPr="0009217F">
        <w:rPr>
          <w:rFonts w:cs="Arial"/>
        </w:rPr>
        <w:t>La subvention générale</w:t>
      </w:r>
      <w:r w:rsidR="0041477F">
        <w:rPr>
          <w:rFonts w:cs="Arial"/>
        </w:rPr>
        <w:t xml:space="preserve"> </w:t>
      </w:r>
      <w:r w:rsidRPr="0009217F">
        <w:rPr>
          <w:rFonts w:cs="Arial"/>
        </w:rPr>
        <w:t>se</w:t>
      </w:r>
      <w:r w:rsidR="0041477F">
        <w:rPr>
          <w:rFonts w:cs="Arial"/>
        </w:rPr>
        <w:t xml:space="preserve"> </w:t>
      </w:r>
      <w:r w:rsidRPr="0009217F">
        <w:rPr>
          <w:rFonts w:cs="Arial"/>
        </w:rPr>
        <w:t>constitue</w:t>
      </w:r>
      <w:r w:rsidR="0041477F">
        <w:rPr>
          <w:rFonts w:cs="Arial"/>
        </w:rPr>
        <w:t xml:space="preserve"> </w:t>
      </w:r>
      <w:r w:rsidRPr="0009217F">
        <w:rPr>
          <w:rFonts w:cs="Arial"/>
        </w:rPr>
        <w:t>entre autres</w:t>
      </w:r>
      <w:r w:rsidR="0041477F">
        <w:rPr>
          <w:rFonts w:cs="Arial"/>
        </w:rPr>
        <w:t xml:space="preserve"> </w:t>
      </w:r>
      <w:r w:rsidRPr="0009217F">
        <w:rPr>
          <w:rFonts w:cs="Arial"/>
        </w:rPr>
        <w:t>de</w:t>
      </w:r>
      <w:r w:rsidR="0041477F">
        <w:rPr>
          <w:rFonts w:cs="Arial"/>
        </w:rPr>
        <w:t xml:space="preserve"> </w:t>
      </w:r>
      <w:r w:rsidRPr="0009217F">
        <w:rPr>
          <w:rFonts w:cs="Arial"/>
        </w:rPr>
        <w:t>trois subventions normées</w:t>
      </w:r>
      <w:r w:rsidR="0009217F" w:rsidRPr="0009217F">
        <w:rPr>
          <w:rFonts w:cs="Arial"/>
        </w:rPr>
        <w:t xml:space="preserve">, qui requièrent aussi </w:t>
      </w:r>
      <w:r w:rsidRPr="0009217F">
        <w:rPr>
          <w:rFonts w:cs="Arial"/>
          <w:szCs w:val="24"/>
        </w:rPr>
        <w:t xml:space="preserve">des précisions en raison du lien avec les droits de scolarité de certains étudiants </w:t>
      </w:r>
      <w:r w:rsidR="00412C73">
        <w:rPr>
          <w:rFonts w:cs="Arial"/>
          <w:szCs w:val="24"/>
        </w:rPr>
        <w:t>I</w:t>
      </w:r>
      <w:r w:rsidRPr="0009217F">
        <w:rPr>
          <w:rFonts w:cs="Arial"/>
          <w:szCs w:val="24"/>
        </w:rPr>
        <w:t>nternationaux. Leur objectif vise</w:t>
      </w:r>
      <w:r w:rsidR="0078223B">
        <w:rPr>
          <w:rFonts w:cs="Arial"/>
          <w:szCs w:val="24"/>
        </w:rPr>
        <w:t xml:space="preserve"> </w:t>
      </w:r>
      <w:r w:rsidR="0009217F">
        <w:rPr>
          <w:rFonts w:cs="Arial"/>
          <w:szCs w:val="24"/>
        </w:rPr>
        <w:t>l’</w:t>
      </w:r>
      <w:r w:rsidRPr="0009217F">
        <w:rPr>
          <w:rFonts w:cs="Arial"/>
          <w:szCs w:val="24"/>
        </w:rPr>
        <w:t xml:space="preserve">aide </w:t>
      </w:r>
      <w:r w:rsidR="0009217F">
        <w:rPr>
          <w:rFonts w:cs="Arial"/>
          <w:szCs w:val="24"/>
        </w:rPr>
        <w:t>aux</w:t>
      </w:r>
      <w:r w:rsidRPr="0009217F">
        <w:rPr>
          <w:rFonts w:cs="Arial"/>
          <w:szCs w:val="24"/>
        </w:rPr>
        <w:t xml:space="preserve"> universités à assumer les coûts reliés à leurs fonctions principales, soit l’enseignement, le soutien à l’enseignement et à la recherche, ainsi que l’entretien des terrains et des bâtiments.</w:t>
      </w:r>
    </w:p>
    <w:p w14:paraId="15F890A1" w14:textId="63113563" w:rsidR="00561239" w:rsidRPr="00705CAE" w:rsidRDefault="00561239" w:rsidP="00BE1512">
      <w:pPr>
        <w:pStyle w:val="Paragraphe"/>
        <w:tabs>
          <w:tab w:val="clear" w:pos="2204"/>
        </w:tabs>
        <w:spacing w:line="240" w:lineRule="auto"/>
        <w:ind w:left="0"/>
        <w:rPr>
          <w:rFonts w:cs="Arial"/>
          <w:szCs w:val="24"/>
        </w:rPr>
      </w:pPr>
      <w:r w:rsidRPr="00705CAE">
        <w:rPr>
          <w:rFonts w:cs="Arial"/>
          <w:szCs w:val="24"/>
        </w:rPr>
        <w:t>La subvention normée pour les dépenses d’enseignement se détermine sur base du nombre d’inscriptions des étudiants en équivalence au temps plein (</w:t>
      </w:r>
      <w:r w:rsidRPr="00412C73">
        <w:rPr>
          <w:rFonts w:cs="Arial"/>
          <w:b/>
          <w:bCs/>
          <w:szCs w:val="24"/>
        </w:rPr>
        <w:t>EETP</w:t>
      </w:r>
      <w:r w:rsidRPr="00705CAE">
        <w:rPr>
          <w:rFonts w:cs="Arial"/>
          <w:szCs w:val="24"/>
        </w:rPr>
        <w:t>). Le financement se fait à partir des EETP pondérés, la valeur unitaire d’un EETP pondéré</w:t>
      </w:r>
      <w:r w:rsidR="005F4F7B">
        <w:rPr>
          <w:rFonts w:cs="Arial"/>
          <w:szCs w:val="24"/>
        </w:rPr>
        <w:t>e</w:t>
      </w:r>
      <w:r w:rsidRPr="00705CAE">
        <w:rPr>
          <w:rFonts w:cs="Arial"/>
          <w:szCs w:val="24"/>
        </w:rPr>
        <w:t xml:space="preserve"> pour l’année universitaire 2023-2024</w:t>
      </w:r>
      <w:r w:rsidR="00412C73">
        <w:rPr>
          <w:rFonts w:cs="Arial"/>
          <w:szCs w:val="24"/>
        </w:rPr>
        <w:t>,</w:t>
      </w:r>
      <w:r w:rsidRPr="00705CAE">
        <w:rPr>
          <w:rFonts w:cs="Arial"/>
          <w:szCs w:val="24"/>
        </w:rPr>
        <w:t xml:space="preserve"> par exemple</w:t>
      </w:r>
      <w:r w:rsidR="00412C73">
        <w:rPr>
          <w:rFonts w:cs="Arial"/>
          <w:szCs w:val="24"/>
        </w:rPr>
        <w:t>,</w:t>
      </w:r>
      <w:r w:rsidRPr="00705CAE">
        <w:rPr>
          <w:rFonts w:cs="Arial"/>
          <w:szCs w:val="24"/>
        </w:rPr>
        <w:t xml:space="preserve"> étant de 3 994,59 $</w:t>
      </w:r>
      <w:bookmarkStart w:id="19" w:name="_ftnref18"/>
      <w:bookmarkEnd w:id="19"/>
      <w:r w:rsidR="007D3BBC">
        <w:rPr>
          <w:rStyle w:val="Appelnotedebasdep"/>
          <w:rFonts w:cs="Arial"/>
          <w:szCs w:val="24"/>
        </w:rPr>
        <w:footnoteReference w:id="25"/>
      </w:r>
      <w:r w:rsidRPr="00705CAE">
        <w:rPr>
          <w:rFonts w:cs="Arial"/>
          <w:szCs w:val="24"/>
        </w:rPr>
        <w:t>.</w:t>
      </w:r>
    </w:p>
    <w:p w14:paraId="7BD122FD" w14:textId="2C3DBBA9" w:rsidR="00561239" w:rsidRPr="00705CAE" w:rsidRDefault="00561239" w:rsidP="00BE1512">
      <w:pPr>
        <w:pStyle w:val="Paragraphe"/>
        <w:tabs>
          <w:tab w:val="clear" w:pos="2204"/>
        </w:tabs>
        <w:spacing w:line="240" w:lineRule="auto"/>
        <w:ind w:left="0"/>
        <w:rPr>
          <w:rFonts w:cs="Arial"/>
          <w:szCs w:val="24"/>
        </w:rPr>
      </w:pPr>
      <w:bookmarkStart w:id="20" w:name="_Hlk171428554"/>
      <w:r w:rsidRPr="00705CAE">
        <w:rPr>
          <w:rFonts w:cs="Arial"/>
          <w:szCs w:val="24"/>
        </w:rPr>
        <w:t>Une partie du financement public des universités dépend</w:t>
      </w:r>
      <w:r w:rsidR="00EA20FF">
        <w:rPr>
          <w:rFonts w:cs="Arial"/>
          <w:szCs w:val="24"/>
        </w:rPr>
        <w:t xml:space="preserve"> </w:t>
      </w:r>
      <w:r w:rsidRPr="00705CAE">
        <w:rPr>
          <w:rFonts w:cs="Arial"/>
          <w:szCs w:val="24"/>
        </w:rPr>
        <w:t>donc de leur effectif</w:t>
      </w:r>
      <w:r w:rsidR="00EA20FF">
        <w:rPr>
          <w:rFonts w:cs="Arial"/>
          <w:szCs w:val="24"/>
        </w:rPr>
        <w:t xml:space="preserve"> </w:t>
      </w:r>
      <w:r w:rsidRPr="00705CAE">
        <w:rPr>
          <w:rFonts w:cs="Arial"/>
          <w:szCs w:val="24"/>
        </w:rPr>
        <w:t>étudiant.</w:t>
      </w:r>
      <w:bookmarkEnd w:id="20"/>
    </w:p>
    <w:p w14:paraId="21382E16" w14:textId="4A1E7C51" w:rsidR="00561239" w:rsidRPr="00705CAE" w:rsidRDefault="00561239" w:rsidP="00BE1512">
      <w:pPr>
        <w:pStyle w:val="Paragraphe"/>
        <w:tabs>
          <w:tab w:val="clear" w:pos="2204"/>
        </w:tabs>
        <w:spacing w:line="240" w:lineRule="auto"/>
        <w:ind w:left="0"/>
        <w:rPr>
          <w:rFonts w:cs="Arial"/>
          <w:szCs w:val="24"/>
        </w:rPr>
      </w:pPr>
      <w:r w:rsidRPr="00705CAE">
        <w:rPr>
          <w:rFonts w:cs="Arial"/>
          <w:szCs w:val="24"/>
        </w:rPr>
        <w:t>Quant aux droits de scolarité, une autre source de financement des universités,</w:t>
      </w:r>
      <w:r w:rsidR="008E1022">
        <w:rPr>
          <w:rFonts w:cs="Arial"/>
          <w:szCs w:val="24"/>
        </w:rPr>
        <w:t xml:space="preserve"> </w:t>
      </w:r>
      <w:r w:rsidRPr="00705CAE">
        <w:rPr>
          <w:rFonts w:cs="Arial"/>
          <w:szCs w:val="24"/>
        </w:rPr>
        <w:t>le statut résidentiel des étudiants</w:t>
      </w:r>
      <w:r w:rsidR="008E1022">
        <w:rPr>
          <w:rFonts w:cs="Arial"/>
          <w:szCs w:val="24"/>
        </w:rPr>
        <w:t xml:space="preserve"> </w:t>
      </w:r>
      <w:r w:rsidRPr="00705CAE">
        <w:rPr>
          <w:rFonts w:cs="Arial"/>
          <w:szCs w:val="24"/>
        </w:rPr>
        <w:t xml:space="preserve">les détermine. À cet effet, les étudiants du réseau universitaire québécois se divisent en trois catégories : les étudiants résidents du Québec, les étudiants CNRQ et les étudiants </w:t>
      </w:r>
      <w:r w:rsidR="0009217F">
        <w:rPr>
          <w:rFonts w:cs="Arial"/>
          <w:szCs w:val="24"/>
        </w:rPr>
        <w:t>I</w:t>
      </w:r>
      <w:r w:rsidRPr="00705CAE">
        <w:rPr>
          <w:rFonts w:cs="Arial"/>
          <w:szCs w:val="24"/>
        </w:rPr>
        <w:t>nternationaux.</w:t>
      </w:r>
    </w:p>
    <w:p w14:paraId="034CC44F" w14:textId="11CF5E82" w:rsidR="00561239" w:rsidRPr="00705CAE" w:rsidRDefault="00561239" w:rsidP="00C07ED7">
      <w:pPr>
        <w:pStyle w:val="Paragraphe"/>
        <w:keepNext/>
        <w:numPr>
          <w:ilvl w:val="1"/>
          <w:numId w:val="6"/>
        </w:numPr>
        <w:spacing w:line="240" w:lineRule="auto"/>
        <w:rPr>
          <w:rFonts w:cs="Arial"/>
          <w:szCs w:val="24"/>
        </w:rPr>
      </w:pPr>
      <w:r w:rsidRPr="00705CAE">
        <w:rPr>
          <w:rFonts w:cs="Arial"/>
          <w:i/>
          <w:iCs/>
          <w:szCs w:val="24"/>
        </w:rPr>
        <w:lastRenderedPageBreak/>
        <w:t>Les droits de scolarité des étudiants résidents du Québec</w:t>
      </w:r>
    </w:p>
    <w:p w14:paraId="3313B4A9" w14:textId="4DEF8332" w:rsidR="00561239" w:rsidRPr="00705CAE" w:rsidRDefault="00561239" w:rsidP="00C07ED7">
      <w:pPr>
        <w:pStyle w:val="Paragraphe"/>
        <w:keepNext/>
        <w:tabs>
          <w:tab w:val="clear" w:pos="2204"/>
        </w:tabs>
        <w:spacing w:line="240" w:lineRule="auto"/>
        <w:ind w:left="0"/>
        <w:rPr>
          <w:rFonts w:cs="Arial"/>
          <w:szCs w:val="24"/>
        </w:rPr>
      </w:pPr>
      <w:r w:rsidRPr="00705CAE">
        <w:rPr>
          <w:rFonts w:cs="Arial"/>
          <w:szCs w:val="24"/>
        </w:rPr>
        <w:t>Les étudiants résidents du Québec paient des droits de scolarité</w:t>
      </w:r>
      <w:r w:rsidR="008E1022">
        <w:rPr>
          <w:rFonts w:cs="Arial"/>
          <w:szCs w:val="24"/>
        </w:rPr>
        <w:t xml:space="preserve"> </w:t>
      </w:r>
      <w:r w:rsidRPr="00705CAE">
        <w:rPr>
          <w:rFonts w:cs="Arial"/>
          <w:i/>
          <w:iCs/>
          <w:szCs w:val="24"/>
        </w:rPr>
        <w:t>de base</w:t>
      </w:r>
      <w:r w:rsidR="008E1022">
        <w:rPr>
          <w:rFonts w:cs="Arial"/>
          <w:szCs w:val="24"/>
        </w:rPr>
        <w:t xml:space="preserve"> </w:t>
      </w:r>
      <w:r w:rsidRPr="00705CAE">
        <w:rPr>
          <w:rFonts w:cs="Arial"/>
          <w:szCs w:val="24"/>
        </w:rPr>
        <w:t>calculés selon un montant maximal par unité de cours suivi, c’est-à-dire par crédit universitaire.</w:t>
      </w:r>
      <w:r w:rsidR="005F7955">
        <w:rPr>
          <w:rFonts w:cs="Arial"/>
          <w:szCs w:val="24"/>
        </w:rPr>
        <w:t xml:space="preserve"> </w:t>
      </w:r>
      <w:r w:rsidRPr="00705CAE">
        <w:rPr>
          <w:rFonts w:cs="Arial"/>
          <w:szCs w:val="24"/>
        </w:rPr>
        <w:t>Pour l’année 2023-2024, les droits de scolarité des étudiants résidents du Québec s’élevaient à</w:t>
      </w:r>
      <w:r w:rsidR="00331911">
        <w:rPr>
          <w:rFonts w:cs="Arial"/>
          <w:szCs w:val="24"/>
        </w:rPr>
        <w:t xml:space="preserve"> </w:t>
      </w:r>
      <w:r w:rsidRPr="00705CAE">
        <w:rPr>
          <w:rFonts w:cs="Arial"/>
          <w:szCs w:val="24"/>
        </w:rPr>
        <w:t>2 880,90 $, soit</w:t>
      </w:r>
      <w:r w:rsidR="00331911">
        <w:rPr>
          <w:rFonts w:cs="Arial"/>
          <w:szCs w:val="24"/>
        </w:rPr>
        <w:t xml:space="preserve"> </w:t>
      </w:r>
      <w:r w:rsidRPr="00705CAE">
        <w:rPr>
          <w:rFonts w:cs="Arial"/>
          <w:szCs w:val="24"/>
        </w:rPr>
        <w:t>96,03 $ par unité</w:t>
      </w:r>
      <w:r w:rsidR="00795F40">
        <w:rPr>
          <w:rFonts w:cs="Arial"/>
          <w:szCs w:val="24"/>
        </w:rPr>
        <w:t xml:space="preserve"> </w:t>
      </w:r>
      <w:r w:rsidRPr="00705CAE">
        <w:rPr>
          <w:rFonts w:cs="Arial"/>
          <w:szCs w:val="24"/>
        </w:rPr>
        <w:t>x 30 unités</w:t>
      </w:r>
      <w:r w:rsidR="00331911">
        <w:rPr>
          <w:rFonts w:cs="Arial"/>
          <w:szCs w:val="24"/>
        </w:rPr>
        <w:t xml:space="preserve"> </w:t>
      </w:r>
      <w:r w:rsidRPr="00705CAE">
        <w:rPr>
          <w:rFonts w:cs="Arial"/>
          <w:szCs w:val="24"/>
        </w:rPr>
        <w:t>par</w:t>
      </w:r>
      <w:r w:rsidR="00331911">
        <w:rPr>
          <w:rFonts w:cs="Arial"/>
          <w:szCs w:val="24"/>
        </w:rPr>
        <w:t xml:space="preserve"> </w:t>
      </w:r>
      <w:r w:rsidRPr="00705CAE">
        <w:rPr>
          <w:rFonts w:cs="Arial"/>
          <w:szCs w:val="24"/>
        </w:rPr>
        <w:t>année,</w:t>
      </w:r>
      <w:r w:rsidR="00331911">
        <w:rPr>
          <w:rFonts w:cs="Arial"/>
          <w:szCs w:val="24"/>
        </w:rPr>
        <w:t xml:space="preserve"> </w:t>
      </w:r>
      <w:r w:rsidRPr="00705CAE">
        <w:rPr>
          <w:rFonts w:cs="Arial"/>
          <w:szCs w:val="24"/>
        </w:rPr>
        <w:t>pour un étudiant à temps plein.</w:t>
      </w:r>
    </w:p>
    <w:p w14:paraId="16068673" w14:textId="5AD22CC5" w:rsidR="00561239" w:rsidRPr="00705CAE" w:rsidRDefault="00561239" w:rsidP="00BE1512">
      <w:pPr>
        <w:pStyle w:val="Paragraphe"/>
        <w:tabs>
          <w:tab w:val="clear" w:pos="2204"/>
        </w:tabs>
        <w:spacing w:line="240" w:lineRule="auto"/>
        <w:ind w:left="0"/>
        <w:rPr>
          <w:rFonts w:cs="Arial"/>
          <w:szCs w:val="24"/>
        </w:rPr>
      </w:pPr>
      <w:r w:rsidRPr="00705CAE">
        <w:rPr>
          <w:rFonts w:cs="Arial"/>
          <w:szCs w:val="24"/>
        </w:rPr>
        <w:t>En raison d’un</w:t>
      </w:r>
      <w:r w:rsidR="008F5D93">
        <w:rPr>
          <w:rFonts w:cs="Arial"/>
          <w:szCs w:val="24"/>
        </w:rPr>
        <w:t xml:space="preserve"> </w:t>
      </w:r>
      <w:r w:rsidRPr="00705CAE">
        <w:rPr>
          <w:rFonts w:cs="Arial"/>
          <w:szCs w:val="24"/>
        </w:rPr>
        <w:t>taux d’indexation limité à</w:t>
      </w:r>
      <w:r w:rsidR="008F5D93">
        <w:rPr>
          <w:rFonts w:cs="Arial"/>
          <w:szCs w:val="24"/>
        </w:rPr>
        <w:t xml:space="preserve"> </w:t>
      </w:r>
      <w:r w:rsidRPr="00705CAE">
        <w:rPr>
          <w:rFonts w:cs="Arial"/>
          <w:szCs w:val="24"/>
        </w:rPr>
        <w:t>3 %</w:t>
      </w:r>
      <w:bookmarkStart w:id="21" w:name="_ftnref19"/>
      <w:bookmarkEnd w:id="21"/>
      <w:r w:rsidR="008F5D93">
        <w:rPr>
          <w:rStyle w:val="Appelnotedebasdep"/>
          <w:rFonts w:cs="Arial"/>
          <w:szCs w:val="24"/>
        </w:rPr>
        <w:footnoteReference w:id="26"/>
      </w:r>
      <w:r w:rsidRPr="00705CAE">
        <w:rPr>
          <w:rFonts w:cs="Arial"/>
          <w:szCs w:val="24"/>
        </w:rPr>
        <w:t>, les droits de scolarité grimpent à 98,91 $ par unité</w:t>
      </w:r>
      <w:bookmarkStart w:id="22" w:name="_ftnref20"/>
      <w:bookmarkEnd w:id="22"/>
      <w:r w:rsidR="00586069">
        <w:rPr>
          <w:rStyle w:val="Appelnotedebasdep"/>
          <w:rFonts w:cs="Arial"/>
          <w:szCs w:val="24"/>
        </w:rPr>
        <w:footnoteReference w:id="27"/>
      </w:r>
      <w:r w:rsidRPr="00705CAE">
        <w:rPr>
          <w:rFonts w:cs="Arial"/>
          <w:szCs w:val="24"/>
        </w:rPr>
        <w:t>, soit 2 967,30 $ par année d’études universitaires à temps plein d</w:t>
      </w:r>
      <w:r w:rsidR="00E137EF">
        <w:rPr>
          <w:rFonts w:cs="Arial"/>
          <w:szCs w:val="24"/>
        </w:rPr>
        <w:t xml:space="preserve">epuis </w:t>
      </w:r>
      <w:r w:rsidRPr="00705CAE">
        <w:rPr>
          <w:rFonts w:cs="Arial"/>
          <w:szCs w:val="24"/>
        </w:rPr>
        <w:t>l’automne</w:t>
      </w:r>
      <w:r w:rsidR="00C07ED7">
        <w:rPr>
          <w:rFonts w:cs="Arial"/>
          <w:szCs w:val="24"/>
        </w:rPr>
        <w:t> </w:t>
      </w:r>
      <w:r w:rsidRPr="00705CAE">
        <w:rPr>
          <w:rFonts w:cs="Arial"/>
          <w:szCs w:val="24"/>
        </w:rPr>
        <w:t>2024.</w:t>
      </w:r>
    </w:p>
    <w:p w14:paraId="1360A619" w14:textId="2F2E8CFF" w:rsidR="00561239" w:rsidRPr="00705CAE" w:rsidRDefault="00561239" w:rsidP="00705CAE">
      <w:pPr>
        <w:pStyle w:val="Paragraphe"/>
        <w:numPr>
          <w:ilvl w:val="1"/>
          <w:numId w:val="6"/>
        </w:numPr>
        <w:spacing w:line="240" w:lineRule="auto"/>
        <w:rPr>
          <w:rFonts w:cs="Arial"/>
          <w:szCs w:val="24"/>
        </w:rPr>
      </w:pPr>
      <w:r w:rsidRPr="00705CAE">
        <w:rPr>
          <w:rFonts w:cs="Arial"/>
          <w:i/>
          <w:iCs/>
          <w:szCs w:val="24"/>
        </w:rPr>
        <w:t>Les droits de scolarité des étudiants CNRQ</w:t>
      </w:r>
    </w:p>
    <w:p w14:paraId="7DD0C905" w14:textId="312C7C8A" w:rsidR="00561239" w:rsidRPr="005F4F7B" w:rsidRDefault="00561239" w:rsidP="00BE1512">
      <w:pPr>
        <w:pStyle w:val="Paragraphe"/>
        <w:tabs>
          <w:tab w:val="clear" w:pos="2204"/>
        </w:tabs>
        <w:spacing w:line="240" w:lineRule="auto"/>
        <w:ind w:left="0"/>
        <w:rPr>
          <w:rFonts w:cs="Arial"/>
          <w:szCs w:val="24"/>
        </w:rPr>
      </w:pPr>
      <w:r w:rsidRPr="005F4F7B">
        <w:rPr>
          <w:rFonts w:cs="Arial"/>
          <w:szCs w:val="24"/>
        </w:rPr>
        <w:t>Les étudiants</w:t>
      </w:r>
      <w:r w:rsidR="00586069" w:rsidRPr="005F4F7B">
        <w:rPr>
          <w:rFonts w:cs="Arial"/>
          <w:szCs w:val="24"/>
        </w:rPr>
        <w:t xml:space="preserve"> </w:t>
      </w:r>
      <w:r w:rsidRPr="005F4F7B">
        <w:rPr>
          <w:rFonts w:cs="Arial"/>
          <w:szCs w:val="24"/>
        </w:rPr>
        <w:t>CNRQ</w:t>
      </w:r>
      <w:r w:rsidR="00586069" w:rsidRPr="005F4F7B">
        <w:rPr>
          <w:rFonts w:cs="Arial"/>
          <w:szCs w:val="24"/>
        </w:rPr>
        <w:t xml:space="preserve"> </w:t>
      </w:r>
      <w:r w:rsidRPr="005F4F7B">
        <w:rPr>
          <w:rFonts w:cs="Arial"/>
          <w:szCs w:val="24"/>
        </w:rPr>
        <w:t>paient les droits de scolarité de base.</w:t>
      </w:r>
      <w:r w:rsidR="00586069" w:rsidRPr="005F4F7B">
        <w:rPr>
          <w:rFonts w:cs="Arial"/>
          <w:szCs w:val="24"/>
        </w:rPr>
        <w:t xml:space="preserve"> </w:t>
      </w:r>
      <w:r w:rsidRPr="005F4F7B">
        <w:rPr>
          <w:rFonts w:cs="Arial"/>
          <w:szCs w:val="24"/>
        </w:rPr>
        <w:t>S’y ajoute depuis l’automne</w:t>
      </w:r>
      <w:r w:rsidR="00C07ED7">
        <w:rPr>
          <w:rFonts w:cs="Arial"/>
          <w:szCs w:val="24"/>
        </w:rPr>
        <w:t> </w:t>
      </w:r>
      <w:r w:rsidRPr="005F4F7B">
        <w:rPr>
          <w:rFonts w:cs="Arial"/>
          <w:szCs w:val="24"/>
        </w:rPr>
        <w:t>1997</w:t>
      </w:r>
      <w:r w:rsidR="00586069" w:rsidRPr="005F4F7B">
        <w:rPr>
          <w:rFonts w:cs="Arial"/>
          <w:szCs w:val="24"/>
        </w:rPr>
        <w:t xml:space="preserve"> </w:t>
      </w:r>
      <w:r w:rsidRPr="005F4F7B">
        <w:rPr>
          <w:rFonts w:cs="Arial"/>
          <w:szCs w:val="24"/>
        </w:rPr>
        <w:t>un montant forfaitaire pour chaque unité des cours auxquels ils sont inscrits.</w:t>
      </w:r>
      <w:r w:rsidR="00586069" w:rsidRPr="005F4F7B">
        <w:rPr>
          <w:rFonts w:cs="Arial"/>
          <w:szCs w:val="24"/>
        </w:rPr>
        <w:t xml:space="preserve"> </w:t>
      </w:r>
      <w:r w:rsidR="00B55179" w:rsidRPr="005F4F7B">
        <w:rPr>
          <w:rFonts w:cs="Arial"/>
          <w:szCs w:val="24"/>
        </w:rPr>
        <w:t>Le montant forfaitaire exigé des étudiants CNRQ est prévu à la règle 3.4 des Règles budgétaires.</w:t>
      </w:r>
      <w:r w:rsidR="005F4F7B" w:rsidRPr="005F4F7B">
        <w:rPr>
          <w:rFonts w:cs="Arial"/>
          <w:szCs w:val="24"/>
        </w:rPr>
        <w:t xml:space="preserve"> </w:t>
      </w:r>
      <w:r w:rsidRPr="005F4F7B">
        <w:rPr>
          <w:rFonts w:cs="Arial"/>
          <w:szCs w:val="24"/>
        </w:rPr>
        <w:t>Pour l’année universitaire 2023-2024, le montant forfaitaire indexé fixé par le gouvernement</w:t>
      </w:r>
      <w:r w:rsidR="00586069" w:rsidRPr="005F4F7B">
        <w:rPr>
          <w:rFonts w:cs="Arial"/>
          <w:szCs w:val="24"/>
        </w:rPr>
        <w:t xml:space="preserve"> </w:t>
      </w:r>
      <w:r w:rsidRPr="005F4F7B">
        <w:rPr>
          <w:rFonts w:cs="Arial"/>
          <w:szCs w:val="24"/>
        </w:rPr>
        <w:t>s’élève</w:t>
      </w:r>
      <w:r w:rsidR="00586069" w:rsidRPr="005F4F7B">
        <w:rPr>
          <w:rFonts w:cs="Arial"/>
          <w:szCs w:val="24"/>
        </w:rPr>
        <w:t xml:space="preserve"> </w:t>
      </w:r>
      <w:r w:rsidRPr="005F4F7B">
        <w:rPr>
          <w:rFonts w:cs="Arial"/>
          <w:szCs w:val="24"/>
        </w:rPr>
        <w:t>à 203,70 $ par unité</w:t>
      </w:r>
      <w:bookmarkStart w:id="23" w:name="_ftnref21"/>
      <w:bookmarkEnd w:id="23"/>
      <w:r w:rsidR="00586069">
        <w:rPr>
          <w:rStyle w:val="Appelnotedebasdep"/>
          <w:rFonts w:cs="Arial"/>
          <w:szCs w:val="24"/>
        </w:rPr>
        <w:footnoteReference w:id="28"/>
      </w:r>
      <w:r w:rsidRPr="005F4F7B">
        <w:rPr>
          <w:rFonts w:cs="Arial"/>
          <w:szCs w:val="24"/>
        </w:rPr>
        <w:t>, soit</w:t>
      </w:r>
      <w:r w:rsidR="00795F40" w:rsidRPr="005F4F7B">
        <w:rPr>
          <w:rFonts w:cs="Arial"/>
          <w:szCs w:val="24"/>
        </w:rPr>
        <w:t xml:space="preserve"> </w:t>
      </w:r>
      <w:r w:rsidRPr="005F4F7B">
        <w:rPr>
          <w:rFonts w:cs="Arial"/>
          <w:szCs w:val="24"/>
        </w:rPr>
        <w:t>6 111 $ pour une année régulière de 30 unités. Le tarif minimal obligatoire pour les étudiants CNRQ s’élève</w:t>
      </w:r>
      <w:r w:rsidR="00AF1859" w:rsidRPr="005F4F7B">
        <w:rPr>
          <w:rFonts w:cs="Arial"/>
          <w:szCs w:val="24"/>
        </w:rPr>
        <w:t xml:space="preserve"> </w:t>
      </w:r>
      <w:r w:rsidRPr="005F4F7B">
        <w:rPr>
          <w:rFonts w:cs="Arial"/>
          <w:szCs w:val="24"/>
        </w:rPr>
        <w:t>ainsi à 8 991,90 $</w:t>
      </w:r>
      <w:bookmarkStart w:id="24" w:name="_ftnref22"/>
      <w:bookmarkEnd w:id="24"/>
      <w:r w:rsidR="00586069">
        <w:rPr>
          <w:rStyle w:val="Appelnotedebasdep"/>
          <w:rFonts w:cs="Arial"/>
          <w:szCs w:val="24"/>
        </w:rPr>
        <w:footnoteReference w:id="29"/>
      </w:r>
      <w:r w:rsidRPr="005F4F7B">
        <w:rPr>
          <w:rFonts w:cs="Arial"/>
          <w:szCs w:val="24"/>
        </w:rPr>
        <w:t>.</w:t>
      </w:r>
    </w:p>
    <w:p w14:paraId="4DBCD102" w14:textId="384C2FED" w:rsidR="00561239" w:rsidRPr="00705CAE" w:rsidRDefault="0009217F" w:rsidP="00BE1512">
      <w:pPr>
        <w:pStyle w:val="Paragraphe"/>
        <w:tabs>
          <w:tab w:val="clear" w:pos="2204"/>
        </w:tabs>
        <w:spacing w:line="240" w:lineRule="auto"/>
        <w:ind w:left="0"/>
        <w:rPr>
          <w:rFonts w:cs="Arial"/>
          <w:szCs w:val="24"/>
        </w:rPr>
      </w:pPr>
      <w:r>
        <w:rPr>
          <w:rFonts w:cs="Arial"/>
          <w:szCs w:val="24"/>
        </w:rPr>
        <w:t>Depuis l’</w:t>
      </w:r>
      <w:r w:rsidR="00561239" w:rsidRPr="00705CAE">
        <w:rPr>
          <w:rFonts w:cs="Arial"/>
          <w:szCs w:val="24"/>
        </w:rPr>
        <w:t>automne</w:t>
      </w:r>
      <w:r w:rsidR="00665CA7">
        <w:rPr>
          <w:rFonts w:cs="Arial"/>
          <w:szCs w:val="24"/>
        </w:rPr>
        <w:t> </w:t>
      </w:r>
      <w:r w:rsidR="00561239" w:rsidRPr="00705CAE">
        <w:rPr>
          <w:rFonts w:cs="Arial"/>
          <w:szCs w:val="24"/>
        </w:rPr>
        <w:t>2024, le montant forfaitaire</w:t>
      </w:r>
      <w:r w:rsidR="0053284A">
        <w:rPr>
          <w:rFonts w:cs="Arial"/>
          <w:szCs w:val="24"/>
        </w:rPr>
        <w:t xml:space="preserve"> </w:t>
      </w:r>
      <w:r>
        <w:rPr>
          <w:rFonts w:cs="Arial"/>
          <w:szCs w:val="24"/>
        </w:rPr>
        <w:t xml:space="preserve">est </w:t>
      </w:r>
      <w:r w:rsidR="00561239" w:rsidRPr="00705CAE">
        <w:rPr>
          <w:rFonts w:cs="Arial"/>
          <w:szCs w:val="24"/>
        </w:rPr>
        <w:t>pass</w:t>
      </w:r>
      <w:r>
        <w:rPr>
          <w:rFonts w:cs="Arial"/>
          <w:szCs w:val="24"/>
        </w:rPr>
        <w:t>é</w:t>
      </w:r>
      <w:r w:rsidR="0053284A">
        <w:rPr>
          <w:rFonts w:cs="Arial"/>
          <w:szCs w:val="24"/>
        </w:rPr>
        <w:t xml:space="preserve"> </w:t>
      </w:r>
      <w:r w:rsidR="00561239" w:rsidRPr="00705CAE">
        <w:rPr>
          <w:rFonts w:cs="Arial"/>
          <w:szCs w:val="24"/>
        </w:rPr>
        <w:t>à</w:t>
      </w:r>
      <w:r w:rsidR="0053284A">
        <w:rPr>
          <w:rFonts w:cs="Arial"/>
          <w:szCs w:val="24"/>
        </w:rPr>
        <w:t xml:space="preserve"> </w:t>
      </w:r>
      <w:r w:rsidR="00561239" w:rsidRPr="00705CAE">
        <w:rPr>
          <w:rFonts w:cs="Arial"/>
          <w:szCs w:val="24"/>
        </w:rPr>
        <w:t>303,97 $ par unité</w:t>
      </w:r>
      <w:bookmarkStart w:id="25" w:name="_ftnref23"/>
      <w:bookmarkEnd w:id="25"/>
      <w:r w:rsidR="00AF1859">
        <w:rPr>
          <w:rStyle w:val="Appelnotedebasdep"/>
          <w:rFonts w:cs="Arial"/>
          <w:szCs w:val="24"/>
        </w:rPr>
        <w:footnoteReference w:id="30"/>
      </w:r>
      <w:r w:rsidR="0053284A">
        <w:rPr>
          <w:rFonts w:cs="Arial"/>
          <w:szCs w:val="24"/>
        </w:rPr>
        <w:t xml:space="preserve"> </w:t>
      </w:r>
      <w:r w:rsidR="00561239" w:rsidRPr="00705CAE">
        <w:rPr>
          <w:rFonts w:cs="Arial"/>
          <w:szCs w:val="24"/>
        </w:rPr>
        <w:t>et</w:t>
      </w:r>
      <w:r w:rsidR="0053284A">
        <w:rPr>
          <w:rFonts w:cs="Arial"/>
          <w:szCs w:val="24"/>
        </w:rPr>
        <w:t xml:space="preserve"> </w:t>
      </w:r>
      <w:r w:rsidR="00561239" w:rsidRPr="00705CAE">
        <w:rPr>
          <w:rFonts w:cs="Arial"/>
          <w:szCs w:val="24"/>
        </w:rPr>
        <w:t>augment</w:t>
      </w:r>
      <w:r w:rsidR="00412C73">
        <w:rPr>
          <w:rFonts w:cs="Arial"/>
          <w:szCs w:val="24"/>
        </w:rPr>
        <w:t>é</w:t>
      </w:r>
      <w:r w:rsidR="00E437E5">
        <w:rPr>
          <w:rFonts w:cs="Arial"/>
          <w:szCs w:val="24"/>
        </w:rPr>
        <w:t>,</w:t>
      </w:r>
      <w:r w:rsidR="0053284A">
        <w:rPr>
          <w:rFonts w:cs="Arial"/>
          <w:szCs w:val="24"/>
        </w:rPr>
        <w:t xml:space="preserve"> </w:t>
      </w:r>
      <w:r w:rsidR="00561239" w:rsidRPr="00705CAE">
        <w:rPr>
          <w:rFonts w:cs="Arial"/>
          <w:szCs w:val="24"/>
        </w:rPr>
        <w:t>donc</w:t>
      </w:r>
      <w:r w:rsidR="00E437E5">
        <w:rPr>
          <w:rFonts w:cs="Arial"/>
          <w:szCs w:val="24"/>
        </w:rPr>
        <w:t>,</w:t>
      </w:r>
      <w:r w:rsidR="00561239" w:rsidRPr="00705CAE">
        <w:rPr>
          <w:rFonts w:cs="Arial"/>
          <w:szCs w:val="24"/>
        </w:rPr>
        <w:t xml:space="preserve"> à 9 119,10 $ pour 30 unités pour les étudiants CNRQ de </w:t>
      </w:r>
      <w:r w:rsidR="00576344">
        <w:rPr>
          <w:rFonts w:cs="Arial"/>
          <w:szCs w:val="24"/>
        </w:rPr>
        <w:t>1</w:t>
      </w:r>
      <w:r w:rsidR="00576344" w:rsidRPr="00576344">
        <w:rPr>
          <w:rFonts w:cs="Arial"/>
          <w:szCs w:val="24"/>
          <w:vertAlign w:val="superscript"/>
        </w:rPr>
        <w:t>er</w:t>
      </w:r>
      <w:r w:rsidR="00576344">
        <w:rPr>
          <w:rFonts w:cs="Arial"/>
          <w:szCs w:val="24"/>
        </w:rPr>
        <w:t xml:space="preserve"> </w:t>
      </w:r>
      <w:r w:rsidR="00561239" w:rsidRPr="00705CAE">
        <w:rPr>
          <w:rFonts w:cs="Arial"/>
          <w:szCs w:val="24"/>
        </w:rPr>
        <w:t xml:space="preserve">cycle et de </w:t>
      </w:r>
      <w:r w:rsidR="00576344">
        <w:rPr>
          <w:rFonts w:cs="Arial"/>
          <w:szCs w:val="24"/>
        </w:rPr>
        <w:t>2</w:t>
      </w:r>
      <w:r w:rsidR="00576344" w:rsidRPr="00576344">
        <w:rPr>
          <w:rFonts w:cs="Arial"/>
          <w:szCs w:val="24"/>
          <w:vertAlign w:val="superscript"/>
        </w:rPr>
        <w:t>e</w:t>
      </w:r>
      <w:r w:rsidR="00576344">
        <w:rPr>
          <w:rFonts w:cs="Arial"/>
          <w:szCs w:val="24"/>
        </w:rPr>
        <w:t xml:space="preserve"> </w:t>
      </w:r>
      <w:r w:rsidR="00561239" w:rsidRPr="00705CAE">
        <w:rPr>
          <w:rFonts w:cs="Arial"/>
          <w:szCs w:val="24"/>
        </w:rPr>
        <w:t>cycle de type professionnel. Cette augmentation forfaitaire ne s’applique</w:t>
      </w:r>
      <w:r w:rsidR="00412C73">
        <w:rPr>
          <w:rFonts w:cs="Arial"/>
          <w:szCs w:val="24"/>
        </w:rPr>
        <w:t xml:space="preserve"> toutefois </w:t>
      </w:r>
      <w:r w:rsidR="00561239" w:rsidRPr="00705CAE">
        <w:rPr>
          <w:rFonts w:cs="Arial"/>
          <w:szCs w:val="24"/>
        </w:rPr>
        <w:t>pas aux étudiants CNRQ inscrits dans une université francophone et dans un programme offert en français</w:t>
      </w:r>
      <w:bookmarkStart w:id="26" w:name="_ftnref24"/>
      <w:bookmarkEnd w:id="26"/>
      <w:r w:rsidR="001453B8">
        <w:rPr>
          <w:rStyle w:val="Appelnotedebasdep"/>
          <w:rFonts w:cs="Arial"/>
          <w:szCs w:val="24"/>
        </w:rPr>
        <w:footnoteReference w:id="31"/>
      </w:r>
      <w:r w:rsidR="00561239" w:rsidRPr="00705CAE">
        <w:rPr>
          <w:rFonts w:cs="Arial"/>
          <w:szCs w:val="24"/>
        </w:rPr>
        <w:t>.</w:t>
      </w:r>
    </w:p>
    <w:p w14:paraId="31407531" w14:textId="06ED49F9" w:rsidR="0009217F" w:rsidRDefault="00561239" w:rsidP="00BE1512">
      <w:pPr>
        <w:pStyle w:val="Paragraphe"/>
        <w:tabs>
          <w:tab w:val="clear" w:pos="2204"/>
        </w:tabs>
        <w:spacing w:line="240" w:lineRule="auto"/>
        <w:ind w:left="0"/>
        <w:rPr>
          <w:rFonts w:cs="Arial"/>
          <w:szCs w:val="24"/>
        </w:rPr>
      </w:pPr>
      <w:r w:rsidRPr="00705CAE">
        <w:rPr>
          <w:rFonts w:cs="Arial"/>
          <w:szCs w:val="24"/>
        </w:rPr>
        <w:t>En tenant compte de l’indexation de 3 %, le seuil minimal obligatoire des droits de scolarité pour une année régulière</w:t>
      </w:r>
      <w:r w:rsidR="002B0B7D">
        <w:rPr>
          <w:rFonts w:cs="Arial"/>
          <w:szCs w:val="24"/>
        </w:rPr>
        <w:t xml:space="preserve"> </w:t>
      </w:r>
      <w:r w:rsidR="00412C73">
        <w:rPr>
          <w:rFonts w:cs="Arial"/>
          <w:szCs w:val="24"/>
        </w:rPr>
        <w:t xml:space="preserve">s’élève </w:t>
      </w:r>
      <w:r w:rsidRPr="00705CAE">
        <w:rPr>
          <w:rFonts w:cs="Arial"/>
          <w:szCs w:val="24"/>
        </w:rPr>
        <w:t>donc</w:t>
      </w:r>
      <w:r w:rsidR="00367A76">
        <w:rPr>
          <w:rFonts w:cs="Arial"/>
          <w:szCs w:val="24"/>
        </w:rPr>
        <w:t xml:space="preserve"> </w:t>
      </w:r>
      <w:r w:rsidRPr="00705CAE">
        <w:rPr>
          <w:rFonts w:cs="Arial"/>
          <w:szCs w:val="24"/>
        </w:rPr>
        <w:t>à 12 360 $</w:t>
      </w:r>
      <w:bookmarkStart w:id="27" w:name="_ftnref25"/>
      <w:bookmarkEnd w:id="27"/>
      <w:r w:rsidR="002B0B7D">
        <w:rPr>
          <w:rStyle w:val="Appelnotedebasdep"/>
          <w:rFonts w:cs="Arial"/>
          <w:szCs w:val="24"/>
        </w:rPr>
        <w:footnoteReference w:id="32"/>
      </w:r>
      <w:r w:rsidR="002B0B7D">
        <w:rPr>
          <w:rFonts w:cs="Arial"/>
          <w:szCs w:val="24"/>
        </w:rPr>
        <w:t xml:space="preserve"> </w:t>
      </w:r>
      <w:r w:rsidRPr="00705CAE">
        <w:rPr>
          <w:rFonts w:cs="Arial"/>
          <w:szCs w:val="24"/>
        </w:rPr>
        <w:t xml:space="preserve">à l’égard des étudiants CNRQ de </w:t>
      </w:r>
      <w:r w:rsidR="00A75B25">
        <w:rPr>
          <w:rFonts w:cs="Arial"/>
          <w:szCs w:val="24"/>
        </w:rPr>
        <w:t>1</w:t>
      </w:r>
      <w:r w:rsidR="00A75B25" w:rsidRPr="00A75B25">
        <w:rPr>
          <w:rFonts w:cs="Arial"/>
          <w:szCs w:val="24"/>
          <w:vertAlign w:val="superscript"/>
        </w:rPr>
        <w:t>er</w:t>
      </w:r>
      <w:r w:rsidR="00A75B25">
        <w:rPr>
          <w:rFonts w:cs="Arial"/>
          <w:szCs w:val="24"/>
        </w:rPr>
        <w:t xml:space="preserve"> </w:t>
      </w:r>
      <w:r w:rsidRPr="00705CAE">
        <w:rPr>
          <w:rFonts w:cs="Arial"/>
          <w:szCs w:val="24"/>
        </w:rPr>
        <w:t xml:space="preserve">cycle et de </w:t>
      </w:r>
      <w:r w:rsidR="00A75B25">
        <w:rPr>
          <w:rFonts w:cs="Arial"/>
          <w:szCs w:val="24"/>
        </w:rPr>
        <w:t>2</w:t>
      </w:r>
      <w:r w:rsidR="00A75B25" w:rsidRPr="00A75B25">
        <w:rPr>
          <w:rFonts w:cs="Arial"/>
          <w:szCs w:val="24"/>
          <w:vertAlign w:val="superscript"/>
        </w:rPr>
        <w:t>e</w:t>
      </w:r>
      <w:r w:rsidR="00A75B25">
        <w:rPr>
          <w:rFonts w:cs="Arial"/>
          <w:szCs w:val="24"/>
        </w:rPr>
        <w:t xml:space="preserve"> </w:t>
      </w:r>
      <w:r w:rsidRPr="00705CAE">
        <w:rPr>
          <w:rFonts w:cs="Arial"/>
          <w:szCs w:val="24"/>
        </w:rPr>
        <w:t>cycle de type professionnel qui</w:t>
      </w:r>
      <w:r w:rsidR="00412C73">
        <w:rPr>
          <w:rFonts w:cs="Arial"/>
          <w:szCs w:val="24"/>
        </w:rPr>
        <w:t>, depuis l’automne</w:t>
      </w:r>
      <w:r w:rsidR="008774F0">
        <w:rPr>
          <w:rFonts w:cs="Arial"/>
          <w:szCs w:val="24"/>
        </w:rPr>
        <w:t> </w:t>
      </w:r>
      <w:r w:rsidR="00412C73">
        <w:rPr>
          <w:rFonts w:cs="Arial"/>
          <w:szCs w:val="24"/>
        </w:rPr>
        <w:t>2024,</w:t>
      </w:r>
      <w:r w:rsidRPr="00705CAE">
        <w:rPr>
          <w:rFonts w:cs="Arial"/>
          <w:szCs w:val="24"/>
        </w:rPr>
        <w:t xml:space="preserve"> fréquentent une université anglophone du Québec</w:t>
      </w:r>
      <w:r w:rsidR="00412C73">
        <w:rPr>
          <w:rFonts w:cs="Arial"/>
          <w:szCs w:val="24"/>
        </w:rPr>
        <w:t>.</w:t>
      </w:r>
    </w:p>
    <w:p w14:paraId="403FFD2D" w14:textId="1B5BEA7C" w:rsidR="00561239" w:rsidRPr="00705CAE" w:rsidRDefault="00561239" w:rsidP="00367A76">
      <w:pPr>
        <w:pStyle w:val="Paragraphe"/>
        <w:keepNext/>
        <w:numPr>
          <w:ilvl w:val="1"/>
          <w:numId w:val="6"/>
        </w:numPr>
        <w:spacing w:line="240" w:lineRule="auto"/>
        <w:rPr>
          <w:rFonts w:cs="Arial"/>
          <w:szCs w:val="24"/>
        </w:rPr>
      </w:pPr>
      <w:r w:rsidRPr="00705CAE">
        <w:rPr>
          <w:rFonts w:cs="Arial"/>
          <w:i/>
          <w:iCs/>
          <w:szCs w:val="24"/>
        </w:rPr>
        <w:lastRenderedPageBreak/>
        <w:t xml:space="preserve">Les droits de scolarité des étudiants </w:t>
      </w:r>
      <w:r w:rsidR="00412C73">
        <w:rPr>
          <w:rFonts w:cs="Arial"/>
          <w:i/>
          <w:iCs/>
          <w:szCs w:val="24"/>
        </w:rPr>
        <w:t>I</w:t>
      </w:r>
      <w:r w:rsidRPr="00705CAE">
        <w:rPr>
          <w:rFonts w:cs="Arial"/>
          <w:i/>
          <w:iCs/>
          <w:szCs w:val="24"/>
        </w:rPr>
        <w:t>nternationaux</w:t>
      </w:r>
    </w:p>
    <w:p w14:paraId="71E08707" w14:textId="66483C4C" w:rsidR="00561239" w:rsidRPr="00705CAE" w:rsidRDefault="00561239" w:rsidP="00367A76">
      <w:pPr>
        <w:pStyle w:val="Paragraphe"/>
        <w:keepNext/>
        <w:tabs>
          <w:tab w:val="clear" w:pos="2204"/>
          <w:tab w:val="num" w:pos="0"/>
        </w:tabs>
        <w:spacing w:line="240" w:lineRule="auto"/>
        <w:ind w:left="0"/>
        <w:rPr>
          <w:rFonts w:cs="Arial"/>
          <w:szCs w:val="24"/>
        </w:rPr>
      </w:pPr>
      <w:r w:rsidRPr="00705CAE">
        <w:rPr>
          <w:rFonts w:cs="Arial"/>
          <w:szCs w:val="24"/>
        </w:rPr>
        <w:t xml:space="preserve">À l’instar de l’ensemble des étudiants, les étudiants </w:t>
      </w:r>
      <w:r w:rsidR="0009217F">
        <w:rPr>
          <w:rFonts w:cs="Arial"/>
          <w:szCs w:val="24"/>
        </w:rPr>
        <w:t>I</w:t>
      </w:r>
      <w:r w:rsidRPr="00705CAE">
        <w:rPr>
          <w:rFonts w:cs="Arial"/>
          <w:szCs w:val="24"/>
        </w:rPr>
        <w:t xml:space="preserve">nternationaux paient les droits de scolarité de base. Pour déterminer le montant forfaitaire qui s’y ajoute, les étudiants </w:t>
      </w:r>
      <w:r w:rsidR="00412C73">
        <w:rPr>
          <w:rFonts w:cs="Arial"/>
          <w:szCs w:val="24"/>
        </w:rPr>
        <w:t>I</w:t>
      </w:r>
      <w:r w:rsidRPr="00705CAE">
        <w:rPr>
          <w:rFonts w:cs="Arial"/>
          <w:szCs w:val="24"/>
        </w:rPr>
        <w:t xml:space="preserve">nternationaux se divisent depuis 2008 en deux catégories : les étudiants </w:t>
      </w:r>
      <w:r w:rsidR="005F4F7B">
        <w:rPr>
          <w:rFonts w:cs="Arial"/>
          <w:szCs w:val="24"/>
        </w:rPr>
        <w:t>I</w:t>
      </w:r>
      <w:r w:rsidRPr="00705CAE">
        <w:rPr>
          <w:rFonts w:cs="Arial"/>
          <w:szCs w:val="24"/>
        </w:rPr>
        <w:t>nternationaux</w:t>
      </w:r>
      <w:r w:rsidR="0002636E">
        <w:rPr>
          <w:rFonts w:cs="Arial"/>
          <w:szCs w:val="24"/>
        </w:rPr>
        <w:t xml:space="preserve"> </w:t>
      </w:r>
      <w:r w:rsidRPr="00705CAE">
        <w:rPr>
          <w:rFonts w:cs="Arial"/>
          <w:i/>
          <w:iCs/>
          <w:szCs w:val="24"/>
        </w:rPr>
        <w:t>réglementés</w:t>
      </w:r>
      <w:r w:rsidR="0002636E">
        <w:rPr>
          <w:rFonts w:cs="Arial"/>
          <w:szCs w:val="24"/>
        </w:rPr>
        <w:t xml:space="preserve"> </w:t>
      </w:r>
      <w:r w:rsidRPr="00705CAE">
        <w:rPr>
          <w:rFonts w:cs="Arial"/>
          <w:szCs w:val="24"/>
        </w:rPr>
        <w:t xml:space="preserve">et les étudiants </w:t>
      </w:r>
      <w:r w:rsidR="005F4F7B">
        <w:rPr>
          <w:rFonts w:cs="Arial"/>
          <w:szCs w:val="24"/>
        </w:rPr>
        <w:t>I</w:t>
      </w:r>
      <w:r w:rsidRPr="00705CAE">
        <w:rPr>
          <w:rFonts w:cs="Arial"/>
          <w:szCs w:val="24"/>
        </w:rPr>
        <w:t>nternationaux</w:t>
      </w:r>
      <w:r w:rsidR="0002636E">
        <w:rPr>
          <w:rFonts w:cs="Arial"/>
          <w:szCs w:val="24"/>
        </w:rPr>
        <w:t xml:space="preserve"> </w:t>
      </w:r>
      <w:r w:rsidRPr="00705CAE">
        <w:rPr>
          <w:rFonts w:cs="Arial"/>
          <w:i/>
          <w:iCs/>
          <w:szCs w:val="24"/>
        </w:rPr>
        <w:t>déréglementés</w:t>
      </w:r>
      <w:r w:rsidRPr="00705CAE">
        <w:rPr>
          <w:rFonts w:cs="Arial"/>
          <w:szCs w:val="24"/>
        </w:rPr>
        <w:t>.</w:t>
      </w:r>
    </w:p>
    <w:p w14:paraId="4DA91605" w14:textId="20E3B86D" w:rsidR="00561239" w:rsidRPr="005F4F7B" w:rsidRDefault="00561239" w:rsidP="005F4F7B">
      <w:pPr>
        <w:pStyle w:val="Paragraphe"/>
        <w:keepNext/>
        <w:numPr>
          <w:ilvl w:val="2"/>
          <w:numId w:val="6"/>
        </w:numPr>
        <w:spacing w:line="240" w:lineRule="auto"/>
        <w:rPr>
          <w:rFonts w:cs="Arial"/>
          <w:szCs w:val="24"/>
        </w:rPr>
      </w:pPr>
      <w:r w:rsidRPr="005F4F7B">
        <w:rPr>
          <w:rFonts w:cs="Arial"/>
          <w:i/>
          <w:iCs/>
          <w:szCs w:val="24"/>
        </w:rPr>
        <w:t xml:space="preserve">Les étudiants </w:t>
      </w:r>
      <w:r w:rsidR="00D2586A" w:rsidRPr="005F4F7B">
        <w:rPr>
          <w:rFonts w:cs="Arial"/>
          <w:i/>
          <w:iCs/>
          <w:szCs w:val="24"/>
        </w:rPr>
        <w:t xml:space="preserve">Internationaux </w:t>
      </w:r>
      <w:r w:rsidRPr="005F4F7B">
        <w:rPr>
          <w:rFonts w:cs="Arial"/>
          <w:i/>
          <w:iCs/>
          <w:szCs w:val="24"/>
        </w:rPr>
        <w:t>réglementés</w:t>
      </w:r>
    </w:p>
    <w:p w14:paraId="6ABEAF08" w14:textId="2CCC3113" w:rsidR="00561239" w:rsidRPr="00705CAE" w:rsidRDefault="00561239" w:rsidP="00BE1512">
      <w:pPr>
        <w:pStyle w:val="Paragraphe"/>
        <w:keepNext/>
        <w:tabs>
          <w:tab w:val="clear" w:pos="2204"/>
        </w:tabs>
        <w:spacing w:line="240" w:lineRule="auto"/>
        <w:ind w:left="0"/>
        <w:rPr>
          <w:rFonts w:cs="Arial"/>
          <w:szCs w:val="24"/>
        </w:rPr>
      </w:pPr>
      <w:r w:rsidRPr="00705CAE">
        <w:rPr>
          <w:rFonts w:cs="Arial"/>
          <w:szCs w:val="24"/>
        </w:rPr>
        <w:t xml:space="preserve">Sont considérés réglementés les étudiants </w:t>
      </w:r>
      <w:r w:rsidR="0009217F">
        <w:rPr>
          <w:rFonts w:cs="Arial"/>
          <w:szCs w:val="24"/>
        </w:rPr>
        <w:t>I</w:t>
      </w:r>
      <w:r w:rsidRPr="00705CAE">
        <w:rPr>
          <w:rFonts w:cs="Arial"/>
          <w:szCs w:val="24"/>
        </w:rPr>
        <w:t xml:space="preserve">nternationaux de </w:t>
      </w:r>
      <w:r w:rsidR="000214F7">
        <w:rPr>
          <w:rFonts w:cs="Arial"/>
          <w:szCs w:val="24"/>
        </w:rPr>
        <w:t>2</w:t>
      </w:r>
      <w:r w:rsidR="000214F7" w:rsidRPr="000214F7">
        <w:rPr>
          <w:rFonts w:cs="Arial"/>
          <w:szCs w:val="24"/>
          <w:vertAlign w:val="superscript"/>
        </w:rPr>
        <w:t>e</w:t>
      </w:r>
      <w:r w:rsidR="000214F7">
        <w:rPr>
          <w:rFonts w:cs="Arial"/>
          <w:szCs w:val="24"/>
        </w:rPr>
        <w:t xml:space="preserve"> </w:t>
      </w:r>
      <w:r w:rsidRPr="00705CAE">
        <w:rPr>
          <w:rFonts w:cs="Arial"/>
          <w:szCs w:val="24"/>
        </w:rPr>
        <w:t xml:space="preserve">cycle orientés vers la recherche et ceux de </w:t>
      </w:r>
      <w:r w:rsidR="00726457">
        <w:rPr>
          <w:rFonts w:cs="Arial"/>
          <w:szCs w:val="24"/>
        </w:rPr>
        <w:t>3</w:t>
      </w:r>
      <w:r w:rsidR="00726457" w:rsidRPr="00726457">
        <w:rPr>
          <w:rFonts w:cs="Arial"/>
          <w:szCs w:val="24"/>
          <w:vertAlign w:val="superscript"/>
        </w:rPr>
        <w:t>e</w:t>
      </w:r>
      <w:r w:rsidR="00726457">
        <w:rPr>
          <w:rFonts w:cs="Arial"/>
          <w:szCs w:val="24"/>
        </w:rPr>
        <w:t xml:space="preserve"> </w:t>
      </w:r>
      <w:r w:rsidRPr="00705CAE">
        <w:rPr>
          <w:rFonts w:cs="Arial"/>
          <w:szCs w:val="24"/>
        </w:rPr>
        <w:t>cycle. Leurs droits d</w:t>
      </w:r>
      <w:r w:rsidR="00412C73">
        <w:rPr>
          <w:rFonts w:cs="Arial"/>
          <w:szCs w:val="24"/>
        </w:rPr>
        <w:t xml:space="preserve">e </w:t>
      </w:r>
      <w:r w:rsidRPr="00705CAE">
        <w:rPr>
          <w:rFonts w:cs="Arial"/>
          <w:szCs w:val="24"/>
        </w:rPr>
        <w:t>scolarité se composent des droits de scolarité de base additionnés d’un montant forfaitaire par unité de cours.</w:t>
      </w:r>
    </w:p>
    <w:p w14:paraId="304DB15B" w14:textId="76717B93" w:rsidR="00561239" w:rsidRDefault="00561239" w:rsidP="00BE1512">
      <w:pPr>
        <w:pStyle w:val="Paragraphe"/>
        <w:tabs>
          <w:tab w:val="clear" w:pos="2204"/>
        </w:tabs>
        <w:spacing w:line="240" w:lineRule="auto"/>
        <w:ind w:left="0"/>
        <w:rPr>
          <w:rFonts w:cs="Arial"/>
          <w:szCs w:val="24"/>
        </w:rPr>
      </w:pPr>
      <w:r w:rsidRPr="00705CAE">
        <w:rPr>
          <w:rFonts w:cs="Arial"/>
          <w:szCs w:val="24"/>
        </w:rPr>
        <w:t xml:space="preserve">Pour l’année universitaire 2023-2024, les montants forfaitaires par unité sont de 510,52 $ pour le </w:t>
      </w:r>
      <w:r w:rsidR="001F697D">
        <w:rPr>
          <w:rFonts w:cs="Arial"/>
          <w:szCs w:val="24"/>
        </w:rPr>
        <w:t>2</w:t>
      </w:r>
      <w:r w:rsidR="001F697D" w:rsidRPr="001F697D">
        <w:rPr>
          <w:rFonts w:cs="Arial"/>
          <w:szCs w:val="24"/>
          <w:vertAlign w:val="superscript"/>
        </w:rPr>
        <w:t>e</w:t>
      </w:r>
      <w:r w:rsidR="001F697D">
        <w:rPr>
          <w:rFonts w:cs="Arial"/>
          <w:szCs w:val="24"/>
        </w:rPr>
        <w:t xml:space="preserve"> </w:t>
      </w:r>
      <w:r w:rsidRPr="00705CAE">
        <w:rPr>
          <w:rFonts w:cs="Arial"/>
          <w:szCs w:val="24"/>
        </w:rPr>
        <w:t xml:space="preserve">cycle et de 449,32 $ pour le </w:t>
      </w:r>
      <w:r w:rsidR="001F697D">
        <w:rPr>
          <w:rFonts w:cs="Arial"/>
          <w:szCs w:val="24"/>
        </w:rPr>
        <w:t>3</w:t>
      </w:r>
      <w:r w:rsidR="001F697D" w:rsidRPr="00726457">
        <w:rPr>
          <w:rFonts w:cs="Arial"/>
          <w:szCs w:val="24"/>
          <w:vertAlign w:val="superscript"/>
        </w:rPr>
        <w:t>e</w:t>
      </w:r>
      <w:r w:rsidR="001F697D">
        <w:rPr>
          <w:rFonts w:cs="Arial"/>
          <w:szCs w:val="24"/>
        </w:rPr>
        <w:t xml:space="preserve"> </w:t>
      </w:r>
      <w:r w:rsidRPr="00705CAE">
        <w:rPr>
          <w:rFonts w:cs="Arial"/>
          <w:szCs w:val="24"/>
        </w:rPr>
        <w:t>cycle</w:t>
      </w:r>
      <w:bookmarkStart w:id="28" w:name="_ftnref26"/>
      <w:bookmarkEnd w:id="28"/>
      <w:r w:rsidR="00A312CB">
        <w:rPr>
          <w:rStyle w:val="Appelnotedebasdep"/>
          <w:rFonts w:cs="Arial"/>
          <w:szCs w:val="24"/>
        </w:rPr>
        <w:footnoteReference w:id="33"/>
      </w:r>
      <w:r w:rsidRPr="00705CAE">
        <w:rPr>
          <w:rFonts w:cs="Arial"/>
          <w:szCs w:val="24"/>
        </w:rPr>
        <w:t>,</w:t>
      </w:r>
      <w:r w:rsidR="00486A6B">
        <w:rPr>
          <w:rFonts w:cs="Arial"/>
          <w:szCs w:val="24"/>
        </w:rPr>
        <w:t xml:space="preserve"> </w:t>
      </w:r>
      <w:r w:rsidRPr="00705CAE">
        <w:rPr>
          <w:rFonts w:cs="Arial"/>
          <w:szCs w:val="24"/>
        </w:rPr>
        <w:t>sommes</w:t>
      </w:r>
      <w:r w:rsidR="00486A6B">
        <w:rPr>
          <w:rFonts w:cs="Arial"/>
          <w:szCs w:val="24"/>
        </w:rPr>
        <w:t xml:space="preserve"> </w:t>
      </w:r>
      <w:r w:rsidRPr="00705CAE">
        <w:rPr>
          <w:rFonts w:cs="Arial"/>
          <w:szCs w:val="24"/>
        </w:rPr>
        <w:t>que récupère</w:t>
      </w:r>
      <w:r w:rsidR="00486A6B">
        <w:rPr>
          <w:rFonts w:cs="Arial"/>
          <w:szCs w:val="24"/>
        </w:rPr>
        <w:t xml:space="preserve"> </w:t>
      </w:r>
      <w:r w:rsidRPr="00705CAE">
        <w:rPr>
          <w:rFonts w:cs="Arial"/>
          <w:szCs w:val="24"/>
        </w:rPr>
        <w:t>le ministère.</w:t>
      </w:r>
    </w:p>
    <w:p w14:paraId="4F503573" w14:textId="0C2ADA14" w:rsidR="00AE75C0" w:rsidRPr="005F4F7B" w:rsidRDefault="00AE75C0" w:rsidP="00BE1512">
      <w:pPr>
        <w:pStyle w:val="Paragraphe"/>
        <w:tabs>
          <w:tab w:val="clear" w:pos="2204"/>
        </w:tabs>
        <w:spacing w:line="240" w:lineRule="auto"/>
        <w:ind w:left="0"/>
        <w:rPr>
          <w:rFonts w:cs="Arial"/>
          <w:szCs w:val="24"/>
        </w:rPr>
      </w:pPr>
      <w:r w:rsidRPr="005F4F7B">
        <w:t>Certains étudiants Internationaux sont exemptés du montant forfaitaire ou acquittent les droits de scolarité des étudiants CNRQ. Il s’agit, par exemple, des étudiants français et belges francophones de 1</w:t>
      </w:r>
      <w:r w:rsidRPr="005F4F7B">
        <w:rPr>
          <w:vertAlign w:val="superscript"/>
        </w:rPr>
        <w:t>er</w:t>
      </w:r>
      <w:r w:rsidR="006C1871">
        <w:rPr>
          <w:vertAlign w:val="superscript"/>
        </w:rPr>
        <w:t xml:space="preserve"> </w:t>
      </w:r>
      <w:r w:rsidRPr="005F4F7B">
        <w:t>cycle dont les frais de scolarité sont ceux applicables aux étudiants CNRQ, tandis que les mêmes étudiants de 2</w:t>
      </w:r>
      <w:r w:rsidRPr="005F4F7B">
        <w:rPr>
          <w:vertAlign w:val="superscript"/>
        </w:rPr>
        <w:t>e</w:t>
      </w:r>
      <w:r w:rsidRPr="005F4F7B">
        <w:t xml:space="preserve"> et 3</w:t>
      </w:r>
      <w:r w:rsidRPr="005F4F7B">
        <w:rPr>
          <w:vertAlign w:val="superscript"/>
        </w:rPr>
        <w:t>e</w:t>
      </w:r>
      <w:r w:rsidRPr="005F4F7B">
        <w:t xml:space="preserve"> cycle bénéficient du régime de droits de scolarité applicable aux étudiants québécois.</w:t>
      </w:r>
    </w:p>
    <w:p w14:paraId="1C11B7B6" w14:textId="53DBC239" w:rsidR="00AE75C0" w:rsidRPr="005F4F7B" w:rsidRDefault="00AE75C0" w:rsidP="00BE1512">
      <w:pPr>
        <w:pStyle w:val="Paragraphe"/>
        <w:tabs>
          <w:tab w:val="clear" w:pos="2204"/>
        </w:tabs>
        <w:spacing w:line="240" w:lineRule="auto"/>
        <w:ind w:left="0"/>
        <w:rPr>
          <w:rFonts w:cs="Arial"/>
          <w:szCs w:val="24"/>
        </w:rPr>
      </w:pPr>
      <w:r w:rsidRPr="005F4F7B">
        <w:t xml:space="preserve">De même, les étudiants Internationaux détenant une double citoyenneté canadienne/française ou canadienne/belge </w:t>
      </w:r>
      <w:r w:rsidR="005F4F7B" w:rsidRPr="005F4F7B">
        <w:t xml:space="preserve">paient </w:t>
      </w:r>
      <w:r w:rsidRPr="005F4F7B">
        <w:t>les</w:t>
      </w:r>
      <w:r w:rsidR="005F4F7B" w:rsidRPr="005F4F7B">
        <w:t xml:space="preserve"> mêmes</w:t>
      </w:r>
      <w:r w:rsidRPr="005F4F7B">
        <w:t xml:space="preserve"> droits de scolarité des étudiants CNRQ, peu importe le cycle de leurs études.</w:t>
      </w:r>
    </w:p>
    <w:p w14:paraId="6C6A20A2" w14:textId="12B70FA6" w:rsidR="00705CAE" w:rsidRPr="00705CAE" w:rsidRDefault="00561239" w:rsidP="005F4F7B">
      <w:pPr>
        <w:pStyle w:val="Paragraphe"/>
        <w:numPr>
          <w:ilvl w:val="2"/>
          <w:numId w:val="6"/>
        </w:numPr>
        <w:spacing w:line="240" w:lineRule="auto"/>
        <w:rPr>
          <w:rFonts w:cs="Arial"/>
          <w:szCs w:val="24"/>
        </w:rPr>
      </w:pPr>
      <w:r w:rsidRPr="00705CAE">
        <w:rPr>
          <w:rFonts w:cs="Arial"/>
          <w:i/>
          <w:iCs/>
          <w:szCs w:val="24"/>
        </w:rPr>
        <w:t xml:space="preserve">Les étudiants </w:t>
      </w:r>
      <w:r w:rsidR="00D2586A" w:rsidRPr="005F4F7B">
        <w:rPr>
          <w:rFonts w:cs="Arial"/>
          <w:i/>
          <w:iCs/>
          <w:szCs w:val="24"/>
        </w:rPr>
        <w:t>Internationaux</w:t>
      </w:r>
      <w:r w:rsidR="00D2586A">
        <w:rPr>
          <w:rFonts w:cs="Arial"/>
          <w:i/>
          <w:iCs/>
          <w:szCs w:val="24"/>
        </w:rPr>
        <w:t xml:space="preserve"> </w:t>
      </w:r>
      <w:r w:rsidRPr="00705CAE">
        <w:rPr>
          <w:rFonts w:cs="Arial"/>
          <w:i/>
          <w:iCs/>
          <w:szCs w:val="24"/>
        </w:rPr>
        <w:t>déréglementés</w:t>
      </w:r>
    </w:p>
    <w:p w14:paraId="36DB3125" w14:textId="1FF8D7F8" w:rsidR="00561239" w:rsidRPr="00705CAE" w:rsidRDefault="00561239" w:rsidP="00BE1512">
      <w:pPr>
        <w:pStyle w:val="Paragraphe"/>
        <w:tabs>
          <w:tab w:val="clear" w:pos="2204"/>
        </w:tabs>
        <w:spacing w:line="240" w:lineRule="auto"/>
        <w:ind w:left="0"/>
        <w:rPr>
          <w:rFonts w:cs="Arial"/>
          <w:szCs w:val="24"/>
        </w:rPr>
      </w:pPr>
      <w:r w:rsidRPr="00705CAE">
        <w:rPr>
          <w:rFonts w:cs="Arial"/>
          <w:szCs w:val="24"/>
        </w:rPr>
        <w:t xml:space="preserve">Les étudiants </w:t>
      </w:r>
      <w:r w:rsidR="0009217F">
        <w:rPr>
          <w:rFonts w:cs="Arial"/>
          <w:szCs w:val="24"/>
        </w:rPr>
        <w:t>I</w:t>
      </w:r>
      <w:r w:rsidRPr="00705CAE">
        <w:rPr>
          <w:rFonts w:cs="Arial"/>
          <w:szCs w:val="24"/>
        </w:rPr>
        <w:t xml:space="preserve">nternationaux de </w:t>
      </w:r>
      <w:r w:rsidR="00851D3F">
        <w:rPr>
          <w:rFonts w:cs="Arial"/>
          <w:szCs w:val="24"/>
        </w:rPr>
        <w:t>1</w:t>
      </w:r>
      <w:r w:rsidR="00851D3F" w:rsidRPr="00851D3F">
        <w:rPr>
          <w:rFonts w:cs="Arial"/>
          <w:szCs w:val="24"/>
          <w:vertAlign w:val="superscript"/>
        </w:rPr>
        <w:t>er</w:t>
      </w:r>
      <w:r w:rsidR="00851D3F">
        <w:rPr>
          <w:rFonts w:cs="Arial"/>
          <w:szCs w:val="24"/>
        </w:rPr>
        <w:t xml:space="preserve"> </w:t>
      </w:r>
      <w:r w:rsidRPr="00705CAE">
        <w:rPr>
          <w:rFonts w:cs="Arial"/>
          <w:szCs w:val="24"/>
        </w:rPr>
        <w:t xml:space="preserve">cycle inscrits dans certaines disciplines </w:t>
      </w:r>
      <w:r w:rsidR="005F4F7B">
        <w:rPr>
          <w:rFonts w:cs="Arial"/>
          <w:szCs w:val="24"/>
        </w:rPr>
        <w:t>s</w:t>
      </w:r>
      <w:r w:rsidRPr="00705CAE">
        <w:rPr>
          <w:rFonts w:cs="Arial"/>
          <w:szCs w:val="24"/>
        </w:rPr>
        <w:t xml:space="preserve">ont </w:t>
      </w:r>
      <w:r w:rsidR="005F4F7B">
        <w:rPr>
          <w:rFonts w:cs="Arial"/>
          <w:szCs w:val="24"/>
        </w:rPr>
        <w:t>gr</w:t>
      </w:r>
      <w:r w:rsidRPr="00705CAE">
        <w:rPr>
          <w:rFonts w:cs="Arial"/>
          <w:szCs w:val="24"/>
        </w:rPr>
        <w:t xml:space="preserve">aduellement déréglementés à compter </w:t>
      </w:r>
      <w:r w:rsidR="00F92A63" w:rsidRPr="00000586">
        <w:rPr>
          <w:rFonts w:cs="Arial"/>
          <w:szCs w:val="24"/>
        </w:rPr>
        <w:t>de</w:t>
      </w:r>
      <w:r w:rsidRPr="00705CAE">
        <w:rPr>
          <w:rFonts w:cs="Arial"/>
          <w:szCs w:val="24"/>
        </w:rPr>
        <w:t xml:space="preserve"> 2008. Leurs droits de scolarité étaient par conséquent composés des droits de scolarité de base et d’un montant forfaitaire déterminé par les établissements universitaires, et non par le gouvernement, d’où l</w:t>
      </w:r>
      <w:r w:rsidR="00412C73">
        <w:rPr>
          <w:rFonts w:cs="Arial"/>
          <w:szCs w:val="24"/>
        </w:rPr>
        <w:t xml:space="preserve">’expression </w:t>
      </w:r>
      <w:r w:rsidRPr="005F4F7B">
        <w:rPr>
          <w:rFonts w:cs="Arial"/>
          <w:i/>
          <w:iCs/>
          <w:szCs w:val="24"/>
        </w:rPr>
        <w:t>déréglement</w:t>
      </w:r>
      <w:r w:rsidR="00412C73" w:rsidRPr="005F4F7B">
        <w:rPr>
          <w:rFonts w:cs="Arial"/>
          <w:i/>
          <w:iCs/>
          <w:szCs w:val="24"/>
        </w:rPr>
        <w:t>és</w:t>
      </w:r>
      <w:r w:rsidR="00412C73">
        <w:rPr>
          <w:rFonts w:cs="Arial"/>
          <w:szCs w:val="24"/>
        </w:rPr>
        <w:t xml:space="preserve"> qu’on leur accole</w:t>
      </w:r>
      <w:r w:rsidRPr="00705CAE">
        <w:rPr>
          <w:rFonts w:cs="Arial"/>
          <w:szCs w:val="24"/>
        </w:rPr>
        <w:t>. Ce montant forfaitaire ne pouvait toutefois pas être inférieur à celui exigé pour les disciplines réglementées</w:t>
      </w:r>
      <w:bookmarkStart w:id="29" w:name="_ftnref27"/>
      <w:bookmarkEnd w:id="29"/>
      <w:r w:rsidR="00DA4859">
        <w:rPr>
          <w:rStyle w:val="Appelnotedebasdep"/>
          <w:rFonts w:cs="Arial"/>
          <w:szCs w:val="24"/>
        </w:rPr>
        <w:footnoteReference w:id="34"/>
      </w:r>
      <w:r w:rsidRPr="00705CAE">
        <w:rPr>
          <w:rFonts w:cs="Arial"/>
          <w:szCs w:val="24"/>
        </w:rPr>
        <w:t>. Le montant forfaitaire n’était pas récupéré par le</w:t>
      </w:r>
      <w:r w:rsidR="00C4665A">
        <w:rPr>
          <w:rFonts w:cs="Arial"/>
          <w:szCs w:val="24"/>
        </w:rPr>
        <w:t xml:space="preserve"> </w:t>
      </w:r>
      <w:r w:rsidRPr="00705CAE">
        <w:rPr>
          <w:rFonts w:cs="Arial"/>
          <w:szCs w:val="24"/>
        </w:rPr>
        <w:t>Ministère</w:t>
      </w:r>
      <w:r w:rsidR="00412C73">
        <w:rPr>
          <w:rFonts w:cs="Arial"/>
          <w:szCs w:val="24"/>
        </w:rPr>
        <w:t xml:space="preserve">, mais </w:t>
      </w:r>
      <w:r w:rsidRPr="00705CAE">
        <w:rPr>
          <w:rFonts w:cs="Arial"/>
          <w:szCs w:val="24"/>
        </w:rPr>
        <w:t>la subvention à l’enseignement n’était plus accordée aux universités pour les disciplines déréglementées.</w:t>
      </w:r>
    </w:p>
    <w:p w14:paraId="11F931FC" w14:textId="442FAAD8" w:rsidR="00561239" w:rsidRPr="00705CAE" w:rsidRDefault="00561239" w:rsidP="00BE1512">
      <w:pPr>
        <w:pStyle w:val="Paragraphe"/>
        <w:tabs>
          <w:tab w:val="clear" w:pos="2204"/>
        </w:tabs>
        <w:spacing w:line="240" w:lineRule="auto"/>
        <w:ind w:left="0"/>
        <w:rPr>
          <w:rFonts w:cs="Arial"/>
          <w:szCs w:val="24"/>
        </w:rPr>
      </w:pPr>
      <w:r w:rsidRPr="00705CAE">
        <w:rPr>
          <w:rFonts w:cs="Arial"/>
          <w:szCs w:val="24"/>
        </w:rPr>
        <w:t>À compter de l’automne</w:t>
      </w:r>
      <w:r w:rsidR="006C1871">
        <w:rPr>
          <w:rFonts w:cs="Arial"/>
          <w:szCs w:val="24"/>
        </w:rPr>
        <w:t> </w:t>
      </w:r>
      <w:r w:rsidRPr="00705CAE">
        <w:rPr>
          <w:rFonts w:cs="Arial"/>
          <w:szCs w:val="24"/>
        </w:rPr>
        <w:t xml:space="preserve">2019, tous les étudiants </w:t>
      </w:r>
      <w:r w:rsidR="000639E7">
        <w:rPr>
          <w:rFonts w:cs="Arial"/>
          <w:szCs w:val="24"/>
        </w:rPr>
        <w:t>I</w:t>
      </w:r>
      <w:r w:rsidRPr="00705CAE">
        <w:rPr>
          <w:rFonts w:cs="Arial"/>
          <w:szCs w:val="24"/>
        </w:rPr>
        <w:t xml:space="preserve">nternationaux de </w:t>
      </w:r>
      <w:r w:rsidR="004E5573">
        <w:rPr>
          <w:rFonts w:cs="Arial"/>
          <w:szCs w:val="24"/>
        </w:rPr>
        <w:t>1</w:t>
      </w:r>
      <w:r w:rsidR="004E5573" w:rsidRPr="004E5573">
        <w:rPr>
          <w:rFonts w:cs="Arial"/>
          <w:szCs w:val="24"/>
          <w:vertAlign w:val="superscript"/>
        </w:rPr>
        <w:t>er</w:t>
      </w:r>
      <w:r w:rsidR="004E5573">
        <w:rPr>
          <w:rFonts w:cs="Arial"/>
          <w:szCs w:val="24"/>
        </w:rPr>
        <w:t xml:space="preserve"> </w:t>
      </w:r>
      <w:r w:rsidRPr="00705CAE">
        <w:rPr>
          <w:rFonts w:cs="Arial"/>
          <w:szCs w:val="24"/>
        </w:rPr>
        <w:t xml:space="preserve">cycle et de </w:t>
      </w:r>
      <w:r w:rsidR="004E5573">
        <w:rPr>
          <w:rFonts w:cs="Arial"/>
          <w:szCs w:val="24"/>
        </w:rPr>
        <w:t>2</w:t>
      </w:r>
      <w:r w:rsidR="004E5573" w:rsidRPr="004E5573">
        <w:rPr>
          <w:rFonts w:cs="Arial"/>
          <w:szCs w:val="24"/>
          <w:vertAlign w:val="superscript"/>
        </w:rPr>
        <w:t>e</w:t>
      </w:r>
      <w:r w:rsidR="004E5573">
        <w:rPr>
          <w:rFonts w:cs="Arial"/>
          <w:szCs w:val="24"/>
        </w:rPr>
        <w:t xml:space="preserve"> </w:t>
      </w:r>
      <w:r w:rsidRPr="00705CAE">
        <w:rPr>
          <w:rFonts w:cs="Arial"/>
          <w:szCs w:val="24"/>
        </w:rPr>
        <w:t>cycle de type professionnel ont été déréglementés de sorte que le</w:t>
      </w:r>
      <w:r w:rsidR="000639E7">
        <w:rPr>
          <w:rFonts w:cs="Arial"/>
          <w:szCs w:val="24"/>
        </w:rPr>
        <w:t xml:space="preserve">s universités déterminaient le niveau </w:t>
      </w:r>
      <w:r w:rsidRPr="00705CAE">
        <w:rPr>
          <w:rFonts w:cs="Arial"/>
          <w:szCs w:val="24"/>
        </w:rPr>
        <w:t xml:space="preserve">de leurs droits de scolarité. Ces droits de scolarité devaient </w:t>
      </w:r>
      <w:r w:rsidRPr="00705CAE">
        <w:rPr>
          <w:rFonts w:cs="Arial"/>
          <w:szCs w:val="24"/>
        </w:rPr>
        <w:lastRenderedPageBreak/>
        <w:t>toutefois éga</w:t>
      </w:r>
      <w:r w:rsidR="000639E7">
        <w:rPr>
          <w:rFonts w:cs="Arial"/>
          <w:szCs w:val="24"/>
        </w:rPr>
        <w:t xml:space="preserve">ler </w:t>
      </w:r>
      <w:r w:rsidRPr="00705CAE">
        <w:rPr>
          <w:rFonts w:cs="Arial"/>
          <w:szCs w:val="24"/>
        </w:rPr>
        <w:t>ou su</w:t>
      </w:r>
      <w:r w:rsidR="000639E7">
        <w:rPr>
          <w:rFonts w:cs="Arial"/>
          <w:szCs w:val="24"/>
        </w:rPr>
        <w:t xml:space="preserve">rpasser </w:t>
      </w:r>
      <w:r w:rsidRPr="00705CAE">
        <w:rPr>
          <w:rFonts w:cs="Arial"/>
          <w:szCs w:val="24"/>
        </w:rPr>
        <w:t>ceux exigés des étudiants CNRQ soumis aux montants forfaitaires</w:t>
      </w:r>
      <w:bookmarkStart w:id="30" w:name="_ftnref28"/>
      <w:bookmarkEnd w:id="30"/>
      <w:r w:rsidR="00C4665A">
        <w:rPr>
          <w:rStyle w:val="Appelnotedebasdep"/>
          <w:rFonts w:cs="Arial"/>
          <w:szCs w:val="24"/>
        </w:rPr>
        <w:footnoteReference w:id="35"/>
      </w:r>
      <w:r w:rsidRPr="00705CAE">
        <w:rPr>
          <w:rFonts w:cs="Arial"/>
          <w:szCs w:val="24"/>
        </w:rPr>
        <w:t>.</w:t>
      </w:r>
    </w:p>
    <w:p w14:paraId="1FFF4659" w14:textId="018A58EB" w:rsidR="00561239" w:rsidRPr="00705CAE" w:rsidRDefault="00561239" w:rsidP="00BE1512">
      <w:pPr>
        <w:pStyle w:val="Paragraphe"/>
        <w:tabs>
          <w:tab w:val="clear" w:pos="2204"/>
        </w:tabs>
        <w:spacing w:line="240" w:lineRule="auto"/>
        <w:ind w:left="0"/>
        <w:rPr>
          <w:rFonts w:cs="Arial"/>
          <w:szCs w:val="24"/>
        </w:rPr>
      </w:pPr>
      <w:r w:rsidRPr="00705CAE">
        <w:rPr>
          <w:rFonts w:cs="Arial"/>
          <w:szCs w:val="24"/>
        </w:rPr>
        <w:t>Le gouvernement a simultanément éliminé les trois subventions normées</w:t>
      </w:r>
      <w:r w:rsidR="0009217F">
        <w:rPr>
          <w:rFonts w:cs="Arial"/>
          <w:szCs w:val="24"/>
        </w:rPr>
        <w:t>.</w:t>
      </w:r>
      <w:r w:rsidRPr="00705CAE">
        <w:rPr>
          <w:rFonts w:cs="Arial"/>
          <w:szCs w:val="24"/>
        </w:rPr>
        <w:t xml:space="preserve"> En contrepartie, les montants forfaitaires payés par les étudiants déréglementés n’étaient pas récupérés par le</w:t>
      </w:r>
      <w:r w:rsidR="00E72D3B">
        <w:rPr>
          <w:rFonts w:cs="Arial"/>
          <w:szCs w:val="24"/>
        </w:rPr>
        <w:t xml:space="preserve"> </w:t>
      </w:r>
      <w:r w:rsidRPr="00705CAE">
        <w:rPr>
          <w:rFonts w:cs="Arial"/>
          <w:szCs w:val="24"/>
        </w:rPr>
        <w:t>Ministère.</w:t>
      </w:r>
    </w:p>
    <w:p w14:paraId="142241CF" w14:textId="0337A8EE" w:rsidR="00705CAE" w:rsidRPr="00E137EF" w:rsidRDefault="00561239" w:rsidP="00E137EF">
      <w:pPr>
        <w:pStyle w:val="Paragraphe"/>
        <w:numPr>
          <w:ilvl w:val="1"/>
          <w:numId w:val="6"/>
        </w:numPr>
        <w:spacing w:line="240" w:lineRule="auto"/>
        <w:rPr>
          <w:rFonts w:cs="Arial"/>
          <w:szCs w:val="24"/>
        </w:rPr>
      </w:pPr>
      <w:r w:rsidRPr="00E137EF">
        <w:rPr>
          <w:rFonts w:cs="Arial"/>
          <w:szCs w:val="24"/>
        </w:rPr>
        <w:t xml:space="preserve">La conséquence de la </w:t>
      </w:r>
      <w:r w:rsidR="00B9524C" w:rsidRPr="0032001A">
        <w:rPr>
          <w:rFonts w:cs="Arial"/>
          <w:szCs w:val="24"/>
        </w:rPr>
        <w:t>fin</w:t>
      </w:r>
      <w:r w:rsidR="00B9524C">
        <w:rPr>
          <w:rFonts w:cs="Arial"/>
          <w:szCs w:val="24"/>
        </w:rPr>
        <w:t xml:space="preserve"> de la </w:t>
      </w:r>
      <w:r w:rsidRPr="00E137EF">
        <w:rPr>
          <w:rFonts w:cs="Arial"/>
          <w:szCs w:val="24"/>
        </w:rPr>
        <w:t>déréglementation</w:t>
      </w:r>
    </w:p>
    <w:p w14:paraId="237A3633" w14:textId="3E41A152" w:rsidR="00561239" w:rsidRDefault="00561239" w:rsidP="00BE1512">
      <w:pPr>
        <w:pStyle w:val="Paragraphe"/>
        <w:tabs>
          <w:tab w:val="clear" w:pos="2204"/>
        </w:tabs>
        <w:spacing w:line="240" w:lineRule="auto"/>
        <w:ind w:left="0"/>
        <w:rPr>
          <w:rFonts w:cs="Arial"/>
          <w:szCs w:val="24"/>
        </w:rPr>
      </w:pPr>
      <w:r w:rsidRPr="00705CAE">
        <w:rPr>
          <w:rFonts w:cs="Arial"/>
          <w:szCs w:val="24"/>
        </w:rPr>
        <w:t xml:space="preserve">La déréglementation des droits de scolarité des étudiants </w:t>
      </w:r>
      <w:r w:rsidR="0009217F">
        <w:rPr>
          <w:rFonts w:cs="Arial"/>
          <w:szCs w:val="24"/>
        </w:rPr>
        <w:t>I</w:t>
      </w:r>
      <w:r w:rsidRPr="00705CAE">
        <w:rPr>
          <w:rFonts w:cs="Arial"/>
          <w:szCs w:val="24"/>
        </w:rPr>
        <w:t xml:space="preserve">nternationaux de </w:t>
      </w:r>
      <w:r w:rsidR="009D2016">
        <w:rPr>
          <w:rFonts w:cs="Arial"/>
          <w:szCs w:val="24"/>
        </w:rPr>
        <w:t>1</w:t>
      </w:r>
      <w:r w:rsidR="009D2016" w:rsidRPr="009D2016">
        <w:rPr>
          <w:rFonts w:cs="Arial"/>
          <w:szCs w:val="24"/>
          <w:vertAlign w:val="superscript"/>
        </w:rPr>
        <w:t>er</w:t>
      </w:r>
      <w:r w:rsidR="009D2016">
        <w:rPr>
          <w:rFonts w:cs="Arial"/>
          <w:szCs w:val="24"/>
        </w:rPr>
        <w:t xml:space="preserve"> </w:t>
      </w:r>
      <w:r w:rsidRPr="00705CAE">
        <w:rPr>
          <w:rFonts w:cs="Arial"/>
          <w:szCs w:val="24"/>
        </w:rPr>
        <w:t xml:space="preserve">cycle et de </w:t>
      </w:r>
      <w:r w:rsidR="009D2016">
        <w:rPr>
          <w:rFonts w:cs="Arial"/>
          <w:szCs w:val="24"/>
        </w:rPr>
        <w:t>2</w:t>
      </w:r>
      <w:r w:rsidR="009D2016" w:rsidRPr="009D2016">
        <w:rPr>
          <w:rFonts w:cs="Arial"/>
          <w:szCs w:val="24"/>
          <w:vertAlign w:val="superscript"/>
        </w:rPr>
        <w:t>e</w:t>
      </w:r>
      <w:r w:rsidR="009D2016">
        <w:rPr>
          <w:rFonts w:cs="Arial"/>
          <w:szCs w:val="24"/>
        </w:rPr>
        <w:t xml:space="preserve"> </w:t>
      </w:r>
      <w:r w:rsidRPr="00705CAE">
        <w:rPr>
          <w:rFonts w:cs="Arial"/>
          <w:szCs w:val="24"/>
        </w:rPr>
        <w:t xml:space="preserve">cycle de type professionnel cesse à compter de l’automne 2024. Les universités </w:t>
      </w:r>
      <w:r w:rsidR="0009217F">
        <w:rPr>
          <w:rFonts w:cs="Arial"/>
          <w:szCs w:val="24"/>
        </w:rPr>
        <w:t>bénéficient</w:t>
      </w:r>
      <w:r w:rsidRPr="00705CAE">
        <w:rPr>
          <w:rFonts w:cs="Arial"/>
          <w:szCs w:val="24"/>
        </w:rPr>
        <w:t xml:space="preserve"> de nouveau </w:t>
      </w:r>
      <w:r w:rsidR="0009217F">
        <w:rPr>
          <w:rFonts w:cs="Arial"/>
          <w:szCs w:val="24"/>
        </w:rPr>
        <w:t>d</w:t>
      </w:r>
      <w:r w:rsidRPr="00705CAE">
        <w:rPr>
          <w:rFonts w:cs="Arial"/>
          <w:szCs w:val="24"/>
        </w:rPr>
        <w:t>es trois subventions normées, mais l</w:t>
      </w:r>
      <w:r w:rsidR="0009217F">
        <w:rPr>
          <w:rFonts w:cs="Arial"/>
          <w:szCs w:val="24"/>
        </w:rPr>
        <w:t>a</w:t>
      </w:r>
      <w:r w:rsidR="00E72D3B">
        <w:rPr>
          <w:rFonts w:cs="Arial"/>
          <w:szCs w:val="24"/>
        </w:rPr>
        <w:t xml:space="preserve"> </w:t>
      </w:r>
      <w:r w:rsidRPr="00705CAE">
        <w:rPr>
          <w:rFonts w:cs="Arial"/>
          <w:szCs w:val="24"/>
        </w:rPr>
        <w:t>Ministre récupère les montants forfaitaires payés par les étudiants.</w:t>
      </w:r>
    </w:p>
    <w:p w14:paraId="440A7E42" w14:textId="093491DE" w:rsidR="003E0932" w:rsidRPr="005F4F7B" w:rsidRDefault="003E0932" w:rsidP="00BE1512">
      <w:pPr>
        <w:pStyle w:val="Paragraphe"/>
        <w:tabs>
          <w:tab w:val="clear" w:pos="2204"/>
        </w:tabs>
        <w:spacing w:line="240" w:lineRule="auto"/>
        <w:ind w:left="0"/>
        <w:rPr>
          <w:rFonts w:cs="Arial"/>
          <w:szCs w:val="24"/>
        </w:rPr>
      </w:pPr>
      <w:r w:rsidRPr="005F4F7B">
        <w:rPr>
          <w:rFonts w:cs="Arial"/>
          <w:szCs w:val="24"/>
        </w:rPr>
        <w:t>La fin de la déréglementation et les montants forfaitaires exigés des étudiants Internationaux sont prévus aux règles 3.5 et 3.6 des Règles budgétaires.</w:t>
      </w:r>
    </w:p>
    <w:p w14:paraId="1EE4369F" w14:textId="32748EDE" w:rsidR="00705CAE" w:rsidRPr="00705CAE" w:rsidRDefault="00561239" w:rsidP="00BE1512">
      <w:pPr>
        <w:pStyle w:val="Paragraphe"/>
        <w:tabs>
          <w:tab w:val="clear" w:pos="2204"/>
        </w:tabs>
        <w:spacing w:line="240" w:lineRule="auto"/>
        <w:ind w:left="0"/>
        <w:rPr>
          <w:rFonts w:cs="Arial"/>
          <w:szCs w:val="24"/>
        </w:rPr>
      </w:pPr>
      <w:r w:rsidRPr="00705CAE">
        <w:rPr>
          <w:rFonts w:cs="Arial"/>
          <w:szCs w:val="24"/>
        </w:rPr>
        <w:t xml:space="preserve">Tous les étudiants </w:t>
      </w:r>
      <w:r w:rsidR="0009217F">
        <w:rPr>
          <w:rFonts w:cs="Arial"/>
          <w:szCs w:val="24"/>
        </w:rPr>
        <w:t>I</w:t>
      </w:r>
      <w:r w:rsidRPr="00705CAE">
        <w:rPr>
          <w:rFonts w:cs="Arial"/>
          <w:szCs w:val="24"/>
        </w:rPr>
        <w:t>nternationaux</w:t>
      </w:r>
      <w:r w:rsidR="0009217F">
        <w:rPr>
          <w:rFonts w:cs="Arial"/>
          <w:szCs w:val="24"/>
        </w:rPr>
        <w:t xml:space="preserve"> sont devenus </w:t>
      </w:r>
      <w:r w:rsidRPr="00705CAE">
        <w:rPr>
          <w:rFonts w:cs="Arial"/>
          <w:szCs w:val="24"/>
        </w:rPr>
        <w:t xml:space="preserve">ainsi réglementés et le </w:t>
      </w:r>
      <w:r w:rsidR="000639E7">
        <w:rPr>
          <w:rFonts w:cs="Arial"/>
          <w:szCs w:val="24"/>
        </w:rPr>
        <w:t xml:space="preserve">gouvernement fixe le </w:t>
      </w:r>
      <w:r w:rsidR="00E437E5">
        <w:rPr>
          <w:rFonts w:cs="Arial"/>
          <w:szCs w:val="24"/>
        </w:rPr>
        <w:t>montant</w:t>
      </w:r>
      <w:r w:rsidRPr="00705CAE">
        <w:rPr>
          <w:rFonts w:cs="Arial"/>
          <w:szCs w:val="24"/>
        </w:rPr>
        <w:t xml:space="preserve"> minimal obligatoire de leurs droits de scolarité. Ils </w:t>
      </w:r>
      <w:r w:rsidR="0009217F">
        <w:rPr>
          <w:rFonts w:cs="Arial"/>
          <w:szCs w:val="24"/>
        </w:rPr>
        <w:t>p</w:t>
      </w:r>
      <w:r w:rsidRPr="00705CAE">
        <w:rPr>
          <w:rFonts w:cs="Arial"/>
          <w:szCs w:val="24"/>
        </w:rPr>
        <w:t>aye</w:t>
      </w:r>
      <w:r w:rsidR="0009217F">
        <w:rPr>
          <w:rFonts w:cs="Arial"/>
          <w:szCs w:val="24"/>
        </w:rPr>
        <w:t>nt</w:t>
      </w:r>
      <w:r w:rsidRPr="00705CAE">
        <w:rPr>
          <w:rFonts w:cs="Arial"/>
          <w:szCs w:val="24"/>
        </w:rPr>
        <w:t xml:space="preserve"> </w:t>
      </w:r>
      <w:r w:rsidR="000639E7">
        <w:rPr>
          <w:rFonts w:cs="Arial"/>
          <w:szCs w:val="24"/>
        </w:rPr>
        <w:t xml:space="preserve">donc </w:t>
      </w:r>
      <w:r w:rsidRPr="00705CAE">
        <w:rPr>
          <w:rFonts w:cs="Arial"/>
          <w:szCs w:val="24"/>
        </w:rPr>
        <w:t xml:space="preserve">les droits de scolarité de base </w:t>
      </w:r>
      <w:r w:rsidR="000639E7">
        <w:rPr>
          <w:rFonts w:cs="Arial"/>
          <w:szCs w:val="24"/>
        </w:rPr>
        <w:t>ainsi qu’</w:t>
      </w:r>
      <w:r w:rsidRPr="00705CAE">
        <w:rPr>
          <w:rFonts w:cs="Arial"/>
          <w:szCs w:val="24"/>
        </w:rPr>
        <w:t>un montant forfaitaire de 591,23 $ par unité de cours</w:t>
      </w:r>
      <w:r w:rsidR="000639E7">
        <w:rPr>
          <w:rFonts w:cs="Arial"/>
          <w:szCs w:val="24"/>
        </w:rPr>
        <w:t xml:space="preserve">, soit </w:t>
      </w:r>
      <w:r w:rsidRPr="00705CAE">
        <w:rPr>
          <w:rFonts w:cs="Arial"/>
          <w:szCs w:val="24"/>
        </w:rPr>
        <w:t>17 736,90 $ pour 30 unités</w:t>
      </w:r>
      <w:bookmarkStart w:id="31" w:name="_ftnref29"/>
      <w:bookmarkEnd w:id="31"/>
      <w:r w:rsidR="00FB19E1">
        <w:rPr>
          <w:rStyle w:val="Appelnotedebasdep"/>
          <w:rFonts w:cs="Arial"/>
          <w:szCs w:val="24"/>
        </w:rPr>
        <w:footnoteReference w:id="36"/>
      </w:r>
      <w:r w:rsidR="000639E7">
        <w:rPr>
          <w:rFonts w:cs="Arial"/>
          <w:szCs w:val="24"/>
        </w:rPr>
        <w:t>.</w:t>
      </w:r>
    </w:p>
    <w:p w14:paraId="791870A8" w14:textId="02042A2A" w:rsidR="00561239" w:rsidRDefault="00561239" w:rsidP="00BE1512">
      <w:pPr>
        <w:pStyle w:val="Paragraphe"/>
        <w:tabs>
          <w:tab w:val="clear" w:pos="2204"/>
        </w:tabs>
        <w:spacing w:line="240" w:lineRule="auto"/>
        <w:ind w:left="0"/>
        <w:rPr>
          <w:rFonts w:cs="Arial"/>
          <w:szCs w:val="24"/>
        </w:rPr>
      </w:pPr>
      <w:r w:rsidRPr="00705CAE">
        <w:rPr>
          <w:rFonts w:cs="Arial"/>
          <w:szCs w:val="24"/>
        </w:rPr>
        <w:t>En tenant compte de l’indexation de 3</w:t>
      </w:r>
      <w:r w:rsidR="00183D2B">
        <w:rPr>
          <w:rFonts w:cs="Arial"/>
          <w:szCs w:val="24"/>
        </w:rPr>
        <w:t> </w:t>
      </w:r>
      <w:r w:rsidRPr="00705CAE">
        <w:rPr>
          <w:rFonts w:cs="Arial"/>
          <w:szCs w:val="24"/>
        </w:rPr>
        <w:t xml:space="preserve">%, le seuil minimal obligatoire des droits de scolarité pour une année régulière d’études des étudiants </w:t>
      </w:r>
      <w:r w:rsidR="0009217F">
        <w:rPr>
          <w:rFonts w:cs="Arial"/>
          <w:szCs w:val="24"/>
        </w:rPr>
        <w:t>Internationaux</w:t>
      </w:r>
      <w:r w:rsidRPr="00705CAE">
        <w:rPr>
          <w:rFonts w:cs="Arial"/>
          <w:szCs w:val="24"/>
        </w:rPr>
        <w:t xml:space="preserve"> de </w:t>
      </w:r>
      <w:r w:rsidR="00735CF2">
        <w:rPr>
          <w:rFonts w:cs="Arial"/>
          <w:szCs w:val="24"/>
        </w:rPr>
        <w:t>1</w:t>
      </w:r>
      <w:r w:rsidR="00735CF2" w:rsidRPr="00735CF2">
        <w:rPr>
          <w:rFonts w:cs="Arial"/>
          <w:szCs w:val="24"/>
          <w:vertAlign w:val="superscript"/>
        </w:rPr>
        <w:t>er</w:t>
      </w:r>
      <w:r w:rsidR="00735CF2">
        <w:rPr>
          <w:rFonts w:cs="Arial"/>
          <w:szCs w:val="24"/>
        </w:rPr>
        <w:t xml:space="preserve"> </w:t>
      </w:r>
      <w:r w:rsidRPr="00705CAE">
        <w:rPr>
          <w:rFonts w:cs="Arial"/>
          <w:szCs w:val="24"/>
        </w:rPr>
        <w:t xml:space="preserve">cycle et de </w:t>
      </w:r>
      <w:r w:rsidR="00735CF2">
        <w:rPr>
          <w:rFonts w:cs="Arial"/>
          <w:szCs w:val="24"/>
        </w:rPr>
        <w:t>2</w:t>
      </w:r>
      <w:r w:rsidR="00735CF2" w:rsidRPr="00735CF2">
        <w:rPr>
          <w:rFonts w:cs="Arial"/>
          <w:szCs w:val="24"/>
          <w:vertAlign w:val="superscript"/>
        </w:rPr>
        <w:t>e</w:t>
      </w:r>
      <w:r w:rsidR="00735CF2">
        <w:rPr>
          <w:rFonts w:cs="Arial"/>
          <w:szCs w:val="24"/>
        </w:rPr>
        <w:t xml:space="preserve"> </w:t>
      </w:r>
      <w:r w:rsidRPr="00705CAE">
        <w:rPr>
          <w:rFonts w:cs="Arial"/>
          <w:szCs w:val="24"/>
        </w:rPr>
        <w:t xml:space="preserve">cycle de type professionnel </w:t>
      </w:r>
      <w:r w:rsidR="000639E7">
        <w:rPr>
          <w:rFonts w:cs="Arial"/>
          <w:szCs w:val="24"/>
        </w:rPr>
        <w:t xml:space="preserve">s’élève à </w:t>
      </w:r>
      <w:r w:rsidRPr="00705CAE">
        <w:rPr>
          <w:rFonts w:cs="Arial"/>
          <w:szCs w:val="24"/>
        </w:rPr>
        <w:t>21 236,40 $</w:t>
      </w:r>
      <w:bookmarkStart w:id="32" w:name="_ftnref30"/>
      <w:bookmarkEnd w:id="32"/>
      <w:r w:rsidR="00365E6E">
        <w:rPr>
          <w:rStyle w:val="Appelnotedebasdep"/>
          <w:rFonts w:cs="Arial"/>
          <w:szCs w:val="24"/>
        </w:rPr>
        <w:footnoteReference w:id="37"/>
      </w:r>
      <w:r w:rsidR="006A26F5">
        <w:rPr>
          <w:rFonts w:cs="Arial"/>
          <w:szCs w:val="24"/>
        </w:rPr>
        <w:t xml:space="preserve"> </w:t>
      </w:r>
      <w:r w:rsidR="0009217F">
        <w:rPr>
          <w:rFonts w:cs="Arial"/>
          <w:szCs w:val="24"/>
        </w:rPr>
        <w:t xml:space="preserve">depuis </w:t>
      </w:r>
      <w:r w:rsidRPr="00705CAE">
        <w:rPr>
          <w:rFonts w:cs="Arial"/>
          <w:szCs w:val="24"/>
        </w:rPr>
        <w:t>l’automne 2024.</w:t>
      </w:r>
    </w:p>
    <w:p w14:paraId="4079AC0E" w14:textId="64C8163E" w:rsidR="005F4F7B" w:rsidRDefault="00D15FBB" w:rsidP="00BE1512">
      <w:pPr>
        <w:pStyle w:val="Paragraphe"/>
        <w:tabs>
          <w:tab w:val="clear" w:pos="2204"/>
        </w:tabs>
        <w:spacing w:line="240" w:lineRule="auto"/>
        <w:ind w:left="0"/>
        <w:rPr>
          <w:rFonts w:cs="Arial"/>
          <w:szCs w:val="24"/>
        </w:rPr>
      </w:pPr>
      <w:r w:rsidRPr="005F4F7B">
        <w:rPr>
          <w:rFonts w:cs="Arial"/>
          <w:szCs w:val="24"/>
        </w:rPr>
        <w:t>Les exemptions en vigueur au moment de la fin de la déréglementation demeurent applicables. Les étudiants français et belges francophones de 1er cycle continuent d’acquitter les droits de scolarité des étudiants CNRQ sans la majoration additionnelle.</w:t>
      </w:r>
    </w:p>
    <w:p w14:paraId="1DF87791" w14:textId="1D29C975" w:rsidR="00AE75C0" w:rsidRPr="005F4F7B" w:rsidRDefault="005F4F7B" w:rsidP="00BE1512">
      <w:pPr>
        <w:pStyle w:val="Paragraphe"/>
        <w:tabs>
          <w:tab w:val="clear" w:pos="2204"/>
        </w:tabs>
        <w:spacing w:line="240" w:lineRule="auto"/>
        <w:ind w:left="0"/>
        <w:rPr>
          <w:rFonts w:cs="Arial"/>
          <w:szCs w:val="24"/>
        </w:rPr>
      </w:pPr>
      <w:r>
        <w:rPr>
          <w:rFonts w:cs="Arial"/>
          <w:szCs w:val="24"/>
        </w:rPr>
        <w:t xml:space="preserve">De même, </w:t>
      </w:r>
      <w:r w:rsidR="00E437E5">
        <w:rPr>
          <w:rFonts w:cs="Arial"/>
          <w:szCs w:val="24"/>
        </w:rPr>
        <w:t>les</w:t>
      </w:r>
      <w:r w:rsidR="00D15FBB" w:rsidRPr="005F4F7B">
        <w:rPr>
          <w:rFonts w:cs="Arial"/>
          <w:szCs w:val="24"/>
        </w:rPr>
        <w:t xml:space="preserve"> étudiants ayant une double citoyenneté canadienne/française ou canadienne/belge</w:t>
      </w:r>
      <w:r w:rsidR="00D15FBB" w:rsidRPr="005F4F7B">
        <w:rPr>
          <w:rStyle w:val="Appelnotedebasdep"/>
          <w:rFonts w:cs="Arial"/>
          <w:szCs w:val="24"/>
        </w:rPr>
        <w:footnoteReference w:id="38"/>
      </w:r>
      <w:r w:rsidR="00E437E5">
        <w:rPr>
          <w:rFonts w:cs="Arial"/>
          <w:szCs w:val="24"/>
        </w:rPr>
        <w:t xml:space="preserve"> bénéficient d’exceptions particulières</w:t>
      </w:r>
      <w:r w:rsidR="00D15FBB" w:rsidRPr="005F4F7B">
        <w:rPr>
          <w:rFonts w:cs="Arial"/>
          <w:szCs w:val="24"/>
        </w:rPr>
        <w:t>.</w:t>
      </w:r>
    </w:p>
    <w:p w14:paraId="1516D665" w14:textId="48526417" w:rsidR="00192249" w:rsidRPr="00192249" w:rsidRDefault="00561239" w:rsidP="00192249">
      <w:pPr>
        <w:pStyle w:val="Paragraphe"/>
        <w:keepNext/>
        <w:tabs>
          <w:tab w:val="clear" w:pos="2204"/>
        </w:tabs>
        <w:spacing w:after="240" w:line="240" w:lineRule="auto"/>
        <w:ind w:left="0"/>
        <w:rPr>
          <w:rFonts w:cs="Arial"/>
        </w:rPr>
      </w:pPr>
      <w:r w:rsidRPr="000E47F1">
        <w:rPr>
          <w:rFonts w:cs="Arial"/>
          <w:noProof/>
        </w:rPr>
        <w:lastRenderedPageBreak/>
        <w:drawing>
          <wp:inline distT="0" distB="0" distL="0" distR="0" wp14:anchorId="5DDC2687" wp14:editId="44E8A451">
            <wp:extent cx="6350" cy="6350"/>
            <wp:effectExtent l="0" t="0" r="0" b="0"/>
            <wp:docPr id="86415749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363BF4">
        <w:rPr>
          <w:rFonts w:cs="Arial"/>
        </w:rPr>
        <w:t>Sous réserve de ce qui précède au sujet des étudiants ayant une double citoyenneté, l</w:t>
      </w:r>
      <w:r w:rsidRPr="000E47F1">
        <w:rPr>
          <w:rFonts w:cs="Arial"/>
        </w:rPr>
        <w:t xml:space="preserve">es droits de scolarité des étudiants inscrits aux universités du Québec pour </w:t>
      </w:r>
      <w:r w:rsidRPr="000E47F1">
        <w:rPr>
          <w:rFonts w:cs="Arial"/>
          <w:szCs w:val="24"/>
        </w:rPr>
        <w:t>l’année</w:t>
      </w:r>
      <w:r w:rsidRPr="000E47F1">
        <w:rPr>
          <w:rFonts w:cs="Arial"/>
        </w:rPr>
        <w:t xml:space="preserve"> universitaire 2024-2025 se résument</w:t>
      </w:r>
      <w:r w:rsidR="00365E6E">
        <w:rPr>
          <w:rFonts w:cs="Arial"/>
        </w:rPr>
        <w:t xml:space="preserve"> </w:t>
      </w:r>
      <w:r w:rsidRPr="000E47F1">
        <w:rPr>
          <w:rFonts w:cs="Arial"/>
        </w:rPr>
        <w:t>donc</w:t>
      </w:r>
      <w:r w:rsidR="00365E6E">
        <w:rPr>
          <w:rFonts w:cs="Arial"/>
        </w:rPr>
        <w:t xml:space="preserve"> </w:t>
      </w:r>
      <w:r w:rsidRPr="000E47F1">
        <w:rPr>
          <w:rFonts w:cs="Arial"/>
        </w:rPr>
        <w:t>ainsi</w:t>
      </w:r>
      <w:bookmarkStart w:id="33" w:name="_ftnref31"/>
      <w:bookmarkEnd w:id="33"/>
      <w:r w:rsidR="00CE421E">
        <w:rPr>
          <w:rStyle w:val="Appelnotedebasdep"/>
          <w:rFonts w:cs="Arial"/>
        </w:rPr>
        <w:footnoteReference w:id="39"/>
      </w:r>
      <w:r w:rsidRPr="000E47F1">
        <w:rPr>
          <w:rFonts w:cs="Arial"/>
        </w:rPr>
        <w:t> :</w:t>
      </w:r>
    </w:p>
    <w:tbl>
      <w:tblPr>
        <w:tblStyle w:val="Grilledutableau"/>
        <w:tblW w:w="0" w:type="auto"/>
        <w:tblLook w:val="04A0" w:firstRow="1" w:lastRow="0" w:firstColumn="1" w:lastColumn="0" w:noHBand="0" w:noVBand="1"/>
      </w:tblPr>
      <w:tblGrid>
        <w:gridCol w:w="2245"/>
        <w:gridCol w:w="1980"/>
        <w:gridCol w:w="2160"/>
        <w:gridCol w:w="2967"/>
      </w:tblGrid>
      <w:tr w:rsidR="005D0F4B" w14:paraId="0A61B466" w14:textId="77777777" w:rsidTr="00842187">
        <w:tc>
          <w:tcPr>
            <w:tcW w:w="9352" w:type="dxa"/>
            <w:gridSpan w:val="4"/>
          </w:tcPr>
          <w:p w14:paraId="653BE3A5" w14:textId="77777777" w:rsidR="001F48A6" w:rsidRPr="00B05B84" w:rsidRDefault="005D0F4B" w:rsidP="005B1883">
            <w:pPr>
              <w:pStyle w:val="Paragraphe"/>
              <w:keepNext/>
              <w:numPr>
                <w:ilvl w:val="0"/>
                <w:numId w:val="0"/>
              </w:numPr>
              <w:spacing w:before="20" w:after="20" w:line="240" w:lineRule="auto"/>
              <w:jc w:val="center"/>
              <w:rPr>
                <w:rFonts w:ascii="Times New Roman" w:hAnsi="Times New Roman"/>
                <w:b/>
                <w:bCs/>
                <w:sz w:val="22"/>
                <w:szCs w:val="22"/>
              </w:rPr>
            </w:pPr>
            <w:r w:rsidRPr="00B05B84">
              <w:rPr>
                <w:rFonts w:ascii="Times New Roman" w:hAnsi="Times New Roman"/>
                <w:b/>
                <w:bCs/>
                <w:sz w:val="22"/>
                <w:szCs w:val="22"/>
              </w:rPr>
              <w:t>DROITS DE SCOLARITÉ EXIGÉS DES ÉTUDIANTS</w:t>
            </w:r>
          </w:p>
          <w:p w14:paraId="52D38F5D" w14:textId="12FBE990" w:rsidR="005D0F4B" w:rsidRPr="00B05B84" w:rsidRDefault="005D0F4B" w:rsidP="005B1883">
            <w:pPr>
              <w:pStyle w:val="Paragraphe"/>
              <w:keepNext/>
              <w:numPr>
                <w:ilvl w:val="0"/>
                <w:numId w:val="0"/>
              </w:numPr>
              <w:spacing w:before="20" w:after="20" w:line="240" w:lineRule="auto"/>
              <w:jc w:val="center"/>
              <w:rPr>
                <w:rFonts w:ascii="Times New Roman" w:hAnsi="Times New Roman"/>
                <w:b/>
                <w:bCs/>
                <w:sz w:val="22"/>
                <w:szCs w:val="22"/>
              </w:rPr>
            </w:pPr>
            <w:r w:rsidRPr="00B05B84">
              <w:rPr>
                <w:rFonts w:ascii="Times New Roman" w:hAnsi="Times New Roman"/>
                <w:b/>
                <w:bCs/>
                <w:sz w:val="22"/>
                <w:szCs w:val="22"/>
              </w:rPr>
              <w:t>POUR L’ANNÉE UNIVERSITAIRE 2024-2025</w:t>
            </w:r>
          </w:p>
          <w:p w14:paraId="11EE9F4B" w14:textId="6C1A38D9" w:rsidR="005D0F4B" w:rsidRPr="00B05B84" w:rsidRDefault="005D0F4B" w:rsidP="005B1883">
            <w:pPr>
              <w:pStyle w:val="Paragraphe"/>
              <w:keepNext/>
              <w:numPr>
                <w:ilvl w:val="0"/>
                <w:numId w:val="0"/>
              </w:numPr>
              <w:spacing w:before="20" w:after="20" w:line="240" w:lineRule="auto"/>
              <w:jc w:val="center"/>
              <w:rPr>
                <w:rFonts w:ascii="Times New Roman" w:hAnsi="Times New Roman"/>
              </w:rPr>
            </w:pPr>
            <w:r w:rsidRPr="00B05B84">
              <w:rPr>
                <w:rFonts w:ascii="Times New Roman" w:hAnsi="Times New Roman"/>
                <w:sz w:val="22"/>
                <w:szCs w:val="22"/>
              </w:rPr>
              <w:t>(coût</w:t>
            </w:r>
            <w:r w:rsidR="00E137EF" w:rsidRPr="00B05B84">
              <w:rPr>
                <w:rFonts w:ascii="Times New Roman" w:hAnsi="Times New Roman"/>
                <w:sz w:val="22"/>
                <w:szCs w:val="22"/>
              </w:rPr>
              <w:t xml:space="preserve"> en $</w:t>
            </w:r>
            <w:r w:rsidRPr="00B05B84">
              <w:rPr>
                <w:rFonts w:ascii="Times New Roman" w:hAnsi="Times New Roman"/>
                <w:sz w:val="22"/>
                <w:szCs w:val="22"/>
              </w:rPr>
              <w:t xml:space="preserve"> pour un [1] crédit universitaire)</w:t>
            </w:r>
          </w:p>
        </w:tc>
      </w:tr>
      <w:tr w:rsidR="005D0F4B" w:rsidRPr="00DD720A" w14:paraId="66218D6E" w14:textId="77777777" w:rsidTr="00CB2828">
        <w:tc>
          <w:tcPr>
            <w:tcW w:w="2245" w:type="dxa"/>
            <w:tcBorders>
              <w:top w:val="single" w:sz="12" w:space="0" w:color="auto"/>
              <w:right w:val="nil"/>
            </w:tcBorders>
          </w:tcPr>
          <w:p w14:paraId="615270B7" w14:textId="3C5F7A7E" w:rsidR="005D0F4B" w:rsidRPr="00B05B84" w:rsidRDefault="001F48A6" w:rsidP="005B1883">
            <w:pPr>
              <w:pStyle w:val="Paragraphe"/>
              <w:keepNext/>
              <w:numPr>
                <w:ilvl w:val="0"/>
                <w:numId w:val="0"/>
              </w:numPr>
              <w:spacing w:before="20" w:after="20" w:line="240" w:lineRule="auto"/>
              <w:rPr>
                <w:rFonts w:ascii="Times New Roman" w:hAnsi="Times New Roman"/>
                <w:b/>
                <w:bCs/>
                <w:sz w:val="20"/>
              </w:rPr>
            </w:pPr>
            <w:r w:rsidRPr="00B05B84">
              <w:rPr>
                <w:rFonts w:ascii="Times New Roman" w:hAnsi="Times New Roman"/>
                <w:b/>
                <w:bCs/>
                <w:sz w:val="20"/>
              </w:rPr>
              <w:t>Catégorie</w:t>
            </w:r>
          </w:p>
        </w:tc>
        <w:tc>
          <w:tcPr>
            <w:tcW w:w="1980" w:type="dxa"/>
            <w:tcBorders>
              <w:top w:val="single" w:sz="12" w:space="0" w:color="auto"/>
              <w:left w:val="nil"/>
              <w:right w:val="nil"/>
            </w:tcBorders>
          </w:tcPr>
          <w:p w14:paraId="32BAF725" w14:textId="3AC364AF" w:rsidR="005D0F4B" w:rsidRPr="00B05B84" w:rsidRDefault="001F48A6"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b/>
                <w:bCs/>
                <w:sz w:val="20"/>
              </w:rPr>
              <w:t>Droit de base</w:t>
            </w:r>
            <w:r w:rsidR="00A97358" w:rsidRPr="00B05B84">
              <w:rPr>
                <w:rFonts w:ascii="Times New Roman" w:hAnsi="Times New Roman"/>
                <w:sz w:val="20"/>
                <w:vertAlign w:val="superscript"/>
              </w:rPr>
              <w:t>1</w:t>
            </w:r>
          </w:p>
        </w:tc>
        <w:tc>
          <w:tcPr>
            <w:tcW w:w="2160" w:type="dxa"/>
            <w:tcBorders>
              <w:top w:val="single" w:sz="12" w:space="0" w:color="auto"/>
              <w:left w:val="nil"/>
              <w:right w:val="nil"/>
            </w:tcBorders>
          </w:tcPr>
          <w:p w14:paraId="49A8180A" w14:textId="7BBF3F4F" w:rsidR="005D0F4B" w:rsidRPr="00B05B84" w:rsidRDefault="001F48A6" w:rsidP="005B1883">
            <w:pPr>
              <w:pStyle w:val="Paragraphe"/>
              <w:keepNext/>
              <w:numPr>
                <w:ilvl w:val="0"/>
                <w:numId w:val="0"/>
              </w:numPr>
              <w:spacing w:before="20" w:after="20" w:line="240" w:lineRule="auto"/>
              <w:rPr>
                <w:rFonts w:ascii="Times New Roman" w:hAnsi="Times New Roman"/>
                <w:b/>
                <w:bCs/>
                <w:sz w:val="20"/>
              </w:rPr>
            </w:pPr>
            <w:r w:rsidRPr="00B05B84">
              <w:rPr>
                <w:rFonts w:ascii="Times New Roman" w:hAnsi="Times New Roman"/>
                <w:b/>
                <w:bCs/>
                <w:sz w:val="20"/>
              </w:rPr>
              <w:t>Montant forfaitaire</w:t>
            </w:r>
            <w:r w:rsidR="005E090E" w:rsidRPr="00B05B84">
              <w:rPr>
                <w:rFonts w:ascii="Times New Roman" w:hAnsi="Times New Roman"/>
                <w:sz w:val="20"/>
                <w:vertAlign w:val="superscript"/>
              </w:rPr>
              <w:t>2</w:t>
            </w:r>
          </w:p>
        </w:tc>
        <w:tc>
          <w:tcPr>
            <w:tcW w:w="2967" w:type="dxa"/>
            <w:tcBorders>
              <w:top w:val="single" w:sz="12" w:space="0" w:color="auto"/>
              <w:left w:val="nil"/>
            </w:tcBorders>
          </w:tcPr>
          <w:p w14:paraId="50AF0A0E" w14:textId="72ECB028" w:rsidR="005D0F4B" w:rsidRPr="00B05B84" w:rsidRDefault="001F48A6" w:rsidP="005B1883">
            <w:pPr>
              <w:pStyle w:val="Paragraphe"/>
              <w:keepNext/>
              <w:numPr>
                <w:ilvl w:val="0"/>
                <w:numId w:val="0"/>
              </w:numPr>
              <w:spacing w:before="20" w:after="20" w:line="240" w:lineRule="auto"/>
              <w:rPr>
                <w:rFonts w:ascii="Times New Roman" w:hAnsi="Times New Roman"/>
                <w:b/>
                <w:bCs/>
                <w:sz w:val="20"/>
              </w:rPr>
            </w:pPr>
            <w:r w:rsidRPr="00B05B84">
              <w:rPr>
                <w:rFonts w:ascii="Times New Roman" w:hAnsi="Times New Roman"/>
                <w:b/>
                <w:bCs/>
                <w:sz w:val="20"/>
              </w:rPr>
              <w:t>Montant forfaitaire facultatif</w:t>
            </w:r>
            <w:r w:rsidR="005E090E" w:rsidRPr="00B05B84">
              <w:rPr>
                <w:rFonts w:ascii="Times New Roman" w:hAnsi="Times New Roman"/>
                <w:sz w:val="20"/>
                <w:vertAlign w:val="superscript"/>
              </w:rPr>
              <w:t>3</w:t>
            </w:r>
          </w:p>
        </w:tc>
      </w:tr>
      <w:tr w:rsidR="00B43C8C" w:rsidRPr="00DD720A" w14:paraId="31F4BDC6" w14:textId="77777777" w:rsidTr="0046738E">
        <w:tc>
          <w:tcPr>
            <w:tcW w:w="9352" w:type="dxa"/>
            <w:gridSpan w:val="4"/>
          </w:tcPr>
          <w:p w14:paraId="39F61E4A" w14:textId="1AF718EE" w:rsidR="00B43C8C" w:rsidRPr="00B05B84" w:rsidRDefault="00B43C8C" w:rsidP="005B1883">
            <w:pPr>
              <w:pStyle w:val="Paragraphe"/>
              <w:keepNext/>
              <w:numPr>
                <w:ilvl w:val="0"/>
                <w:numId w:val="0"/>
              </w:numPr>
              <w:spacing w:before="20" w:after="20" w:line="240" w:lineRule="auto"/>
              <w:rPr>
                <w:rFonts w:ascii="Times New Roman" w:hAnsi="Times New Roman"/>
                <w:b/>
                <w:bCs/>
                <w:sz w:val="20"/>
                <w:u w:val="single"/>
              </w:rPr>
            </w:pPr>
            <w:r w:rsidRPr="00B05B84">
              <w:rPr>
                <w:rFonts w:ascii="Times New Roman" w:hAnsi="Times New Roman"/>
                <w:b/>
                <w:bCs/>
                <w:sz w:val="20"/>
                <w:u w:val="single"/>
              </w:rPr>
              <w:t>1. Étudiant</w:t>
            </w:r>
            <w:r w:rsidR="00B555D2" w:rsidRPr="00B05B84">
              <w:rPr>
                <w:rFonts w:ascii="Times New Roman" w:hAnsi="Times New Roman"/>
                <w:b/>
                <w:bCs/>
                <w:sz w:val="20"/>
                <w:u w:val="single"/>
              </w:rPr>
              <w:t xml:space="preserve"> </w:t>
            </w:r>
            <w:r w:rsidRPr="00B05B84">
              <w:rPr>
                <w:rFonts w:ascii="Times New Roman" w:hAnsi="Times New Roman"/>
                <w:b/>
                <w:bCs/>
                <w:sz w:val="20"/>
                <w:u w:val="single"/>
              </w:rPr>
              <w:t>québécois</w:t>
            </w:r>
          </w:p>
        </w:tc>
      </w:tr>
      <w:tr w:rsidR="00B43C8C" w:rsidRPr="00DD720A" w14:paraId="037250FC" w14:textId="77777777" w:rsidTr="00FE643E">
        <w:tc>
          <w:tcPr>
            <w:tcW w:w="2245" w:type="dxa"/>
            <w:tcBorders>
              <w:top w:val="nil"/>
              <w:right w:val="nil"/>
            </w:tcBorders>
          </w:tcPr>
          <w:p w14:paraId="6D3105B8" w14:textId="27B5E9F2" w:rsidR="00B43C8C" w:rsidRPr="00B05B84" w:rsidRDefault="00B43C8C"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Tous les cycles</w:t>
            </w:r>
          </w:p>
        </w:tc>
        <w:tc>
          <w:tcPr>
            <w:tcW w:w="1980" w:type="dxa"/>
            <w:tcBorders>
              <w:top w:val="nil"/>
              <w:left w:val="nil"/>
              <w:right w:val="nil"/>
            </w:tcBorders>
          </w:tcPr>
          <w:p w14:paraId="0CB56313" w14:textId="34B63C48" w:rsidR="00B43C8C" w:rsidRPr="00B05B84" w:rsidRDefault="00B43C8C"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98,91</w:t>
            </w:r>
          </w:p>
        </w:tc>
        <w:tc>
          <w:tcPr>
            <w:tcW w:w="2160" w:type="dxa"/>
            <w:tcBorders>
              <w:top w:val="nil"/>
              <w:left w:val="nil"/>
              <w:right w:val="nil"/>
            </w:tcBorders>
          </w:tcPr>
          <w:p w14:paraId="25A693DD" w14:textId="77777777" w:rsidR="00B43C8C" w:rsidRPr="00B05B84" w:rsidRDefault="00B43C8C" w:rsidP="005B1883">
            <w:pPr>
              <w:pStyle w:val="Paragraphe"/>
              <w:keepNext/>
              <w:numPr>
                <w:ilvl w:val="0"/>
                <w:numId w:val="0"/>
              </w:numPr>
              <w:spacing w:before="20" w:after="20" w:line="240" w:lineRule="auto"/>
              <w:rPr>
                <w:rFonts w:ascii="Times New Roman" w:hAnsi="Times New Roman"/>
                <w:sz w:val="20"/>
              </w:rPr>
            </w:pPr>
          </w:p>
        </w:tc>
        <w:tc>
          <w:tcPr>
            <w:tcW w:w="2967" w:type="dxa"/>
            <w:tcBorders>
              <w:top w:val="nil"/>
              <w:left w:val="nil"/>
              <w:right w:val="single" w:sz="4" w:space="0" w:color="auto"/>
            </w:tcBorders>
          </w:tcPr>
          <w:p w14:paraId="02835576" w14:textId="77777777" w:rsidR="00B43C8C" w:rsidRPr="00B05B84" w:rsidRDefault="00B43C8C" w:rsidP="005B1883">
            <w:pPr>
              <w:pStyle w:val="Paragraphe"/>
              <w:keepNext/>
              <w:numPr>
                <w:ilvl w:val="0"/>
                <w:numId w:val="0"/>
              </w:numPr>
              <w:spacing w:before="20" w:after="20" w:line="240" w:lineRule="auto"/>
              <w:rPr>
                <w:rFonts w:ascii="Times New Roman" w:hAnsi="Times New Roman"/>
                <w:sz w:val="20"/>
              </w:rPr>
            </w:pPr>
          </w:p>
        </w:tc>
      </w:tr>
      <w:tr w:rsidR="000E2C97" w14:paraId="286F9295" w14:textId="77777777" w:rsidTr="00FE643E">
        <w:tc>
          <w:tcPr>
            <w:tcW w:w="9352" w:type="dxa"/>
            <w:gridSpan w:val="4"/>
            <w:tcBorders>
              <w:right w:val="single" w:sz="4" w:space="0" w:color="auto"/>
            </w:tcBorders>
          </w:tcPr>
          <w:p w14:paraId="5803E4DB" w14:textId="334F832E" w:rsidR="000E2C97" w:rsidRPr="00B05B84" w:rsidRDefault="000E2C97" w:rsidP="005B1883">
            <w:pPr>
              <w:pStyle w:val="Paragraphe"/>
              <w:keepNext/>
              <w:numPr>
                <w:ilvl w:val="0"/>
                <w:numId w:val="0"/>
              </w:numPr>
              <w:spacing w:before="20" w:after="20" w:line="240" w:lineRule="auto"/>
              <w:rPr>
                <w:rFonts w:ascii="Times New Roman" w:hAnsi="Times New Roman"/>
                <w:b/>
                <w:bCs/>
                <w:sz w:val="20"/>
                <w:u w:val="single"/>
              </w:rPr>
            </w:pPr>
            <w:r w:rsidRPr="00B05B84">
              <w:rPr>
                <w:rFonts w:ascii="Times New Roman" w:hAnsi="Times New Roman"/>
                <w:b/>
                <w:bCs/>
                <w:sz w:val="20"/>
                <w:u w:val="single"/>
              </w:rPr>
              <w:t>2. Étudiant canadien non-résident du Québec (étudiant dans les programmes en français dans une université francophone)</w:t>
            </w:r>
          </w:p>
        </w:tc>
      </w:tr>
      <w:tr w:rsidR="005D0F4B" w14:paraId="11BAB67C" w14:textId="77777777" w:rsidTr="00FE643E">
        <w:tc>
          <w:tcPr>
            <w:tcW w:w="2245" w:type="dxa"/>
            <w:tcBorders>
              <w:bottom w:val="nil"/>
              <w:right w:val="nil"/>
            </w:tcBorders>
          </w:tcPr>
          <w:p w14:paraId="5B571C9E" w14:textId="049B6395" w:rsidR="005D0F4B" w:rsidRPr="00B05B84" w:rsidRDefault="00B555D2"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1</w:t>
            </w:r>
            <w:r w:rsidRPr="00B05B84">
              <w:rPr>
                <w:rFonts w:ascii="Times New Roman" w:hAnsi="Times New Roman"/>
                <w:sz w:val="20"/>
                <w:vertAlign w:val="superscript"/>
              </w:rPr>
              <w:t>er</w:t>
            </w:r>
            <w:r w:rsidRPr="00B05B84">
              <w:rPr>
                <w:rFonts w:ascii="Times New Roman" w:hAnsi="Times New Roman"/>
                <w:sz w:val="20"/>
              </w:rPr>
              <w:t xml:space="preserve"> cycle</w:t>
            </w:r>
          </w:p>
        </w:tc>
        <w:tc>
          <w:tcPr>
            <w:tcW w:w="1980" w:type="dxa"/>
            <w:tcBorders>
              <w:top w:val="nil"/>
              <w:left w:val="nil"/>
              <w:bottom w:val="nil"/>
              <w:right w:val="nil"/>
            </w:tcBorders>
          </w:tcPr>
          <w:p w14:paraId="37F1C5F8" w14:textId="3F5C2770" w:rsidR="005D0F4B" w:rsidRPr="00B05B84" w:rsidRDefault="0099275E"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98,91</w:t>
            </w:r>
          </w:p>
        </w:tc>
        <w:tc>
          <w:tcPr>
            <w:tcW w:w="2160" w:type="dxa"/>
            <w:tcBorders>
              <w:left w:val="nil"/>
              <w:bottom w:val="nil"/>
              <w:right w:val="nil"/>
            </w:tcBorders>
          </w:tcPr>
          <w:p w14:paraId="51449C80" w14:textId="587DEF81" w:rsidR="005D0F4B" w:rsidRPr="00B05B84" w:rsidRDefault="001344B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209,81</w:t>
            </w:r>
          </w:p>
        </w:tc>
        <w:tc>
          <w:tcPr>
            <w:tcW w:w="2967" w:type="dxa"/>
            <w:tcBorders>
              <w:left w:val="nil"/>
              <w:bottom w:val="nil"/>
              <w:right w:val="single" w:sz="4" w:space="0" w:color="auto"/>
            </w:tcBorders>
          </w:tcPr>
          <w:p w14:paraId="5034B96F" w14:textId="25118159" w:rsidR="005D0F4B" w:rsidRPr="00B05B84" w:rsidRDefault="00333FF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s.o.</w:t>
            </w:r>
          </w:p>
        </w:tc>
      </w:tr>
      <w:tr w:rsidR="00B555D2" w14:paraId="154D30CE" w14:textId="77777777" w:rsidTr="00FE643E">
        <w:tc>
          <w:tcPr>
            <w:tcW w:w="2245" w:type="dxa"/>
            <w:tcBorders>
              <w:top w:val="nil"/>
              <w:bottom w:val="nil"/>
              <w:right w:val="nil"/>
            </w:tcBorders>
          </w:tcPr>
          <w:p w14:paraId="221409DE" w14:textId="688E1284" w:rsidR="00B555D2" w:rsidRPr="00B05B84" w:rsidRDefault="00B555D2"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2</w:t>
            </w:r>
            <w:r w:rsidRPr="00B05B84">
              <w:rPr>
                <w:rFonts w:ascii="Times New Roman" w:hAnsi="Times New Roman"/>
                <w:sz w:val="20"/>
                <w:vertAlign w:val="superscript"/>
              </w:rPr>
              <w:t>e</w:t>
            </w:r>
            <w:r w:rsidRPr="00B05B84">
              <w:rPr>
                <w:rFonts w:ascii="Times New Roman" w:hAnsi="Times New Roman"/>
                <w:sz w:val="20"/>
              </w:rPr>
              <w:t xml:space="preserve"> cycle - professionnel</w:t>
            </w:r>
          </w:p>
        </w:tc>
        <w:tc>
          <w:tcPr>
            <w:tcW w:w="1980" w:type="dxa"/>
            <w:tcBorders>
              <w:top w:val="nil"/>
              <w:left w:val="nil"/>
              <w:bottom w:val="nil"/>
              <w:right w:val="nil"/>
            </w:tcBorders>
          </w:tcPr>
          <w:p w14:paraId="75CB503A" w14:textId="4D61CB5B" w:rsidR="00B555D2" w:rsidRPr="00B05B84" w:rsidRDefault="0099275E"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98,91</w:t>
            </w:r>
          </w:p>
        </w:tc>
        <w:tc>
          <w:tcPr>
            <w:tcW w:w="2160" w:type="dxa"/>
            <w:tcBorders>
              <w:top w:val="nil"/>
              <w:left w:val="nil"/>
              <w:bottom w:val="nil"/>
              <w:right w:val="nil"/>
            </w:tcBorders>
          </w:tcPr>
          <w:p w14:paraId="13D1C552" w14:textId="1D8AC60E" w:rsidR="00B555D2" w:rsidRPr="00B05B84" w:rsidRDefault="001344B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209,81</w:t>
            </w:r>
          </w:p>
        </w:tc>
        <w:tc>
          <w:tcPr>
            <w:tcW w:w="2967" w:type="dxa"/>
            <w:tcBorders>
              <w:top w:val="nil"/>
              <w:left w:val="nil"/>
              <w:bottom w:val="nil"/>
              <w:right w:val="single" w:sz="4" w:space="0" w:color="auto"/>
            </w:tcBorders>
          </w:tcPr>
          <w:p w14:paraId="718BA531" w14:textId="7371EE71" w:rsidR="00B555D2" w:rsidRPr="00B05B84" w:rsidRDefault="00333FF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s.o.</w:t>
            </w:r>
          </w:p>
        </w:tc>
      </w:tr>
      <w:tr w:rsidR="00B555D2" w14:paraId="65FD035C" w14:textId="77777777" w:rsidTr="00CB2828">
        <w:tc>
          <w:tcPr>
            <w:tcW w:w="2245" w:type="dxa"/>
            <w:tcBorders>
              <w:top w:val="nil"/>
              <w:bottom w:val="nil"/>
              <w:right w:val="nil"/>
            </w:tcBorders>
          </w:tcPr>
          <w:p w14:paraId="0BEE52B8" w14:textId="27C9F974" w:rsidR="00B555D2" w:rsidRPr="00B05B84" w:rsidRDefault="00B555D2"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2</w:t>
            </w:r>
            <w:r w:rsidRPr="00B05B84">
              <w:rPr>
                <w:rFonts w:ascii="Times New Roman" w:hAnsi="Times New Roman"/>
                <w:sz w:val="20"/>
                <w:vertAlign w:val="superscript"/>
              </w:rPr>
              <w:t>e</w:t>
            </w:r>
            <w:r w:rsidRPr="00B05B84">
              <w:rPr>
                <w:rFonts w:ascii="Times New Roman" w:hAnsi="Times New Roman"/>
                <w:sz w:val="20"/>
              </w:rPr>
              <w:t xml:space="preserve"> cycle </w:t>
            </w:r>
            <w:r w:rsidR="00E40D21" w:rsidRPr="00B05B84">
              <w:rPr>
                <w:rFonts w:ascii="Times New Roman" w:hAnsi="Times New Roman"/>
                <w:sz w:val="20"/>
              </w:rPr>
              <w:t>–</w:t>
            </w:r>
            <w:r w:rsidRPr="00B05B84">
              <w:rPr>
                <w:rFonts w:ascii="Times New Roman" w:hAnsi="Times New Roman"/>
                <w:sz w:val="20"/>
              </w:rPr>
              <w:t xml:space="preserve"> recherche</w:t>
            </w:r>
          </w:p>
        </w:tc>
        <w:tc>
          <w:tcPr>
            <w:tcW w:w="1980" w:type="dxa"/>
            <w:tcBorders>
              <w:top w:val="nil"/>
              <w:left w:val="nil"/>
              <w:bottom w:val="nil"/>
              <w:right w:val="nil"/>
            </w:tcBorders>
          </w:tcPr>
          <w:p w14:paraId="50E81291" w14:textId="3BC334EE" w:rsidR="00B555D2" w:rsidRPr="00B05B84" w:rsidRDefault="0099275E"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98,91</w:t>
            </w:r>
          </w:p>
        </w:tc>
        <w:tc>
          <w:tcPr>
            <w:tcW w:w="2160" w:type="dxa"/>
            <w:tcBorders>
              <w:top w:val="nil"/>
              <w:left w:val="nil"/>
              <w:bottom w:val="nil"/>
              <w:right w:val="nil"/>
            </w:tcBorders>
          </w:tcPr>
          <w:p w14:paraId="721D2794" w14:textId="6FDCC679" w:rsidR="00B555D2" w:rsidRPr="00B05B84" w:rsidRDefault="001344B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209,81</w:t>
            </w:r>
          </w:p>
        </w:tc>
        <w:tc>
          <w:tcPr>
            <w:tcW w:w="2967" w:type="dxa"/>
            <w:tcBorders>
              <w:top w:val="nil"/>
              <w:left w:val="nil"/>
              <w:bottom w:val="nil"/>
            </w:tcBorders>
          </w:tcPr>
          <w:p w14:paraId="63844FFA" w14:textId="74D54D33" w:rsidR="00B555D2" w:rsidRPr="00B05B84" w:rsidRDefault="00333FF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s.o.</w:t>
            </w:r>
          </w:p>
        </w:tc>
      </w:tr>
      <w:tr w:rsidR="005D0F4B" w14:paraId="0A355F66" w14:textId="77777777" w:rsidTr="00CB2828">
        <w:tc>
          <w:tcPr>
            <w:tcW w:w="2245" w:type="dxa"/>
            <w:tcBorders>
              <w:top w:val="nil"/>
              <w:right w:val="nil"/>
            </w:tcBorders>
          </w:tcPr>
          <w:p w14:paraId="42F780BF" w14:textId="143CCE33" w:rsidR="005D0F4B" w:rsidRPr="00B05B84" w:rsidRDefault="00B555D2"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3</w:t>
            </w:r>
            <w:r w:rsidRPr="00B05B84">
              <w:rPr>
                <w:rFonts w:ascii="Times New Roman" w:hAnsi="Times New Roman"/>
                <w:sz w:val="20"/>
                <w:vertAlign w:val="superscript"/>
              </w:rPr>
              <w:t>e</w:t>
            </w:r>
            <w:r w:rsidRPr="00B05B84">
              <w:rPr>
                <w:rFonts w:ascii="Times New Roman" w:hAnsi="Times New Roman"/>
                <w:sz w:val="20"/>
              </w:rPr>
              <w:t xml:space="preserve"> cycle</w:t>
            </w:r>
            <w:r w:rsidR="005E090E" w:rsidRPr="00B05B84">
              <w:rPr>
                <w:rFonts w:ascii="Times New Roman" w:hAnsi="Times New Roman"/>
                <w:sz w:val="20"/>
                <w:vertAlign w:val="superscript"/>
              </w:rPr>
              <w:t>4</w:t>
            </w:r>
          </w:p>
        </w:tc>
        <w:tc>
          <w:tcPr>
            <w:tcW w:w="1980" w:type="dxa"/>
            <w:tcBorders>
              <w:top w:val="nil"/>
              <w:left w:val="nil"/>
              <w:right w:val="nil"/>
            </w:tcBorders>
          </w:tcPr>
          <w:p w14:paraId="2C130717" w14:textId="4AD26441" w:rsidR="005D0F4B" w:rsidRPr="00B05B84" w:rsidRDefault="0099275E"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98,91</w:t>
            </w:r>
          </w:p>
        </w:tc>
        <w:tc>
          <w:tcPr>
            <w:tcW w:w="2160" w:type="dxa"/>
            <w:tcBorders>
              <w:top w:val="nil"/>
              <w:left w:val="nil"/>
              <w:right w:val="nil"/>
            </w:tcBorders>
          </w:tcPr>
          <w:p w14:paraId="7103BFD0" w14:textId="03B7036D" w:rsidR="005D0F4B" w:rsidRPr="00B05B84" w:rsidRDefault="001344B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209,81</w:t>
            </w:r>
          </w:p>
        </w:tc>
        <w:tc>
          <w:tcPr>
            <w:tcW w:w="2967" w:type="dxa"/>
            <w:tcBorders>
              <w:top w:val="nil"/>
              <w:left w:val="nil"/>
            </w:tcBorders>
          </w:tcPr>
          <w:p w14:paraId="37E29330" w14:textId="35FF89F3" w:rsidR="005D0F4B" w:rsidRPr="00B05B84" w:rsidRDefault="00333FF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s.o.</w:t>
            </w:r>
          </w:p>
        </w:tc>
      </w:tr>
      <w:tr w:rsidR="00A64968" w14:paraId="7F5B084F" w14:textId="77777777" w:rsidTr="00EF6BDB">
        <w:tc>
          <w:tcPr>
            <w:tcW w:w="9352" w:type="dxa"/>
            <w:gridSpan w:val="4"/>
          </w:tcPr>
          <w:p w14:paraId="04FD2AAE" w14:textId="04D35DEC" w:rsidR="00A64968" w:rsidRPr="00B05B84" w:rsidRDefault="00A64968" w:rsidP="005B1883">
            <w:pPr>
              <w:pStyle w:val="Paragraphe"/>
              <w:keepNext/>
              <w:numPr>
                <w:ilvl w:val="0"/>
                <w:numId w:val="0"/>
              </w:numPr>
              <w:spacing w:before="20" w:after="20" w:line="240" w:lineRule="auto"/>
              <w:rPr>
                <w:rFonts w:ascii="Times New Roman" w:hAnsi="Times New Roman"/>
                <w:b/>
                <w:bCs/>
                <w:sz w:val="20"/>
                <w:u w:val="single"/>
              </w:rPr>
            </w:pPr>
            <w:r w:rsidRPr="00B05B84">
              <w:rPr>
                <w:rFonts w:ascii="Times New Roman" w:hAnsi="Times New Roman"/>
                <w:b/>
                <w:bCs/>
                <w:sz w:val="20"/>
                <w:u w:val="single"/>
              </w:rPr>
              <w:t>2. Étudiant canadien non-résident du Québec (autres)</w:t>
            </w:r>
          </w:p>
        </w:tc>
      </w:tr>
      <w:tr w:rsidR="0099275E" w14:paraId="10510EAD" w14:textId="77777777" w:rsidTr="00DC2B1F">
        <w:tc>
          <w:tcPr>
            <w:tcW w:w="2245" w:type="dxa"/>
            <w:tcBorders>
              <w:top w:val="nil"/>
              <w:bottom w:val="nil"/>
              <w:right w:val="nil"/>
            </w:tcBorders>
          </w:tcPr>
          <w:p w14:paraId="466038EF" w14:textId="082558E6" w:rsidR="0099275E" w:rsidRPr="00B05B84" w:rsidRDefault="00A64968"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1</w:t>
            </w:r>
            <w:r w:rsidRPr="00B05B84">
              <w:rPr>
                <w:rFonts w:ascii="Times New Roman" w:hAnsi="Times New Roman"/>
                <w:sz w:val="20"/>
                <w:vertAlign w:val="superscript"/>
              </w:rPr>
              <w:t>er</w:t>
            </w:r>
            <w:r w:rsidRPr="00B05B84">
              <w:rPr>
                <w:rFonts w:ascii="Times New Roman" w:hAnsi="Times New Roman"/>
                <w:sz w:val="20"/>
              </w:rPr>
              <w:t xml:space="preserve"> cycle</w:t>
            </w:r>
          </w:p>
        </w:tc>
        <w:tc>
          <w:tcPr>
            <w:tcW w:w="1980" w:type="dxa"/>
            <w:tcBorders>
              <w:top w:val="nil"/>
              <w:left w:val="nil"/>
              <w:bottom w:val="nil"/>
              <w:right w:val="nil"/>
            </w:tcBorders>
          </w:tcPr>
          <w:p w14:paraId="747504D5" w14:textId="10ACB13B" w:rsidR="0099275E" w:rsidRPr="00B05B84" w:rsidRDefault="0099275E"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98,91</w:t>
            </w:r>
          </w:p>
        </w:tc>
        <w:tc>
          <w:tcPr>
            <w:tcW w:w="2160" w:type="dxa"/>
            <w:tcBorders>
              <w:top w:val="nil"/>
              <w:left w:val="nil"/>
              <w:bottom w:val="nil"/>
              <w:right w:val="nil"/>
            </w:tcBorders>
          </w:tcPr>
          <w:p w14:paraId="484761AE" w14:textId="1E3C0854" w:rsidR="0099275E" w:rsidRPr="00B05B84" w:rsidRDefault="002F1942"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313,09</w:t>
            </w:r>
          </w:p>
        </w:tc>
        <w:tc>
          <w:tcPr>
            <w:tcW w:w="2967" w:type="dxa"/>
            <w:tcBorders>
              <w:left w:val="nil"/>
              <w:bottom w:val="nil"/>
            </w:tcBorders>
          </w:tcPr>
          <w:p w14:paraId="757B2540" w14:textId="1E69EA48" w:rsidR="0099275E" w:rsidRPr="00B05B84" w:rsidRDefault="00333FF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Illimité</w:t>
            </w:r>
          </w:p>
        </w:tc>
      </w:tr>
      <w:tr w:rsidR="0099275E" w14:paraId="6F41779F" w14:textId="77777777" w:rsidTr="00DC2B1F">
        <w:tc>
          <w:tcPr>
            <w:tcW w:w="2245" w:type="dxa"/>
            <w:tcBorders>
              <w:top w:val="nil"/>
              <w:bottom w:val="nil"/>
              <w:right w:val="nil"/>
            </w:tcBorders>
          </w:tcPr>
          <w:p w14:paraId="52AD497D" w14:textId="6040A13A" w:rsidR="0099275E" w:rsidRPr="00B05B84" w:rsidRDefault="00A64968"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2</w:t>
            </w:r>
            <w:r w:rsidRPr="00B05B84">
              <w:rPr>
                <w:rFonts w:ascii="Times New Roman" w:hAnsi="Times New Roman"/>
                <w:sz w:val="20"/>
                <w:vertAlign w:val="superscript"/>
              </w:rPr>
              <w:t>e</w:t>
            </w:r>
            <w:r w:rsidRPr="00B05B84">
              <w:rPr>
                <w:rFonts w:ascii="Times New Roman" w:hAnsi="Times New Roman"/>
                <w:sz w:val="20"/>
              </w:rPr>
              <w:t xml:space="preserve"> cycle - professionnel</w:t>
            </w:r>
          </w:p>
        </w:tc>
        <w:tc>
          <w:tcPr>
            <w:tcW w:w="1980" w:type="dxa"/>
            <w:tcBorders>
              <w:top w:val="nil"/>
              <w:left w:val="nil"/>
              <w:bottom w:val="nil"/>
              <w:right w:val="nil"/>
            </w:tcBorders>
          </w:tcPr>
          <w:p w14:paraId="5CE9178D" w14:textId="4C17E89E" w:rsidR="0099275E" w:rsidRPr="00B05B84" w:rsidRDefault="0099275E"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98,91</w:t>
            </w:r>
          </w:p>
        </w:tc>
        <w:tc>
          <w:tcPr>
            <w:tcW w:w="2160" w:type="dxa"/>
            <w:tcBorders>
              <w:top w:val="nil"/>
              <w:left w:val="nil"/>
              <w:bottom w:val="nil"/>
              <w:right w:val="nil"/>
            </w:tcBorders>
          </w:tcPr>
          <w:p w14:paraId="75395F93" w14:textId="428DC611" w:rsidR="0099275E" w:rsidRPr="00B05B84" w:rsidRDefault="002F1942"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313,09</w:t>
            </w:r>
          </w:p>
        </w:tc>
        <w:tc>
          <w:tcPr>
            <w:tcW w:w="2967" w:type="dxa"/>
            <w:tcBorders>
              <w:top w:val="nil"/>
              <w:left w:val="nil"/>
              <w:bottom w:val="nil"/>
            </w:tcBorders>
          </w:tcPr>
          <w:p w14:paraId="35148510" w14:textId="269F0F02" w:rsidR="0099275E" w:rsidRPr="00B05B84" w:rsidRDefault="00333FF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Illimité</w:t>
            </w:r>
          </w:p>
        </w:tc>
      </w:tr>
      <w:tr w:rsidR="0099275E" w14:paraId="7F475E69" w14:textId="77777777" w:rsidTr="006B44E9">
        <w:tc>
          <w:tcPr>
            <w:tcW w:w="2245" w:type="dxa"/>
            <w:tcBorders>
              <w:top w:val="nil"/>
              <w:bottom w:val="nil"/>
              <w:right w:val="nil"/>
            </w:tcBorders>
          </w:tcPr>
          <w:p w14:paraId="5288B315" w14:textId="137EBD2D" w:rsidR="0099275E" w:rsidRPr="00B05B84" w:rsidRDefault="00A64968"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2</w:t>
            </w:r>
            <w:r w:rsidRPr="00B05B84">
              <w:rPr>
                <w:rFonts w:ascii="Times New Roman" w:hAnsi="Times New Roman"/>
                <w:sz w:val="20"/>
                <w:vertAlign w:val="superscript"/>
              </w:rPr>
              <w:t>e</w:t>
            </w:r>
            <w:r w:rsidRPr="00B05B84">
              <w:rPr>
                <w:rFonts w:ascii="Times New Roman" w:hAnsi="Times New Roman"/>
                <w:sz w:val="20"/>
              </w:rPr>
              <w:t xml:space="preserve"> cycle </w:t>
            </w:r>
            <w:r w:rsidR="00E40D21" w:rsidRPr="00B05B84">
              <w:rPr>
                <w:rFonts w:ascii="Times New Roman" w:hAnsi="Times New Roman"/>
                <w:sz w:val="20"/>
              </w:rPr>
              <w:t>–</w:t>
            </w:r>
            <w:r w:rsidRPr="00B05B84">
              <w:rPr>
                <w:rFonts w:ascii="Times New Roman" w:hAnsi="Times New Roman"/>
                <w:sz w:val="20"/>
              </w:rPr>
              <w:t xml:space="preserve"> recherche</w:t>
            </w:r>
          </w:p>
        </w:tc>
        <w:tc>
          <w:tcPr>
            <w:tcW w:w="1980" w:type="dxa"/>
            <w:tcBorders>
              <w:top w:val="nil"/>
              <w:left w:val="nil"/>
              <w:bottom w:val="nil"/>
              <w:right w:val="nil"/>
            </w:tcBorders>
          </w:tcPr>
          <w:p w14:paraId="614B1334" w14:textId="4C43DA7A" w:rsidR="0099275E" w:rsidRPr="00B05B84" w:rsidRDefault="0099275E"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98,91</w:t>
            </w:r>
          </w:p>
        </w:tc>
        <w:tc>
          <w:tcPr>
            <w:tcW w:w="2160" w:type="dxa"/>
            <w:tcBorders>
              <w:top w:val="nil"/>
              <w:left w:val="nil"/>
              <w:bottom w:val="nil"/>
              <w:right w:val="nil"/>
            </w:tcBorders>
          </w:tcPr>
          <w:p w14:paraId="182CA548" w14:textId="1F0B1CA1" w:rsidR="0099275E" w:rsidRPr="00B05B84" w:rsidRDefault="001344B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209,81</w:t>
            </w:r>
          </w:p>
        </w:tc>
        <w:tc>
          <w:tcPr>
            <w:tcW w:w="2967" w:type="dxa"/>
            <w:tcBorders>
              <w:top w:val="nil"/>
              <w:left w:val="nil"/>
              <w:bottom w:val="nil"/>
            </w:tcBorders>
          </w:tcPr>
          <w:p w14:paraId="03CD8A82" w14:textId="275C02D3" w:rsidR="0099275E" w:rsidRPr="00B05B84" w:rsidRDefault="00333FF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s.o.</w:t>
            </w:r>
          </w:p>
        </w:tc>
      </w:tr>
      <w:tr w:rsidR="005D0F4B" w14:paraId="4FF1419D" w14:textId="77777777" w:rsidTr="006B44E9">
        <w:tc>
          <w:tcPr>
            <w:tcW w:w="2245" w:type="dxa"/>
            <w:tcBorders>
              <w:top w:val="nil"/>
              <w:right w:val="nil"/>
            </w:tcBorders>
          </w:tcPr>
          <w:p w14:paraId="625ABA41" w14:textId="5986677B" w:rsidR="005D0F4B" w:rsidRPr="00B05B84" w:rsidRDefault="00A64968"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3</w:t>
            </w:r>
            <w:r w:rsidRPr="00B05B84">
              <w:rPr>
                <w:rFonts w:ascii="Times New Roman" w:hAnsi="Times New Roman"/>
                <w:sz w:val="20"/>
                <w:vertAlign w:val="superscript"/>
              </w:rPr>
              <w:t>e</w:t>
            </w:r>
            <w:r w:rsidRPr="00B05B84">
              <w:rPr>
                <w:rFonts w:ascii="Times New Roman" w:hAnsi="Times New Roman"/>
                <w:sz w:val="20"/>
              </w:rPr>
              <w:t xml:space="preserve"> cycle</w:t>
            </w:r>
            <w:r w:rsidR="005E090E" w:rsidRPr="00B05B84">
              <w:rPr>
                <w:rFonts w:ascii="Times New Roman" w:hAnsi="Times New Roman"/>
                <w:sz w:val="20"/>
                <w:vertAlign w:val="superscript"/>
              </w:rPr>
              <w:t>4</w:t>
            </w:r>
          </w:p>
        </w:tc>
        <w:tc>
          <w:tcPr>
            <w:tcW w:w="1980" w:type="dxa"/>
            <w:tcBorders>
              <w:top w:val="nil"/>
              <w:left w:val="nil"/>
              <w:bottom w:val="nil"/>
              <w:right w:val="nil"/>
            </w:tcBorders>
          </w:tcPr>
          <w:p w14:paraId="4DA83DAF" w14:textId="23FF53EE" w:rsidR="005D0F4B" w:rsidRPr="00B05B84" w:rsidRDefault="0023508C"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98,91</w:t>
            </w:r>
          </w:p>
        </w:tc>
        <w:tc>
          <w:tcPr>
            <w:tcW w:w="2160" w:type="dxa"/>
            <w:tcBorders>
              <w:top w:val="nil"/>
              <w:left w:val="nil"/>
              <w:right w:val="nil"/>
            </w:tcBorders>
          </w:tcPr>
          <w:p w14:paraId="4A5335E5" w14:textId="08561087" w:rsidR="005D0F4B" w:rsidRPr="00B05B84" w:rsidRDefault="001344B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209,81</w:t>
            </w:r>
          </w:p>
        </w:tc>
        <w:tc>
          <w:tcPr>
            <w:tcW w:w="2967" w:type="dxa"/>
            <w:tcBorders>
              <w:top w:val="nil"/>
              <w:left w:val="nil"/>
            </w:tcBorders>
          </w:tcPr>
          <w:p w14:paraId="75476B6E" w14:textId="0FE52070" w:rsidR="005D0F4B" w:rsidRPr="00B05B84" w:rsidRDefault="00333FF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s.o.</w:t>
            </w:r>
          </w:p>
        </w:tc>
      </w:tr>
      <w:tr w:rsidR="00741813" w14:paraId="710CD94E" w14:textId="77777777" w:rsidTr="00766B13">
        <w:tc>
          <w:tcPr>
            <w:tcW w:w="9352" w:type="dxa"/>
            <w:gridSpan w:val="4"/>
          </w:tcPr>
          <w:p w14:paraId="79093395" w14:textId="1161E10E" w:rsidR="00741813" w:rsidRPr="00B05B84" w:rsidRDefault="00741813" w:rsidP="005B1883">
            <w:pPr>
              <w:pStyle w:val="Paragraphe"/>
              <w:keepNext/>
              <w:numPr>
                <w:ilvl w:val="0"/>
                <w:numId w:val="0"/>
              </w:numPr>
              <w:spacing w:before="20" w:after="20" w:line="240" w:lineRule="auto"/>
              <w:rPr>
                <w:rFonts w:ascii="Times New Roman" w:hAnsi="Times New Roman"/>
                <w:b/>
                <w:bCs/>
                <w:sz w:val="20"/>
                <w:u w:val="single"/>
              </w:rPr>
            </w:pPr>
            <w:r w:rsidRPr="00B05B84">
              <w:rPr>
                <w:rFonts w:ascii="Times New Roman" w:hAnsi="Times New Roman"/>
                <w:b/>
                <w:bCs/>
                <w:sz w:val="20"/>
                <w:u w:val="single"/>
              </w:rPr>
              <w:t>3. Internationaux</w:t>
            </w:r>
          </w:p>
        </w:tc>
      </w:tr>
      <w:tr w:rsidR="00E20B47" w14:paraId="33199186" w14:textId="77777777" w:rsidTr="00FE643E">
        <w:tc>
          <w:tcPr>
            <w:tcW w:w="2245" w:type="dxa"/>
            <w:tcBorders>
              <w:top w:val="nil"/>
              <w:bottom w:val="nil"/>
              <w:right w:val="nil"/>
            </w:tcBorders>
          </w:tcPr>
          <w:p w14:paraId="6D089E7F" w14:textId="66FB7CF6" w:rsidR="00E20B47" w:rsidRPr="00B05B84" w:rsidRDefault="0078386B"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1</w:t>
            </w:r>
            <w:r w:rsidRPr="00B05B84">
              <w:rPr>
                <w:rFonts w:ascii="Times New Roman" w:hAnsi="Times New Roman"/>
                <w:sz w:val="20"/>
                <w:vertAlign w:val="superscript"/>
              </w:rPr>
              <w:t>er</w:t>
            </w:r>
            <w:r w:rsidRPr="00B05B84">
              <w:rPr>
                <w:rFonts w:ascii="Times New Roman" w:hAnsi="Times New Roman"/>
                <w:sz w:val="20"/>
              </w:rPr>
              <w:t xml:space="preserve"> cycle</w:t>
            </w:r>
          </w:p>
        </w:tc>
        <w:tc>
          <w:tcPr>
            <w:tcW w:w="1980" w:type="dxa"/>
            <w:tcBorders>
              <w:top w:val="nil"/>
              <w:left w:val="nil"/>
              <w:bottom w:val="nil"/>
              <w:right w:val="nil"/>
            </w:tcBorders>
          </w:tcPr>
          <w:p w14:paraId="7EB54F77" w14:textId="15438CBB" w:rsidR="00E20B47" w:rsidRPr="00B05B84" w:rsidRDefault="0023508C"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98,91</w:t>
            </w:r>
          </w:p>
        </w:tc>
        <w:tc>
          <w:tcPr>
            <w:tcW w:w="2160" w:type="dxa"/>
            <w:tcBorders>
              <w:left w:val="nil"/>
              <w:bottom w:val="nil"/>
              <w:right w:val="nil"/>
            </w:tcBorders>
          </w:tcPr>
          <w:p w14:paraId="0CB686A3" w14:textId="45781FAF" w:rsidR="00E20B47" w:rsidRPr="00B05B84" w:rsidRDefault="00D22E68"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608,97</w:t>
            </w:r>
          </w:p>
        </w:tc>
        <w:tc>
          <w:tcPr>
            <w:tcW w:w="2967" w:type="dxa"/>
            <w:tcBorders>
              <w:left w:val="nil"/>
              <w:bottom w:val="nil"/>
              <w:right w:val="single" w:sz="4" w:space="0" w:color="auto"/>
            </w:tcBorders>
          </w:tcPr>
          <w:p w14:paraId="5157DF2D" w14:textId="757B3F19" w:rsidR="00E20B47" w:rsidRPr="00B05B84" w:rsidRDefault="00984E9C"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Illimité</w:t>
            </w:r>
          </w:p>
        </w:tc>
      </w:tr>
      <w:tr w:rsidR="00E20B47" w14:paraId="03B86375" w14:textId="77777777" w:rsidTr="00FE643E">
        <w:tc>
          <w:tcPr>
            <w:tcW w:w="2245" w:type="dxa"/>
            <w:tcBorders>
              <w:top w:val="nil"/>
              <w:bottom w:val="nil"/>
              <w:right w:val="nil"/>
            </w:tcBorders>
          </w:tcPr>
          <w:p w14:paraId="212F1FA6" w14:textId="0C782222" w:rsidR="00E20B47" w:rsidRPr="00B05B84" w:rsidRDefault="0078386B"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2</w:t>
            </w:r>
            <w:r w:rsidRPr="00B05B84">
              <w:rPr>
                <w:rFonts w:ascii="Times New Roman" w:hAnsi="Times New Roman"/>
                <w:sz w:val="20"/>
                <w:vertAlign w:val="superscript"/>
              </w:rPr>
              <w:t>e</w:t>
            </w:r>
            <w:r w:rsidRPr="00B05B84">
              <w:rPr>
                <w:rFonts w:ascii="Times New Roman" w:hAnsi="Times New Roman"/>
                <w:sz w:val="20"/>
              </w:rPr>
              <w:t xml:space="preserve"> cycle - professionnel</w:t>
            </w:r>
          </w:p>
        </w:tc>
        <w:tc>
          <w:tcPr>
            <w:tcW w:w="1980" w:type="dxa"/>
            <w:tcBorders>
              <w:top w:val="nil"/>
              <w:left w:val="nil"/>
              <w:bottom w:val="nil"/>
              <w:right w:val="nil"/>
            </w:tcBorders>
          </w:tcPr>
          <w:p w14:paraId="27DDEDAC" w14:textId="5B7AAF68" w:rsidR="00E20B47" w:rsidRPr="00B05B84" w:rsidRDefault="0023508C"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98,91</w:t>
            </w:r>
          </w:p>
        </w:tc>
        <w:tc>
          <w:tcPr>
            <w:tcW w:w="2160" w:type="dxa"/>
            <w:tcBorders>
              <w:top w:val="nil"/>
              <w:left w:val="nil"/>
              <w:bottom w:val="nil"/>
              <w:right w:val="nil"/>
            </w:tcBorders>
          </w:tcPr>
          <w:p w14:paraId="07F3B0D3" w14:textId="2DF25FF2" w:rsidR="00E20B47" w:rsidRPr="00B05B84" w:rsidRDefault="00D22E68"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608,97</w:t>
            </w:r>
          </w:p>
        </w:tc>
        <w:tc>
          <w:tcPr>
            <w:tcW w:w="2967" w:type="dxa"/>
            <w:tcBorders>
              <w:top w:val="nil"/>
              <w:left w:val="nil"/>
              <w:bottom w:val="nil"/>
              <w:right w:val="single" w:sz="4" w:space="0" w:color="auto"/>
            </w:tcBorders>
          </w:tcPr>
          <w:p w14:paraId="2AD33581" w14:textId="14308D28" w:rsidR="00E20B47" w:rsidRPr="00B05B84" w:rsidRDefault="00984E9C"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Illimité</w:t>
            </w:r>
          </w:p>
        </w:tc>
      </w:tr>
      <w:tr w:rsidR="00E20B47" w14:paraId="5B71833B" w14:textId="77777777" w:rsidTr="00CB2828">
        <w:tc>
          <w:tcPr>
            <w:tcW w:w="2245" w:type="dxa"/>
            <w:tcBorders>
              <w:top w:val="nil"/>
              <w:bottom w:val="nil"/>
              <w:right w:val="nil"/>
            </w:tcBorders>
          </w:tcPr>
          <w:p w14:paraId="542EF7E2" w14:textId="3A74DB24" w:rsidR="00E20B47" w:rsidRPr="00B05B84" w:rsidRDefault="0078386B"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2</w:t>
            </w:r>
            <w:r w:rsidRPr="00B05B84">
              <w:rPr>
                <w:rFonts w:ascii="Times New Roman" w:hAnsi="Times New Roman"/>
                <w:sz w:val="20"/>
                <w:vertAlign w:val="superscript"/>
              </w:rPr>
              <w:t>e</w:t>
            </w:r>
            <w:r w:rsidRPr="00B05B84">
              <w:rPr>
                <w:rFonts w:ascii="Times New Roman" w:hAnsi="Times New Roman"/>
                <w:sz w:val="20"/>
              </w:rPr>
              <w:t xml:space="preserve"> cycle </w:t>
            </w:r>
            <w:r w:rsidR="00E40D21" w:rsidRPr="00B05B84">
              <w:rPr>
                <w:rFonts w:ascii="Times New Roman" w:hAnsi="Times New Roman"/>
                <w:sz w:val="20"/>
              </w:rPr>
              <w:t>–</w:t>
            </w:r>
            <w:r w:rsidRPr="00B05B84">
              <w:rPr>
                <w:rFonts w:ascii="Times New Roman" w:hAnsi="Times New Roman"/>
                <w:sz w:val="20"/>
              </w:rPr>
              <w:t xml:space="preserve"> recherche</w:t>
            </w:r>
          </w:p>
        </w:tc>
        <w:tc>
          <w:tcPr>
            <w:tcW w:w="1980" w:type="dxa"/>
            <w:tcBorders>
              <w:top w:val="nil"/>
              <w:left w:val="nil"/>
              <w:bottom w:val="nil"/>
              <w:right w:val="nil"/>
            </w:tcBorders>
          </w:tcPr>
          <w:p w14:paraId="28E87F15" w14:textId="0CA821F2" w:rsidR="00E20B47" w:rsidRPr="00B05B84" w:rsidRDefault="0023508C"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98,91</w:t>
            </w:r>
          </w:p>
        </w:tc>
        <w:tc>
          <w:tcPr>
            <w:tcW w:w="2160" w:type="dxa"/>
            <w:tcBorders>
              <w:top w:val="nil"/>
              <w:left w:val="nil"/>
              <w:bottom w:val="nil"/>
              <w:right w:val="nil"/>
            </w:tcBorders>
          </w:tcPr>
          <w:p w14:paraId="7A600445" w14:textId="00B2A969" w:rsidR="00E20B47" w:rsidRPr="00B05B84" w:rsidRDefault="00D22E68"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525,84</w:t>
            </w:r>
          </w:p>
        </w:tc>
        <w:tc>
          <w:tcPr>
            <w:tcW w:w="2967" w:type="dxa"/>
            <w:tcBorders>
              <w:top w:val="nil"/>
              <w:left w:val="nil"/>
              <w:bottom w:val="nil"/>
            </w:tcBorders>
          </w:tcPr>
          <w:p w14:paraId="5090BB62" w14:textId="5FF4DD35" w:rsidR="00E20B47" w:rsidRPr="00B05B84" w:rsidRDefault="00A97358"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52,58</w:t>
            </w:r>
          </w:p>
        </w:tc>
      </w:tr>
      <w:tr w:rsidR="00E20B47" w14:paraId="5A3BBC80" w14:textId="77777777" w:rsidTr="00CB2828">
        <w:tc>
          <w:tcPr>
            <w:tcW w:w="2245" w:type="dxa"/>
            <w:tcBorders>
              <w:top w:val="nil"/>
              <w:bottom w:val="single" w:sz="12" w:space="0" w:color="auto"/>
              <w:right w:val="nil"/>
            </w:tcBorders>
          </w:tcPr>
          <w:p w14:paraId="009EB06E" w14:textId="10ED1965" w:rsidR="00E20B47" w:rsidRPr="00B05B84" w:rsidRDefault="0078386B"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3</w:t>
            </w:r>
            <w:r w:rsidRPr="00B05B84">
              <w:rPr>
                <w:rFonts w:ascii="Times New Roman" w:hAnsi="Times New Roman"/>
                <w:sz w:val="20"/>
                <w:vertAlign w:val="superscript"/>
              </w:rPr>
              <w:t>e</w:t>
            </w:r>
            <w:r w:rsidRPr="00B05B84">
              <w:rPr>
                <w:rFonts w:ascii="Times New Roman" w:hAnsi="Times New Roman"/>
                <w:sz w:val="20"/>
              </w:rPr>
              <w:t xml:space="preserve"> cycle</w:t>
            </w:r>
          </w:p>
        </w:tc>
        <w:tc>
          <w:tcPr>
            <w:tcW w:w="1980" w:type="dxa"/>
            <w:tcBorders>
              <w:top w:val="nil"/>
              <w:left w:val="nil"/>
              <w:bottom w:val="single" w:sz="12" w:space="0" w:color="auto"/>
              <w:right w:val="nil"/>
            </w:tcBorders>
          </w:tcPr>
          <w:p w14:paraId="62E32235" w14:textId="292AE961" w:rsidR="00E20B47" w:rsidRPr="00B05B84" w:rsidRDefault="0023508C"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98,91</w:t>
            </w:r>
          </w:p>
        </w:tc>
        <w:tc>
          <w:tcPr>
            <w:tcW w:w="2160" w:type="dxa"/>
            <w:tcBorders>
              <w:top w:val="nil"/>
              <w:left w:val="nil"/>
              <w:bottom w:val="single" w:sz="12" w:space="0" w:color="auto"/>
              <w:right w:val="nil"/>
            </w:tcBorders>
          </w:tcPr>
          <w:p w14:paraId="3EA43893" w14:textId="0C945FDF" w:rsidR="00E20B47" w:rsidRPr="00B05B84" w:rsidRDefault="00333FF3"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462,80</w:t>
            </w:r>
          </w:p>
        </w:tc>
        <w:tc>
          <w:tcPr>
            <w:tcW w:w="2967" w:type="dxa"/>
            <w:tcBorders>
              <w:top w:val="nil"/>
              <w:left w:val="nil"/>
              <w:bottom w:val="single" w:sz="12" w:space="0" w:color="auto"/>
            </w:tcBorders>
          </w:tcPr>
          <w:p w14:paraId="3D1B453B" w14:textId="0234B2FE" w:rsidR="00E20B47" w:rsidRPr="00B05B84" w:rsidRDefault="00A97358" w:rsidP="005B1883">
            <w:pPr>
              <w:pStyle w:val="Paragraphe"/>
              <w:keepNext/>
              <w:numPr>
                <w:ilvl w:val="0"/>
                <w:numId w:val="0"/>
              </w:numPr>
              <w:spacing w:before="20" w:after="20" w:line="240" w:lineRule="auto"/>
              <w:rPr>
                <w:rFonts w:ascii="Times New Roman" w:hAnsi="Times New Roman"/>
                <w:sz w:val="20"/>
              </w:rPr>
            </w:pPr>
            <w:r w:rsidRPr="00B05B84">
              <w:rPr>
                <w:rFonts w:ascii="Times New Roman" w:hAnsi="Times New Roman"/>
                <w:sz w:val="20"/>
              </w:rPr>
              <w:t>46,28</w:t>
            </w:r>
          </w:p>
        </w:tc>
      </w:tr>
      <w:tr w:rsidR="005E090E" w14:paraId="6B8712CB" w14:textId="77777777" w:rsidTr="002B1882">
        <w:tc>
          <w:tcPr>
            <w:tcW w:w="9352" w:type="dxa"/>
            <w:gridSpan w:val="4"/>
          </w:tcPr>
          <w:p w14:paraId="6CDB4CAA" w14:textId="77777777" w:rsidR="005E090E" w:rsidRPr="00B05B84" w:rsidRDefault="005E090E" w:rsidP="005B1883">
            <w:pPr>
              <w:pStyle w:val="Paragraphe"/>
              <w:keepNext/>
              <w:numPr>
                <w:ilvl w:val="0"/>
                <w:numId w:val="0"/>
              </w:numPr>
              <w:spacing w:before="20" w:after="20" w:line="240" w:lineRule="auto"/>
              <w:rPr>
                <w:rFonts w:ascii="Times New Roman" w:hAnsi="Times New Roman"/>
                <w:sz w:val="18"/>
                <w:szCs w:val="18"/>
              </w:rPr>
            </w:pPr>
            <w:r w:rsidRPr="00B05B84">
              <w:rPr>
                <w:rFonts w:ascii="Times New Roman" w:hAnsi="Times New Roman"/>
                <w:sz w:val="18"/>
                <w:szCs w:val="18"/>
                <w:vertAlign w:val="superscript"/>
              </w:rPr>
              <w:t>1</w:t>
            </w:r>
            <w:r w:rsidRPr="00B05B84">
              <w:rPr>
                <w:rFonts w:ascii="Times New Roman" w:hAnsi="Times New Roman"/>
                <w:sz w:val="18"/>
                <w:szCs w:val="18"/>
              </w:rPr>
              <w:t xml:space="preserve"> Conservé par les universités</w:t>
            </w:r>
          </w:p>
          <w:p w14:paraId="34190135" w14:textId="77777777" w:rsidR="005E090E" w:rsidRPr="00B05B84" w:rsidRDefault="005E090E" w:rsidP="005B1883">
            <w:pPr>
              <w:pStyle w:val="Paragraphe"/>
              <w:keepNext/>
              <w:numPr>
                <w:ilvl w:val="0"/>
                <w:numId w:val="0"/>
              </w:numPr>
              <w:spacing w:before="20" w:after="20" w:line="240" w:lineRule="auto"/>
              <w:rPr>
                <w:rFonts w:ascii="Times New Roman" w:hAnsi="Times New Roman"/>
                <w:sz w:val="18"/>
                <w:szCs w:val="18"/>
              </w:rPr>
            </w:pPr>
            <w:r w:rsidRPr="00B05B84">
              <w:rPr>
                <w:rFonts w:ascii="Times New Roman" w:hAnsi="Times New Roman"/>
                <w:sz w:val="18"/>
                <w:szCs w:val="18"/>
                <w:vertAlign w:val="superscript"/>
              </w:rPr>
              <w:t>2</w:t>
            </w:r>
            <w:r w:rsidRPr="00B05B84">
              <w:rPr>
                <w:rFonts w:ascii="Times New Roman" w:hAnsi="Times New Roman"/>
                <w:sz w:val="18"/>
                <w:szCs w:val="18"/>
              </w:rPr>
              <w:t xml:space="preserve"> Récupéré par le Ministère</w:t>
            </w:r>
          </w:p>
          <w:p w14:paraId="3E501403" w14:textId="77777777" w:rsidR="005E090E" w:rsidRPr="00B05B84" w:rsidRDefault="005E090E" w:rsidP="005B1883">
            <w:pPr>
              <w:pStyle w:val="Paragraphe"/>
              <w:keepNext/>
              <w:numPr>
                <w:ilvl w:val="0"/>
                <w:numId w:val="0"/>
              </w:numPr>
              <w:spacing w:before="20" w:after="20" w:line="240" w:lineRule="auto"/>
              <w:rPr>
                <w:rFonts w:ascii="Times New Roman" w:hAnsi="Times New Roman"/>
                <w:sz w:val="18"/>
                <w:szCs w:val="18"/>
              </w:rPr>
            </w:pPr>
            <w:r w:rsidRPr="00B05B84">
              <w:rPr>
                <w:rFonts w:ascii="Times New Roman" w:hAnsi="Times New Roman"/>
                <w:sz w:val="18"/>
                <w:szCs w:val="18"/>
                <w:vertAlign w:val="superscript"/>
              </w:rPr>
              <w:t>3</w:t>
            </w:r>
            <w:r w:rsidRPr="00B05B84">
              <w:rPr>
                <w:rFonts w:ascii="Times New Roman" w:hAnsi="Times New Roman"/>
                <w:sz w:val="18"/>
                <w:szCs w:val="18"/>
              </w:rPr>
              <w:t xml:space="preserve"> Conservé par les universités</w:t>
            </w:r>
          </w:p>
          <w:p w14:paraId="64F0234C" w14:textId="211C950D" w:rsidR="005E090E" w:rsidRPr="00B05B84" w:rsidRDefault="005E090E" w:rsidP="005B1883">
            <w:pPr>
              <w:pStyle w:val="Paragraphe"/>
              <w:keepNext/>
              <w:numPr>
                <w:ilvl w:val="0"/>
                <w:numId w:val="0"/>
              </w:numPr>
              <w:spacing w:before="20" w:after="20" w:line="240" w:lineRule="auto"/>
              <w:rPr>
                <w:rFonts w:ascii="Times New Roman" w:hAnsi="Times New Roman"/>
                <w:sz w:val="18"/>
                <w:szCs w:val="18"/>
              </w:rPr>
            </w:pPr>
            <w:r w:rsidRPr="00B05B84">
              <w:rPr>
                <w:rFonts w:ascii="Times New Roman" w:hAnsi="Times New Roman"/>
                <w:sz w:val="18"/>
                <w:szCs w:val="18"/>
                <w:vertAlign w:val="superscript"/>
              </w:rPr>
              <w:t>4</w:t>
            </w:r>
            <w:r w:rsidRPr="00B05B84">
              <w:rPr>
                <w:rFonts w:ascii="Times New Roman" w:hAnsi="Times New Roman"/>
                <w:sz w:val="18"/>
                <w:szCs w:val="18"/>
              </w:rPr>
              <w:t xml:space="preserve"> Les étudiants CNRQ inscrits dans un programme conduisant à l’obtention d’un grade de doctorat sont exemptés des montants forfaitaires.</w:t>
            </w:r>
          </w:p>
        </w:tc>
      </w:tr>
    </w:tbl>
    <w:p w14:paraId="470E0C49" w14:textId="739CA853" w:rsidR="002C0B59" w:rsidRPr="005F4F7B" w:rsidRDefault="002C0B59" w:rsidP="00192249">
      <w:pPr>
        <w:pStyle w:val="Paragraphe"/>
        <w:tabs>
          <w:tab w:val="clear" w:pos="2204"/>
        </w:tabs>
        <w:spacing w:before="240" w:line="240" w:lineRule="auto"/>
        <w:ind w:left="0"/>
        <w:rPr>
          <w:rFonts w:cs="Arial"/>
        </w:rPr>
      </w:pPr>
      <w:r w:rsidRPr="005F4F7B">
        <w:t xml:space="preserve">De plus, les </w:t>
      </w:r>
      <w:r w:rsidRPr="005F4F7B">
        <w:rPr>
          <w:i/>
          <w:iCs/>
        </w:rPr>
        <w:t>Règles budgétaires et calcul des subventions de fonctionnement aux universités du Québec, année universitaire 2024</w:t>
      </w:r>
      <w:r w:rsidRPr="005F4F7B">
        <w:rPr>
          <w:i/>
          <w:iCs/>
        </w:rPr>
        <w:noBreakHyphen/>
        <w:t>2025</w:t>
      </w:r>
      <w:r w:rsidRPr="005F4F7B">
        <w:rPr>
          <w:rStyle w:val="Appelnotedebasdep"/>
        </w:rPr>
        <w:footnoteReference w:id="40"/>
      </w:r>
      <w:r w:rsidRPr="005F4F7B">
        <w:rPr>
          <w:i/>
          <w:iCs/>
        </w:rPr>
        <w:t xml:space="preserve"> </w:t>
      </w:r>
      <w:r w:rsidRPr="005F4F7B">
        <w:t>adoptées en mai</w:t>
      </w:r>
      <w:r w:rsidR="00876922">
        <w:t> </w:t>
      </w:r>
      <w:r w:rsidRPr="005F4F7B">
        <w:t>2024</w:t>
      </w:r>
      <w:r w:rsidR="00876922">
        <w:t xml:space="preserve"> </w:t>
      </w:r>
      <w:r w:rsidRPr="005F4F7B">
        <w:t xml:space="preserve">modifient d’autres règles portant sur les subventions spécifiques accordées aux universités. Plus précisément, la règle 2.5 intitulée </w:t>
      </w:r>
      <w:r w:rsidR="005F4F7B" w:rsidRPr="005F4F7B">
        <w:rPr>
          <w:i/>
          <w:iCs/>
        </w:rPr>
        <w:t>É</w:t>
      </w:r>
      <w:r w:rsidRPr="005F4F7B">
        <w:rPr>
          <w:i/>
          <w:iCs/>
        </w:rPr>
        <w:t>tudiants canadiens non-résidents du Québec et internationaux</w:t>
      </w:r>
      <w:r w:rsidRPr="005F4F7B">
        <w:t xml:space="preserve"> comporte deux parties : une pour les universités francophones (2.5.1 Appui au recrutement, à l’accueil et à l’intégration des étudiants provenant de l’extérieur du Québec) et l’autre pour les universités anglophones (2.5.2</w:t>
      </w:r>
      <w:r w:rsidR="00001A0F" w:rsidRPr="005F4F7B">
        <w:t> </w:t>
      </w:r>
      <w:r w:rsidRPr="005F4F7B">
        <w:t>Développement des compétences en français des étudiants non québécois).</w:t>
      </w:r>
    </w:p>
    <w:p w14:paraId="2B163B45" w14:textId="2D1C1DF1" w:rsidR="002C0B59" w:rsidRPr="005F4F7B" w:rsidRDefault="002C0B59" w:rsidP="00BE1512">
      <w:pPr>
        <w:pStyle w:val="Paragraphe"/>
        <w:tabs>
          <w:tab w:val="clear" w:pos="2204"/>
        </w:tabs>
        <w:spacing w:line="240" w:lineRule="auto"/>
        <w:ind w:left="0"/>
        <w:rPr>
          <w:rFonts w:cs="Arial"/>
        </w:rPr>
      </w:pPr>
      <w:r w:rsidRPr="005F4F7B">
        <w:t>Afin de les soutenir dans la mise en œuvre de la nouvelle tarification et dans leurs efforts de recrutement d’« un plus grand nombre d’étudiants internationaux francophones et francotropes », les universités francophones reçoivent une allocation annuelle (19 661 073 $ pour l’année universitaire 2024-2025) et des montants temporaires</w:t>
      </w:r>
      <w:r w:rsidRPr="005F4F7B">
        <w:rPr>
          <w:rStyle w:val="Appelnotedebasdep"/>
        </w:rPr>
        <w:footnoteReference w:id="41"/>
      </w:r>
      <w:r w:rsidRPr="005F4F7B">
        <w:t>.</w:t>
      </w:r>
    </w:p>
    <w:p w14:paraId="2D3A4B52" w14:textId="21836FD1" w:rsidR="00363977" w:rsidRDefault="00F12192" w:rsidP="00BE1512">
      <w:pPr>
        <w:pStyle w:val="Paragraphe"/>
        <w:tabs>
          <w:tab w:val="clear" w:pos="2204"/>
        </w:tabs>
        <w:spacing w:line="240" w:lineRule="auto"/>
        <w:ind w:left="0"/>
        <w:rPr>
          <w:rFonts w:cs="Arial"/>
        </w:rPr>
      </w:pPr>
      <w:r w:rsidRPr="005F4F7B">
        <w:t>Une allocation est prévue pour les universités anglophones qui doivent, dès 2024</w:t>
      </w:r>
      <w:r w:rsidRPr="005F4F7B">
        <w:noBreakHyphen/>
        <w:t>2025, « planifier la mise en place de mesures pour soutenir l’acquisition de compétences en français des nouveaux étudiants non québécois » et, à compter de 2025-2026, faire en sorte que « 80% des étudiants non québécois inscrits à un programme de grade de premier cycle offert en anglais devront atteindre le niveau 5 à l’oral selon l’Échelle québécoise des niveaux de compétence en français au terme de leur programme d’études »</w:t>
      </w:r>
      <w:r w:rsidRPr="005F4F7B">
        <w:rPr>
          <w:rStyle w:val="Appelnotedebasdep"/>
        </w:rPr>
        <w:footnoteReference w:id="42"/>
      </w:r>
      <w:r w:rsidRPr="005F4F7B">
        <w:t>.</w:t>
      </w:r>
      <w:r w:rsidR="00363BF4">
        <w:t xml:space="preserve"> </w:t>
      </w:r>
      <w:r w:rsidR="00363977" w:rsidRPr="005F4F7B">
        <w:rPr>
          <w:rFonts w:cs="Arial"/>
        </w:rPr>
        <w:t xml:space="preserve">Il s’agit de la </w:t>
      </w:r>
      <w:r w:rsidR="00363977" w:rsidRPr="005F4F7B">
        <w:rPr>
          <w:rFonts w:cs="Arial"/>
          <w:i/>
          <w:iCs/>
        </w:rPr>
        <w:t xml:space="preserve">Règle d’acquisition de compétences en français </w:t>
      </w:r>
      <w:r w:rsidR="00363977" w:rsidRPr="005F4F7B">
        <w:rPr>
          <w:rFonts w:cs="Arial"/>
        </w:rPr>
        <w:t>contestée par McGill et Concordia.</w:t>
      </w:r>
    </w:p>
    <w:p w14:paraId="2F0D5960" w14:textId="074E1320" w:rsidR="005F4F7B" w:rsidRPr="00DF4EDD" w:rsidRDefault="005F4F7B" w:rsidP="00FD6DCF">
      <w:pPr>
        <w:pStyle w:val="Paragraphe"/>
        <w:numPr>
          <w:ilvl w:val="0"/>
          <w:numId w:val="6"/>
        </w:numPr>
        <w:spacing w:line="240" w:lineRule="auto"/>
        <w:ind w:left="1800"/>
        <w:rPr>
          <w:b/>
        </w:rPr>
      </w:pPr>
      <w:r w:rsidRPr="00DF4EDD">
        <w:rPr>
          <w:b/>
        </w:rPr>
        <w:t>Récapitulatif</w:t>
      </w:r>
    </w:p>
    <w:p w14:paraId="39C0D161" w14:textId="25AF10A7" w:rsidR="005F4F7B" w:rsidRPr="00CE2175" w:rsidRDefault="005F4F7B" w:rsidP="00092C76">
      <w:pPr>
        <w:pStyle w:val="Paragraphe"/>
        <w:tabs>
          <w:tab w:val="clear" w:pos="2204"/>
        </w:tabs>
        <w:spacing w:line="240" w:lineRule="auto"/>
        <w:ind w:left="0"/>
        <w:rPr>
          <w:rFonts w:cs="Arial"/>
        </w:rPr>
      </w:pPr>
      <w:r w:rsidRPr="00CE2175">
        <w:rPr>
          <w:rFonts w:cs="Arial"/>
        </w:rPr>
        <w:t xml:space="preserve">En somme, </w:t>
      </w:r>
      <w:r w:rsidR="004C3E19" w:rsidRPr="00CE2175">
        <w:rPr>
          <w:rFonts w:cs="Arial"/>
        </w:rPr>
        <w:t xml:space="preserve">les </w:t>
      </w:r>
      <w:r w:rsidRPr="00CE2175">
        <w:rPr>
          <w:rFonts w:cs="Arial"/>
        </w:rPr>
        <w:t xml:space="preserve">parties </w:t>
      </w:r>
      <w:r w:rsidR="004C3E19" w:rsidRPr="00CE2175">
        <w:rPr>
          <w:rFonts w:cs="Arial"/>
        </w:rPr>
        <w:t>demanderesses attaquent les règles budgétaires suivantes :</w:t>
      </w:r>
    </w:p>
    <w:p w14:paraId="2144F698" w14:textId="56E2DC65" w:rsidR="005F4F7B" w:rsidRPr="00CE2175" w:rsidRDefault="004F5AC9" w:rsidP="00092C76">
      <w:pPr>
        <w:pStyle w:val="Paragraphe"/>
        <w:numPr>
          <w:ilvl w:val="0"/>
          <w:numId w:val="6"/>
        </w:numPr>
        <w:spacing w:line="240" w:lineRule="auto"/>
        <w:ind w:left="1080"/>
        <w:rPr>
          <w:rFonts w:cs="Arial"/>
        </w:rPr>
      </w:pPr>
      <w:r>
        <w:t>c</w:t>
      </w:r>
      <w:r w:rsidR="005F4F7B" w:rsidRPr="00CE2175">
        <w:t xml:space="preserve">elle </w:t>
      </w:r>
      <w:r w:rsidR="004C3E19" w:rsidRPr="00CE2175">
        <w:t>augmentan</w:t>
      </w:r>
      <w:r w:rsidR="005F4F7B" w:rsidRPr="00CE2175">
        <w:t>t</w:t>
      </w:r>
      <w:r w:rsidR="004C3E19" w:rsidRPr="00CE2175">
        <w:t xml:space="preserve"> </w:t>
      </w:r>
      <w:r w:rsidR="005F4F7B" w:rsidRPr="00CE2175">
        <w:t xml:space="preserve">le </w:t>
      </w:r>
      <w:r w:rsidR="004C3E19" w:rsidRPr="00CE2175">
        <w:t>montant forfaitaire exigé des étudiants CNRQ de 1</w:t>
      </w:r>
      <w:r w:rsidR="004C3E19" w:rsidRPr="00CE2175">
        <w:rPr>
          <w:vertAlign w:val="superscript"/>
        </w:rPr>
        <w:t>er</w:t>
      </w:r>
      <w:r w:rsidR="004C3E19" w:rsidRPr="00CE2175">
        <w:t xml:space="preserve"> cycle et de 2</w:t>
      </w:r>
      <w:r w:rsidR="004C3E19" w:rsidRPr="00CE2175">
        <w:rPr>
          <w:vertAlign w:val="superscript"/>
        </w:rPr>
        <w:t>e</w:t>
      </w:r>
      <w:r w:rsidR="00961DBF">
        <w:t xml:space="preserve"> </w:t>
      </w:r>
      <w:r w:rsidR="004C3E19" w:rsidRPr="00CE2175">
        <w:t>cycle de type professionnel inscrits dans un programme offert en anglais (règle 3.4);</w:t>
      </w:r>
    </w:p>
    <w:p w14:paraId="484EB5E4" w14:textId="78746A94" w:rsidR="005F4F7B" w:rsidRPr="00CE2175" w:rsidRDefault="004F5AC9" w:rsidP="00092C76">
      <w:pPr>
        <w:pStyle w:val="Paragraphe"/>
        <w:numPr>
          <w:ilvl w:val="0"/>
          <w:numId w:val="6"/>
        </w:numPr>
        <w:spacing w:line="240" w:lineRule="auto"/>
        <w:ind w:left="1080"/>
        <w:rPr>
          <w:rFonts w:cs="Arial"/>
        </w:rPr>
      </w:pPr>
      <w:r>
        <w:t>c</w:t>
      </w:r>
      <w:r w:rsidR="005F4F7B" w:rsidRPr="00CE2175">
        <w:t xml:space="preserve">elles visant </w:t>
      </w:r>
      <w:r w:rsidR="004C3E19" w:rsidRPr="00CE2175">
        <w:t xml:space="preserve">la réglementation des étudiants Internationaux de </w:t>
      </w:r>
      <w:r w:rsidR="00AD124B" w:rsidRPr="00CE2175">
        <w:t>1</w:t>
      </w:r>
      <w:r w:rsidR="00AD124B" w:rsidRPr="00CE2175">
        <w:rPr>
          <w:vertAlign w:val="superscript"/>
        </w:rPr>
        <w:t>e</w:t>
      </w:r>
      <w:r w:rsidR="00AD124B">
        <w:rPr>
          <w:vertAlign w:val="superscript"/>
        </w:rPr>
        <w:t>r</w:t>
      </w:r>
      <w:r w:rsidR="00AD124B">
        <w:t xml:space="preserve"> </w:t>
      </w:r>
      <w:r w:rsidR="004C3E19" w:rsidRPr="00CE2175">
        <w:t>cycle et de 2</w:t>
      </w:r>
      <w:r w:rsidR="004C3E19" w:rsidRPr="00CE2175">
        <w:rPr>
          <w:vertAlign w:val="superscript"/>
        </w:rPr>
        <w:t>e</w:t>
      </w:r>
      <w:r w:rsidR="004C3E19" w:rsidRPr="00CE2175">
        <w:t xml:space="preserve"> cycle de type professionnel (règles 3.5 et 3.6);</w:t>
      </w:r>
    </w:p>
    <w:p w14:paraId="5250954F" w14:textId="499E824B" w:rsidR="00004280" w:rsidRPr="00CE2175" w:rsidRDefault="004F5AC9" w:rsidP="00092C76">
      <w:pPr>
        <w:pStyle w:val="Paragraphe"/>
        <w:numPr>
          <w:ilvl w:val="0"/>
          <w:numId w:val="6"/>
        </w:numPr>
        <w:spacing w:line="240" w:lineRule="auto"/>
        <w:ind w:left="1080"/>
        <w:rPr>
          <w:rFonts w:cs="Arial"/>
        </w:rPr>
      </w:pPr>
      <w:r>
        <w:t>c</w:t>
      </w:r>
      <w:r w:rsidR="005F4F7B" w:rsidRPr="00CE2175">
        <w:t xml:space="preserve">elle visant </w:t>
      </w:r>
      <w:r w:rsidR="004C3E19" w:rsidRPr="00CE2175">
        <w:t xml:space="preserve">l’acquisition de compétences en français </w:t>
      </w:r>
      <w:r w:rsidR="00364027" w:rsidRPr="00CE2175">
        <w:t>par 80</w:t>
      </w:r>
      <w:r w:rsidR="00183D2B">
        <w:t> </w:t>
      </w:r>
      <w:r w:rsidR="00364027" w:rsidRPr="00CE2175">
        <w:t>% d’</w:t>
      </w:r>
      <w:r w:rsidR="004C3E19" w:rsidRPr="00CE2175">
        <w:t>étudiants non québécois de 1</w:t>
      </w:r>
      <w:r w:rsidR="004C3E19" w:rsidRPr="00CE2175">
        <w:rPr>
          <w:vertAlign w:val="superscript"/>
        </w:rPr>
        <w:t>er</w:t>
      </w:r>
      <w:r w:rsidR="004C3E19" w:rsidRPr="00CE2175">
        <w:t xml:space="preserve"> cycle inscrits dans les universités</w:t>
      </w:r>
      <w:r w:rsidR="00183D2B">
        <w:t xml:space="preserve"> </w:t>
      </w:r>
      <w:r w:rsidR="004C3E19" w:rsidRPr="00CE2175">
        <w:t>anglophones</w:t>
      </w:r>
      <w:r w:rsidR="005F4F7B" w:rsidRPr="00CE2175">
        <w:t xml:space="preserve"> (règle 2.5.2 de la Règle d’acquisition de compétences en français)</w:t>
      </w:r>
      <w:r w:rsidR="004C3E19" w:rsidRPr="00CE2175">
        <w:t>.</w:t>
      </w:r>
    </w:p>
    <w:p w14:paraId="1972E2E0" w14:textId="7FB7BE57" w:rsidR="00FE04A0" w:rsidRDefault="00FE04A0" w:rsidP="00092C76">
      <w:pPr>
        <w:pStyle w:val="Paragraphe"/>
        <w:tabs>
          <w:tab w:val="clear" w:pos="2204"/>
        </w:tabs>
        <w:spacing w:line="240" w:lineRule="auto"/>
        <w:ind w:left="0"/>
        <w:rPr>
          <w:rFonts w:cs="Arial"/>
        </w:rPr>
      </w:pPr>
      <w:r>
        <w:rPr>
          <w:rFonts w:cs="Arial"/>
        </w:rPr>
        <w:t>Ce bref résumé suffit pour amorcer l’analyse des arguments des parties.</w:t>
      </w:r>
    </w:p>
    <w:p w14:paraId="2B975399" w14:textId="1E3B3C6E" w:rsidR="00E1699B" w:rsidRPr="00E1699B" w:rsidRDefault="00E1699B" w:rsidP="00961DBF">
      <w:pPr>
        <w:pStyle w:val="Paragraphe"/>
        <w:keepNext/>
        <w:numPr>
          <w:ilvl w:val="0"/>
          <w:numId w:val="0"/>
        </w:numPr>
        <w:spacing w:line="240" w:lineRule="auto"/>
        <w:rPr>
          <w:rFonts w:cs="Arial"/>
          <w:b/>
          <w:bCs/>
        </w:rPr>
      </w:pPr>
      <w:r>
        <w:rPr>
          <w:rFonts w:cs="Arial"/>
          <w:b/>
          <w:bCs/>
        </w:rPr>
        <w:t>LES ARGUMENTS DE DROIT ADMINISTRATIF</w:t>
      </w:r>
    </w:p>
    <w:p w14:paraId="0550D117" w14:textId="4A15278C" w:rsidR="00AE6FE7" w:rsidRPr="006A3C93" w:rsidRDefault="00AE6FE7" w:rsidP="00F650BA">
      <w:pPr>
        <w:pStyle w:val="Paragraphe"/>
        <w:keepNext/>
        <w:numPr>
          <w:ilvl w:val="0"/>
          <w:numId w:val="0"/>
        </w:numPr>
        <w:spacing w:line="240" w:lineRule="auto"/>
        <w:ind w:left="720"/>
        <w:rPr>
          <w:sz w:val="20"/>
          <w:u w:val="single"/>
        </w:rPr>
      </w:pPr>
      <w:bookmarkStart w:id="34" w:name="_Hlk190762546"/>
      <w:r w:rsidRPr="00DF4EDD">
        <w:rPr>
          <w:sz w:val="20"/>
          <w:u w:val="single"/>
        </w:rPr>
        <w:t>LA QUALIFICATION DES RÈGLES BUDGÉTAIRES ET DE</w:t>
      </w:r>
      <w:r w:rsidR="00115709" w:rsidRPr="00DF4EDD">
        <w:rPr>
          <w:sz w:val="20"/>
          <w:u w:val="single"/>
        </w:rPr>
        <w:t xml:space="preserve"> LA</w:t>
      </w:r>
      <w:r w:rsidRPr="00DF4EDD">
        <w:rPr>
          <w:sz w:val="20"/>
          <w:u w:val="single"/>
        </w:rPr>
        <w:t xml:space="preserve"> RÈGLE D</w:t>
      </w:r>
      <w:r w:rsidR="00115709" w:rsidRPr="00DF4EDD">
        <w:rPr>
          <w:sz w:val="20"/>
          <w:u w:val="single"/>
        </w:rPr>
        <w:t xml:space="preserve">’ACQUISITION DE </w:t>
      </w:r>
      <w:r w:rsidR="00115709" w:rsidRPr="00AD064F">
        <w:rPr>
          <w:rFonts w:cs="Arial"/>
          <w:sz w:val="20"/>
          <w:u w:val="single"/>
        </w:rPr>
        <w:t>COMPÉ</w:t>
      </w:r>
      <w:r w:rsidR="0022438F">
        <w:rPr>
          <w:rFonts w:cs="Arial"/>
          <w:sz w:val="20"/>
          <w:u w:val="single"/>
        </w:rPr>
        <w:t>T</w:t>
      </w:r>
      <w:r w:rsidR="00115709" w:rsidRPr="00AD064F">
        <w:rPr>
          <w:rFonts w:cs="Arial"/>
          <w:sz w:val="20"/>
          <w:u w:val="single"/>
        </w:rPr>
        <w:t>ENCES</w:t>
      </w:r>
      <w:r w:rsidR="00115709" w:rsidRPr="00DF4EDD">
        <w:rPr>
          <w:sz w:val="20"/>
          <w:u w:val="single"/>
        </w:rPr>
        <w:t xml:space="preserve"> </w:t>
      </w:r>
      <w:r w:rsidRPr="00DF4EDD">
        <w:rPr>
          <w:sz w:val="20"/>
          <w:u w:val="single"/>
        </w:rPr>
        <w:t>E</w:t>
      </w:r>
      <w:r w:rsidR="00115709" w:rsidRPr="00DF4EDD">
        <w:rPr>
          <w:sz w:val="20"/>
          <w:u w:val="single"/>
        </w:rPr>
        <w:t>N</w:t>
      </w:r>
      <w:r w:rsidRPr="00DF4EDD">
        <w:rPr>
          <w:sz w:val="20"/>
          <w:u w:val="single"/>
        </w:rPr>
        <w:t xml:space="preserve"> </w:t>
      </w:r>
      <w:r w:rsidRPr="00AD064F">
        <w:rPr>
          <w:rFonts w:cs="Arial"/>
          <w:sz w:val="20"/>
          <w:u w:val="single"/>
        </w:rPr>
        <w:t>FRAN</w:t>
      </w:r>
      <w:r w:rsidR="0022438F">
        <w:rPr>
          <w:rFonts w:cs="Arial"/>
          <w:sz w:val="20"/>
          <w:u w:val="single"/>
        </w:rPr>
        <w:t>Ç</w:t>
      </w:r>
      <w:r w:rsidR="00115709" w:rsidRPr="00AD064F">
        <w:rPr>
          <w:rFonts w:cs="Arial"/>
          <w:sz w:val="20"/>
          <w:u w:val="single"/>
        </w:rPr>
        <w:t>AIS</w:t>
      </w:r>
    </w:p>
    <w:bookmarkEnd w:id="34"/>
    <w:p w14:paraId="492002BE" w14:textId="5419913A" w:rsidR="00CE2175" w:rsidRDefault="00972783" w:rsidP="00961DBF">
      <w:pPr>
        <w:pStyle w:val="Paragraphe"/>
        <w:keepNext/>
        <w:tabs>
          <w:tab w:val="clear" w:pos="2204"/>
        </w:tabs>
        <w:spacing w:line="240" w:lineRule="auto"/>
        <w:ind w:left="0"/>
        <w:rPr>
          <w:rFonts w:cs="Arial"/>
        </w:rPr>
      </w:pPr>
      <w:r w:rsidRPr="00CE2175">
        <w:rPr>
          <w:rFonts w:cs="Arial"/>
        </w:rPr>
        <w:t xml:space="preserve">Le point de départ de l’analyse des questions en litige consiste à qualifier les mesures </w:t>
      </w:r>
      <w:r w:rsidR="00035051" w:rsidRPr="00CE2175">
        <w:rPr>
          <w:rFonts w:cs="Arial"/>
        </w:rPr>
        <w:t>attaquées</w:t>
      </w:r>
      <w:r w:rsidRPr="00CE2175">
        <w:rPr>
          <w:rFonts w:cs="Arial"/>
        </w:rPr>
        <w:t>.</w:t>
      </w:r>
      <w:r w:rsidR="00CE2175" w:rsidRPr="00CE2175">
        <w:rPr>
          <w:rFonts w:cs="Arial"/>
        </w:rPr>
        <w:t xml:space="preserve"> Or, </w:t>
      </w:r>
      <w:r w:rsidR="00CE2175">
        <w:rPr>
          <w:rFonts w:cs="Arial"/>
        </w:rPr>
        <w:t>l</w:t>
      </w:r>
      <w:r w:rsidRPr="00CE2175">
        <w:rPr>
          <w:rFonts w:cs="Arial"/>
        </w:rPr>
        <w:t xml:space="preserve">es parties </w:t>
      </w:r>
      <w:r w:rsidR="00CE2175">
        <w:rPr>
          <w:rFonts w:cs="Arial"/>
        </w:rPr>
        <w:t xml:space="preserve">les </w:t>
      </w:r>
      <w:r w:rsidR="00BD421A" w:rsidRPr="00CE2175">
        <w:rPr>
          <w:rFonts w:cs="Arial"/>
        </w:rPr>
        <w:t>envisag</w:t>
      </w:r>
      <w:r w:rsidRPr="00CE2175">
        <w:rPr>
          <w:rFonts w:cs="Arial"/>
        </w:rPr>
        <w:t>ent différemment</w:t>
      </w:r>
      <w:r w:rsidR="00CE2175">
        <w:rPr>
          <w:rFonts w:cs="Arial"/>
        </w:rPr>
        <w:t>.</w:t>
      </w:r>
    </w:p>
    <w:p w14:paraId="171EFC91" w14:textId="7C6E4D8C" w:rsidR="0078196B" w:rsidRPr="00CE2175" w:rsidRDefault="00923DD2" w:rsidP="003B3A72">
      <w:pPr>
        <w:pStyle w:val="Paragraphe"/>
        <w:tabs>
          <w:tab w:val="clear" w:pos="2204"/>
        </w:tabs>
        <w:spacing w:line="240" w:lineRule="auto"/>
        <w:ind w:left="0"/>
        <w:rPr>
          <w:rFonts w:cs="Arial"/>
        </w:rPr>
      </w:pPr>
      <w:r w:rsidRPr="00CE2175">
        <w:rPr>
          <w:rFonts w:cs="Arial"/>
        </w:rPr>
        <w:t>Interrogée</w:t>
      </w:r>
      <w:r w:rsidR="00CE2175" w:rsidRPr="00CE2175">
        <w:rPr>
          <w:rFonts w:cs="Arial"/>
        </w:rPr>
        <w:t>s</w:t>
      </w:r>
      <w:r w:rsidRPr="00CE2175">
        <w:rPr>
          <w:rFonts w:cs="Arial"/>
        </w:rPr>
        <w:t xml:space="preserve"> à cet égard par le Tribunal lors de l’audition des pourvois,</w:t>
      </w:r>
      <w:r w:rsidR="00972783" w:rsidRPr="00CE2175">
        <w:rPr>
          <w:rFonts w:cs="Arial"/>
        </w:rPr>
        <w:t xml:space="preserve"> McGill les classe parmi les actions gouvernementales de type règlementaire</w:t>
      </w:r>
      <w:r w:rsidR="003A7581">
        <w:rPr>
          <w:rStyle w:val="Appelnotedebasdep"/>
          <w:rFonts w:cs="Arial"/>
        </w:rPr>
        <w:footnoteReference w:id="43"/>
      </w:r>
      <w:r w:rsidR="00EE6221" w:rsidRPr="00CE2175">
        <w:rPr>
          <w:rFonts w:cs="Arial"/>
        </w:rPr>
        <w:t xml:space="preserve"> qui ne peuvent se justifier que selon le test de l’arrêt </w:t>
      </w:r>
      <w:r w:rsidR="00EE6221" w:rsidRPr="00CE2175">
        <w:rPr>
          <w:rFonts w:cs="Arial"/>
          <w:i/>
          <w:iCs/>
        </w:rPr>
        <w:t>Oakes</w:t>
      </w:r>
      <w:r w:rsidR="00EE6221" w:rsidRPr="00EE6221">
        <w:rPr>
          <w:rStyle w:val="Appelnotedebasdep"/>
          <w:rFonts w:cs="Arial"/>
        </w:rPr>
        <w:footnoteReference w:id="44"/>
      </w:r>
      <w:r w:rsidR="00972783" w:rsidRPr="00CE2175">
        <w:rPr>
          <w:rFonts w:cs="Arial"/>
        </w:rPr>
        <w:t xml:space="preserve"> alors que Concordia les aborde comme le résultat d’une </w:t>
      </w:r>
      <w:r w:rsidR="00972783" w:rsidRPr="00CE2175">
        <w:rPr>
          <w:rFonts w:cs="Arial"/>
          <w:i/>
          <w:iCs/>
        </w:rPr>
        <w:t>décision</w:t>
      </w:r>
      <w:r w:rsidR="007C1872" w:rsidRPr="00CE2175">
        <w:rPr>
          <w:rFonts w:cs="Arial"/>
          <w:i/>
          <w:iCs/>
        </w:rPr>
        <w:t xml:space="preserve"> administrative</w:t>
      </w:r>
      <w:r w:rsidR="00972783" w:rsidRPr="00CE2175">
        <w:rPr>
          <w:rFonts w:cs="Arial"/>
        </w:rPr>
        <w:t xml:space="preserve"> de la Ministre</w:t>
      </w:r>
      <w:r w:rsidR="003A7581">
        <w:rPr>
          <w:rStyle w:val="Appelnotedebasdep"/>
          <w:rFonts w:cs="Arial"/>
        </w:rPr>
        <w:footnoteReference w:id="45"/>
      </w:r>
      <w:r w:rsidR="0009217F" w:rsidRPr="00CE2175">
        <w:rPr>
          <w:rFonts w:cs="Arial"/>
        </w:rPr>
        <w:t xml:space="preserve"> soumise au </w:t>
      </w:r>
      <w:r w:rsidR="00363BF4">
        <w:rPr>
          <w:rFonts w:cs="Arial"/>
        </w:rPr>
        <w:t>principe qui se dégage</w:t>
      </w:r>
      <w:r w:rsidR="0009217F" w:rsidRPr="00CE2175">
        <w:rPr>
          <w:rFonts w:cs="Arial"/>
        </w:rPr>
        <w:t xml:space="preserve"> de l’arrêt </w:t>
      </w:r>
      <w:r w:rsidR="00F61AD6" w:rsidRPr="00CE2175">
        <w:rPr>
          <w:rFonts w:cs="Arial"/>
          <w:i/>
          <w:iCs/>
        </w:rPr>
        <w:t>CSFTNO</w:t>
      </w:r>
      <w:r w:rsidR="004443F4" w:rsidRPr="008B1225">
        <w:rPr>
          <w:rStyle w:val="Appelnotedebasdep"/>
          <w:rFonts w:cs="Arial"/>
        </w:rPr>
        <w:footnoteReference w:id="46"/>
      </w:r>
      <w:r w:rsidR="00972783" w:rsidRPr="00CE2175">
        <w:rPr>
          <w:rFonts w:cs="Arial"/>
        </w:rPr>
        <w:t xml:space="preserve">. </w:t>
      </w:r>
      <w:r w:rsidRPr="00CE2175">
        <w:rPr>
          <w:rFonts w:cs="Arial"/>
        </w:rPr>
        <w:t xml:space="preserve">Le PGQ, pour sa part, </w:t>
      </w:r>
      <w:r w:rsidR="00CE2175">
        <w:rPr>
          <w:rFonts w:cs="Arial"/>
        </w:rPr>
        <w:t xml:space="preserve">les qualifie de </w:t>
      </w:r>
      <w:r w:rsidR="00CE2175" w:rsidRPr="00CE2175">
        <w:rPr>
          <w:rFonts w:cs="Arial"/>
          <w:i/>
          <w:iCs/>
        </w:rPr>
        <w:t>directives</w:t>
      </w:r>
      <w:r w:rsidR="00CE2175">
        <w:rPr>
          <w:rFonts w:cs="Arial"/>
        </w:rPr>
        <w:t xml:space="preserve"> et </w:t>
      </w:r>
      <w:r w:rsidRPr="00CE2175">
        <w:rPr>
          <w:rFonts w:cs="Arial"/>
        </w:rPr>
        <w:t>réf</w:t>
      </w:r>
      <w:r w:rsidR="00EE6221" w:rsidRPr="00CE2175">
        <w:rPr>
          <w:rFonts w:cs="Arial"/>
        </w:rPr>
        <w:t>è</w:t>
      </w:r>
      <w:r w:rsidRPr="00CE2175">
        <w:rPr>
          <w:rFonts w:cs="Arial"/>
        </w:rPr>
        <w:t>r</w:t>
      </w:r>
      <w:r w:rsidR="00EE6221" w:rsidRPr="00CE2175">
        <w:rPr>
          <w:rFonts w:cs="Arial"/>
        </w:rPr>
        <w:t>e</w:t>
      </w:r>
      <w:r w:rsidRPr="00CE2175">
        <w:rPr>
          <w:rFonts w:cs="Arial"/>
        </w:rPr>
        <w:t xml:space="preserve"> le Tribunal à l’arrêt </w:t>
      </w:r>
      <w:r w:rsidRPr="00CE2175">
        <w:rPr>
          <w:rFonts w:cs="Arial"/>
          <w:i/>
          <w:iCs/>
        </w:rPr>
        <w:t>Ruel</w:t>
      </w:r>
      <w:r w:rsidRPr="0078196B">
        <w:rPr>
          <w:rStyle w:val="Appelnotedebasdep"/>
          <w:rFonts w:cs="Arial"/>
        </w:rPr>
        <w:footnoteReference w:id="47"/>
      </w:r>
      <w:r w:rsidR="003A7581" w:rsidRPr="00CE2175">
        <w:rPr>
          <w:rFonts w:cs="Arial"/>
        </w:rPr>
        <w:t xml:space="preserve">. Dans cette affaire, </w:t>
      </w:r>
      <w:r w:rsidRPr="00CE2175">
        <w:rPr>
          <w:rFonts w:cs="Arial"/>
        </w:rPr>
        <w:t xml:space="preserve">un étudiant de </w:t>
      </w:r>
      <w:r w:rsidR="00EE6221" w:rsidRPr="00CE2175">
        <w:rPr>
          <w:rFonts w:cs="Arial"/>
        </w:rPr>
        <w:t>l’</w:t>
      </w:r>
      <w:r w:rsidR="00363BF4">
        <w:rPr>
          <w:rFonts w:cs="Arial"/>
        </w:rPr>
        <w:t>U</w:t>
      </w:r>
      <w:r w:rsidR="00EE6221" w:rsidRPr="00CE2175">
        <w:rPr>
          <w:rFonts w:cs="Arial"/>
        </w:rPr>
        <w:t xml:space="preserve">niversité </w:t>
      </w:r>
      <w:r w:rsidRPr="00CE2175">
        <w:rPr>
          <w:rFonts w:cs="Arial"/>
        </w:rPr>
        <w:t xml:space="preserve">McGill résidant en Colombie-Britannique attaquait </w:t>
      </w:r>
      <w:r w:rsidR="00BD421A" w:rsidRPr="00CE2175">
        <w:rPr>
          <w:rFonts w:cs="Arial"/>
        </w:rPr>
        <w:t>l</w:t>
      </w:r>
      <w:r w:rsidRPr="00CE2175">
        <w:rPr>
          <w:rFonts w:cs="Arial"/>
        </w:rPr>
        <w:t xml:space="preserve">es règles budgétaires </w:t>
      </w:r>
      <w:r w:rsidRPr="00CE2175">
        <w:rPr>
          <w:rFonts w:cs="Arial"/>
          <w:color w:val="000016"/>
          <w:spacing w:val="2"/>
          <w:shd w:val="clear" w:color="auto" w:fill="FFFFFF"/>
        </w:rPr>
        <w:t xml:space="preserve">en vigueur pour </w:t>
      </w:r>
      <w:r w:rsidR="001C74FC" w:rsidRPr="00CE2175">
        <w:rPr>
          <w:rFonts w:cs="Arial"/>
          <w:color w:val="000016"/>
          <w:spacing w:val="2"/>
          <w:shd w:val="clear" w:color="auto" w:fill="FFFFFF"/>
        </w:rPr>
        <w:t>l’année universitaire 1997-1998</w:t>
      </w:r>
      <w:r w:rsidR="0078196B" w:rsidRPr="00CE2175">
        <w:rPr>
          <w:rFonts w:cs="Arial"/>
          <w:color w:val="000016"/>
          <w:spacing w:val="2"/>
          <w:shd w:val="clear" w:color="auto" w:fill="FFFFFF"/>
        </w:rPr>
        <w:t>, celles-là même</w:t>
      </w:r>
      <w:r w:rsidR="0022438F">
        <w:rPr>
          <w:rFonts w:cs="Arial"/>
          <w:color w:val="000016"/>
          <w:spacing w:val="2"/>
          <w:shd w:val="clear" w:color="auto" w:fill="FFFFFF"/>
        </w:rPr>
        <w:t>s</w:t>
      </w:r>
      <w:r w:rsidR="0078196B" w:rsidRPr="00CE2175">
        <w:rPr>
          <w:rFonts w:cs="Arial"/>
          <w:color w:val="000016"/>
          <w:spacing w:val="2"/>
          <w:shd w:val="clear" w:color="auto" w:fill="FFFFFF"/>
        </w:rPr>
        <w:t xml:space="preserve"> </w:t>
      </w:r>
      <w:r w:rsidR="003921BC" w:rsidRPr="00CE2175">
        <w:rPr>
          <w:rFonts w:cs="Arial"/>
          <w:color w:val="000016"/>
          <w:spacing w:val="2"/>
          <w:shd w:val="clear" w:color="auto" w:fill="FFFFFF"/>
        </w:rPr>
        <w:t xml:space="preserve">qui ont </w:t>
      </w:r>
      <w:r w:rsidR="00936AC3" w:rsidRPr="00CE2175">
        <w:rPr>
          <w:rFonts w:cs="Arial"/>
          <w:color w:val="000016"/>
          <w:spacing w:val="2"/>
          <w:shd w:val="clear" w:color="auto" w:fill="FFFFFF"/>
        </w:rPr>
        <w:t>introduit</w:t>
      </w:r>
      <w:r w:rsidR="003921BC" w:rsidRPr="00CE2175">
        <w:rPr>
          <w:rFonts w:cs="Arial"/>
          <w:color w:val="000016"/>
          <w:spacing w:val="2"/>
          <w:shd w:val="clear" w:color="auto" w:fill="FFFFFF"/>
        </w:rPr>
        <w:t xml:space="preserve"> le montant forfaitaire exigé des étudiants CNRQ</w:t>
      </w:r>
      <w:r w:rsidR="001C74FC" w:rsidRPr="00CE2175">
        <w:rPr>
          <w:rFonts w:cs="Arial"/>
          <w:color w:val="000016"/>
          <w:spacing w:val="2"/>
          <w:shd w:val="clear" w:color="auto" w:fill="FFFFFF"/>
        </w:rPr>
        <w:t xml:space="preserve">. Ces règles budgétaires </w:t>
      </w:r>
      <w:r w:rsidRPr="00CE2175">
        <w:rPr>
          <w:rFonts w:cs="Arial"/>
          <w:color w:val="000016"/>
          <w:spacing w:val="2"/>
          <w:shd w:val="clear" w:color="auto" w:fill="FFFFFF"/>
        </w:rPr>
        <w:t xml:space="preserve">avaient pour résultat que McGill exigeait des étudiants </w:t>
      </w:r>
      <w:r w:rsidR="00EE6221" w:rsidRPr="00CE2175">
        <w:rPr>
          <w:rFonts w:cs="Arial"/>
          <w:color w:val="000016"/>
          <w:spacing w:val="2"/>
          <w:shd w:val="clear" w:color="auto" w:fill="FFFFFF"/>
        </w:rPr>
        <w:t>CNRQ</w:t>
      </w:r>
      <w:r w:rsidR="00936AC3" w:rsidRPr="00CE2175">
        <w:rPr>
          <w:rFonts w:cs="Arial"/>
          <w:color w:val="000016"/>
          <w:spacing w:val="2"/>
          <w:shd w:val="clear" w:color="auto" w:fill="FFFFFF"/>
        </w:rPr>
        <w:t xml:space="preserve">, en plus des droits de scolarité, </w:t>
      </w:r>
      <w:r w:rsidRPr="00CE2175">
        <w:rPr>
          <w:rFonts w:cs="Arial"/>
          <w:color w:val="000016"/>
          <w:spacing w:val="2"/>
          <w:shd w:val="clear" w:color="auto" w:fill="FFFFFF"/>
        </w:rPr>
        <w:t>un montant forfaitaire de 40</w:t>
      </w:r>
      <w:r w:rsidR="00065454">
        <w:rPr>
          <w:rFonts w:cs="Arial"/>
          <w:color w:val="000016"/>
          <w:spacing w:val="2"/>
          <w:shd w:val="clear" w:color="auto" w:fill="FFFFFF"/>
        </w:rPr>
        <w:t> </w:t>
      </w:r>
      <w:r w:rsidRPr="00CE2175">
        <w:rPr>
          <w:rFonts w:cs="Arial"/>
          <w:color w:val="000016"/>
          <w:spacing w:val="2"/>
          <w:shd w:val="clear" w:color="auto" w:fill="FFFFFF"/>
        </w:rPr>
        <w:t xml:space="preserve">$ par crédit pour </w:t>
      </w:r>
      <w:r w:rsidR="001C74FC" w:rsidRPr="00CE2175">
        <w:rPr>
          <w:rFonts w:cs="Arial"/>
          <w:color w:val="000016"/>
          <w:spacing w:val="2"/>
          <w:shd w:val="clear" w:color="auto" w:fill="FFFFFF"/>
        </w:rPr>
        <w:t xml:space="preserve">cette </w:t>
      </w:r>
      <w:r w:rsidRPr="00CE2175">
        <w:rPr>
          <w:rFonts w:cs="Arial"/>
          <w:color w:val="000016"/>
          <w:spacing w:val="2"/>
          <w:shd w:val="clear" w:color="auto" w:fill="FFFFFF"/>
        </w:rPr>
        <w:t>année universitaire.</w:t>
      </w:r>
    </w:p>
    <w:p w14:paraId="52C550AE" w14:textId="2DE07616" w:rsidR="007C1872" w:rsidRPr="0078196B" w:rsidRDefault="007C1872" w:rsidP="00092C76">
      <w:pPr>
        <w:pStyle w:val="Paragraphe"/>
        <w:tabs>
          <w:tab w:val="clear" w:pos="2204"/>
        </w:tabs>
        <w:spacing w:line="240" w:lineRule="auto"/>
        <w:ind w:left="0"/>
        <w:rPr>
          <w:rFonts w:cs="Arial"/>
        </w:rPr>
      </w:pPr>
      <w:r w:rsidRPr="0078196B">
        <w:rPr>
          <w:rFonts w:cs="Arial"/>
          <w:color w:val="000016"/>
          <w:spacing w:val="2"/>
          <w:shd w:val="clear" w:color="auto" w:fill="FFFFFF"/>
        </w:rPr>
        <w:t>La Cour d’appel analyse la question de la qualification des règles budgétaires en cause</w:t>
      </w:r>
      <w:r w:rsidR="00BD421A" w:rsidRPr="0078196B">
        <w:rPr>
          <w:rFonts w:cs="Arial"/>
          <w:color w:val="000016"/>
          <w:spacing w:val="2"/>
          <w:shd w:val="clear" w:color="auto" w:fill="FFFFFF"/>
        </w:rPr>
        <w:t xml:space="preserve"> et </w:t>
      </w:r>
      <w:r w:rsidRPr="0078196B">
        <w:rPr>
          <w:rFonts w:cs="Arial"/>
          <w:color w:val="000016"/>
          <w:spacing w:val="2"/>
          <w:shd w:val="clear" w:color="auto" w:fill="FFFFFF"/>
        </w:rPr>
        <w:t>débute par un rappel de ce que les auteurs Issalys et Lemieux enseignent au sujet des éléments constitutifs d’un règlement ou d’un acte réglementaire. Elle écrit :</w:t>
      </w:r>
    </w:p>
    <w:p w14:paraId="27703B51" w14:textId="76C2FEA0" w:rsidR="007C1872" w:rsidRPr="00FB19E1" w:rsidRDefault="007C1872" w:rsidP="00FB19E1">
      <w:pPr>
        <w:pStyle w:val="Citationenretrait"/>
        <w:rPr>
          <w:rFonts w:cs="Arial"/>
          <w:lang w:eastAsia="fr-CA"/>
        </w:rPr>
      </w:pPr>
      <w:r w:rsidRPr="00FB19E1">
        <w:rPr>
          <w:rFonts w:cs="Arial"/>
        </w:rPr>
        <w:t>[53]</w:t>
      </w:r>
      <w:r w:rsidR="00FB19E1" w:rsidRPr="00FB19E1">
        <w:rPr>
          <w:rFonts w:cs="Arial"/>
        </w:rPr>
        <w:tab/>
      </w:r>
      <w:r w:rsidRPr="00FB19E1">
        <w:rPr>
          <w:rFonts w:cs="Arial"/>
        </w:rPr>
        <w:t>MM. Issalys et Lemieux proposent</w:t>
      </w:r>
      <w:r w:rsidR="00B62763">
        <w:rPr>
          <w:rFonts w:cs="Arial"/>
        </w:rPr>
        <w:t> :</w:t>
      </w:r>
    </w:p>
    <w:p w14:paraId="49C13828" w14:textId="21556027" w:rsidR="007C1872" w:rsidRPr="00FB19E1" w:rsidRDefault="007C1872" w:rsidP="00FB19E1">
      <w:pPr>
        <w:pStyle w:val="Citationenretrait"/>
        <w:rPr>
          <w:rFonts w:cs="Arial"/>
          <w:color w:val="000016"/>
          <w:spacing w:val="2"/>
        </w:rPr>
      </w:pPr>
      <w:r w:rsidRPr="00FB19E1">
        <w:rPr>
          <w:rFonts w:cs="Arial"/>
          <w:color w:val="000016"/>
          <w:spacing w:val="2"/>
        </w:rPr>
        <w:t>"Les directives sont des règles de conduite à portée générale, émises en vertu d’une loi ou d’un pouvoir inhérent de gestion et qui ont pour objet d’encadrer l’action des destinataires.</w:t>
      </w:r>
    </w:p>
    <w:p w14:paraId="14944102" w14:textId="3D5083A6" w:rsidR="007C1872" w:rsidRPr="00FB19E1" w:rsidRDefault="007C1872" w:rsidP="00FB19E1">
      <w:pPr>
        <w:pStyle w:val="Citationenretrait"/>
        <w:rPr>
          <w:rFonts w:cs="Arial"/>
          <w:color w:val="000016"/>
          <w:spacing w:val="2"/>
          <w:lang w:eastAsia="fr-CA"/>
        </w:rPr>
      </w:pPr>
      <w:r w:rsidRPr="00FB19E1">
        <w:rPr>
          <w:rFonts w:cs="Arial"/>
          <w:color w:val="000016"/>
          <w:spacing w:val="2"/>
          <w:u w:val="single"/>
          <w:lang w:eastAsia="fr-CA"/>
        </w:rPr>
        <w:t>Les directives seront indicatives ou impératives selon le cas</w:t>
      </w:r>
      <w:r w:rsidRPr="00FB19E1">
        <w:rPr>
          <w:rFonts w:cs="Arial"/>
          <w:color w:val="000016"/>
          <w:spacing w:val="2"/>
          <w:lang w:eastAsia="fr-CA"/>
        </w:rPr>
        <w:t>. Alors que les premières se voudront un simple guide à l’exercice de la discrétion et n’exerceront, de fait, aucune contrainte sur l’organisme ou le fonctionnaire concerné,</w:t>
      </w:r>
      <w:r w:rsidR="00723A05">
        <w:rPr>
          <w:rFonts w:cs="Arial"/>
          <w:color w:val="000016"/>
          <w:spacing w:val="2"/>
          <w:lang w:eastAsia="fr-CA"/>
        </w:rPr>
        <w:t xml:space="preserve"> </w:t>
      </w:r>
      <w:r w:rsidRPr="00FB19E1">
        <w:rPr>
          <w:rFonts w:cs="Arial"/>
          <w:color w:val="000016"/>
          <w:spacing w:val="2"/>
          <w:u w:val="single"/>
          <w:lang w:eastAsia="fr-CA"/>
        </w:rPr>
        <w:t>les secondes constitueront des règles obligatoires qui verront à être observées par leur destinataire sous peine de sanctions administratives</w:t>
      </w:r>
      <w:r w:rsidRPr="00FB19E1">
        <w:rPr>
          <w:rFonts w:cs="Arial"/>
          <w:color w:val="000016"/>
          <w:spacing w:val="2"/>
          <w:lang w:eastAsia="fr-CA"/>
        </w:rPr>
        <w:t>.</w:t>
      </w:r>
    </w:p>
    <w:p w14:paraId="65F08A5A" w14:textId="4B25FF35" w:rsidR="00FB19E1" w:rsidRPr="00FB19E1" w:rsidRDefault="007C1872" w:rsidP="00FB19E1">
      <w:pPr>
        <w:pStyle w:val="Citationenretrait"/>
        <w:rPr>
          <w:rFonts w:cs="Arial"/>
          <w:color w:val="000016"/>
          <w:spacing w:val="2"/>
          <w:szCs w:val="24"/>
          <w:lang w:eastAsia="fr-CA"/>
        </w:rPr>
      </w:pPr>
      <w:r w:rsidRPr="00FB19E1">
        <w:rPr>
          <w:rFonts w:cs="Arial"/>
          <w:color w:val="000016"/>
          <w:spacing w:val="2"/>
          <w:lang w:eastAsia="fr-CA"/>
        </w:rPr>
        <w:t>Ainsi, pourrons-nous définir la directive en tant que : règle de conduite à portée générale, adoptée par une autorité administrative en vertu de son pouvoir de direction ou d’un pouvoir statutaire explicite, dans le but d’encadrer l’action des destinataires et dont l’inobservation rend son destinataire passible</w:t>
      </w:r>
      <w:r w:rsidR="00723A05">
        <w:rPr>
          <w:rFonts w:cs="Arial"/>
          <w:color w:val="000016"/>
          <w:spacing w:val="2"/>
          <w:lang w:eastAsia="fr-CA"/>
        </w:rPr>
        <w:t xml:space="preserve"> </w:t>
      </w:r>
      <w:r w:rsidRPr="00FB19E1">
        <w:rPr>
          <w:rFonts w:cs="Arial"/>
          <w:color w:val="000016"/>
          <w:spacing w:val="2"/>
          <w:u w:val="single"/>
          <w:lang w:eastAsia="fr-CA"/>
        </w:rPr>
        <w:t>de sanction administrative</w:t>
      </w:r>
      <w:r w:rsidRPr="00FB19E1">
        <w:rPr>
          <w:rFonts w:cs="Arial"/>
          <w:color w:val="000016"/>
          <w:spacing w:val="2"/>
          <w:lang w:eastAsia="fr-CA"/>
        </w:rPr>
        <w:t>, sans comporter de droits ou d’obligations pour les tiers, bien qu’elle puisse exceptionnellement faire l’objet d’un contrôle judiciaire.</w:t>
      </w:r>
    </w:p>
    <w:p w14:paraId="75EBBC90" w14:textId="6125E7A7" w:rsidR="00972783" w:rsidRPr="00FB19E1" w:rsidRDefault="00FB19E1" w:rsidP="00FB19E1">
      <w:pPr>
        <w:pStyle w:val="Citationenretrait"/>
        <w:tabs>
          <w:tab w:val="right" w:pos="8640"/>
        </w:tabs>
        <w:rPr>
          <w:rFonts w:cs="Arial"/>
          <w:color w:val="000016"/>
          <w:spacing w:val="2"/>
          <w:szCs w:val="24"/>
          <w:lang w:eastAsia="fr-CA"/>
        </w:rPr>
      </w:pPr>
      <w:r>
        <w:rPr>
          <w:rFonts w:cs="Arial"/>
          <w:color w:val="000016"/>
          <w:spacing w:val="2"/>
          <w:szCs w:val="24"/>
          <w:lang w:eastAsia="fr-CA"/>
        </w:rPr>
        <w:tab/>
      </w:r>
      <w:r w:rsidR="007C1872" w:rsidRPr="00FB19E1">
        <w:rPr>
          <w:rFonts w:cs="Arial"/>
          <w:color w:val="000016"/>
          <w:spacing w:val="2"/>
          <w:szCs w:val="24"/>
          <w:lang w:eastAsia="fr-CA"/>
        </w:rPr>
        <w:t>[</w:t>
      </w:r>
      <w:r w:rsidRPr="00FB19E1">
        <w:rPr>
          <w:rFonts w:cs="Arial"/>
          <w:color w:val="000016"/>
          <w:spacing w:val="2"/>
          <w:szCs w:val="24"/>
          <w:lang w:eastAsia="fr-CA"/>
        </w:rPr>
        <w:t>R</w:t>
      </w:r>
      <w:r w:rsidR="007C1872" w:rsidRPr="00FB19E1">
        <w:rPr>
          <w:rFonts w:cs="Arial"/>
          <w:color w:val="000016"/>
          <w:spacing w:val="2"/>
          <w:szCs w:val="24"/>
          <w:lang w:eastAsia="fr-CA"/>
        </w:rPr>
        <w:t>éférences omises, souligné dans le texte de l’arrêt]</w:t>
      </w:r>
    </w:p>
    <w:p w14:paraId="153C3589" w14:textId="61977837" w:rsidR="007C1872" w:rsidRDefault="007C1872" w:rsidP="00092C76">
      <w:pPr>
        <w:pStyle w:val="Paragraphe"/>
        <w:tabs>
          <w:tab w:val="clear" w:pos="2204"/>
          <w:tab w:val="num" w:pos="0"/>
        </w:tabs>
        <w:spacing w:line="240" w:lineRule="auto"/>
        <w:ind w:left="0"/>
        <w:rPr>
          <w:rFonts w:cs="Arial"/>
        </w:rPr>
      </w:pPr>
      <w:r>
        <w:rPr>
          <w:rFonts w:cs="Arial"/>
        </w:rPr>
        <w:t xml:space="preserve">La Cour d’appel </w:t>
      </w:r>
      <w:r w:rsidR="00363BF4">
        <w:rPr>
          <w:rFonts w:cs="Arial"/>
        </w:rPr>
        <w:t>puise</w:t>
      </w:r>
      <w:r>
        <w:rPr>
          <w:rFonts w:cs="Arial"/>
        </w:rPr>
        <w:t xml:space="preserve"> ensuite </w:t>
      </w:r>
      <w:r w:rsidR="00363BF4">
        <w:rPr>
          <w:rFonts w:cs="Arial"/>
        </w:rPr>
        <w:t>dans</w:t>
      </w:r>
      <w:r w:rsidR="00EE6221">
        <w:rPr>
          <w:rFonts w:cs="Arial"/>
        </w:rPr>
        <w:t xml:space="preserve"> </w:t>
      </w:r>
      <w:r>
        <w:rPr>
          <w:rFonts w:cs="Arial"/>
        </w:rPr>
        <w:t>ses précédents sur le sujet</w:t>
      </w:r>
      <w:r w:rsidR="00396D86">
        <w:rPr>
          <w:rFonts w:cs="Arial"/>
        </w:rPr>
        <w:t>,</w:t>
      </w:r>
      <w:r w:rsidR="00EE6221">
        <w:rPr>
          <w:rFonts w:cs="Arial"/>
        </w:rPr>
        <w:t xml:space="preserve"> </w:t>
      </w:r>
      <w:r>
        <w:rPr>
          <w:rFonts w:cs="Arial"/>
        </w:rPr>
        <w:t>qu’elle applique aux faits de l’espèce en ces termes :</w:t>
      </w:r>
    </w:p>
    <w:p w14:paraId="6ABF4197" w14:textId="42A11BB5" w:rsidR="007C1872" w:rsidRPr="007C1872" w:rsidRDefault="007C1872" w:rsidP="0082023F">
      <w:pPr>
        <w:pStyle w:val="Citationenretrait"/>
        <w:rPr>
          <w:lang w:eastAsia="fr-CA"/>
        </w:rPr>
      </w:pPr>
      <w:r w:rsidRPr="007C1872">
        <w:rPr>
          <w:lang w:eastAsia="fr-CA"/>
        </w:rPr>
        <w:t>[59]</w:t>
      </w:r>
      <w:r w:rsidR="0082023F">
        <w:rPr>
          <w:lang w:eastAsia="fr-CA"/>
        </w:rPr>
        <w:tab/>
      </w:r>
      <w:r w:rsidRPr="007C1872">
        <w:rPr>
          <w:lang w:eastAsia="fr-CA"/>
        </w:rPr>
        <w:t>En l'espèce, l'objet des règles budgétaires est de fixer les conditions et les modalités des subventions de fonctionnement versées aux universités.  La ministre indique la façon et trace les balises en vertu desquelles les sommes mises à sa disposition seront réparties.</w:t>
      </w:r>
    </w:p>
    <w:p w14:paraId="350175A4" w14:textId="1AAFA302" w:rsidR="007C1872" w:rsidRDefault="007C1872" w:rsidP="0082023F">
      <w:pPr>
        <w:pStyle w:val="Citationenretrait"/>
        <w:rPr>
          <w:lang w:eastAsia="fr-CA"/>
        </w:rPr>
      </w:pPr>
      <w:r w:rsidRPr="007C1872">
        <w:rPr>
          <w:lang w:eastAsia="fr-CA"/>
        </w:rPr>
        <w:t>[60]</w:t>
      </w:r>
      <w:r w:rsidR="0082023F">
        <w:rPr>
          <w:lang w:eastAsia="fr-CA"/>
        </w:rPr>
        <w:tab/>
      </w:r>
      <w:r w:rsidRPr="007C1872">
        <w:rPr>
          <w:lang w:eastAsia="fr-CA"/>
        </w:rPr>
        <w:t>Plus particulièrement, l'article 4.2 définit la notion de résident du Québec. Ce critère servira d'élément de calcul de la subvention à être versée en fonction de chaque étudiant. Si l'étudiant n'est pas un résident du Québec, l'université pourra exiger de lui une somme supplémentaire de 40$. L'université demeure toutefois libre d'adopter une tarification différente, puisque la directive de la ministre n'a pas force de loi et ne peut faire l'objet d'une sanction judiciaire.  Les règles budgétaires ne contiennent aucune disposition sanctionnant la conduite de l'université qui refuse de s'y conformer en ce qui a trait aux étudiants canadiens non-résidents du Québec.</w:t>
      </w:r>
      <w:r w:rsidR="006E319F">
        <w:rPr>
          <w:lang w:eastAsia="fr-CA"/>
        </w:rPr>
        <w:t xml:space="preserve"> </w:t>
      </w:r>
      <w:r>
        <w:rPr>
          <w:lang w:eastAsia="fr-CA"/>
        </w:rPr>
        <w:t>(…)</w:t>
      </w:r>
      <w:r w:rsidRPr="007C1872">
        <w:rPr>
          <w:lang w:eastAsia="fr-CA"/>
        </w:rPr>
        <w:t xml:space="preserve"> </w:t>
      </w:r>
    </w:p>
    <w:p w14:paraId="140AF5FD" w14:textId="6C479F93" w:rsidR="007C1872" w:rsidRPr="007C1872" w:rsidRDefault="007C1872" w:rsidP="0082023F">
      <w:pPr>
        <w:pStyle w:val="Citationenretrait"/>
        <w:rPr>
          <w:lang w:eastAsia="fr-CA"/>
        </w:rPr>
      </w:pPr>
      <w:r>
        <w:rPr>
          <w:lang w:eastAsia="fr-CA"/>
        </w:rPr>
        <w:t>[…]</w:t>
      </w:r>
    </w:p>
    <w:p w14:paraId="1F0B84D8" w14:textId="629E83B7" w:rsidR="007C1872" w:rsidRPr="007C1872" w:rsidRDefault="007C1872" w:rsidP="0082023F">
      <w:pPr>
        <w:pStyle w:val="Citationenretrait"/>
        <w:rPr>
          <w:lang w:eastAsia="fr-CA"/>
        </w:rPr>
      </w:pPr>
      <w:r w:rsidRPr="007C1872">
        <w:rPr>
          <w:lang w:eastAsia="fr-CA"/>
        </w:rPr>
        <w:t>[62]</w:t>
      </w:r>
      <w:r w:rsidR="0082023F">
        <w:rPr>
          <w:lang w:eastAsia="fr-CA"/>
        </w:rPr>
        <w:tab/>
      </w:r>
      <w:r w:rsidRPr="007C1872">
        <w:rPr>
          <w:lang w:eastAsia="fr-CA"/>
        </w:rPr>
        <w:t>La véritable nature des règles budgétaires se révèle par l'examen des rapports juridiques entre trois parties</w:t>
      </w:r>
      <w:r w:rsidR="00952076">
        <w:rPr>
          <w:lang w:eastAsia="fr-CA"/>
        </w:rPr>
        <w:t> :</w:t>
      </w:r>
      <w:r w:rsidRPr="007C1872">
        <w:rPr>
          <w:lang w:eastAsia="fr-CA"/>
        </w:rPr>
        <w:t xml:space="preserve"> l'État, l'université et l'étudiant, les deux premiers étant de la plus haute importance.</w:t>
      </w:r>
    </w:p>
    <w:p w14:paraId="17F4202C" w14:textId="50F8A94A" w:rsidR="007C1872" w:rsidRPr="007C1872" w:rsidRDefault="007C1872" w:rsidP="008D1CBE">
      <w:pPr>
        <w:pStyle w:val="Citationenretrait"/>
        <w:rPr>
          <w:lang w:eastAsia="fr-CA"/>
        </w:rPr>
      </w:pPr>
      <w:r w:rsidRPr="007C1872">
        <w:rPr>
          <w:lang w:eastAsia="fr-CA"/>
        </w:rPr>
        <w:t>[63]</w:t>
      </w:r>
      <w:r w:rsidR="0082023F">
        <w:rPr>
          <w:lang w:eastAsia="fr-CA"/>
        </w:rPr>
        <w:tab/>
      </w:r>
      <w:r w:rsidRPr="007C1872">
        <w:rPr>
          <w:lang w:eastAsia="fr-CA"/>
        </w:rPr>
        <w:t>Au strict plan juridique, la ministre de l'Éducation n'a pas de pouvoir de direction sur l'administration financière universitaire. Les universités sont des organismes autonomes.</w:t>
      </w:r>
      <w:r w:rsidR="0082023F">
        <w:rPr>
          <w:lang w:eastAsia="fr-CA"/>
        </w:rPr>
        <w:t xml:space="preserve"> </w:t>
      </w:r>
      <w:r w:rsidRPr="007C1872">
        <w:rPr>
          <w:i/>
          <w:iCs/>
          <w:lang w:eastAsia="fr-CA"/>
        </w:rPr>
        <w:t>La Loi sur les établissements d'enseignement de niveau universitaire</w:t>
      </w:r>
      <w:r w:rsidR="0082023F">
        <w:rPr>
          <w:lang w:eastAsia="fr-CA"/>
        </w:rPr>
        <w:t xml:space="preserve"> </w:t>
      </w:r>
      <w:r w:rsidRPr="007C1872">
        <w:rPr>
          <w:lang w:eastAsia="fr-CA"/>
        </w:rPr>
        <w:t>énumère les universités admissibles au financement gouvernemental. Les universités sont libres d'accepter ou de refuser toute subvention.</w:t>
      </w:r>
    </w:p>
    <w:p w14:paraId="11AADF03" w14:textId="650901A0" w:rsidR="007C1872" w:rsidRPr="007C1872" w:rsidRDefault="007C1872" w:rsidP="008D1CBE">
      <w:pPr>
        <w:pStyle w:val="Citationenretrait"/>
        <w:rPr>
          <w:rFonts w:cs="Arial"/>
          <w:color w:val="000016"/>
          <w:spacing w:val="2"/>
          <w:szCs w:val="22"/>
          <w:lang w:eastAsia="fr-CA"/>
        </w:rPr>
      </w:pPr>
      <w:r w:rsidRPr="007C1872">
        <w:rPr>
          <w:rFonts w:cs="Arial"/>
          <w:color w:val="000016"/>
          <w:spacing w:val="2"/>
          <w:szCs w:val="22"/>
          <w:lang w:eastAsia="fr-CA"/>
        </w:rPr>
        <w:t>[64]</w:t>
      </w:r>
      <w:r w:rsidR="0082023F">
        <w:rPr>
          <w:rFonts w:cs="Arial"/>
          <w:color w:val="000016"/>
          <w:spacing w:val="2"/>
          <w:szCs w:val="22"/>
          <w:lang w:eastAsia="fr-CA"/>
        </w:rPr>
        <w:tab/>
      </w:r>
      <w:r w:rsidRPr="007C1872">
        <w:rPr>
          <w:rFonts w:cs="Arial"/>
          <w:color w:val="000016"/>
          <w:spacing w:val="2"/>
          <w:szCs w:val="22"/>
          <w:lang w:eastAsia="fr-CA"/>
        </w:rPr>
        <w:t>Ces règles budgétaires établissent un rapport juridique, État-université de nature contractuelle par lequel l'État donne les sommes d'argent aux universités. Celles-ci ont préalablement accepté les conditions fixées par la ministre avant le versement de la subvention. La relation juridique repose avant tout sur ce rapport juridique particulier et non sur une disposition législative octroyant au ministre ou à l'État un pouvoir de gérance quelconque.</w:t>
      </w:r>
      <w:r w:rsidR="00BB1487">
        <w:rPr>
          <w:rFonts w:cs="Arial"/>
          <w:color w:val="000016"/>
          <w:spacing w:val="2"/>
          <w:szCs w:val="22"/>
          <w:lang w:eastAsia="fr-CA"/>
        </w:rPr>
        <w:t xml:space="preserve"> (…)</w:t>
      </w:r>
    </w:p>
    <w:p w14:paraId="41A193BA" w14:textId="107614E1" w:rsidR="001C74FC" w:rsidRDefault="007C1872" w:rsidP="00092C76">
      <w:pPr>
        <w:pStyle w:val="Paragraphe"/>
        <w:tabs>
          <w:tab w:val="clear" w:pos="2204"/>
        </w:tabs>
        <w:spacing w:line="240" w:lineRule="auto"/>
        <w:ind w:left="0"/>
        <w:rPr>
          <w:rFonts w:cs="Arial"/>
        </w:rPr>
      </w:pPr>
      <w:r>
        <w:rPr>
          <w:rFonts w:cs="Arial"/>
        </w:rPr>
        <w:t>Elle conclut enfin :</w:t>
      </w:r>
    </w:p>
    <w:p w14:paraId="0FDD97AD" w14:textId="3999BD16" w:rsidR="007C1872" w:rsidRPr="007C1872" w:rsidRDefault="007C1872" w:rsidP="008F15F6">
      <w:pPr>
        <w:pStyle w:val="Citationenretrait"/>
      </w:pPr>
      <w:r w:rsidRPr="007C1872">
        <w:t>[66]</w:t>
      </w:r>
      <w:r w:rsidR="008F15F6">
        <w:tab/>
      </w:r>
      <w:r w:rsidRPr="007C1872">
        <w:t>Cette relation juridique obligée par les réalités financières n'a pas pour effet de la transformer en acte réglementaire qui est, par essence, unilatéral et susceptible de sanction judiciaire. Les règles budgétaires s'apparentent plus à des directives administratives, selon l'acceptation large qu'en donnent les auteurs Issalys et Lemieux.</w:t>
      </w:r>
    </w:p>
    <w:p w14:paraId="43107195" w14:textId="7A6FAF61" w:rsidR="007C1872" w:rsidRPr="007C1872" w:rsidRDefault="007C1872" w:rsidP="008F15F6">
      <w:pPr>
        <w:pStyle w:val="Citationenretrait"/>
      </w:pPr>
      <w:r w:rsidRPr="007C1872">
        <w:t>[67]</w:t>
      </w:r>
      <w:r w:rsidR="008F15F6">
        <w:tab/>
      </w:r>
      <w:r w:rsidRPr="007C1872">
        <w:t>Les règles budgétaires visent directement les rapports État-université. L'étudiant sera touché uniquement par l'exercice d'un choix budgétaire de l'université qui décidera de respecter ou non la directive ministérielle. En ce sens, je crois possible d'affirmer que la relation juridique université-étudiant n'est pas affectée par ces règles budgétaires. Comme je l'examine plus loin, le contrat université-étudiant prévoit d'ailleurs spécifiquement une majoration possible des tarifs universitaires de semestre en semestre.</w:t>
      </w:r>
    </w:p>
    <w:p w14:paraId="68E241A2" w14:textId="1DE7D9C6" w:rsidR="007C1872" w:rsidRPr="007C1872" w:rsidRDefault="007C1872" w:rsidP="008F15F6">
      <w:pPr>
        <w:pStyle w:val="Citationenretrait"/>
      </w:pPr>
      <w:r w:rsidRPr="007C1872">
        <w:t>[68]</w:t>
      </w:r>
      <w:r w:rsidR="008F15F6">
        <w:tab/>
      </w:r>
      <w:r w:rsidRPr="007C1872">
        <w:t>Bref, les règles budgétaires n'ont pas toutes les caractéristiques essentielles à la législation déléguée. Elles s'apparentent beaucoup plus à la notion de directive décrite par la doctrine. Je ne vois pas de motif de rompre avec l'enseignement répété de la Cour sur ce sujet.</w:t>
      </w:r>
    </w:p>
    <w:p w14:paraId="786D71DA" w14:textId="4F849E15" w:rsidR="00436522" w:rsidRPr="00CE2175" w:rsidRDefault="00436522" w:rsidP="00092C76">
      <w:pPr>
        <w:pStyle w:val="Paragraphe"/>
        <w:tabs>
          <w:tab w:val="clear" w:pos="2204"/>
        </w:tabs>
        <w:spacing w:line="240" w:lineRule="auto"/>
        <w:ind w:left="0"/>
        <w:rPr>
          <w:rFonts w:cs="Arial"/>
        </w:rPr>
      </w:pPr>
      <w:r w:rsidRPr="00CE2175">
        <w:rPr>
          <w:rFonts w:cs="Arial"/>
        </w:rPr>
        <w:t xml:space="preserve">Cet arrêt s’applique aux faits de l’espèce et lie le Tribunal. Les Règles budgétaires </w:t>
      </w:r>
      <w:r w:rsidR="00CE2175" w:rsidRPr="00CE2175">
        <w:rPr>
          <w:rFonts w:cs="Arial"/>
        </w:rPr>
        <w:t>constituent donc</w:t>
      </w:r>
      <w:r w:rsidR="00010C27" w:rsidRPr="00CE2175">
        <w:rPr>
          <w:rFonts w:cs="Arial"/>
        </w:rPr>
        <w:t xml:space="preserve"> des </w:t>
      </w:r>
      <w:r w:rsidRPr="00CE2175">
        <w:rPr>
          <w:rFonts w:cs="Arial"/>
          <w:i/>
          <w:iCs/>
        </w:rPr>
        <w:t>directives</w:t>
      </w:r>
      <w:r w:rsidRPr="00CE2175">
        <w:rPr>
          <w:rFonts w:cs="Arial"/>
        </w:rPr>
        <w:t>, au sens qu’en donne le droit administratif.</w:t>
      </w:r>
      <w:r w:rsidR="00CE2175" w:rsidRPr="00CE2175">
        <w:rPr>
          <w:rFonts w:cs="Arial"/>
        </w:rPr>
        <w:t xml:space="preserve"> </w:t>
      </w:r>
      <w:r w:rsidRPr="00CE2175">
        <w:rPr>
          <w:rFonts w:cs="Arial"/>
        </w:rPr>
        <w:t xml:space="preserve">Cela dit, cette qualification ne </w:t>
      </w:r>
      <w:r w:rsidR="002E3B8B" w:rsidRPr="00CE2175">
        <w:rPr>
          <w:rFonts w:cs="Arial"/>
        </w:rPr>
        <w:t>résout</w:t>
      </w:r>
      <w:r w:rsidRPr="00CE2175">
        <w:rPr>
          <w:rFonts w:cs="Arial"/>
        </w:rPr>
        <w:t xml:space="preserve"> pas la question qui sera abordée à la section suivante : </w:t>
      </w:r>
      <w:r w:rsidR="00E60F62" w:rsidRPr="00CE2175">
        <w:rPr>
          <w:rFonts w:cs="Arial"/>
        </w:rPr>
        <w:t>quel</w:t>
      </w:r>
      <w:r w:rsidR="00396D86" w:rsidRPr="00CE2175">
        <w:rPr>
          <w:rFonts w:cs="Arial"/>
        </w:rPr>
        <w:t>le norme convient-il d’</w:t>
      </w:r>
      <w:r w:rsidR="00E60F62" w:rsidRPr="00CE2175">
        <w:rPr>
          <w:rFonts w:cs="Arial"/>
        </w:rPr>
        <w:t xml:space="preserve">appliquer </w:t>
      </w:r>
      <w:r w:rsidR="00396D86" w:rsidRPr="00CE2175">
        <w:rPr>
          <w:rFonts w:cs="Arial"/>
        </w:rPr>
        <w:t xml:space="preserve">à la décision de la Ministre et </w:t>
      </w:r>
      <w:r w:rsidR="00E60F62" w:rsidRPr="00CE2175">
        <w:rPr>
          <w:rFonts w:cs="Arial"/>
        </w:rPr>
        <w:t xml:space="preserve">aux </w:t>
      </w:r>
      <w:r w:rsidRPr="00CE2175">
        <w:rPr>
          <w:rFonts w:cs="Arial"/>
        </w:rPr>
        <w:t xml:space="preserve">Règles </w:t>
      </w:r>
      <w:r w:rsidR="00010C27" w:rsidRPr="00CE2175">
        <w:rPr>
          <w:rFonts w:cs="Arial"/>
        </w:rPr>
        <w:t>contestées</w:t>
      </w:r>
      <w:r w:rsidRPr="00CE2175">
        <w:rPr>
          <w:rFonts w:cs="Arial"/>
        </w:rPr>
        <w:t xml:space="preserve"> alors qu’il s’agit d’en contrôler la légalité?</w:t>
      </w:r>
    </w:p>
    <w:p w14:paraId="242E0F00" w14:textId="320B551A" w:rsidR="00E12CFF" w:rsidRPr="00DF4EDD" w:rsidRDefault="00363BF4" w:rsidP="00D404C5">
      <w:pPr>
        <w:pStyle w:val="Paragraphe"/>
        <w:keepNext/>
        <w:numPr>
          <w:ilvl w:val="0"/>
          <w:numId w:val="0"/>
        </w:numPr>
        <w:spacing w:line="240" w:lineRule="auto"/>
        <w:ind w:firstLine="720"/>
        <w:rPr>
          <w:sz w:val="20"/>
          <w:u w:val="single"/>
        </w:rPr>
      </w:pPr>
      <w:r w:rsidRPr="00AD064F">
        <w:rPr>
          <w:rFonts w:cs="Arial"/>
          <w:sz w:val="20"/>
          <w:u w:val="single"/>
        </w:rPr>
        <w:t xml:space="preserve">COMMENT DÉTERMINER </w:t>
      </w:r>
      <w:r w:rsidR="00BB091F" w:rsidRPr="00DF4EDD">
        <w:rPr>
          <w:sz w:val="20"/>
          <w:u w:val="single"/>
        </w:rPr>
        <w:t>LA NORME DE CONTRÔLE APPLICABLE</w:t>
      </w:r>
    </w:p>
    <w:p w14:paraId="3DF32CE7" w14:textId="15FC5AEF" w:rsidR="002223A7" w:rsidRPr="00EE6221" w:rsidRDefault="006E6C28" w:rsidP="0067544E">
      <w:pPr>
        <w:pStyle w:val="Paragraphe"/>
        <w:keepNext/>
        <w:tabs>
          <w:tab w:val="clear" w:pos="2204"/>
        </w:tabs>
        <w:spacing w:line="240" w:lineRule="auto"/>
        <w:ind w:left="0"/>
        <w:rPr>
          <w:rFonts w:cs="Arial"/>
          <w:b/>
          <w:bCs/>
        </w:rPr>
      </w:pPr>
      <w:r w:rsidRPr="00EE6221">
        <w:rPr>
          <w:rFonts w:cs="Arial"/>
        </w:rPr>
        <w:t xml:space="preserve">Dans l’arrêt </w:t>
      </w:r>
      <w:r w:rsidRPr="00EE6221">
        <w:rPr>
          <w:rFonts w:cs="Arial"/>
          <w:i/>
          <w:iCs/>
        </w:rPr>
        <w:t>Vavilov</w:t>
      </w:r>
      <w:bookmarkStart w:id="35" w:name="_Ref194174348"/>
      <w:r w:rsidRPr="00A75AA9">
        <w:rPr>
          <w:rStyle w:val="Appelnotedebasdep"/>
          <w:rFonts w:cs="Arial"/>
        </w:rPr>
        <w:footnoteReference w:id="48"/>
      </w:r>
      <w:bookmarkEnd w:id="35"/>
      <w:r w:rsidRPr="00EE6221">
        <w:rPr>
          <w:rFonts w:cs="Arial"/>
        </w:rPr>
        <w:t xml:space="preserve">, la Cour suprême du Canada fixe </w:t>
      </w:r>
      <w:r w:rsidR="002223A7" w:rsidRPr="00EE6221">
        <w:rPr>
          <w:rFonts w:cs="Arial"/>
        </w:rPr>
        <w:t xml:space="preserve">le cadre d’analyse concernant l’identification de la norme d’intervention </w:t>
      </w:r>
      <w:r w:rsidR="002E3B8B" w:rsidRPr="00EE6221">
        <w:rPr>
          <w:rFonts w:cs="Arial"/>
        </w:rPr>
        <w:t>applicable alors qu</w:t>
      </w:r>
      <w:r w:rsidR="002223A7" w:rsidRPr="00EE6221">
        <w:rPr>
          <w:rFonts w:cs="Arial"/>
        </w:rPr>
        <w:t>’un tribunal contrôl</w:t>
      </w:r>
      <w:r w:rsidR="002E3B8B" w:rsidRPr="00EE6221">
        <w:rPr>
          <w:rFonts w:cs="Arial"/>
        </w:rPr>
        <w:t xml:space="preserve">e </w:t>
      </w:r>
      <w:r w:rsidR="002223A7" w:rsidRPr="00EE6221">
        <w:rPr>
          <w:rFonts w:cs="Arial"/>
        </w:rPr>
        <w:t>la légalité d’un acte</w:t>
      </w:r>
      <w:r w:rsidR="00EE6221" w:rsidRPr="00EE6221">
        <w:rPr>
          <w:rFonts w:cs="Arial"/>
        </w:rPr>
        <w:t xml:space="preserve"> de l’Administration</w:t>
      </w:r>
      <w:r w:rsidR="002223A7" w:rsidRPr="00EE6221">
        <w:rPr>
          <w:rFonts w:cs="Arial"/>
        </w:rPr>
        <w:t xml:space="preserve"> ou d’une décision quasi</w:t>
      </w:r>
      <w:r w:rsidR="00D404C5">
        <w:rPr>
          <w:rFonts w:cs="Arial"/>
        </w:rPr>
        <w:t xml:space="preserve"> </w:t>
      </w:r>
      <w:r w:rsidR="002223A7" w:rsidRPr="00EE6221">
        <w:rPr>
          <w:rFonts w:cs="Arial"/>
        </w:rPr>
        <w:t xml:space="preserve">judiciaire. </w:t>
      </w:r>
      <w:r w:rsidR="00226C02" w:rsidRPr="00EE6221">
        <w:rPr>
          <w:rFonts w:cs="Arial"/>
        </w:rPr>
        <w:t>Cette méthode d’analyse s’impose dès lors</w:t>
      </w:r>
      <w:r w:rsidR="00C77024">
        <w:rPr>
          <w:rFonts w:cs="Arial"/>
        </w:rPr>
        <w:t>,</w:t>
      </w:r>
      <w:r w:rsidR="00EE6221" w:rsidRPr="00EE6221">
        <w:rPr>
          <w:rFonts w:cs="Arial"/>
        </w:rPr>
        <w:t xml:space="preserve"> y compris à l’égard des </w:t>
      </w:r>
      <w:r w:rsidR="00010C27">
        <w:rPr>
          <w:rFonts w:cs="Arial"/>
        </w:rPr>
        <w:t>Règles contestées</w:t>
      </w:r>
      <w:r w:rsidR="00EE6221" w:rsidRPr="00EE6221">
        <w:rPr>
          <w:rFonts w:cs="Arial"/>
        </w:rPr>
        <w:t xml:space="preserve">. </w:t>
      </w:r>
      <w:r w:rsidR="00226C02" w:rsidRPr="00EE6221">
        <w:rPr>
          <w:rFonts w:cs="Arial"/>
        </w:rPr>
        <w:t xml:space="preserve">Puisque le Tribunal conclut que les Règles budgétaires se qualifient de directives qui </w:t>
      </w:r>
      <w:r w:rsidR="00396D86">
        <w:rPr>
          <w:rFonts w:cs="Arial"/>
        </w:rPr>
        <w:t xml:space="preserve">occasionnent </w:t>
      </w:r>
      <w:r w:rsidR="00226C02" w:rsidRPr="00EE6221">
        <w:rPr>
          <w:rFonts w:cs="Arial"/>
        </w:rPr>
        <w:t>par ailleurs des conséquences monétaires aux universités anglophones, il doit donc procéder à cette analyse suivant ce test.</w:t>
      </w:r>
    </w:p>
    <w:p w14:paraId="05003C39" w14:textId="4FC43B2A" w:rsidR="002223A7" w:rsidRPr="002223A7" w:rsidRDefault="002223A7" w:rsidP="00092C76">
      <w:pPr>
        <w:pStyle w:val="Paragraphe"/>
        <w:tabs>
          <w:tab w:val="clear" w:pos="2204"/>
        </w:tabs>
        <w:spacing w:line="240" w:lineRule="auto"/>
        <w:ind w:left="0"/>
        <w:rPr>
          <w:rFonts w:cs="Arial"/>
          <w:b/>
          <w:bCs/>
        </w:rPr>
      </w:pPr>
      <w:r>
        <w:rPr>
          <w:rFonts w:cs="Arial"/>
        </w:rPr>
        <w:t xml:space="preserve">Selon l’état du droit, </w:t>
      </w:r>
      <w:r w:rsidR="00010C27">
        <w:rPr>
          <w:rFonts w:cs="Arial"/>
        </w:rPr>
        <w:t xml:space="preserve">il n’existe que </w:t>
      </w:r>
      <w:r>
        <w:rPr>
          <w:rFonts w:cs="Arial"/>
        </w:rPr>
        <w:t>trois normes.</w:t>
      </w:r>
    </w:p>
    <w:p w14:paraId="2E3AFF49" w14:textId="19749341" w:rsidR="002223A7" w:rsidRPr="00DF4EDD" w:rsidRDefault="002223A7" w:rsidP="00D404C5">
      <w:pPr>
        <w:pStyle w:val="Paragraphe"/>
        <w:numPr>
          <w:ilvl w:val="0"/>
          <w:numId w:val="6"/>
        </w:numPr>
        <w:spacing w:line="240" w:lineRule="auto"/>
        <w:ind w:left="1800"/>
        <w:rPr>
          <w:i/>
        </w:rPr>
      </w:pPr>
      <w:r w:rsidRPr="00DF4EDD">
        <w:rPr>
          <w:i/>
        </w:rPr>
        <w:t>La première</w:t>
      </w:r>
      <w:r w:rsidR="001B5974" w:rsidRPr="00DF4EDD">
        <w:rPr>
          <w:i/>
        </w:rPr>
        <w:t xml:space="preserve"> : </w:t>
      </w:r>
      <w:r w:rsidRPr="00DF4EDD">
        <w:rPr>
          <w:i/>
        </w:rPr>
        <w:t>celle voulue par le législateur</w:t>
      </w:r>
    </w:p>
    <w:p w14:paraId="4D503B02" w14:textId="7F8AE00C" w:rsidR="00D00946" w:rsidRPr="00D00946" w:rsidRDefault="002223A7" w:rsidP="001B5974">
      <w:pPr>
        <w:pStyle w:val="Paragraphe"/>
        <w:tabs>
          <w:tab w:val="clear" w:pos="2204"/>
        </w:tabs>
        <w:spacing w:line="240" w:lineRule="auto"/>
        <w:ind w:left="0"/>
        <w:rPr>
          <w:b/>
          <w:bCs/>
          <w:szCs w:val="24"/>
        </w:rPr>
      </w:pPr>
      <w:r>
        <w:t>Il arrive que le législateur indique clairement sa volonté de soumettre un acte administratif ou une décision à une norme précise</w:t>
      </w:r>
      <w:r w:rsidR="00E60F62">
        <w:t xml:space="preserve"> de contrôle de </w:t>
      </w:r>
      <w:r w:rsidR="00A9571F">
        <w:t>s</w:t>
      </w:r>
      <w:r w:rsidR="00E60F62">
        <w:t>a légalité</w:t>
      </w:r>
      <w:r w:rsidR="00D00946">
        <w:t xml:space="preserve">. </w:t>
      </w:r>
      <w:r w:rsidR="00D00946" w:rsidRPr="003516AF">
        <w:rPr>
          <w:szCs w:val="24"/>
        </w:rPr>
        <w:t>En Colombie</w:t>
      </w:r>
      <w:r w:rsidR="00BA4B1B">
        <w:rPr>
          <w:szCs w:val="24"/>
        </w:rPr>
        <w:t>-</w:t>
      </w:r>
      <w:r w:rsidR="00D00946" w:rsidRPr="003516AF">
        <w:rPr>
          <w:szCs w:val="24"/>
        </w:rPr>
        <w:t xml:space="preserve">Britannique, </w:t>
      </w:r>
      <w:r w:rsidR="00D00946">
        <w:rPr>
          <w:szCs w:val="24"/>
        </w:rPr>
        <w:t xml:space="preserve">par exemple, </w:t>
      </w:r>
      <w:r w:rsidR="00D00946" w:rsidRPr="003516AF">
        <w:rPr>
          <w:szCs w:val="24"/>
        </w:rPr>
        <w:t>l’</w:t>
      </w:r>
      <w:r w:rsidR="00D00946" w:rsidRPr="003516AF">
        <w:rPr>
          <w:i/>
          <w:iCs/>
          <w:szCs w:val="24"/>
        </w:rPr>
        <w:t>Administrative Tribunal</w:t>
      </w:r>
      <w:r w:rsidR="002919D2">
        <w:rPr>
          <w:i/>
          <w:iCs/>
          <w:szCs w:val="24"/>
        </w:rPr>
        <w:t>s</w:t>
      </w:r>
      <w:r w:rsidR="00D00946" w:rsidRPr="003516AF">
        <w:rPr>
          <w:i/>
          <w:iCs/>
          <w:szCs w:val="24"/>
        </w:rPr>
        <w:t xml:space="preserve"> Act</w:t>
      </w:r>
      <w:bookmarkStart w:id="36" w:name="_Ref194174107"/>
      <w:r w:rsidR="00D00946" w:rsidRPr="00EE6221">
        <w:rPr>
          <w:rStyle w:val="Appelnotedebasdep"/>
          <w:szCs w:val="24"/>
        </w:rPr>
        <w:footnoteReference w:id="49"/>
      </w:r>
      <w:bookmarkEnd w:id="36"/>
      <w:r w:rsidR="00D00946" w:rsidRPr="003516AF">
        <w:rPr>
          <w:szCs w:val="24"/>
        </w:rPr>
        <w:t xml:space="preserve"> prévoit la norme de la décision correcte</w:t>
      </w:r>
      <w:r w:rsidR="00010C27">
        <w:rPr>
          <w:szCs w:val="24"/>
        </w:rPr>
        <w:t xml:space="preserve"> à l’égard de certains d’entre eux</w:t>
      </w:r>
      <w:r w:rsidR="00D00946" w:rsidRPr="003516AF">
        <w:rPr>
          <w:szCs w:val="24"/>
        </w:rPr>
        <w:t>.</w:t>
      </w:r>
    </w:p>
    <w:p w14:paraId="53CF06C0" w14:textId="24287BBA" w:rsidR="00CA09B8" w:rsidRPr="00396D86" w:rsidRDefault="00CA09B8" w:rsidP="001B5974">
      <w:pPr>
        <w:pStyle w:val="Paragraphe"/>
        <w:tabs>
          <w:tab w:val="clear" w:pos="2204"/>
        </w:tabs>
        <w:spacing w:line="240" w:lineRule="auto"/>
        <w:ind w:left="0"/>
        <w:rPr>
          <w:b/>
          <w:bCs/>
          <w:szCs w:val="24"/>
        </w:rPr>
      </w:pPr>
      <w:r>
        <w:t>Le législateur peut aussi prévoir un droit d’appel. C’est le cas au Québec de la plupart des décisions du Tribunal administratif du logement</w:t>
      </w:r>
      <w:r w:rsidR="00A9571F">
        <w:t>, notamment,</w:t>
      </w:r>
      <w:r>
        <w:t xml:space="preserve"> à l’égard desquelles la Cour du Québec, division administrative et d’appel, exerce une compétence d’appel, tel que le prévoient les articles 91 et 92 de la </w:t>
      </w:r>
      <w:r w:rsidRPr="003516AF">
        <w:rPr>
          <w:i/>
          <w:iCs/>
        </w:rPr>
        <w:t>Loi sur le Tribunal administratif du logement</w:t>
      </w:r>
      <w:r w:rsidRPr="002223A7">
        <w:rPr>
          <w:rStyle w:val="Appelnotedebasdep"/>
          <w:rFonts w:cs="Arial"/>
        </w:rPr>
        <w:footnoteReference w:id="50"/>
      </w:r>
      <w:r>
        <w:t xml:space="preserve">. Les normes bien connues établies dans l’arrêt </w:t>
      </w:r>
      <w:r w:rsidRPr="003516AF">
        <w:rPr>
          <w:i/>
          <w:iCs/>
        </w:rPr>
        <w:t>Housen</w:t>
      </w:r>
      <w:r>
        <w:t xml:space="preserve"> c. </w:t>
      </w:r>
      <w:r w:rsidRPr="003516AF">
        <w:rPr>
          <w:i/>
          <w:iCs/>
        </w:rPr>
        <w:t>Nikolaisen</w:t>
      </w:r>
      <w:r>
        <w:rPr>
          <w:rStyle w:val="Appelnotedebasdep"/>
          <w:rFonts w:cs="Arial"/>
        </w:rPr>
        <w:footnoteReference w:id="51"/>
      </w:r>
      <w:r w:rsidRPr="003516AF">
        <w:rPr>
          <w:i/>
          <w:iCs/>
        </w:rPr>
        <w:t xml:space="preserve"> </w:t>
      </w:r>
      <w:r>
        <w:t>s’appliquent alors à ces instances en appel.</w:t>
      </w:r>
    </w:p>
    <w:p w14:paraId="67E62160" w14:textId="77777777" w:rsidR="00396D86" w:rsidRPr="003516AF" w:rsidRDefault="00396D86" w:rsidP="001B5974">
      <w:pPr>
        <w:pStyle w:val="Paragraphe"/>
        <w:tabs>
          <w:tab w:val="clear" w:pos="2204"/>
        </w:tabs>
        <w:spacing w:line="240" w:lineRule="auto"/>
        <w:ind w:left="0"/>
        <w:rPr>
          <w:b/>
          <w:bCs/>
          <w:szCs w:val="24"/>
        </w:rPr>
      </w:pPr>
      <w:r>
        <w:rPr>
          <w:szCs w:val="24"/>
        </w:rPr>
        <w:t>Or, c</w:t>
      </w:r>
      <w:r w:rsidRPr="003516AF">
        <w:rPr>
          <w:szCs w:val="24"/>
        </w:rPr>
        <w:t xml:space="preserve">omme le rappelle la Cour suprême dans </w:t>
      </w:r>
      <w:r w:rsidRPr="00396D86">
        <w:rPr>
          <w:i/>
          <w:iCs/>
          <w:szCs w:val="24"/>
        </w:rPr>
        <w:t>Vavilov</w:t>
      </w:r>
      <w:r w:rsidRPr="003516AF">
        <w:rPr>
          <w:szCs w:val="24"/>
        </w:rPr>
        <w:t xml:space="preserve">, </w:t>
      </w:r>
      <w:r w:rsidRPr="003516AF">
        <w:t>lorsque le législateur indique que les cours de justice ont l’obligation d’appliquer la norme de la décision correcte lors du contrôle de certaines questions, c’est la norme qu’il convient alors d’appliquer</w:t>
      </w:r>
      <w:r w:rsidRPr="003516AF">
        <w:rPr>
          <w:rStyle w:val="Appelnotedebasdep"/>
          <w:color w:val="000000"/>
        </w:rPr>
        <w:footnoteReference w:id="52"/>
      </w:r>
      <w:r w:rsidRPr="003516AF">
        <w:t>.</w:t>
      </w:r>
      <w:r>
        <w:t xml:space="preserve"> Elle réitère ce principe dans l’arrêt </w:t>
      </w:r>
      <w:r w:rsidRPr="00396D86">
        <w:rPr>
          <w:i/>
          <w:iCs/>
        </w:rPr>
        <w:t>Ward</w:t>
      </w:r>
      <w:bookmarkStart w:id="38" w:name="_Ref196150200"/>
      <w:r w:rsidRPr="00597734">
        <w:rPr>
          <w:rStyle w:val="Appelnotedebasdep"/>
          <w:color w:val="000000"/>
        </w:rPr>
        <w:footnoteReference w:id="53"/>
      </w:r>
      <w:bookmarkEnd w:id="38"/>
      <w:r>
        <w:t>, où elle écrit :</w:t>
      </w:r>
    </w:p>
    <w:p w14:paraId="029B481B" w14:textId="455B5BE6" w:rsidR="00396D86" w:rsidRPr="003516AF" w:rsidRDefault="00396D86" w:rsidP="00396D86">
      <w:pPr>
        <w:pStyle w:val="Citationenretrait"/>
      </w:pPr>
      <w:r w:rsidRPr="003516AF">
        <w:t>[24]</w:t>
      </w:r>
      <w:r>
        <w:tab/>
      </w:r>
      <w:r w:rsidRPr="003516AF">
        <w:t>(…) Suivant l’arrêt</w:t>
      </w:r>
      <w:r>
        <w:t xml:space="preserve"> </w:t>
      </w:r>
      <w:r w:rsidRPr="003516AF">
        <w:rPr>
          <w:i/>
          <w:iCs/>
        </w:rPr>
        <w:t>Vavilov</w:t>
      </w:r>
      <w:r w:rsidRPr="003516AF">
        <w:t>, la présomption selon laquelle la norme de contrôle applicable à l’égard d’une décision administrative est celle de la décision raisonnable peut être réfutée lorsque le législateur a prévu « un mécanisme d’appel à l’encontre d’un décideur administratif devant une cour de justice, ce qui dénote que les normes générales en matière d’appel trouvent application » (par.</w:t>
      </w:r>
      <w:r w:rsidR="006733BB">
        <w:t> </w:t>
      </w:r>
      <w:r w:rsidRPr="003516AF">
        <w:t>33).</w:t>
      </w:r>
    </w:p>
    <w:p w14:paraId="1A29DA53" w14:textId="11E66B5A" w:rsidR="00396D86" w:rsidRPr="003516AF" w:rsidRDefault="00396D86" w:rsidP="00396D86">
      <w:pPr>
        <w:pStyle w:val="Citationenretrait"/>
      </w:pPr>
      <w:r w:rsidRPr="003516AF">
        <w:t>[</w:t>
      </w:r>
      <w:bookmarkStart w:id="39" w:name="par25"/>
      <w:r w:rsidRPr="003516AF">
        <w:t>25</w:t>
      </w:r>
      <w:bookmarkEnd w:id="39"/>
      <w:r w:rsidRPr="003516AF">
        <w:t>]</w:t>
      </w:r>
      <w:r>
        <w:tab/>
      </w:r>
      <w:r w:rsidRPr="003516AF">
        <w:t>En l’espèce, les art.</w:t>
      </w:r>
      <w:r w:rsidR="002919D2">
        <w:t xml:space="preserve"> </w:t>
      </w:r>
      <w:r w:rsidRPr="003516AF">
        <w:t>132 et 133 de la</w:t>
      </w:r>
      <w:r>
        <w:t xml:space="preserve"> </w:t>
      </w:r>
      <w:r w:rsidRPr="003516AF">
        <w:rPr>
          <w:i/>
          <w:iCs/>
        </w:rPr>
        <w:t>Charte québécoise</w:t>
      </w:r>
      <w:r>
        <w:t xml:space="preserve"> </w:t>
      </w:r>
      <w:r w:rsidRPr="003516AF">
        <w:t>précisent que les décisions du Tribunal peuvent faire l’objet d’un appel devant la Cour d’appel du Québec. Comme la loi prévoit un mécanisme d’appel, les normes générales en matière d’appel s’appliquent plutôt que la norme de la décision raisonnable (</w:t>
      </w:r>
      <w:r w:rsidRPr="003516AF">
        <w:rPr>
          <w:i/>
          <w:iCs/>
        </w:rPr>
        <w:t>Vavilov</w:t>
      </w:r>
      <w:r w:rsidRPr="003516AF">
        <w:t>, par.</w:t>
      </w:r>
      <w:r w:rsidR="00822230">
        <w:t xml:space="preserve"> </w:t>
      </w:r>
      <w:r w:rsidRPr="003516AF">
        <w:t>37; voir</w:t>
      </w:r>
      <w:r w:rsidR="00822230">
        <w:t xml:space="preserve"> </w:t>
      </w:r>
      <w:r w:rsidRPr="003516AF">
        <w:rPr>
          <w:i/>
          <w:iCs/>
        </w:rPr>
        <w:t>Housen c. Nikolaisen</w:t>
      </w:r>
      <w:r w:rsidRPr="003516AF">
        <w:t>, 2002 CSC 33, [2002] 2 R.C.S. 235). (…)</w:t>
      </w:r>
    </w:p>
    <w:p w14:paraId="7474345C" w14:textId="4B9A243B" w:rsidR="00371094" w:rsidRDefault="004D1482" w:rsidP="007C3369">
      <w:pPr>
        <w:pStyle w:val="Paragraphe"/>
        <w:tabs>
          <w:tab w:val="clear" w:pos="2204"/>
        </w:tabs>
        <w:spacing w:line="240" w:lineRule="auto"/>
        <w:ind w:left="0"/>
      </w:pPr>
      <w:r w:rsidRPr="004D1482">
        <w:t xml:space="preserve">En somme, il s’agit de respecter la volonté du législateur clairement exprimée dans un texte de loi. Si </w:t>
      </w:r>
      <w:r w:rsidR="00AF1E11">
        <w:t>le degré d’</w:t>
      </w:r>
      <w:r>
        <w:t xml:space="preserve">intensité de retenue judiciaire s’y trouve en raison d’une </w:t>
      </w:r>
      <w:r w:rsidRPr="004D1482">
        <w:t xml:space="preserve">norme d’intervention </w:t>
      </w:r>
      <w:r>
        <w:t>prévue</w:t>
      </w:r>
      <w:r w:rsidRPr="004D1482">
        <w:t>, c’est cette norme qu’il convient d’appliquer.</w:t>
      </w:r>
    </w:p>
    <w:p w14:paraId="31D3456A" w14:textId="0D8E203D" w:rsidR="00FE499C" w:rsidRPr="00AF1E11" w:rsidRDefault="00FE499C" w:rsidP="007C3369">
      <w:pPr>
        <w:pStyle w:val="Paragraphe"/>
        <w:tabs>
          <w:tab w:val="clear" w:pos="2204"/>
        </w:tabs>
        <w:spacing w:line="240" w:lineRule="auto"/>
        <w:ind w:left="0"/>
        <w:rPr>
          <w:b/>
          <w:bCs/>
          <w:szCs w:val="24"/>
        </w:rPr>
      </w:pPr>
      <w:r>
        <w:t xml:space="preserve">Rappelons toutefois ce </w:t>
      </w:r>
      <w:r w:rsidRPr="00CA09B8">
        <w:rPr>
          <w:i/>
          <w:iCs/>
        </w:rPr>
        <w:t>caveat</w:t>
      </w:r>
      <w:r>
        <w:t xml:space="preserve"> : un droit d’appel limité, par exemple lorsque la loi ne le prévoit que sur une question de droit, n’évacue pas la possibilité d’un contrôle judiciaire </w:t>
      </w:r>
      <w:r w:rsidR="00CA09B8">
        <w:t xml:space="preserve">par une Cour supérieure </w:t>
      </w:r>
      <w:r>
        <w:t>sur les autres questions</w:t>
      </w:r>
      <w:r>
        <w:rPr>
          <w:rStyle w:val="Appelnotedebasdep"/>
        </w:rPr>
        <w:footnoteReference w:id="54"/>
      </w:r>
      <w:r w:rsidR="00396D86">
        <w:t xml:space="preserve"> et la norme de contrôle appropriée se détermine, alors, suivant ce qui suit</w:t>
      </w:r>
      <w:r>
        <w:t>.</w:t>
      </w:r>
    </w:p>
    <w:p w14:paraId="6E8EE757" w14:textId="29E796F4" w:rsidR="002223A7" w:rsidRPr="00DF4EDD" w:rsidRDefault="002223A7" w:rsidP="00D819AF">
      <w:pPr>
        <w:pStyle w:val="Paragraphe"/>
        <w:numPr>
          <w:ilvl w:val="0"/>
          <w:numId w:val="6"/>
        </w:numPr>
        <w:spacing w:line="240" w:lineRule="auto"/>
        <w:ind w:left="1800"/>
        <w:rPr>
          <w:i/>
        </w:rPr>
      </w:pPr>
      <w:r w:rsidRPr="00DF4EDD">
        <w:rPr>
          <w:i/>
        </w:rPr>
        <w:t>La deuxième</w:t>
      </w:r>
      <w:r w:rsidR="001B3884" w:rsidRPr="00DF4EDD">
        <w:rPr>
          <w:i/>
        </w:rPr>
        <w:t> :</w:t>
      </w:r>
      <w:r w:rsidRPr="00DF4EDD">
        <w:rPr>
          <w:i/>
        </w:rPr>
        <w:t xml:space="preserve"> celle de la décision raisonnable, présumée s’appliquer sauf exception</w:t>
      </w:r>
    </w:p>
    <w:p w14:paraId="3282B784" w14:textId="11435555" w:rsidR="00E477E5" w:rsidRPr="00010C27" w:rsidRDefault="002223A7" w:rsidP="007C3369">
      <w:pPr>
        <w:pStyle w:val="Paragraphe"/>
        <w:tabs>
          <w:tab w:val="clear" w:pos="2204"/>
        </w:tabs>
        <w:spacing w:line="240" w:lineRule="auto"/>
        <w:ind w:left="0"/>
        <w:rPr>
          <w:rFonts w:cs="Arial"/>
        </w:rPr>
      </w:pPr>
      <w:r w:rsidRPr="00010C27">
        <w:rPr>
          <w:rFonts w:cs="Arial"/>
        </w:rPr>
        <w:t>Si le législateur n’indique aucune norme particulière, alors</w:t>
      </w:r>
      <w:r w:rsidR="00E477E5" w:rsidRPr="00010C27">
        <w:rPr>
          <w:rFonts w:cs="Arial"/>
        </w:rPr>
        <w:t>, sauf exceptions prévues ci-après,</w:t>
      </w:r>
      <w:r w:rsidRPr="00010C27">
        <w:rPr>
          <w:rFonts w:cs="Arial"/>
        </w:rPr>
        <w:t xml:space="preserve"> la deuxième norme possible est celle de la décision raisonnable. </w:t>
      </w:r>
      <w:r w:rsidR="007D4BAE" w:rsidRPr="00010C27">
        <w:rPr>
          <w:rFonts w:cs="Arial"/>
        </w:rPr>
        <w:t>Suivant cette norme d’intervention</w:t>
      </w:r>
      <w:r w:rsidR="00CA09B8" w:rsidRPr="00010C27">
        <w:rPr>
          <w:rFonts w:cs="Arial"/>
        </w:rPr>
        <w:t>,</w:t>
      </w:r>
      <w:r w:rsidR="007D4BAE" w:rsidRPr="00010C27">
        <w:rPr>
          <w:rFonts w:cs="Arial"/>
        </w:rPr>
        <w:t xml:space="preserve"> le </w:t>
      </w:r>
      <w:r w:rsidR="00876A4E" w:rsidRPr="00010C27">
        <w:rPr>
          <w:rFonts w:cs="Arial"/>
        </w:rPr>
        <w:t>t</w:t>
      </w:r>
      <w:r w:rsidR="007D4BAE" w:rsidRPr="00010C27">
        <w:rPr>
          <w:rFonts w:cs="Arial"/>
        </w:rPr>
        <w:t xml:space="preserve">ribunal vérifie si la décision </w:t>
      </w:r>
      <w:r w:rsidR="00363BF4">
        <w:rPr>
          <w:rFonts w:cs="Arial"/>
        </w:rPr>
        <w:t>attaquée</w:t>
      </w:r>
      <w:r w:rsidR="007D4BAE" w:rsidRPr="00010C27">
        <w:rPr>
          <w:rFonts w:cs="Arial"/>
        </w:rPr>
        <w:t xml:space="preserve"> s</w:t>
      </w:r>
      <w:r w:rsidR="00363BF4">
        <w:rPr>
          <w:rFonts w:cs="Arial"/>
        </w:rPr>
        <w:t>’avère</w:t>
      </w:r>
      <w:r w:rsidR="007D4BAE" w:rsidRPr="00010C27">
        <w:rPr>
          <w:rFonts w:cs="Arial"/>
        </w:rPr>
        <w:t xml:space="preserve"> acceptable et justifiable. Il s’agit </w:t>
      </w:r>
      <w:r w:rsidR="00CA09B8" w:rsidRPr="00010C27">
        <w:rPr>
          <w:rFonts w:cs="Arial"/>
        </w:rPr>
        <w:t xml:space="preserve">alors </w:t>
      </w:r>
      <w:r w:rsidR="007D4BAE" w:rsidRPr="00010C27">
        <w:rPr>
          <w:rFonts w:cs="Arial"/>
        </w:rPr>
        <w:t>de déterminer si une explication raisonnée s’en discerne et si le résultat lui-même s’avère justifié eu égard aux contraintes juridiques et factuelles qui assujettissent le décideur</w:t>
      </w:r>
      <w:r w:rsidR="007D4BAE">
        <w:rPr>
          <w:rStyle w:val="Appelnotedebasdep"/>
          <w:rFonts w:cs="Arial"/>
        </w:rPr>
        <w:footnoteReference w:id="55"/>
      </w:r>
      <w:r w:rsidR="007D4BAE" w:rsidRPr="00010C27">
        <w:rPr>
          <w:rFonts w:cs="Arial"/>
        </w:rPr>
        <w:t>.</w:t>
      </w:r>
      <w:r w:rsidR="00E477E5" w:rsidRPr="00010C27">
        <w:rPr>
          <w:rFonts w:cs="Arial"/>
        </w:rPr>
        <w:t xml:space="preserve"> Cette justification, apparente de la décision ou </w:t>
      </w:r>
      <w:r w:rsidR="00876A4E" w:rsidRPr="00010C27">
        <w:rPr>
          <w:rFonts w:cs="Arial"/>
        </w:rPr>
        <w:t>percol</w:t>
      </w:r>
      <w:r w:rsidR="00E477E5" w:rsidRPr="00010C27">
        <w:rPr>
          <w:rFonts w:cs="Arial"/>
        </w:rPr>
        <w:t>ant du dossier, laisse voir une décision qui se veut cohérente et qui porte sur les éléments essentiels et centraux</w:t>
      </w:r>
      <w:r w:rsidR="00876A4E" w:rsidRPr="00010C27">
        <w:rPr>
          <w:rFonts w:cs="Arial"/>
        </w:rPr>
        <w:t xml:space="preserve"> à l’étude</w:t>
      </w:r>
      <w:r w:rsidR="00E477E5">
        <w:rPr>
          <w:rStyle w:val="Appelnotedebasdep"/>
          <w:rFonts w:cs="Arial"/>
        </w:rPr>
        <w:footnoteReference w:id="56"/>
      </w:r>
      <w:r w:rsidR="00E477E5" w:rsidRPr="00010C27">
        <w:rPr>
          <w:rFonts w:cs="Arial"/>
        </w:rPr>
        <w:t>.</w:t>
      </w:r>
      <w:r w:rsidR="00363BF4">
        <w:rPr>
          <w:rFonts w:cs="Arial"/>
        </w:rPr>
        <w:t xml:space="preserve"> Les contraintes juridiques ou factuelles, mul</w:t>
      </w:r>
      <w:r w:rsidR="00363BF4" w:rsidRPr="00010C27">
        <w:rPr>
          <w:rFonts w:cs="Arial"/>
        </w:rPr>
        <w:t>tiples selon le cas</w:t>
      </w:r>
      <w:r w:rsidR="00363BF4">
        <w:rPr>
          <w:rFonts w:cs="Arial"/>
        </w:rPr>
        <w:t>, comprennent l</w:t>
      </w:r>
      <w:r w:rsidR="00363BF4" w:rsidRPr="00010C27">
        <w:rPr>
          <w:rFonts w:cs="Arial"/>
        </w:rPr>
        <w:t xml:space="preserve">a législation </w:t>
      </w:r>
      <w:r w:rsidR="00363BF4">
        <w:rPr>
          <w:rFonts w:cs="Arial"/>
        </w:rPr>
        <w:t>et</w:t>
      </w:r>
      <w:r w:rsidR="00363BF4" w:rsidRPr="00010C27">
        <w:rPr>
          <w:rFonts w:cs="Arial"/>
        </w:rPr>
        <w:t xml:space="preserve"> le droit prétorien</w:t>
      </w:r>
      <w:r w:rsidR="00363BF4">
        <w:rPr>
          <w:rFonts w:cs="Arial"/>
        </w:rPr>
        <w:t xml:space="preserve"> de </w:t>
      </w:r>
      <w:r w:rsidR="00363BF4" w:rsidRPr="00010C27">
        <w:rPr>
          <w:rFonts w:cs="Arial"/>
        </w:rPr>
        <w:t xml:space="preserve">même </w:t>
      </w:r>
      <w:r w:rsidR="00363BF4">
        <w:rPr>
          <w:rFonts w:cs="Arial"/>
        </w:rPr>
        <w:t>que les</w:t>
      </w:r>
      <w:r w:rsidR="00363BF4" w:rsidRPr="00010C27">
        <w:rPr>
          <w:rFonts w:cs="Arial"/>
        </w:rPr>
        <w:t xml:space="preserve"> éléments de preuve étudiés ou soumis au décideur.</w:t>
      </w:r>
    </w:p>
    <w:p w14:paraId="4B23417F" w14:textId="08D0E84E" w:rsidR="00D01EBE" w:rsidRPr="00754674" w:rsidRDefault="00F5447F" w:rsidP="007C3369">
      <w:pPr>
        <w:pStyle w:val="Paragraphe"/>
        <w:tabs>
          <w:tab w:val="clear" w:pos="2204"/>
        </w:tabs>
        <w:spacing w:line="240" w:lineRule="auto"/>
        <w:ind w:left="0"/>
        <w:rPr>
          <w:rFonts w:cs="Arial"/>
        </w:rPr>
      </w:pPr>
      <w:r>
        <w:rPr>
          <w:rFonts w:cs="Arial"/>
        </w:rPr>
        <w:t xml:space="preserve">Lorsqu’il vérifie si le décideur rend une décision raisonnable, le tribunal vérifie notamment si la décision repose sur un fondement qui ne soit pas erroné. À ce sujet, l’arrêt </w:t>
      </w:r>
      <w:r w:rsidRPr="00F5447F">
        <w:rPr>
          <w:rFonts w:cs="Arial"/>
          <w:i/>
          <w:iCs/>
        </w:rPr>
        <w:t>Vavilov</w:t>
      </w:r>
      <w:r>
        <w:rPr>
          <w:rFonts w:cs="Arial"/>
        </w:rPr>
        <w:t xml:space="preserve"> rappelle que :</w:t>
      </w:r>
    </w:p>
    <w:p w14:paraId="65890509" w14:textId="728B3FA7" w:rsidR="00F5447F" w:rsidRPr="00F5447F" w:rsidRDefault="00F5447F" w:rsidP="00754674">
      <w:pPr>
        <w:pStyle w:val="Citationenretrait"/>
      </w:pPr>
      <w:r w:rsidRPr="00F5447F">
        <w:t>[</w:t>
      </w:r>
      <w:bookmarkStart w:id="40" w:name="par102"/>
      <w:r w:rsidRPr="00F5447F">
        <w:t>102</w:t>
      </w:r>
      <w:bookmarkEnd w:id="40"/>
      <w:r w:rsidRPr="00F5447F">
        <w:t>]</w:t>
      </w:r>
      <w:r w:rsidR="00754674">
        <w:tab/>
      </w:r>
      <w:r>
        <w:t>[p]</w:t>
      </w:r>
      <w:r w:rsidRPr="00F5447F">
        <w:t>our être raisonnable, une décision doit être fondée sur un raisonnement à la fois rationnel et logique. Il s’ensuit qu’un manquement à cet égard peut amener la cour de révision à conclure qu’il y a lieu d’infirmer la décision. Certes, le contrôle selon la norme de la décision raisonnable n’est pas « une chasse au trésor, phrase par phrase, à la recherche d’une erreur » :</w:t>
      </w:r>
      <w:r w:rsidR="005A4D47">
        <w:t xml:space="preserve"> </w:t>
      </w:r>
      <w:r w:rsidRPr="00F5447F">
        <w:rPr>
          <w:i/>
          <w:iCs/>
        </w:rPr>
        <w:t>Pâtes &amp; Papier Irving</w:t>
      </w:r>
      <w:r w:rsidRPr="00F5447F">
        <w:t>, par.</w:t>
      </w:r>
      <w:r w:rsidR="005A4D47">
        <w:t xml:space="preserve"> </w:t>
      </w:r>
      <w:r w:rsidRPr="00F5447F">
        <w:t>54, citant </w:t>
      </w:r>
      <w:r w:rsidRPr="00F5447F">
        <w:rPr>
          <w:i/>
          <w:iCs/>
        </w:rPr>
        <w:t>Newfoundland Nurses</w:t>
      </w:r>
      <w:r w:rsidRPr="00F5447F">
        <w:t>, par.</w:t>
      </w:r>
      <w:r w:rsidR="005A4D47">
        <w:t xml:space="preserve"> </w:t>
      </w:r>
      <w:r w:rsidRPr="00F5447F">
        <w:t xml:space="preserve">14. Cependant, la cour de révision doit être en mesure de suivre le raisonnement du décideur sans buter sur une faille décisive dans la logique globale; </w:t>
      </w:r>
      <w:r w:rsidRPr="00F5447F">
        <w:rPr>
          <w:u w:val="single"/>
        </w:rPr>
        <w:t>elle doit être convaincue qu’« [un] mode d’analyse, dans les motifs avancés, [. . .] pouvait raisonnablement amener le tribunal, au vu de la preuve, à conclure comme il l’a fait</w:t>
      </w:r>
      <w:r w:rsidRPr="00F5447F">
        <w:t> » :</w:t>
      </w:r>
      <w:r w:rsidR="005A4D47">
        <w:t xml:space="preserve"> </w:t>
      </w:r>
      <w:r w:rsidRPr="00F5447F">
        <w:rPr>
          <w:i/>
          <w:iCs/>
        </w:rPr>
        <w:t>Ryan</w:t>
      </w:r>
      <w:r w:rsidRPr="00F5447F">
        <w:t>, par.</w:t>
      </w:r>
      <w:r w:rsidR="005A4D47">
        <w:t xml:space="preserve"> </w:t>
      </w:r>
      <w:r w:rsidRPr="00F5447F">
        <w:t>55;</w:t>
      </w:r>
      <w:r w:rsidR="005A4D47">
        <w:t xml:space="preserve"> </w:t>
      </w:r>
      <w:r w:rsidRPr="00F5447F">
        <w:rPr>
          <w:i/>
          <w:iCs/>
        </w:rPr>
        <w:t>Southam</w:t>
      </w:r>
      <w:r w:rsidRPr="00F5447F">
        <w:t>, par.</w:t>
      </w:r>
      <w:r w:rsidR="005A4D47">
        <w:t xml:space="preserve"> </w:t>
      </w:r>
      <w:r w:rsidRPr="00F5447F">
        <w:t>56. Les motifs qui [</w:t>
      </w:r>
      <w:r w:rsidRPr="00F5447F">
        <w:rPr>
          <w:smallCaps/>
        </w:rPr>
        <w:t>traduction</w:t>
      </w:r>
      <w:r w:rsidRPr="00F5447F">
        <w:t>] « ne font que reprendre le libellé de la loi, résumer les arguments avancés et formuler ensuite une conclusion péremptoire » permettent rarement à la cour de révision de comprendre le raisonnement qui justifie une décision, et « ne sauraient tenir lieu d’exposé de faits, d’analyse, d’inférences ou de jugement » : R. A. Macdonald et D. Lametti, « Reasons for Decision in Administrative Law » (1990), 3</w:t>
      </w:r>
      <w:r w:rsidR="005A4D47">
        <w:t xml:space="preserve"> </w:t>
      </w:r>
      <w:r w:rsidRPr="00F5447F">
        <w:rPr>
          <w:i/>
          <w:iCs/>
        </w:rPr>
        <w:t>R.C.D.A.P.</w:t>
      </w:r>
      <w:r w:rsidR="005A4D47">
        <w:t xml:space="preserve"> </w:t>
      </w:r>
      <w:r w:rsidRPr="00F5447F">
        <w:t>123, p.</w:t>
      </w:r>
      <w:r w:rsidR="005A4D47">
        <w:t xml:space="preserve"> </w:t>
      </w:r>
      <w:r w:rsidRPr="00F5447F">
        <w:t>139; voir également</w:t>
      </w:r>
      <w:r w:rsidR="005A4D47">
        <w:t xml:space="preserve"> </w:t>
      </w:r>
      <w:r w:rsidRPr="00F5447F">
        <w:rPr>
          <w:i/>
          <w:iCs/>
        </w:rPr>
        <w:t>Gonzalez c. Canada (Ministre de la Citoyenneté et de l’Immigration)</w:t>
      </w:r>
      <w:r w:rsidRPr="00F5447F">
        <w:t>, 2014</w:t>
      </w:r>
      <w:r w:rsidR="005A4D47">
        <w:t xml:space="preserve"> </w:t>
      </w:r>
      <w:r w:rsidRPr="00F5447F">
        <w:t>CF</w:t>
      </w:r>
      <w:r w:rsidR="005A4D47">
        <w:t xml:space="preserve"> </w:t>
      </w:r>
      <w:r w:rsidRPr="00F5447F">
        <w:t>750, par. 57-59 (CanLII).</w:t>
      </w:r>
      <w:r>
        <w:t xml:space="preserve">  </w:t>
      </w:r>
    </w:p>
    <w:p w14:paraId="6ED88165" w14:textId="30854111" w:rsidR="005661D7" w:rsidRPr="005661D7" w:rsidRDefault="005661D7" w:rsidP="005A4D47">
      <w:pPr>
        <w:pStyle w:val="Citationenretrait"/>
      </w:pPr>
      <w:r w:rsidRPr="005661D7">
        <w:t>[103]</w:t>
      </w:r>
      <w:r w:rsidRPr="005661D7">
        <w:tab/>
        <w:t xml:space="preserve">Bien que, comme nous l’avons déjà mentionné aux par. 89 à 96, il faille interpréter des motifs écrits eu égard au dossier et en tenant dûment compte du régime administratif dans lequel ils sont donnés, une décision sera déraisonnable lorsque, lus dans leur ensemble, </w:t>
      </w:r>
      <w:r w:rsidRPr="005661D7">
        <w:rPr>
          <w:u w:val="single"/>
        </w:rPr>
        <w:t>les motifs ne font pas état d’une analyse rationnelle ou montrent que la décision est fondée sur une analyse irrationnelle</w:t>
      </w:r>
      <w:r w:rsidRPr="005661D7">
        <w:t> : voir</w:t>
      </w:r>
      <w:r w:rsidR="006468CE">
        <w:t xml:space="preserve"> </w:t>
      </w:r>
      <w:r w:rsidRPr="005661D7">
        <w:rPr>
          <w:i/>
          <w:iCs/>
        </w:rPr>
        <w:t>Wright c. Nova Scotia (Human Rights Commission)</w:t>
      </w:r>
      <w:r w:rsidRPr="005661D7">
        <w:t>, 2017</w:t>
      </w:r>
      <w:r w:rsidR="003670D6">
        <w:t xml:space="preserve"> </w:t>
      </w:r>
      <w:r w:rsidRPr="005661D7">
        <w:t>NSSC</w:t>
      </w:r>
      <w:r w:rsidR="003670D6">
        <w:t xml:space="preserve"> </w:t>
      </w:r>
      <w:r w:rsidRPr="005661D7">
        <w:t>11, 23 Admin. L.R. (6th) 110;</w:t>
      </w:r>
      <w:r w:rsidR="006468CE">
        <w:t xml:space="preserve"> </w:t>
      </w:r>
      <w:r w:rsidRPr="005661D7">
        <w:rPr>
          <w:i/>
          <w:iCs/>
        </w:rPr>
        <w:t>Southam</w:t>
      </w:r>
      <w:r w:rsidRPr="005661D7">
        <w:t>, par.</w:t>
      </w:r>
      <w:r w:rsidR="005A4D47">
        <w:t xml:space="preserve"> </w:t>
      </w:r>
      <w:r w:rsidRPr="005661D7">
        <w:t xml:space="preserve">56. </w:t>
      </w:r>
      <w:r w:rsidRPr="005661D7">
        <w:rPr>
          <w:u w:val="single"/>
        </w:rPr>
        <w:t>Une décision sera également déraisonnable si la conclusion tirée ne peut prendre sa source dans l’analyse effectuée</w:t>
      </w:r>
      <w:r w:rsidRPr="005661D7">
        <w:t xml:space="preserve"> (voir</w:t>
      </w:r>
      <w:r w:rsidR="005770C1">
        <w:t xml:space="preserve"> </w:t>
      </w:r>
      <w:r w:rsidRPr="005661D7">
        <w:rPr>
          <w:i/>
          <w:iCs/>
        </w:rPr>
        <w:t>Sangmo c. Canada (Ministre de la Citoyenneté et de l’Immigration)</w:t>
      </w:r>
      <w:r w:rsidRPr="005661D7">
        <w:t>, 2016</w:t>
      </w:r>
      <w:r w:rsidR="005770C1">
        <w:t xml:space="preserve"> </w:t>
      </w:r>
      <w:r w:rsidRPr="005661D7">
        <w:t>CF</w:t>
      </w:r>
      <w:r w:rsidR="005770C1">
        <w:t xml:space="preserve"> </w:t>
      </w:r>
      <w:r w:rsidRPr="005661D7">
        <w:t>17, par.</w:t>
      </w:r>
      <w:r w:rsidR="005770C1">
        <w:t xml:space="preserve"> </w:t>
      </w:r>
      <w:r w:rsidRPr="005661D7">
        <w:t>21 (CanLII)), ou qu’il est impossible de comprendre, lorsqu’on lit les motifs en corrélation avec le dossier, le raisonnement du décideur sur un point central (voir</w:t>
      </w:r>
      <w:r w:rsidR="005770C1">
        <w:t xml:space="preserve"> </w:t>
      </w:r>
      <w:r w:rsidRPr="005661D7">
        <w:rPr>
          <w:i/>
          <w:iCs/>
        </w:rPr>
        <w:t>Blas c. Canada (Ministre de la Citoyenneté et de l’Immigration)</w:t>
      </w:r>
      <w:r w:rsidRPr="005661D7">
        <w:t>, 2014</w:t>
      </w:r>
      <w:r w:rsidR="005A4D47">
        <w:t xml:space="preserve"> </w:t>
      </w:r>
      <w:r w:rsidRPr="005661D7">
        <w:t>CF</w:t>
      </w:r>
      <w:r w:rsidR="005A4D47">
        <w:t xml:space="preserve"> </w:t>
      </w:r>
      <w:r w:rsidRPr="005661D7">
        <w:t>629, par.</w:t>
      </w:r>
      <w:r w:rsidR="005770C1">
        <w:t xml:space="preserve"> </w:t>
      </w:r>
      <w:r w:rsidRPr="005661D7">
        <w:t>54</w:t>
      </w:r>
      <w:r w:rsidRPr="005661D7">
        <w:noBreakHyphen/>
        <w:t>66 (CanLII);</w:t>
      </w:r>
      <w:r w:rsidR="005770C1">
        <w:t xml:space="preserve"> </w:t>
      </w:r>
      <w:r w:rsidRPr="005661D7">
        <w:rPr>
          <w:i/>
          <w:iCs/>
        </w:rPr>
        <w:t>Reid c. Criminal Injuries Compensation Board</w:t>
      </w:r>
      <w:r w:rsidRPr="005661D7">
        <w:t>, 2015</w:t>
      </w:r>
      <w:r w:rsidR="005A4D47">
        <w:t xml:space="preserve"> </w:t>
      </w:r>
      <w:r w:rsidRPr="005661D7">
        <w:t>ONSC</w:t>
      </w:r>
      <w:r w:rsidR="005A4D47">
        <w:t xml:space="preserve"> </w:t>
      </w:r>
      <w:r w:rsidRPr="005661D7">
        <w:t>6578;</w:t>
      </w:r>
      <w:r w:rsidR="005A4D47">
        <w:t xml:space="preserve"> </w:t>
      </w:r>
      <w:r w:rsidRPr="005661D7">
        <w:rPr>
          <w:i/>
          <w:iCs/>
        </w:rPr>
        <w:t>Lloyd c. Canada (Procureur général)</w:t>
      </w:r>
      <w:r w:rsidRPr="005661D7">
        <w:t>, 2016</w:t>
      </w:r>
      <w:r w:rsidR="005A4D47">
        <w:t xml:space="preserve"> </w:t>
      </w:r>
      <w:r w:rsidRPr="005661D7">
        <w:t>CAF</w:t>
      </w:r>
      <w:r w:rsidR="005A4D47">
        <w:t xml:space="preserve"> </w:t>
      </w:r>
      <w:r w:rsidRPr="005661D7">
        <w:t>115;</w:t>
      </w:r>
      <w:r w:rsidR="005A4D47">
        <w:t xml:space="preserve"> </w:t>
      </w:r>
      <w:r w:rsidRPr="005661D7">
        <w:rPr>
          <w:i/>
          <w:iCs/>
        </w:rPr>
        <w:t>Taman c. Canada (Procureur général)</w:t>
      </w:r>
      <w:r w:rsidRPr="005661D7">
        <w:t>, 2017</w:t>
      </w:r>
      <w:r w:rsidR="005A4D47">
        <w:t xml:space="preserve"> </w:t>
      </w:r>
      <w:r w:rsidRPr="005661D7">
        <w:t>CAF</w:t>
      </w:r>
      <w:r w:rsidR="005A4D47">
        <w:t xml:space="preserve"> </w:t>
      </w:r>
      <w:r w:rsidRPr="005661D7">
        <w:t>1, [2017] 3</w:t>
      </w:r>
      <w:r w:rsidR="005A4D47">
        <w:t xml:space="preserve"> </w:t>
      </w:r>
      <w:r w:rsidRPr="005661D7">
        <w:t>R.C.F.</w:t>
      </w:r>
      <w:r w:rsidR="005A4D47">
        <w:t xml:space="preserve"> </w:t>
      </w:r>
      <w:r w:rsidRPr="005661D7">
        <w:t>520, par.</w:t>
      </w:r>
      <w:r w:rsidR="005A4D47">
        <w:t xml:space="preserve"> </w:t>
      </w:r>
      <w:r w:rsidRPr="005661D7">
        <w:t>47).</w:t>
      </w:r>
    </w:p>
    <w:p w14:paraId="2D884A8F" w14:textId="77777777" w:rsidR="00754674" w:rsidRDefault="005661D7" w:rsidP="00754674">
      <w:pPr>
        <w:pStyle w:val="Citationenretrait"/>
      </w:pPr>
      <w:r w:rsidRPr="005661D7">
        <w:t>[</w:t>
      </w:r>
      <w:bookmarkStart w:id="41" w:name="par104"/>
      <w:r w:rsidRPr="005661D7">
        <w:t>104</w:t>
      </w:r>
      <w:bookmarkEnd w:id="41"/>
      <w:r w:rsidRPr="005661D7">
        <w:t>]</w:t>
      </w:r>
      <w:r w:rsidR="00754674">
        <w:tab/>
      </w:r>
      <w:r w:rsidRPr="005661D7">
        <w:t xml:space="preserve">De même, la logique interne d’une décision peut également être remise en question </w:t>
      </w:r>
      <w:r w:rsidRPr="005661D7">
        <w:rPr>
          <w:u w:val="single"/>
        </w:rPr>
        <w:t>lorsque les motifs sont entachés d’erreurs manifestes sur le plan rationnel</w:t>
      </w:r>
      <w:r w:rsidRPr="005661D7">
        <w:t xml:space="preserve"> — comme lorsque le décideur a suivi un raisonnement tautologique </w:t>
      </w:r>
      <w:r w:rsidRPr="005661D7">
        <w:rPr>
          <w:u w:val="single"/>
        </w:rPr>
        <w:t>ou a recouru à de faux dilemmes, à des généralisations non fondées</w:t>
      </w:r>
      <w:r w:rsidRPr="005661D7">
        <w:t xml:space="preserve"> ou à une prémisse absurde. Il ne s’agit pas d’inviter la cour de révision à assujettir les décideurs administratifs à des contraintes formalistes ou aux normes auxquelles sont astreints des logiciens érudits. Toutefois, la cour de révision doit être convaincue que le raisonnement du décideur « se tient »</w:t>
      </w:r>
      <w:r>
        <w:t>.</w:t>
      </w:r>
    </w:p>
    <w:p w14:paraId="3D797216" w14:textId="366F791D" w:rsidR="005661D7" w:rsidRPr="00F5447F" w:rsidRDefault="00754674" w:rsidP="00754674">
      <w:pPr>
        <w:pStyle w:val="Citationenretrait"/>
        <w:tabs>
          <w:tab w:val="right" w:pos="8640"/>
        </w:tabs>
      </w:pPr>
      <w:r>
        <w:tab/>
      </w:r>
      <w:r w:rsidR="005661D7">
        <w:t>[</w:t>
      </w:r>
      <w:r>
        <w:t>S</w:t>
      </w:r>
      <w:r w:rsidR="005661D7">
        <w:t>oulignements ajoutés]</w:t>
      </w:r>
    </w:p>
    <w:p w14:paraId="54EF40B6" w14:textId="1E8B7E33" w:rsidR="00B45686" w:rsidRDefault="0003621F" w:rsidP="00120160">
      <w:pPr>
        <w:pStyle w:val="Paragraphe"/>
        <w:tabs>
          <w:tab w:val="clear" w:pos="2204"/>
        </w:tabs>
        <w:spacing w:line="240" w:lineRule="auto"/>
        <w:ind w:left="0"/>
        <w:rPr>
          <w:rFonts w:cs="Arial"/>
        </w:rPr>
      </w:pPr>
      <w:r>
        <w:rPr>
          <w:rFonts w:cs="Arial"/>
        </w:rPr>
        <w:t>De ces passages, o</w:t>
      </w:r>
      <w:r w:rsidR="00B45686">
        <w:rPr>
          <w:rFonts w:cs="Arial"/>
        </w:rPr>
        <w:t>n constate que l’approche que préconisait déjà la Cour suprême dans des arrêts plus anciens, notamment d</w:t>
      </w:r>
      <w:r w:rsidR="00220321">
        <w:rPr>
          <w:rFonts w:cs="Arial"/>
        </w:rPr>
        <w:t>epuis</w:t>
      </w:r>
      <w:r w:rsidR="00B45686">
        <w:rPr>
          <w:rFonts w:cs="Arial"/>
        </w:rPr>
        <w:t xml:space="preserve"> </w:t>
      </w:r>
      <w:r w:rsidR="00B45686" w:rsidRPr="00B45686">
        <w:rPr>
          <w:rFonts w:cs="Arial"/>
          <w:i/>
          <w:iCs/>
        </w:rPr>
        <w:t>Baker</w:t>
      </w:r>
      <w:r w:rsidR="00B45686" w:rsidRPr="0003621F">
        <w:rPr>
          <w:rStyle w:val="Appelnotedebasdep"/>
          <w:rFonts w:cs="Arial"/>
        </w:rPr>
        <w:footnoteReference w:id="57"/>
      </w:r>
      <w:r>
        <w:rPr>
          <w:rFonts w:cs="Arial"/>
        </w:rPr>
        <w:t>, réitérée</w:t>
      </w:r>
      <w:r w:rsidR="003C473A">
        <w:rPr>
          <w:rFonts w:cs="Arial"/>
        </w:rPr>
        <w:t xml:space="preserve"> en substance</w:t>
      </w:r>
      <w:r>
        <w:rPr>
          <w:rFonts w:cs="Arial"/>
        </w:rPr>
        <w:t xml:space="preserve"> dan</w:t>
      </w:r>
      <w:r w:rsidRPr="0003621F">
        <w:rPr>
          <w:rFonts w:cs="Arial"/>
        </w:rPr>
        <w:t xml:space="preserve">s </w:t>
      </w:r>
      <w:r>
        <w:rPr>
          <w:rFonts w:cs="Arial"/>
          <w:i/>
          <w:iCs/>
        </w:rPr>
        <w:t>Dunsmuir</w:t>
      </w:r>
      <w:bookmarkStart w:id="42" w:name="_Ref194175030"/>
      <w:r w:rsidRPr="0003621F">
        <w:rPr>
          <w:rStyle w:val="Appelnotedebasdep"/>
          <w:rFonts w:cs="Arial"/>
        </w:rPr>
        <w:footnoteReference w:id="58"/>
      </w:r>
      <w:bookmarkEnd w:id="42"/>
      <w:r w:rsidR="00B45686">
        <w:rPr>
          <w:rFonts w:cs="Arial"/>
        </w:rPr>
        <w:t xml:space="preserve">, se </w:t>
      </w:r>
      <w:r>
        <w:rPr>
          <w:rFonts w:cs="Arial"/>
        </w:rPr>
        <w:t xml:space="preserve">poursuit; elle </w:t>
      </w:r>
      <w:r w:rsidR="00B45686">
        <w:rPr>
          <w:rFonts w:cs="Arial"/>
        </w:rPr>
        <w:t xml:space="preserve">s’inscrit </w:t>
      </w:r>
      <w:r>
        <w:rPr>
          <w:rFonts w:cs="Arial"/>
        </w:rPr>
        <w:t xml:space="preserve">d’ailleurs </w:t>
      </w:r>
      <w:r w:rsidR="00B45686">
        <w:rPr>
          <w:rFonts w:cs="Arial"/>
        </w:rPr>
        <w:t xml:space="preserve">dans le droit-fil de l’attitude de retenue judiciaire </w:t>
      </w:r>
      <w:r>
        <w:rPr>
          <w:rFonts w:cs="Arial"/>
        </w:rPr>
        <w:t>qui imprègne l</w:t>
      </w:r>
      <w:r w:rsidR="00D95C58">
        <w:rPr>
          <w:rFonts w:cs="Arial"/>
        </w:rPr>
        <w:t xml:space="preserve">a cour de révision </w:t>
      </w:r>
      <w:r w:rsidR="00220321">
        <w:rPr>
          <w:rFonts w:cs="Arial"/>
        </w:rPr>
        <w:t>dans le re</w:t>
      </w:r>
      <w:r w:rsidR="00B45686">
        <w:rPr>
          <w:rFonts w:cs="Arial"/>
        </w:rPr>
        <w:t xml:space="preserve">gard </w:t>
      </w:r>
      <w:r w:rsidR="00220321">
        <w:rPr>
          <w:rFonts w:cs="Arial"/>
        </w:rPr>
        <w:t>qu’</w:t>
      </w:r>
      <w:r w:rsidR="00D95C58">
        <w:rPr>
          <w:rFonts w:cs="Arial"/>
        </w:rPr>
        <w:t>e</w:t>
      </w:r>
      <w:r w:rsidR="00220321">
        <w:rPr>
          <w:rFonts w:cs="Arial"/>
        </w:rPr>
        <w:t>l</w:t>
      </w:r>
      <w:r w:rsidR="00D95C58">
        <w:rPr>
          <w:rFonts w:cs="Arial"/>
        </w:rPr>
        <w:t>le</w:t>
      </w:r>
      <w:r w:rsidR="00220321">
        <w:rPr>
          <w:rFonts w:cs="Arial"/>
        </w:rPr>
        <w:t xml:space="preserve"> pose sur </w:t>
      </w:r>
      <w:r>
        <w:rPr>
          <w:rFonts w:cs="Arial"/>
        </w:rPr>
        <w:t>une décisi</w:t>
      </w:r>
      <w:r w:rsidR="00B45686">
        <w:rPr>
          <w:rFonts w:cs="Arial"/>
        </w:rPr>
        <w:t>on sous analyse</w:t>
      </w:r>
      <w:r w:rsidR="00220321">
        <w:rPr>
          <w:rFonts w:cs="Arial"/>
        </w:rPr>
        <w:t xml:space="preserve">. Le tribunal </w:t>
      </w:r>
      <w:r w:rsidR="00192006">
        <w:rPr>
          <w:rFonts w:cs="Arial"/>
        </w:rPr>
        <w:t xml:space="preserve">doit </w:t>
      </w:r>
      <w:r w:rsidR="00D95C58">
        <w:rPr>
          <w:rFonts w:cs="Arial"/>
        </w:rPr>
        <w:t>porte</w:t>
      </w:r>
      <w:r w:rsidR="00192006">
        <w:rPr>
          <w:rFonts w:cs="Arial"/>
        </w:rPr>
        <w:t>r</w:t>
      </w:r>
      <w:r w:rsidR="00D95C58">
        <w:rPr>
          <w:rFonts w:cs="Arial"/>
        </w:rPr>
        <w:t xml:space="preserve"> </w:t>
      </w:r>
      <w:r w:rsidR="003C473A">
        <w:rPr>
          <w:rFonts w:cs="Arial"/>
        </w:rPr>
        <w:t>une attention respectueuse des motifs donnés</w:t>
      </w:r>
      <w:r w:rsidR="003C473A">
        <w:rPr>
          <w:rStyle w:val="Appelnotedebasdep"/>
          <w:rFonts w:cs="Arial"/>
        </w:rPr>
        <w:footnoteReference w:id="59"/>
      </w:r>
      <w:r w:rsidR="00E401A3">
        <w:rPr>
          <w:rFonts w:cs="Arial"/>
        </w:rPr>
        <w:t xml:space="preserve"> et </w:t>
      </w:r>
      <w:r w:rsidR="00220321">
        <w:rPr>
          <w:rFonts w:cs="Arial"/>
        </w:rPr>
        <w:t>tient compte</w:t>
      </w:r>
      <w:r w:rsidR="00E401A3">
        <w:rPr>
          <w:rFonts w:cs="Arial"/>
        </w:rPr>
        <w:t>, si applicable, d</w:t>
      </w:r>
      <w:r w:rsidR="00220321">
        <w:rPr>
          <w:rFonts w:cs="Arial"/>
        </w:rPr>
        <w:t>e son</w:t>
      </w:r>
      <w:r w:rsidR="00E401A3">
        <w:rPr>
          <w:rFonts w:cs="Arial"/>
        </w:rPr>
        <w:t xml:space="preserve"> contexte historique</w:t>
      </w:r>
      <w:r w:rsidR="00B45686">
        <w:rPr>
          <w:rFonts w:cs="Arial"/>
        </w:rPr>
        <w:t>.</w:t>
      </w:r>
    </w:p>
    <w:p w14:paraId="6C21A80A" w14:textId="3064C321" w:rsidR="00192006" w:rsidRDefault="00E401A3" w:rsidP="00120160">
      <w:pPr>
        <w:pStyle w:val="Paragraphe"/>
        <w:tabs>
          <w:tab w:val="clear" w:pos="2204"/>
        </w:tabs>
        <w:spacing w:line="240" w:lineRule="auto"/>
        <w:ind w:left="0"/>
        <w:rPr>
          <w:rFonts w:cs="Arial"/>
        </w:rPr>
      </w:pPr>
      <w:r>
        <w:rPr>
          <w:rFonts w:cs="Arial"/>
        </w:rPr>
        <w:t xml:space="preserve">L’analyse à laquelle se livre le tribunal qui contrôle la légalité </w:t>
      </w:r>
      <w:r w:rsidR="00363BF4">
        <w:rPr>
          <w:rFonts w:cs="Arial"/>
        </w:rPr>
        <w:t xml:space="preserve">d’une décision </w:t>
      </w:r>
      <w:r w:rsidR="00192006">
        <w:rPr>
          <w:rFonts w:cs="Arial"/>
        </w:rPr>
        <w:t xml:space="preserve">selon la norme de la décision raisonnable </w:t>
      </w:r>
      <w:r>
        <w:rPr>
          <w:rFonts w:cs="Arial"/>
        </w:rPr>
        <w:t xml:space="preserve">se veut </w:t>
      </w:r>
      <w:r w:rsidRPr="00E401A3">
        <w:rPr>
          <w:rFonts w:cs="Arial"/>
          <w:i/>
          <w:iCs/>
        </w:rPr>
        <w:t>rigoureuse</w:t>
      </w:r>
      <w:r w:rsidRPr="006B4AED">
        <w:rPr>
          <w:rStyle w:val="Appelnotedebasdep"/>
          <w:rFonts w:cs="Arial"/>
        </w:rPr>
        <w:footnoteReference w:id="60"/>
      </w:r>
      <w:r>
        <w:rPr>
          <w:rFonts w:cs="Arial"/>
        </w:rPr>
        <w:t>.</w:t>
      </w:r>
      <w:r w:rsidR="007F129F">
        <w:rPr>
          <w:rFonts w:cs="Arial"/>
        </w:rPr>
        <w:t xml:space="preserve"> La Cour suprême ne définit pas ce vocable, mais on devrait en comprendre qu’il s’agit d’</w:t>
      </w:r>
      <w:r w:rsidR="00187C1A">
        <w:rPr>
          <w:rFonts w:cs="Arial"/>
        </w:rPr>
        <w:t xml:space="preserve">une </w:t>
      </w:r>
      <w:r w:rsidR="007F129F">
        <w:rPr>
          <w:rFonts w:cs="Arial"/>
        </w:rPr>
        <w:t>indication selon l</w:t>
      </w:r>
      <w:r w:rsidR="00187C1A">
        <w:rPr>
          <w:rFonts w:cs="Arial"/>
        </w:rPr>
        <w:t>a</w:t>
      </w:r>
      <w:r w:rsidR="007F129F">
        <w:rPr>
          <w:rFonts w:cs="Arial"/>
        </w:rPr>
        <w:t xml:space="preserve">quelle le tribunal réviseur doit appliquer </w:t>
      </w:r>
      <w:r w:rsidR="00010C27">
        <w:rPr>
          <w:rFonts w:cs="Arial"/>
        </w:rPr>
        <w:t>scrupuleusement et de manière attentive</w:t>
      </w:r>
      <w:r w:rsidR="007F129F">
        <w:rPr>
          <w:rFonts w:cs="Arial"/>
        </w:rPr>
        <w:t xml:space="preserve"> la méthode d’analyse de </w:t>
      </w:r>
      <w:r w:rsidR="00363BF4">
        <w:rPr>
          <w:rFonts w:cs="Arial"/>
        </w:rPr>
        <w:t>l’arrêt</w:t>
      </w:r>
      <w:r w:rsidR="007F129F">
        <w:rPr>
          <w:rFonts w:cs="Arial"/>
        </w:rPr>
        <w:t xml:space="preserve"> </w:t>
      </w:r>
      <w:r w:rsidR="007F129F" w:rsidRPr="007F129F">
        <w:rPr>
          <w:rFonts w:cs="Arial"/>
          <w:i/>
          <w:iCs/>
        </w:rPr>
        <w:t>Vavilov</w:t>
      </w:r>
      <w:r w:rsidR="007F129F">
        <w:rPr>
          <w:rFonts w:cs="Arial"/>
        </w:rPr>
        <w:t xml:space="preserve"> et ne rien négliger des directives qui s’y trouvent</w:t>
      </w:r>
      <w:r w:rsidR="00D95C58">
        <w:rPr>
          <w:rFonts w:cs="Arial"/>
        </w:rPr>
        <w:t>, notamment en matière de grande retenue judiciaire qui ne cède le pas qu’en présence d’une décision injustifiée et déraisonnable.</w:t>
      </w:r>
    </w:p>
    <w:p w14:paraId="07E5F3A0" w14:textId="5E706D05" w:rsidR="00192006" w:rsidRPr="00CE2175" w:rsidRDefault="00D95C58" w:rsidP="00120160">
      <w:pPr>
        <w:pStyle w:val="Paragraphe"/>
        <w:tabs>
          <w:tab w:val="clear" w:pos="2204"/>
        </w:tabs>
        <w:spacing w:line="240" w:lineRule="auto"/>
        <w:ind w:left="0"/>
        <w:rPr>
          <w:rFonts w:cs="Arial"/>
        </w:rPr>
      </w:pPr>
      <w:r w:rsidRPr="00CE2175">
        <w:rPr>
          <w:rFonts w:cs="Arial"/>
        </w:rPr>
        <w:t xml:space="preserve">Autrement dit, le tribunal réviseur doit </w:t>
      </w:r>
      <w:r w:rsidR="008A0E2B" w:rsidRPr="00CE2175">
        <w:rPr>
          <w:rFonts w:cs="Arial"/>
        </w:rPr>
        <w:t xml:space="preserve">garder en tête l’origine et la raison d’être du pouvoir de contrôle et de surveillance des cours supérieures. Il doit </w:t>
      </w:r>
      <w:r w:rsidRPr="00CE2175">
        <w:rPr>
          <w:rFonts w:cs="Arial"/>
        </w:rPr>
        <w:t>résister</w:t>
      </w:r>
      <w:r w:rsidR="008A0E2B" w:rsidRPr="00CE2175">
        <w:rPr>
          <w:rFonts w:cs="Arial"/>
        </w:rPr>
        <w:t xml:space="preserve"> fermement</w:t>
      </w:r>
      <w:r w:rsidRPr="00CE2175">
        <w:rPr>
          <w:rFonts w:cs="Arial"/>
        </w:rPr>
        <w:t xml:space="preserve"> à la tentation d’exercer la compétence que le législateur confère au décideur administratif</w:t>
      </w:r>
      <w:r w:rsidR="001E6D67" w:rsidRPr="00CE2175">
        <w:rPr>
          <w:rFonts w:cs="Arial"/>
        </w:rPr>
        <w:t xml:space="preserve">, </w:t>
      </w:r>
      <w:r w:rsidR="005E7532" w:rsidRPr="00CE2175">
        <w:rPr>
          <w:rFonts w:cs="Arial"/>
        </w:rPr>
        <w:t>se gard</w:t>
      </w:r>
      <w:r w:rsidR="001E6D67" w:rsidRPr="00CE2175">
        <w:rPr>
          <w:rFonts w:cs="Arial"/>
        </w:rPr>
        <w:t>er</w:t>
      </w:r>
      <w:r w:rsidR="005E7532" w:rsidRPr="00CE2175">
        <w:rPr>
          <w:rFonts w:cs="Arial"/>
        </w:rPr>
        <w:t xml:space="preserve"> de rendre la décision qu’il aurait préféré voir celle d</w:t>
      </w:r>
      <w:r w:rsidR="00192006" w:rsidRPr="00CE2175">
        <w:rPr>
          <w:rFonts w:cs="Arial"/>
        </w:rPr>
        <w:t>e</w:t>
      </w:r>
      <w:r w:rsidR="005E7532" w:rsidRPr="00CE2175">
        <w:rPr>
          <w:rFonts w:cs="Arial"/>
        </w:rPr>
        <w:t xml:space="preserve"> </w:t>
      </w:r>
      <w:r w:rsidR="00192006" w:rsidRPr="00CE2175">
        <w:rPr>
          <w:rFonts w:cs="Arial"/>
        </w:rPr>
        <w:t>ce</w:t>
      </w:r>
      <w:r w:rsidR="00010C27" w:rsidRPr="00CE2175">
        <w:rPr>
          <w:rFonts w:cs="Arial"/>
        </w:rPr>
        <w:t xml:space="preserve">tte instance </w:t>
      </w:r>
      <w:r w:rsidR="001E6D67" w:rsidRPr="00CE2175">
        <w:rPr>
          <w:rFonts w:cs="Arial"/>
        </w:rPr>
        <w:t>et</w:t>
      </w:r>
      <w:r w:rsidR="005E7532" w:rsidRPr="00CE2175">
        <w:rPr>
          <w:rFonts w:cs="Arial"/>
        </w:rPr>
        <w:t xml:space="preserve"> se rappel</w:t>
      </w:r>
      <w:r w:rsidR="001E6D67" w:rsidRPr="00CE2175">
        <w:rPr>
          <w:rFonts w:cs="Arial"/>
        </w:rPr>
        <w:t>er</w:t>
      </w:r>
      <w:r w:rsidR="005E7532" w:rsidRPr="00CE2175">
        <w:rPr>
          <w:rFonts w:cs="Arial"/>
        </w:rPr>
        <w:t xml:space="preserve"> qu’il en contrôle la légalité, non son caractère approprié</w:t>
      </w:r>
      <w:r w:rsidRPr="00CE2175">
        <w:rPr>
          <w:rFonts w:cs="Arial"/>
        </w:rPr>
        <w:t xml:space="preserve">. </w:t>
      </w:r>
      <w:r w:rsidR="008A0E2B" w:rsidRPr="00CE2175">
        <w:rPr>
          <w:rFonts w:cs="Arial"/>
        </w:rPr>
        <w:t xml:space="preserve">La décision administrative ne s’avère peut-être pas la meilleure aux yeux du tribunal réviseur, mais, si elle </w:t>
      </w:r>
      <w:r w:rsidR="00363BF4">
        <w:rPr>
          <w:rFonts w:cs="Arial"/>
        </w:rPr>
        <w:t>est</w:t>
      </w:r>
      <w:r w:rsidR="008A0E2B" w:rsidRPr="00CE2175">
        <w:rPr>
          <w:rFonts w:cs="Arial"/>
        </w:rPr>
        <w:t xml:space="preserve"> néanmoins raisonnable, elle demeure légale et le tribunal ne peut l’annuler.</w:t>
      </w:r>
      <w:r w:rsidR="00CE2175" w:rsidRPr="00CE2175">
        <w:rPr>
          <w:rFonts w:cs="Arial"/>
        </w:rPr>
        <w:t xml:space="preserve"> </w:t>
      </w:r>
      <w:r w:rsidR="00192006" w:rsidRPr="00CE2175">
        <w:rPr>
          <w:rFonts w:cs="Arial"/>
        </w:rPr>
        <w:t xml:space="preserve">Il peut </w:t>
      </w:r>
      <w:r w:rsidR="007F5968">
        <w:rPr>
          <w:rFonts w:cs="Arial"/>
        </w:rPr>
        <w:t>sembler</w:t>
      </w:r>
      <w:r w:rsidR="00192006" w:rsidRPr="00CE2175">
        <w:rPr>
          <w:rFonts w:cs="Arial"/>
        </w:rPr>
        <w:t xml:space="preserve"> contre-intuitif pour un juge de retenir </w:t>
      </w:r>
      <w:r w:rsidR="00747E3D">
        <w:rPr>
          <w:rFonts w:cs="Arial"/>
        </w:rPr>
        <w:t>l’</w:t>
      </w:r>
      <w:r w:rsidR="00192006" w:rsidRPr="00CE2175">
        <w:rPr>
          <w:rFonts w:cs="Arial"/>
        </w:rPr>
        <w:t>intervention judiciaire</w:t>
      </w:r>
      <w:r w:rsidR="00747E3D">
        <w:rPr>
          <w:rFonts w:cs="Arial"/>
        </w:rPr>
        <w:t xml:space="preserve"> de la Cour</w:t>
      </w:r>
      <w:r w:rsidR="00192006" w:rsidRPr="00CE2175">
        <w:rPr>
          <w:rFonts w:cs="Arial"/>
        </w:rPr>
        <w:t xml:space="preserve"> en présence d’une décision </w:t>
      </w:r>
      <w:r w:rsidR="00C23D94">
        <w:rPr>
          <w:rFonts w:cs="Arial"/>
        </w:rPr>
        <w:t>défectueuse</w:t>
      </w:r>
      <w:r w:rsidR="00010C27" w:rsidRPr="00CE2175">
        <w:rPr>
          <w:rFonts w:cs="Arial"/>
        </w:rPr>
        <w:t xml:space="preserve"> mais qui </w:t>
      </w:r>
      <w:r w:rsidR="00363BF4">
        <w:rPr>
          <w:rFonts w:cs="Arial"/>
        </w:rPr>
        <w:t>se situe</w:t>
      </w:r>
      <w:r w:rsidR="00010C27" w:rsidRPr="00CE2175">
        <w:rPr>
          <w:rFonts w:cs="Arial"/>
        </w:rPr>
        <w:t xml:space="preserve"> dans le giron de la raisonnabilité</w:t>
      </w:r>
      <w:r w:rsidR="00192006" w:rsidRPr="00CE2175">
        <w:rPr>
          <w:rFonts w:cs="Arial"/>
        </w:rPr>
        <w:t>.</w:t>
      </w:r>
      <w:r w:rsidR="00745334" w:rsidRPr="00CE2175">
        <w:rPr>
          <w:rFonts w:cs="Arial"/>
        </w:rPr>
        <w:t xml:space="preserve"> Le juge réviseur doit résister résolument à la tentation d’intervenir </w:t>
      </w:r>
      <w:r w:rsidR="00192006" w:rsidRPr="00CE2175">
        <w:rPr>
          <w:rFonts w:cs="Arial"/>
        </w:rPr>
        <w:t xml:space="preserve">et ne rien changer </w:t>
      </w:r>
      <w:r w:rsidR="00203D01" w:rsidRPr="00CE2175">
        <w:rPr>
          <w:rFonts w:cs="Arial"/>
        </w:rPr>
        <w:t>à</w:t>
      </w:r>
      <w:r w:rsidR="00192006" w:rsidRPr="00CE2175">
        <w:rPr>
          <w:rFonts w:cs="Arial"/>
        </w:rPr>
        <w:t xml:space="preserve"> cette décision, </w:t>
      </w:r>
      <w:r w:rsidR="00203D01" w:rsidRPr="00CE2175">
        <w:rPr>
          <w:rFonts w:cs="Arial"/>
        </w:rPr>
        <w:t xml:space="preserve">quoiqu’il </w:t>
      </w:r>
      <w:r w:rsidR="00192006" w:rsidRPr="00CE2175">
        <w:rPr>
          <w:rFonts w:cs="Arial"/>
        </w:rPr>
        <w:t>ne l’aime pas, dans la mesure où elle demeure raisonnable.</w:t>
      </w:r>
    </w:p>
    <w:p w14:paraId="368A3E55" w14:textId="6BFAF078" w:rsidR="002223A7" w:rsidRPr="00DF4EDD" w:rsidRDefault="00B100F8" w:rsidP="00E97D22">
      <w:pPr>
        <w:pStyle w:val="Paragraphe"/>
        <w:keepNext/>
        <w:numPr>
          <w:ilvl w:val="0"/>
          <w:numId w:val="6"/>
        </w:numPr>
        <w:spacing w:line="240" w:lineRule="auto"/>
        <w:rPr>
          <w:i/>
        </w:rPr>
      </w:pPr>
      <w:r w:rsidRPr="00DF4EDD">
        <w:rPr>
          <w:i/>
        </w:rPr>
        <w:t>La troisième</w:t>
      </w:r>
      <w:r w:rsidR="005A4D47" w:rsidRPr="00DF4EDD">
        <w:rPr>
          <w:i/>
        </w:rPr>
        <w:t> :</w:t>
      </w:r>
      <w:r w:rsidRPr="00DF4EDD">
        <w:rPr>
          <w:i/>
        </w:rPr>
        <w:t xml:space="preserve"> celle de la décision correcte</w:t>
      </w:r>
    </w:p>
    <w:p w14:paraId="44864988" w14:textId="469B897E" w:rsidR="001E6E2B" w:rsidRPr="00AF1E11" w:rsidRDefault="00CF6C1C" w:rsidP="00DF4EDD">
      <w:pPr>
        <w:pStyle w:val="Paragraphe"/>
        <w:tabs>
          <w:tab w:val="clear" w:pos="2204"/>
        </w:tabs>
        <w:spacing w:line="240" w:lineRule="auto"/>
        <w:ind w:left="0"/>
        <w:rPr>
          <w:rFonts w:cs="Arial"/>
          <w:b/>
          <w:bCs/>
        </w:rPr>
      </w:pPr>
      <w:r w:rsidRPr="004930C5">
        <w:rPr>
          <w:rFonts w:cs="Arial"/>
        </w:rPr>
        <w:t xml:space="preserve">Se présentent aussi des cas </w:t>
      </w:r>
      <w:r w:rsidR="00FE499C">
        <w:rPr>
          <w:rFonts w:cs="Arial"/>
        </w:rPr>
        <w:t xml:space="preserve">plus rares </w:t>
      </w:r>
      <w:r w:rsidRPr="004930C5">
        <w:rPr>
          <w:rFonts w:cs="Arial"/>
        </w:rPr>
        <w:t xml:space="preserve">où </w:t>
      </w:r>
      <w:r w:rsidR="004930C5" w:rsidRPr="004930C5">
        <w:rPr>
          <w:rFonts w:cs="Arial"/>
        </w:rPr>
        <w:t xml:space="preserve">la primauté du droit exige l’application de la norme de la décision correcte. C’est le cas de questions </w:t>
      </w:r>
      <w:r w:rsidR="004930C5">
        <w:rPr>
          <w:rFonts w:cs="Arial"/>
        </w:rPr>
        <w:t xml:space="preserve">qui </w:t>
      </w:r>
      <w:r w:rsidR="006E6C28" w:rsidRPr="004930C5">
        <w:rPr>
          <w:rFonts w:cs="Arial"/>
        </w:rPr>
        <w:t>mérite</w:t>
      </w:r>
      <w:r w:rsidR="004930C5">
        <w:rPr>
          <w:rFonts w:cs="Arial"/>
        </w:rPr>
        <w:t>nt</w:t>
      </w:r>
      <w:r w:rsidR="006E6C28" w:rsidRPr="004930C5">
        <w:rPr>
          <w:rFonts w:cs="Arial"/>
        </w:rPr>
        <w:t xml:space="preserve"> une réponse uniforme au Canada vu </w:t>
      </w:r>
      <w:r w:rsidR="004930C5">
        <w:rPr>
          <w:rFonts w:cs="Arial"/>
        </w:rPr>
        <w:t>leur</w:t>
      </w:r>
      <w:r w:rsidR="006E6C28" w:rsidRPr="004930C5">
        <w:rPr>
          <w:rFonts w:cs="Arial"/>
        </w:rPr>
        <w:t xml:space="preserve"> importance pour le système de just</w:t>
      </w:r>
      <w:r w:rsidR="001E6E2B" w:rsidRPr="004930C5">
        <w:rPr>
          <w:rFonts w:cs="Arial"/>
        </w:rPr>
        <w:t>ice dans son ensemble. Les questions constitutionnelles requièrent une réponse sûre et aucune retenue judiciaire ne prévaut lors de l</w:t>
      </w:r>
      <w:r w:rsidR="004930C5">
        <w:rPr>
          <w:rFonts w:cs="Arial"/>
        </w:rPr>
        <w:t>’a</w:t>
      </w:r>
      <w:r w:rsidR="001E6E2B" w:rsidRPr="004930C5">
        <w:rPr>
          <w:rFonts w:cs="Arial"/>
        </w:rPr>
        <w:t>nalyse</w:t>
      </w:r>
      <w:r w:rsidR="004930C5">
        <w:rPr>
          <w:rFonts w:cs="Arial"/>
        </w:rPr>
        <w:t xml:space="preserve"> qu’en fait le premier décideur</w:t>
      </w:r>
      <w:r w:rsidR="001E6E2B" w:rsidRPr="004930C5">
        <w:rPr>
          <w:rFonts w:cs="Arial"/>
        </w:rPr>
        <w:t>. Les questions liées à ce que la Cour suprême appelle les</w:t>
      </w:r>
      <w:r w:rsidR="001E6E2B" w:rsidRPr="004930C5">
        <w:rPr>
          <w:rFonts w:cs="Arial"/>
          <w:i/>
          <w:iCs/>
        </w:rPr>
        <w:t xml:space="preserve"> </w:t>
      </w:r>
      <w:r w:rsidR="004930C5" w:rsidRPr="004930C5">
        <w:rPr>
          <w:rFonts w:cs="Arial"/>
          <w:i/>
          <w:iCs/>
        </w:rPr>
        <w:t>d</w:t>
      </w:r>
      <w:r w:rsidR="004930C5" w:rsidRPr="004930C5">
        <w:rPr>
          <w:i/>
          <w:iCs/>
          <w:color w:val="000000"/>
        </w:rPr>
        <w:t>élimitations des compétences respectives d’organismes administratifs</w:t>
      </w:r>
      <w:r w:rsidR="004930C5">
        <w:rPr>
          <w:color w:val="000000"/>
        </w:rPr>
        <w:t xml:space="preserve"> </w:t>
      </w:r>
      <w:r w:rsidR="00A92D43">
        <w:rPr>
          <w:rFonts w:cs="Arial"/>
        </w:rPr>
        <w:t>requièrent</w:t>
      </w:r>
      <w:r w:rsidR="001E6E2B" w:rsidRPr="004930C5">
        <w:rPr>
          <w:rFonts w:cs="Arial"/>
        </w:rPr>
        <w:t xml:space="preserve"> </w:t>
      </w:r>
      <w:r w:rsidR="00192006">
        <w:rPr>
          <w:rFonts w:cs="Arial"/>
        </w:rPr>
        <w:t xml:space="preserve">elles </w:t>
      </w:r>
      <w:r w:rsidR="001E6E2B" w:rsidRPr="004930C5">
        <w:rPr>
          <w:rFonts w:cs="Arial"/>
        </w:rPr>
        <w:t>aussi l’application de la norme de la décision correcte</w:t>
      </w:r>
      <w:r w:rsidR="004930C5">
        <w:rPr>
          <w:rStyle w:val="Appelnotedebasdep"/>
          <w:rFonts w:cs="Arial"/>
        </w:rPr>
        <w:footnoteReference w:id="61"/>
      </w:r>
      <w:r w:rsidR="001E6E2B" w:rsidRPr="004930C5">
        <w:rPr>
          <w:rFonts w:cs="Arial"/>
        </w:rPr>
        <w:t>.</w:t>
      </w:r>
    </w:p>
    <w:p w14:paraId="33EE26EA" w14:textId="0275BD7C" w:rsidR="00AF1E11" w:rsidRPr="002E3B8B" w:rsidRDefault="00AF1E11" w:rsidP="00DF4EDD">
      <w:pPr>
        <w:pStyle w:val="Paragraphe"/>
        <w:tabs>
          <w:tab w:val="clear" w:pos="2204"/>
        </w:tabs>
        <w:spacing w:line="240" w:lineRule="auto"/>
        <w:ind w:left="0"/>
        <w:rPr>
          <w:rFonts w:cs="Arial"/>
          <w:b/>
          <w:bCs/>
        </w:rPr>
      </w:pPr>
      <w:r>
        <w:rPr>
          <w:rFonts w:cs="Arial"/>
        </w:rPr>
        <w:t xml:space="preserve">Appliquant cette norme, le tribunal qui révise la décision n’acquiesce pas au raisonnement du décideur et entreprend plutôt sa propre analyse. S’il diverge d’opinion d’avec le premier forum, il rend </w:t>
      </w:r>
      <w:r w:rsidR="00A92D43">
        <w:rPr>
          <w:rFonts w:cs="Arial"/>
        </w:rPr>
        <w:t xml:space="preserve">alors </w:t>
      </w:r>
      <w:r>
        <w:rPr>
          <w:rFonts w:cs="Arial"/>
        </w:rPr>
        <w:t>la décision qui s’impose</w:t>
      </w:r>
      <w:r>
        <w:rPr>
          <w:rStyle w:val="Appelnotedebasdep"/>
          <w:rFonts w:cs="Arial"/>
        </w:rPr>
        <w:footnoteReference w:id="62"/>
      </w:r>
      <w:r>
        <w:rPr>
          <w:rFonts w:cs="Arial"/>
        </w:rPr>
        <w:t>.</w:t>
      </w:r>
    </w:p>
    <w:p w14:paraId="206C0EC6" w14:textId="5FFEC276" w:rsidR="002E3B8B" w:rsidRPr="00DF4EDD" w:rsidRDefault="002E3B8B" w:rsidP="002E3B8B">
      <w:pPr>
        <w:pStyle w:val="Paragraphe"/>
        <w:numPr>
          <w:ilvl w:val="0"/>
          <w:numId w:val="6"/>
        </w:numPr>
        <w:tabs>
          <w:tab w:val="num" w:pos="720"/>
        </w:tabs>
        <w:spacing w:line="240" w:lineRule="auto"/>
        <w:rPr>
          <w:i/>
        </w:rPr>
      </w:pPr>
      <w:r w:rsidRPr="00DF4EDD">
        <w:rPr>
          <w:i/>
        </w:rPr>
        <w:t>Conclusion sur la détermination de la norme d’intervention</w:t>
      </w:r>
    </w:p>
    <w:p w14:paraId="22299FCC" w14:textId="1519EB98" w:rsidR="00666E53" w:rsidRPr="008E50B4" w:rsidRDefault="00FE499C" w:rsidP="00203D01">
      <w:pPr>
        <w:pStyle w:val="Paragraphe"/>
        <w:tabs>
          <w:tab w:val="num" w:pos="720"/>
        </w:tabs>
        <w:spacing w:line="240" w:lineRule="auto"/>
        <w:ind w:left="0"/>
        <w:rPr>
          <w:b/>
          <w:bCs/>
        </w:rPr>
      </w:pPr>
      <w:r>
        <w:t>En somme, le Tribunal doit présumer que la norme de la décision raisonnable s’applique au contrôle de la légalité d’une décision administrative</w:t>
      </w:r>
      <w:r w:rsidR="00666E53">
        <w:t xml:space="preserve"> </w:t>
      </w:r>
      <w:r w:rsidR="00203D01">
        <w:t>ou quasi</w:t>
      </w:r>
      <w:r w:rsidR="009B7968">
        <w:t xml:space="preserve"> </w:t>
      </w:r>
      <w:r w:rsidR="00203D01">
        <w:t xml:space="preserve">judiciaire </w:t>
      </w:r>
      <w:r>
        <w:t xml:space="preserve">à moins que le législateur en détermine une autre ou que se présente une des exceptions que </w:t>
      </w:r>
      <w:r w:rsidR="00666E53">
        <w:t xml:space="preserve">décrit la Cour suprême dans </w:t>
      </w:r>
      <w:r w:rsidR="00666E53" w:rsidRPr="00666E53">
        <w:rPr>
          <w:i/>
          <w:iCs/>
        </w:rPr>
        <w:t>Vavilov</w:t>
      </w:r>
      <w:r w:rsidR="00203D01">
        <w:t xml:space="preserve">, lesquelles </w:t>
      </w:r>
      <w:r w:rsidR="00666E53">
        <w:t>s’avèrent de plus en plus définitives au fur et à mesure que se bâtit la jurisprudence de la Cour suprême, encore que la plus haute instance du pays laisse ouverte la possibilité d’ajouter à ces exceptions</w:t>
      </w:r>
      <w:r w:rsidR="00666E53">
        <w:rPr>
          <w:rStyle w:val="Appelnotedebasdep"/>
          <w:rFonts w:cs="Arial"/>
        </w:rPr>
        <w:footnoteReference w:id="63"/>
      </w:r>
      <w:r w:rsidR="00666E53">
        <w:t xml:space="preserve"> ou d’en découvrir de nouvelles</w:t>
      </w:r>
      <w:r w:rsidR="00192006">
        <w:t xml:space="preserve"> aux confins de l’univers du droit administratif</w:t>
      </w:r>
      <w:r w:rsidR="00666E53">
        <w:t>.</w:t>
      </w:r>
    </w:p>
    <w:p w14:paraId="18D05580" w14:textId="308DFAFB" w:rsidR="002E3B8B" w:rsidRPr="00A92D43" w:rsidRDefault="00666E53" w:rsidP="00BB091F">
      <w:pPr>
        <w:pStyle w:val="Paragraphe"/>
        <w:tabs>
          <w:tab w:val="num" w:pos="720"/>
        </w:tabs>
        <w:spacing w:line="240" w:lineRule="auto"/>
        <w:ind w:left="0"/>
        <w:rPr>
          <w:rFonts w:cs="Arial"/>
          <w:b/>
          <w:bCs/>
        </w:rPr>
      </w:pPr>
      <w:r>
        <w:rPr>
          <w:rFonts w:cs="Arial"/>
        </w:rPr>
        <w:t xml:space="preserve">Un tribunal appliquant la norme de la décision raisonnable </w:t>
      </w:r>
      <w:r w:rsidR="008E50B4">
        <w:rPr>
          <w:rFonts w:cs="Arial"/>
        </w:rPr>
        <w:t xml:space="preserve">doit se rappeler l’importante dose de retenue judiciaire qui sied à l’exercice et </w:t>
      </w:r>
      <w:r w:rsidR="006E6C28">
        <w:rPr>
          <w:rFonts w:cs="Arial"/>
        </w:rPr>
        <w:t>n’interven</w:t>
      </w:r>
      <w:r w:rsidR="002E3B8B">
        <w:rPr>
          <w:rFonts w:cs="Arial"/>
        </w:rPr>
        <w:t>ir</w:t>
      </w:r>
      <w:r w:rsidR="006E6C28">
        <w:rPr>
          <w:rFonts w:cs="Arial"/>
        </w:rPr>
        <w:t xml:space="preserve"> que sur démonstration que la</w:t>
      </w:r>
      <w:r w:rsidR="002E3B8B">
        <w:rPr>
          <w:rFonts w:cs="Arial"/>
        </w:rPr>
        <w:t xml:space="preserve"> décision</w:t>
      </w:r>
      <w:r>
        <w:rPr>
          <w:rFonts w:cs="Arial"/>
        </w:rPr>
        <w:t xml:space="preserve"> contestée s’avère déraisonnable</w:t>
      </w:r>
      <w:r w:rsidR="006E6C28">
        <w:rPr>
          <w:rFonts w:cs="Arial"/>
        </w:rPr>
        <w:t>, tenant compte des contraintes factuelles et juridiques</w:t>
      </w:r>
      <w:r w:rsidR="002E3B8B">
        <w:rPr>
          <w:rFonts w:cs="Arial"/>
        </w:rPr>
        <w:t xml:space="preserve"> qui s’imposaient au décideur</w:t>
      </w:r>
      <w:r w:rsidR="006E6C28">
        <w:rPr>
          <w:rFonts w:cs="Arial"/>
        </w:rPr>
        <w:t>.</w:t>
      </w:r>
    </w:p>
    <w:p w14:paraId="29448F7B" w14:textId="495DF633" w:rsidR="00A92D43" w:rsidRPr="00DC66DA" w:rsidRDefault="00A92D43" w:rsidP="00BB091F">
      <w:pPr>
        <w:pStyle w:val="Paragraphe"/>
        <w:tabs>
          <w:tab w:val="num" w:pos="720"/>
        </w:tabs>
        <w:spacing w:line="240" w:lineRule="auto"/>
        <w:ind w:left="0"/>
        <w:rPr>
          <w:rFonts w:cs="Arial"/>
          <w:b/>
          <w:bCs/>
        </w:rPr>
      </w:pPr>
      <w:r>
        <w:rPr>
          <w:rFonts w:cs="Arial"/>
        </w:rPr>
        <w:t>C’est l’exercice qu’il convient maintenant d’effectuer.</w:t>
      </w:r>
    </w:p>
    <w:p w14:paraId="64332355" w14:textId="77777777" w:rsidR="00BB091F" w:rsidRPr="00DF4EDD" w:rsidRDefault="00BB091F" w:rsidP="00B3444E">
      <w:pPr>
        <w:pStyle w:val="Paragraphe"/>
        <w:numPr>
          <w:ilvl w:val="0"/>
          <w:numId w:val="0"/>
        </w:numPr>
        <w:spacing w:line="240" w:lineRule="auto"/>
        <w:ind w:left="720"/>
        <w:rPr>
          <w:sz w:val="20"/>
          <w:u w:val="single"/>
        </w:rPr>
      </w:pPr>
      <w:r w:rsidRPr="00DF4EDD">
        <w:rPr>
          <w:sz w:val="20"/>
          <w:u w:val="single"/>
        </w:rPr>
        <w:t>LA DÉTERMINATION DE LA NORME DE CONTRÔLE APPLICABLE EN L’ESPÈCE</w:t>
      </w:r>
    </w:p>
    <w:p w14:paraId="7AE712D5" w14:textId="736CFB40" w:rsidR="00E31F48" w:rsidRPr="00203D01" w:rsidRDefault="00E31F48" w:rsidP="00884C23">
      <w:pPr>
        <w:pStyle w:val="Paragraphe"/>
        <w:tabs>
          <w:tab w:val="num" w:pos="720"/>
        </w:tabs>
        <w:spacing w:line="240" w:lineRule="auto"/>
        <w:ind w:left="0"/>
        <w:rPr>
          <w:b/>
          <w:bCs/>
        </w:rPr>
      </w:pPr>
      <w:r>
        <w:t xml:space="preserve">McGill </w:t>
      </w:r>
      <w:r w:rsidR="00277A38">
        <w:t>bâtit son argumentaire sur des questions constitutionnelles, lesquelles requièrent l’application de la norme de la décision correcte.</w:t>
      </w:r>
      <w:r w:rsidR="00203D01">
        <w:t xml:space="preserve"> </w:t>
      </w:r>
      <w:r w:rsidR="00277A38">
        <w:t xml:space="preserve">Elle </w:t>
      </w:r>
      <w:r>
        <w:t xml:space="preserve">affirme </w:t>
      </w:r>
      <w:r w:rsidR="00192006">
        <w:t>par ailleurs</w:t>
      </w:r>
      <w:r w:rsidR="00277A38">
        <w:t xml:space="preserve"> </w:t>
      </w:r>
      <w:r>
        <w:t xml:space="preserve">que les modifications aux Règles budgétaires ne résistent pas </w:t>
      </w:r>
      <w:r w:rsidR="00CE2175">
        <w:t xml:space="preserve">non plus </w:t>
      </w:r>
      <w:r>
        <w:t>à une analyse suivant la norme de la raisonnabilité. Sans insister à ce sujet dans son mémoire ni lors dans ses représentations écrites, ses avocat.e.s plaident lors de l’audition que la décision de la Ministre de modifier les Règles budgétaires s’avère déraisonnable et illégale puisqu’elle aurait outrepassé ses pouvoirs et se serait fondée sur des prémisses erronées et viciées</w:t>
      </w:r>
      <w:r>
        <w:rPr>
          <w:rStyle w:val="Appelnotedebasdep"/>
        </w:rPr>
        <w:footnoteReference w:id="64"/>
      </w:r>
      <w:r>
        <w:t>.</w:t>
      </w:r>
    </w:p>
    <w:p w14:paraId="52923BA9" w14:textId="185AC914" w:rsidR="00F7522A" w:rsidRDefault="00E31F48" w:rsidP="00F7522A">
      <w:pPr>
        <w:pStyle w:val="Paragraphe"/>
        <w:tabs>
          <w:tab w:val="num" w:pos="720"/>
        </w:tabs>
        <w:spacing w:line="240" w:lineRule="auto"/>
        <w:ind w:left="0"/>
        <w:rPr>
          <w:rFonts w:cs="Arial"/>
        </w:rPr>
      </w:pPr>
      <w:r>
        <w:rPr>
          <w:rFonts w:cs="Arial"/>
        </w:rPr>
        <w:t xml:space="preserve">Concordia, pour sa part, opine que la </w:t>
      </w:r>
      <w:r>
        <w:t xml:space="preserve">nature juridique des Règles budgétaires importe peu puisque le cadre d’analyse applicable ne dépendrait pas de cette qualification. Les </w:t>
      </w:r>
      <w:r w:rsidR="00093E77" w:rsidRPr="00093E77">
        <w:t>R</w:t>
      </w:r>
      <w:r>
        <w:t>ègles budgétaires seraient le</w:t>
      </w:r>
      <w:r w:rsidR="00A34002">
        <w:t xml:space="preserve"> </w:t>
      </w:r>
      <w:r>
        <w:t>fruit</w:t>
      </w:r>
      <w:r w:rsidR="00A34002">
        <w:t xml:space="preserve"> </w:t>
      </w:r>
      <w:r>
        <w:t xml:space="preserve">d’une décision administrative discrétionnaire et cela suffirait pour enclencher l’obligation de la Ministre d’effectuer une mise en balance proportionnée des objectifs législatifs et des droits et valeurs de la </w:t>
      </w:r>
      <w:r>
        <w:rPr>
          <w:i/>
          <w:iCs/>
        </w:rPr>
        <w:t>Charte</w:t>
      </w:r>
      <w:r w:rsidR="00277A38">
        <w:rPr>
          <w:i/>
          <w:iCs/>
        </w:rPr>
        <w:t xml:space="preserve"> canadienne</w:t>
      </w:r>
      <w:r>
        <w:rPr>
          <w:i/>
          <w:iCs/>
        </w:rPr>
        <w:t xml:space="preserve"> </w:t>
      </w:r>
      <w:r>
        <w:t xml:space="preserve">qui sont en jeu. </w:t>
      </w:r>
      <w:r w:rsidR="00F7522A">
        <w:rPr>
          <w:rFonts w:cs="Arial"/>
        </w:rPr>
        <w:t xml:space="preserve">Elle réfère le Tribunal avec insistance à la décision rendue dans l’affaire </w:t>
      </w:r>
      <w:r w:rsidR="00F7522A" w:rsidRPr="0081266E">
        <w:rPr>
          <w:rFonts w:cs="Arial"/>
          <w:i/>
          <w:iCs/>
        </w:rPr>
        <w:t>Forum des maires de la</w:t>
      </w:r>
      <w:r w:rsidR="00F7522A">
        <w:rPr>
          <w:rFonts w:cs="Arial"/>
        </w:rPr>
        <w:t xml:space="preserve"> </w:t>
      </w:r>
      <w:r w:rsidR="00F7522A" w:rsidRPr="009633E7">
        <w:rPr>
          <w:rFonts w:cs="Arial"/>
          <w:i/>
          <w:iCs/>
        </w:rPr>
        <w:t>Péninsule acadienne inc</w:t>
      </w:r>
      <w:r w:rsidR="00F7522A">
        <w:rPr>
          <w:rFonts w:cs="Arial"/>
        </w:rPr>
        <w:t xml:space="preserve">. c. </w:t>
      </w:r>
      <w:r w:rsidR="00F7522A" w:rsidRPr="009633E7">
        <w:rPr>
          <w:rFonts w:cs="Arial"/>
          <w:i/>
          <w:iCs/>
        </w:rPr>
        <w:t xml:space="preserve">Ministre de la </w:t>
      </w:r>
      <w:r w:rsidR="004B6DA6">
        <w:rPr>
          <w:rFonts w:cs="Arial"/>
          <w:i/>
          <w:iCs/>
        </w:rPr>
        <w:t>J</w:t>
      </w:r>
      <w:r w:rsidR="00F7522A" w:rsidRPr="009633E7">
        <w:rPr>
          <w:rFonts w:cs="Arial"/>
          <w:i/>
          <w:iCs/>
        </w:rPr>
        <w:t xml:space="preserve">ustice et de la </w:t>
      </w:r>
      <w:r w:rsidR="004B6DA6">
        <w:rPr>
          <w:rFonts w:cs="Arial"/>
          <w:i/>
          <w:iCs/>
        </w:rPr>
        <w:t>S</w:t>
      </w:r>
      <w:r w:rsidR="00F7522A" w:rsidRPr="009633E7">
        <w:rPr>
          <w:rFonts w:cs="Arial"/>
          <w:i/>
          <w:iCs/>
        </w:rPr>
        <w:t>écurité publique</w:t>
      </w:r>
      <w:r w:rsidR="00F7522A">
        <w:rPr>
          <w:rStyle w:val="Appelnotedebasdep"/>
          <w:rFonts w:cs="Arial"/>
        </w:rPr>
        <w:footnoteReference w:id="65"/>
      </w:r>
      <w:r w:rsidR="00CE2175">
        <w:rPr>
          <w:rFonts w:cs="Arial"/>
        </w:rPr>
        <w:t>. Dans ce</w:t>
      </w:r>
      <w:r w:rsidR="007F5968">
        <w:rPr>
          <w:rFonts w:cs="Arial"/>
        </w:rPr>
        <w:t xml:space="preserve"> cas</w:t>
      </w:r>
      <w:r w:rsidR="00CE2175">
        <w:rPr>
          <w:rFonts w:cs="Arial"/>
        </w:rPr>
        <w:t xml:space="preserve">, </w:t>
      </w:r>
      <w:r w:rsidR="009633E7">
        <w:rPr>
          <w:rFonts w:cs="Arial"/>
        </w:rPr>
        <w:t>le ministre de la Justice du Nouveau</w:t>
      </w:r>
      <w:r w:rsidR="002C51B6">
        <w:rPr>
          <w:rFonts w:cs="Arial"/>
        </w:rPr>
        <w:noBreakHyphen/>
      </w:r>
      <w:r w:rsidR="009633E7">
        <w:rPr>
          <w:rFonts w:cs="Arial"/>
        </w:rPr>
        <w:t xml:space="preserve">Brunswick avait décidé de </w:t>
      </w:r>
      <w:r w:rsidR="00E00BFB">
        <w:rPr>
          <w:rFonts w:cs="Arial"/>
        </w:rPr>
        <w:t xml:space="preserve">remanier la desserte de </w:t>
      </w:r>
      <w:r w:rsidR="009633E7">
        <w:rPr>
          <w:rFonts w:cs="Arial"/>
        </w:rPr>
        <w:t xml:space="preserve">certains points de service de justice. Concordia insiste </w:t>
      </w:r>
      <w:r w:rsidR="00F7522A">
        <w:rPr>
          <w:rFonts w:cs="Arial"/>
        </w:rPr>
        <w:t xml:space="preserve">plus particulièrement </w:t>
      </w:r>
      <w:r w:rsidR="009633E7">
        <w:rPr>
          <w:rFonts w:cs="Arial"/>
        </w:rPr>
        <w:t xml:space="preserve">sur les </w:t>
      </w:r>
      <w:r w:rsidR="00F7522A">
        <w:rPr>
          <w:rFonts w:cs="Arial"/>
        </w:rPr>
        <w:t>passages suivants :</w:t>
      </w:r>
    </w:p>
    <w:p w14:paraId="1643E87B" w14:textId="7F65183D" w:rsidR="00F7522A" w:rsidRPr="00F7522A" w:rsidRDefault="00F7522A" w:rsidP="00217126">
      <w:pPr>
        <w:pStyle w:val="Citationenretrait"/>
        <w:rPr>
          <w:rFonts w:ascii="Times New Roman" w:hAnsi="Times New Roman"/>
          <w:lang w:eastAsia="fr-CA"/>
        </w:rPr>
      </w:pPr>
      <w:r w:rsidRPr="00F7522A">
        <w:t>[28]</w:t>
      </w:r>
      <w:r w:rsidR="00217126">
        <w:tab/>
      </w:r>
      <w:r w:rsidRPr="00F7522A">
        <w:t>De toute évidence, cependant, il existe</w:t>
      </w:r>
      <w:r w:rsidR="00217126">
        <w:t xml:space="preserve"> </w:t>
      </w:r>
      <w:r w:rsidRPr="00F7522A">
        <w:rPr>
          <w:rStyle w:val="solexhl"/>
          <w:rFonts w:cs="Arial"/>
          <w:color w:val="000000"/>
          <w:szCs w:val="22"/>
        </w:rPr>
        <w:t>des</w:t>
      </w:r>
      <w:r w:rsidR="00217126">
        <w:t xml:space="preserve"> </w:t>
      </w:r>
      <w:r w:rsidRPr="00F7522A">
        <w:t>circonstances précises dans lesquelles les tribunaux peuvent et doivent effectivement examiner les décisions gouvernementales. La légalité de la décision est l'une de ces circonstances. Bien que l'on doive accorder du respect aux décideurs gouvernementaux en ce qui concerne les décisions politiques et budgétaires, cela ne s'applique pas lorsque l'on allègue que la décision a été prise de manière illégale.</w:t>
      </w:r>
    </w:p>
    <w:p w14:paraId="3300CE50" w14:textId="2505B488" w:rsidR="00F7522A" w:rsidRPr="00E00BFB" w:rsidRDefault="009633E7" w:rsidP="00217126">
      <w:pPr>
        <w:pStyle w:val="Citationenretrait"/>
        <w:rPr>
          <w:rFonts w:cs="Arial"/>
          <w:color w:val="000000"/>
          <w:kern w:val="0"/>
        </w:rPr>
      </w:pPr>
      <w:r w:rsidRPr="00E00BFB">
        <w:rPr>
          <w:rFonts w:cs="Arial"/>
          <w:color w:val="000000"/>
          <w:kern w:val="0"/>
        </w:rPr>
        <w:t>[49]</w:t>
      </w:r>
      <w:r w:rsidRPr="00E00BFB">
        <w:rPr>
          <w:rFonts w:cs="Arial"/>
          <w:color w:val="000000"/>
          <w:kern w:val="0"/>
        </w:rPr>
        <w:tab/>
        <w:t>Pour</w:t>
      </w:r>
      <w:r w:rsidR="00217126">
        <w:rPr>
          <w:rFonts w:cs="Arial"/>
          <w:color w:val="000000"/>
          <w:kern w:val="0"/>
        </w:rPr>
        <w:t xml:space="preserve"> </w:t>
      </w:r>
      <w:r w:rsidRPr="00E00BFB">
        <w:rPr>
          <w:rFonts w:cs="Arial"/>
          <w:color w:val="000000"/>
          <w:kern w:val="0"/>
        </w:rPr>
        <w:t>déterminer si la décision discrétionnaire met en cause les protections de la</w:t>
      </w:r>
      <w:r w:rsidR="00E00BFB">
        <w:rPr>
          <w:rFonts w:cs="Arial"/>
          <w:color w:val="000000"/>
          <w:kern w:val="0"/>
        </w:rPr>
        <w:t xml:space="preserve"> Charte, </w:t>
      </w:r>
      <w:r w:rsidRPr="00E00BFB">
        <w:rPr>
          <w:rFonts w:cs="Arial"/>
          <w:color w:val="000000"/>
          <w:kern w:val="0"/>
        </w:rPr>
        <w:t>la première étape consiste à un examen</w:t>
      </w:r>
      <w:r w:rsidR="00217126">
        <w:rPr>
          <w:rFonts w:cs="Arial"/>
          <w:color w:val="000000"/>
          <w:kern w:val="0"/>
        </w:rPr>
        <w:t xml:space="preserve"> </w:t>
      </w:r>
      <w:r w:rsidRPr="00E00BFB">
        <w:rPr>
          <w:rFonts w:cs="Arial"/>
          <w:color w:val="000000"/>
          <w:kern w:val="0"/>
        </w:rPr>
        <w:t>des</w:t>
      </w:r>
      <w:r w:rsidR="00217126">
        <w:rPr>
          <w:rFonts w:cs="Arial"/>
          <w:color w:val="000000"/>
          <w:kern w:val="0"/>
        </w:rPr>
        <w:t xml:space="preserve"> </w:t>
      </w:r>
      <w:r w:rsidRPr="00E00BFB">
        <w:rPr>
          <w:rFonts w:cs="Arial"/>
          <w:color w:val="000000"/>
          <w:kern w:val="0"/>
        </w:rPr>
        <w:t>valeurs qui sous-tendent les droits en question et évaluer leur incidence sur l'exercice du pouvoir discrétionnaire du décideur. Si ces valeurs sont jugées pertinentes pour la décision, le décideur est tenu d'en tenir compte, qu'il y ait ou non une atteinte directe aux droits garantis par la</w:t>
      </w:r>
      <w:r w:rsidR="00217126">
        <w:rPr>
          <w:rFonts w:cs="Arial"/>
          <w:color w:val="000000"/>
          <w:kern w:val="0"/>
        </w:rPr>
        <w:t xml:space="preserve"> </w:t>
      </w:r>
      <w:r w:rsidRPr="00E00BFB">
        <w:rPr>
          <w:rFonts w:cs="Arial"/>
          <w:i/>
          <w:iCs/>
          <w:color w:val="000000"/>
          <w:kern w:val="0"/>
        </w:rPr>
        <w:t>Charte</w:t>
      </w:r>
      <w:r w:rsidRPr="00E00BFB">
        <w:rPr>
          <w:rFonts w:cs="Arial"/>
          <w:color w:val="000000"/>
          <w:kern w:val="0"/>
        </w:rPr>
        <w:t>.</w:t>
      </w:r>
      <w:r w:rsidR="00217126">
        <w:rPr>
          <w:rFonts w:cs="Arial"/>
          <w:color w:val="000000"/>
          <w:kern w:val="0"/>
        </w:rPr>
        <w:t xml:space="preserve"> </w:t>
      </w:r>
      <w:r w:rsidRPr="00E00BFB">
        <w:rPr>
          <w:rFonts w:cs="Arial"/>
          <w:color w:val="000000"/>
          <w:kern w:val="0"/>
        </w:rPr>
        <w:t>(…)</w:t>
      </w:r>
    </w:p>
    <w:p w14:paraId="0480CF72" w14:textId="66EB847E" w:rsidR="009633E7" w:rsidRPr="00E00BFB" w:rsidRDefault="009633E7" w:rsidP="00217126">
      <w:pPr>
        <w:pStyle w:val="Citationenretrait"/>
        <w:rPr>
          <w:rFonts w:cs="Arial"/>
        </w:rPr>
      </w:pPr>
      <w:r w:rsidRPr="00E00BFB">
        <w:rPr>
          <w:rFonts w:cs="Arial"/>
          <w:color w:val="000000"/>
        </w:rPr>
        <w:t>[66]</w:t>
      </w:r>
      <w:r w:rsidRPr="00E00BFB">
        <w:rPr>
          <w:rFonts w:cs="Arial"/>
          <w:color w:val="000000"/>
        </w:rPr>
        <w:tab/>
        <w:t>(…) je juge que la norme de contrôle appropriée est celle du caractère raisonnable et que l'application de l'analyse</w:t>
      </w:r>
      <w:r w:rsidR="00217126">
        <w:rPr>
          <w:rFonts w:cs="Arial"/>
          <w:color w:val="000000"/>
        </w:rPr>
        <w:t xml:space="preserve"> </w:t>
      </w:r>
      <w:r w:rsidRPr="00E00BFB">
        <w:rPr>
          <w:rStyle w:val="reflex"/>
          <w:rFonts w:cs="Arial"/>
          <w:i/>
          <w:iCs/>
          <w:color w:val="000000"/>
          <w:szCs w:val="22"/>
        </w:rPr>
        <w:t>Doré</w:t>
      </w:r>
      <w:r w:rsidR="00217126">
        <w:rPr>
          <w:rStyle w:val="reflex"/>
          <w:rFonts w:cs="Arial"/>
          <w:color w:val="000000"/>
          <w:szCs w:val="22"/>
        </w:rPr>
        <w:t xml:space="preserve"> </w:t>
      </w:r>
      <w:r w:rsidRPr="00E00BFB">
        <w:rPr>
          <w:rStyle w:val="reflex"/>
          <w:rFonts w:cs="Arial"/>
          <w:color w:val="000000"/>
          <w:szCs w:val="22"/>
        </w:rPr>
        <w:t>demeure pertinent</w:t>
      </w:r>
      <w:r w:rsidRPr="00E00BFB">
        <w:rPr>
          <w:rFonts w:cs="Arial"/>
          <w:color w:val="000000"/>
        </w:rPr>
        <w:t>e. Comme le démontrera l'analyse qui suit, j'estime que la décision du ministre de fermer le palais de justice de Caraquet, de convertir l'établissement de Tracadie en tribunal satellite et de transférer les juges est déraisonnable. (…)</w:t>
      </w:r>
    </w:p>
    <w:p w14:paraId="2EAF0283" w14:textId="2D2FB470" w:rsidR="008E74C0" w:rsidRDefault="00F7522A" w:rsidP="008E74C0">
      <w:pPr>
        <w:pStyle w:val="Paragraphe"/>
        <w:tabs>
          <w:tab w:val="num" w:pos="720"/>
        </w:tabs>
        <w:spacing w:line="240" w:lineRule="auto"/>
        <w:ind w:left="0"/>
        <w:rPr>
          <w:rFonts w:cs="Arial"/>
        </w:rPr>
      </w:pPr>
      <w:r>
        <w:rPr>
          <w:rFonts w:cs="Arial"/>
        </w:rPr>
        <w:t>Concordia a</w:t>
      </w:r>
      <w:r w:rsidR="00E31F48">
        <w:t xml:space="preserve">joute qu’en l’espèce, le cadre d’analyse approprié serait celui établi dans l’arrêt </w:t>
      </w:r>
      <w:r w:rsidR="00E31F48">
        <w:rPr>
          <w:i/>
          <w:iCs/>
        </w:rPr>
        <w:t>Doré</w:t>
      </w:r>
      <w:r w:rsidR="00E31F48">
        <w:t xml:space="preserve">, tel qu’appliqué dans </w:t>
      </w:r>
      <w:r w:rsidR="00E31F48">
        <w:rPr>
          <w:i/>
          <w:iCs/>
        </w:rPr>
        <w:t>CSFTNO.</w:t>
      </w:r>
      <w:r w:rsidR="008E74C0">
        <w:t xml:space="preserve"> </w:t>
      </w:r>
      <w:r w:rsidR="008E74C0">
        <w:rPr>
          <w:rFonts w:cs="Arial"/>
        </w:rPr>
        <w:t>Voici la partie de leur mémoire qui résume bien l</w:t>
      </w:r>
      <w:r w:rsidR="00277A38">
        <w:rPr>
          <w:rFonts w:cs="Arial"/>
        </w:rPr>
        <w:t>’a</w:t>
      </w:r>
      <w:r w:rsidR="008E74C0">
        <w:rPr>
          <w:rFonts w:cs="Arial"/>
        </w:rPr>
        <w:t>rgument :</w:t>
      </w:r>
    </w:p>
    <w:p w14:paraId="0B002F83" w14:textId="41776BBB" w:rsidR="008E74C0" w:rsidRPr="00203D01" w:rsidRDefault="004576F4" w:rsidP="004576F4">
      <w:pPr>
        <w:pStyle w:val="Citationenretrait"/>
        <w:spacing w:after="0"/>
      </w:pPr>
      <w:r w:rsidRPr="00203D01">
        <w:t xml:space="preserve">5. (…) </w:t>
      </w:r>
      <w:r w:rsidR="008E74C0" w:rsidRPr="00203D01">
        <w:t xml:space="preserve">Il est clair que le cadre d’analyse de </w:t>
      </w:r>
      <w:r w:rsidR="008E74C0" w:rsidRPr="00203D01">
        <w:rPr>
          <w:i/>
        </w:rPr>
        <w:t>CSFTNO</w:t>
      </w:r>
      <w:r w:rsidR="008E74C0" w:rsidRPr="00203D01">
        <w:t xml:space="preserve"> s’applique même lorsqu’une décision gouvernementale entraîne des répercussions budgétaires</w:t>
      </w:r>
      <w:r w:rsidRPr="00203D01">
        <w:rPr>
          <w:vertAlign w:val="superscript"/>
        </w:rPr>
        <w:t>6</w:t>
      </w:r>
      <w:r w:rsidR="008E74C0" w:rsidRPr="00203D01">
        <w:t xml:space="preserve">. Une décision est invalide non seulement lorsqu’elle porte atteinte à un droit de la </w:t>
      </w:r>
      <w:r w:rsidR="008E74C0" w:rsidRPr="00203D01">
        <w:rPr>
          <w:i/>
        </w:rPr>
        <w:t>Charte</w:t>
      </w:r>
      <w:r w:rsidR="008E74C0" w:rsidRPr="00203D01">
        <w:t xml:space="preserve">, mais également lorsque le décideur a omis de tenir compte ou de mettre en balance de façon proportionnée les valeurs sous-jacentes à un droit de la </w:t>
      </w:r>
      <w:r w:rsidR="008E74C0" w:rsidRPr="00203D01">
        <w:rPr>
          <w:i/>
        </w:rPr>
        <w:t>Charte</w:t>
      </w:r>
      <w:r w:rsidRPr="00203D01">
        <w:rPr>
          <w:iCs/>
          <w:vertAlign w:val="superscript"/>
        </w:rPr>
        <w:t>7</w:t>
      </w:r>
      <w:r w:rsidR="008E74C0" w:rsidRPr="00203D01">
        <w:t>. Les valeurs</w:t>
      </w:r>
      <w:r w:rsidR="008E74C0" w:rsidRPr="00203D01" w:rsidDel="00575F31">
        <w:t xml:space="preserve"> </w:t>
      </w:r>
      <w:r w:rsidR="008E74C0" w:rsidRPr="00203D01">
        <w:t>à considérer sont celles qui sont pertinentes « en raison de la nature du régime législatif »,</w:t>
      </w:r>
      <w:r w:rsidR="008E74C0" w:rsidRPr="00203D01" w:rsidDel="00265E33">
        <w:t xml:space="preserve"> </w:t>
      </w:r>
      <w:r w:rsidR="008E74C0" w:rsidRPr="00203D01">
        <w:t>« parce que les parties l’ont soulevée devant le décideur »,</w:t>
      </w:r>
      <w:r w:rsidR="008E74C0" w:rsidRPr="00203D01" w:rsidDel="00265E33">
        <w:t xml:space="preserve"> </w:t>
      </w:r>
      <w:r w:rsidR="008E74C0" w:rsidRPr="00203D01">
        <w:t>ou « en raison du lien entre cette valeur et la matière sous considération »</w:t>
      </w:r>
      <w:r w:rsidRPr="00203D01">
        <w:rPr>
          <w:vertAlign w:val="superscript"/>
        </w:rPr>
        <w:t>8</w:t>
      </w:r>
      <w:r w:rsidR="008E74C0" w:rsidRPr="00203D01">
        <w:t>.</w:t>
      </w:r>
    </w:p>
    <w:p w14:paraId="061B2393" w14:textId="033F4657" w:rsidR="004576F4" w:rsidRPr="00203D01" w:rsidRDefault="004576F4" w:rsidP="004576F4">
      <w:pPr>
        <w:pStyle w:val="Citationenretrait"/>
        <w:spacing w:before="0" w:after="0"/>
      </w:pPr>
      <w:r w:rsidRPr="00203D01">
        <w:t>________________________________________________________________</w:t>
      </w:r>
    </w:p>
    <w:p w14:paraId="43A56CDD" w14:textId="55023766" w:rsidR="004576F4" w:rsidRPr="00203D01" w:rsidRDefault="004576F4" w:rsidP="004576F4">
      <w:pPr>
        <w:pStyle w:val="Citationenretrait"/>
        <w:spacing w:before="0" w:after="0"/>
        <w:rPr>
          <w:rFonts w:cs="Arial"/>
          <w:i/>
          <w:iCs/>
          <w:sz w:val="20"/>
        </w:rPr>
      </w:pPr>
      <w:r w:rsidRPr="00203D01">
        <w:rPr>
          <w:rFonts w:cs="Arial"/>
          <w:sz w:val="20"/>
        </w:rPr>
        <w:t xml:space="preserve">6. </w:t>
      </w:r>
      <w:r w:rsidRPr="00203D01">
        <w:rPr>
          <w:rFonts w:cs="Arial"/>
          <w:i/>
          <w:iCs/>
          <w:sz w:val="20"/>
        </w:rPr>
        <w:t>Forum des maires c Ministre (Justice et Sécurité Publique)</w:t>
      </w:r>
      <w:r w:rsidRPr="00203D01">
        <w:rPr>
          <w:rFonts w:cs="Arial"/>
          <w:sz w:val="20"/>
        </w:rPr>
        <w:t>,</w:t>
      </w:r>
      <w:r w:rsidRPr="00203D01">
        <w:rPr>
          <w:rFonts w:cs="Arial"/>
          <w:i/>
          <w:iCs/>
          <w:sz w:val="20"/>
        </w:rPr>
        <w:t xml:space="preserve"> </w:t>
      </w:r>
      <w:r w:rsidRPr="00203D01">
        <w:rPr>
          <w:rFonts w:cs="Arial"/>
          <w:sz w:val="20"/>
        </w:rPr>
        <w:t>2024 NBBR 58 aux para 28, 71, 101</w:t>
      </w:r>
      <w:r w:rsidRPr="00203D01">
        <w:rPr>
          <w:rFonts w:cs="Arial"/>
          <w:i/>
          <w:iCs/>
          <w:sz w:val="20"/>
        </w:rPr>
        <w:t xml:space="preserve"> [</w:t>
      </w:r>
      <w:r w:rsidRPr="00203D01">
        <w:rPr>
          <w:rFonts w:cs="Arial"/>
          <w:b/>
          <w:bCs/>
          <w:i/>
          <w:iCs/>
          <w:sz w:val="20"/>
        </w:rPr>
        <w:t>Forum des maires</w:t>
      </w:r>
      <w:r w:rsidRPr="00203D01">
        <w:rPr>
          <w:rFonts w:cs="Arial"/>
          <w:i/>
          <w:iCs/>
          <w:sz w:val="20"/>
        </w:rPr>
        <w:t>].</w:t>
      </w:r>
    </w:p>
    <w:p w14:paraId="0BC5EC20" w14:textId="5E27963A" w:rsidR="004576F4" w:rsidRPr="00203D01" w:rsidRDefault="004576F4" w:rsidP="004576F4">
      <w:pPr>
        <w:pStyle w:val="Citationenretrait"/>
        <w:spacing w:before="0" w:after="0"/>
        <w:rPr>
          <w:rFonts w:cs="Arial"/>
          <w:sz w:val="20"/>
        </w:rPr>
      </w:pPr>
      <w:r w:rsidRPr="00203D01">
        <w:rPr>
          <w:rFonts w:cs="Arial"/>
          <w:sz w:val="20"/>
        </w:rPr>
        <w:t xml:space="preserve">7. </w:t>
      </w:r>
      <w:r w:rsidRPr="00203D01">
        <w:rPr>
          <w:rFonts w:cs="Arial"/>
          <w:i/>
          <w:iCs/>
          <w:sz w:val="20"/>
        </w:rPr>
        <w:t>CSFTNO</w:t>
      </w:r>
      <w:r w:rsidRPr="00203D01">
        <w:rPr>
          <w:rFonts w:cs="Arial"/>
          <w:sz w:val="20"/>
        </w:rPr>
        <w:t xml:space="preserve"> au para 64, citant </w:t>
      </w:r>
      <w:r w:rsidRPr="00203D01">
        <w:rPr>
          <w:rFonts w:cs="Arial"/>
          <w:i/>
          <w:iCs/>
          <w:sz w:val="20"/>
        </w:rPr>
        <w:t>Doré</w:t>
      </w:r>
      <w:r w:rsidRPr="00203D01">
        <w:rPr>
          <w:rFonts w:cs="Arial"/>
          <w:sz w:val="20"/>
        </w:rPr>
        <w:t xml:space="preserve"> au para 35, </w:t>
      </w:r>
      <w:r w:rsidRPr="00203D01">
        <w:rPr>
          <w:rFonts w:cs="Arial"/>
          <w:i/>
          <w:iCs/>
          <w:sz w:val="20"/>
        </w:rPr>
        <w:t>École secondaire Loyola</w:t>
      </w:r>
      <w:r w:rsidRPr="00203D01">
        <w:rPr>
          <w:rFonts w:cs="Arial"/>
          <w:sz w:val="20"/>
        </w:rPr>
        <w:t xml:space="preserve"> </w:t>
      </w:r>
      <w:r w:rsidRPr="00203D01">
        <w:rPr>
          <w:rFonts w:cs="Arial"/>
          <w:i/>
          <w:iCs/>
          <w:sz w:val="20"/>
        </w:rPr>
        <w:t>c</w:t>
      </w:r>
      <w:r w:rsidRPr="00203D01">
        <w:rPr>
          <w:rFonts w:cs="Arial"/>
          <w:sz w:val="20"/>
        </w:rPr>
        <w:t xml:space="preserve"> </w:t>
      </w:r>
      <w:r w:rsidRPr="00203D01">
        <w:rPr>
          <w:rFonts w:cs="Arial"/>
          <w:i/>
          <w:iCs/>
          <w:sz w:val="20"/>
        </w:rPr>
        <w:t>Québec</w:t>
      </w:r>
      <w:r w:rsidRPr="00203D01">
        <w:rPr>
          <w:rFonts w:cs="Arial"/>
          <w:sz w:val="20"/>
        </w:rPr>
        <w:t>, 2015 CSC 12 au para 4 [</w:t>
      </w:r>
      <w:r w:rsidRPr="00203D01">
        <w:rPr>
          <w:rFonts w:cs="Arial"/>
          <w:b/>
          <w:bCs/>
          <w:i/>
          <w:iCs/>
          <w:sz w:val="20"/>
        </w:rPr>
        <w:t>Loyola</w:t>
      </w:r>
      <w:r w:rsidRPr="00203D01">
        <w:rPr>
          <w:rFonts w:cs="Arial"/>
          <w:sz w:val="20"/>
        </w:rPr>
        <w:t xml:space="preserve">] et </w:t>
      </w:r>
      <w:r w:rsidRPr="00203D01">
        <w:rPr>
          <w:rFonts w:cs="Arial"/>
          <w:i/>
          <w:iCs/>
          <w:sz w:val="20"/>
        </w:rPr>
        <w:t>Law Society of British Columbia c Trinity Western University</w:t>
      </w:r>
      <w:r w:rsidRPr="00203D01">
        <w:rPr>
          <w:rFonts w:cs="Arial"/>
          <w:sz w:val="20"/>
        </w:rPr>
        <w:t>, 2018 CSC 32 au para 57 [</w:t>
      </w:r>
      <w:r w:rsidRPr="00203D01">
        <w:rPr>
          <w:rFonts w:cs="Arial"/>
          <w:b/>
          <w:bCs/>
          <w:i/>
          <w:iCs/>
          <w:sz w:val="20"/>
        </w:rPr>
        <w:t>TWU 1</w:t>
      </w:r>
      <w:r w:rsidRPr="00203D01">
        <w:rPr>
          <w:rFonts w:cs="Arial"/>
          <w:sz w:val="20"/>
        </w:rPr>
        <w:t>].</w:t>
      </w:r>
    </w:p>
    <w:p w14:paraId="385F8124" w14:textId="1EBA2055" w:rsidR="004576F4" w:rsidRPr="004576F4" w:rsidRDefault="004576F4" w:rsidP="00F00981">
      <w:pPr>
        <w:pStyle w:val="Citationenretrait"/>
        <w:spacing w:before="0"/>
        <w:rPr>
          <w:rFonts w:cs="Arial"/>
          <w:sz w:val="20"/>
        </w:rPr>
      </w:pPr>
      <w:r w:rsidRPr="00203D01">
        <w:rPr>
          <w:rFonts w:cs="Arial"/>
          <w:sz w:val="20"/>
        </w:rPr>
        <w:t xml:space="preserve">8. </w:t>
      </w:r>
      <w:r w:rsidRPr="00203D01">
        <w:rPr>
          <w:rFonts w:cs="Arial"/>
          <w:i/>
          <w:iCs/>
          <w:sz w:val="20"/>
        </w:rPr>
        <w:t>CSFTNO</w:t>
      </w:r>
      <w:r w:rsidRPr="00203D01">
        <w:rPr>
          <w:rFonts w:cs="Arial"/>
          <w:sz w:val="20"/>
        </w:rPr>
        <w:t xml:space="preserve"> au para 66, citant </w:t>
      </w:r>
      <w:r w:rsidRPr="00203D01">
        <w:rPr>
          <w:rFonts w:cs="Arial"/>
          <w:i/>
          <w:iCs/>
          <w:sz w:val="20"/>
        </w:rPr>
        <w:t>Canada (Ministre de la Citoyenneté et de l’Immigration) c Vavilov</w:t>
      </w:r>
      <w:r w:rsidRPr="00203D01">
        <w:rPr>
          <w:rFonts w:cs="Arial"/>
          <w:sz w:val="20"/>
        </w:rPr>
        <w:t>, 2019 CSC 65 [</w:t>
      </w:r>
      <w:r w:rsidRPr="00203D01">
        <w:rPr>
          <w:rFonts w:cs="Arial"/>
          <w:b/>
          <w:bCs/>
          <w:i/>
          <w:iCs/>
          <w:sz w:val="20"/>
        </w:rPr>
        <w:t>Vavilov</w:t>
      </w:r>
      <w:r w:rsidRPr="00203D01">
        <w:rPr>
          <w:rFonts w:cs="Arial"/>
          <w:sz w:val="20"/>
        </w:rPr>
        <w:t>] aux para 108, 127-128 et Paul Daly, « The Doré Duty: Fundamental Rights in Public Administration » (2023), 101:2 R du B can 297 à la p 309.</w:t>
      </w:r>
    </w:p>
    <w:p w14:paraId="30890F9A" w14:textId="0FD33888" w:rsidR="008E74C0" w:rsidRPr="00CE2175" w:rsidRDefault="00E31F48" w:rsidP="00F713AE">
      <w:pPr>
        <w:pStyle w:val="Paragraphe"/>
        <w:tabs>
          <w:tab w:val="num" w:pos="720"/>
        </w:tabs>
        <w:spacing w:line="240" w:lineRule="auto"/>
        <w:ind w:left="0"/>
      </w:pPr>
      <w:r w:rsidRPr="00CE2175">
        <w:t>En défense, le PGQ affirme que la portée générale et impersonnelle des règles</w:t>
      </w:r>
      <w:r w:rsidR="00964927" w:rsidRPr="00CE2175">
        <w:t xml:space="preserve"> b</w:t>
      </w:r>
      <w:r w:rsidRPr="00CE2175">
        <w:t>udgétaires relève de l’exercice par la Ministre d’un pouvoir discrétionnaire</w:t>
      </w:r>
      <w:r w:rsidR="00277A38" w:rsidRPr="00CE2175">
        <w:t xml:space="preserve"> que lui confie le législateur et</w:t>
      </w:r>
      <w:r w:rsidRPr="00CE2175">
        <w:t xml:space="preserve"> qui s’apparente davantage à une fonction quasi-législative qu’à l’application de règles préexistantes à une situation particulière individualisée. </w:t>
      </w:r>
      <w:r w:rsidR="008E74C0" w:rsidRPr="00CE2175">
        <w:t xml:space="preserve">Selon lui, les Règles contestées, en tant que règles de nature budgétaire, se distinguent par leur nature des décisions administratives au sens des arrêts </w:t>
      </w:r>
      <w:r w:rsidR="008E74C0" w:rsidRPr="00CE2175">
        <w:rPr>
          <w:i/>
          <w:iCs/>
        </w:rPr>
        <w:t>Doré</w:t>
      </w:r>
      <w:r w:rsidR="008E74C0" w:rsidRPr="00CE2175">
        <w:rPr>
          <w:vertAlign w:val="superscript"/>
        </w:rPr>
        <w:footnoteReference w:id="66"/>
      </w:r>
      <w:r w:rsidR="008E74C0" w:rsidRPr="00CE2175">
        <w:t xml:space="preserve">, </w:t>
      </w:r>
      <w:r w:rsidR="008E74C0" w:rsidRPr="00CE2175">
        <w:rPr>
          <w:i/>
          <w:iCs/>
        </w:rPr>
        <w:t>Loyola</w:t>
      </w:r>
      <w:r w:rsidR="008E74C0" w:rsidRPr="00CE2175">
        <w:rPr>
          <w:vertAlign w:val="superscript"/>
        </w:rPr>
        <w:footnoteReference w:id="67"/>
      </w:r>
      <w:r w:rsidR="008E74C0" w:rsidRPr="00CE2175">
        <w:t xml:space="preserve">, </w:t>
      </w:r>
      <w:r w:rsidR="008E74C0" w:rsidRPr="00CE2175">
        <w:rPr>
          <w:i/>
          <w:iCs/>
        </w:rPr>
        <w:t>Trinity Western</w:t>
      </w:r>
      <w:r w:rsidR="00C5730C">
        <w:rPr>
          <w:i/>
          <w:iCs/>
        </w:rPr>
        <w:t xml:space="preserve"> University</w:t>
      </w:r>
      <w:r w:rsidR="008E74C0" w:rsidRPr="00CE2175">
        <w:rPr>
          <w:vertAlign w:val="superscript"/>
        </w:rPr>
        <w:footnoteReference w:id="68"/>
      </w:r>
      <w:r w:rsidR="008E74C0" w:rsidRPr="00CE2175">
        <w:t xml:space="preserve"> et </w:t>
      </w:r>
      <w:r w:rsidR="008E74C0" w:rsidRPr="00CE2175">
        <w:rPr>
          <w:i/>
          <w:iCs/>
        </w:rPr>
        <w:t>CSFTNO</w:t>
      </w:r>
      <w:r w:rsidR="008E74C0" w:rsidRPr="00CE2175">
        <w:rPr>
          <w:vertAlign w:val="superscript"/>
        </w:rPr>
        <w:footnoteReference w:id="69"/>
      </w:r>
      <w:r w:rsidR="008E74C0" w:rsidRPr="00CE2175">
        <w:t xml:space="preserve">. </w:t>
      </w:r>
      <w:r w:rsidR="00964927" w:rsidRPr="00CE2175">
        <w:t>L</w:t>
      </w:r>
      <w:r w:rsidR="008E74C0" w:rsidRPr="00CE2175">
        <w:t xml:space="preserve">e pouvoir discrétionnaire de la </w:t>
      </w:r>
      <w:r w:rsidR="00964927" w:rsidRPr="00CE2175">
        <w:t>M</w:t>
      </w:r>
      <w:r w:rsidR="008E74C0" w:rsidRPr="00CE2175">
        <w:t xml:space="preserve">inistre dans leur élaboration </w:t>
      </w:r>
      <w:r w:rsidR="00964927" w:rsidRPr="00CE2175">
        <w:t xml:space="preserve">demeure </w:t>
      </w:r>
      <w:r w:rsidR="008E74C0" w:rsidRPr="00CE2175">
        <w:t>important</w:t>
      </w:r>
      <w:r w:rsidR="007F5968">
        <w:t xml:space="preserve"> et</w:t>
      </w:r>
      <w:r w:rsidR="00CF5E86" w:rsidRPr="00CE2175">
        <w:t xml:space="preserve"> ne </w:t>
      </w:r>
      <w:r w:rsidR="00964927" w:rsidRPr="00CE2175">
        <w:t xml:space="preserve">permet </w:t>
      </w:r>
      <w:r w:rsidR="00CF5E86" w:rsidRPr="00CE2175">
        <w:t xml:space="preserve">pas </w:t>
      </w:r>
      <w:r w:rsidR="00964927" w:rsidRPr="00CE2175">
        <w:t>de les qua</w:t>
      </w:r>
      <w:r w:rsidR="008E74C0" w:rsidRPr="00CE2175">
        <w:t xml:space="preserve">lifier de décisions </w:t>
      </w:r>
      <w:r w:rsidR="008E74C0" w:rsidRPr="00CE2175">
        <w:rPr>
          <w:i/>
          <w:iCs/>
        </w:rPr>
        <w:t>administratives</w:t>
      </w:r>
      <w:r w:rsidR="008E74C0" w:rsidRPr="00CE2175">
        <w:t xml:space="preserve"> au sens de ces arrêts</w:t>
      </w:r>
      <w:r w:rsidR="008E74C0" w:rsidRPr="00CE2175">
        <w:rPr>
          <w:rStyle w:val="Appelnotedebasdep"/>
          <w:rFonts w:cs="Arial"/>
        </w:rPr>
        <w:footnoteReference w:id="70"/>
      </w:r>
      <w:r w:rsidR="008E74C0" w:rsidRPr="00CE2175">
        <w:t>.</w:t>
      </w:r>
    </w:p>
    <w:p w14:paraId="79AFEE70" w14:textId="099AEB87" w:rsidR="007F5968" w:rsidRDefault="008E74C0" w:rsidP="00D404CB">
      <w:pPr>
        <w:pStyle w:val="Paragraphe"/>
        <w:tabs>
          <w:tab w:val="clear" w:pos="2204"/>
        </w:tabs>
        <w:spacing w:line="240" w:lineRule="auto"/>
        <w:ind w:left="0"/>
        <w:rPr>
          <w:rFonts w:cs="Arial"/>
        </w:rPr>
      </w:pPr>
      <w:r>
        <w:rPr>
          <w:rFonts w:cs="Arial"/>
        </w:rPr>
        <w:t>Les représentations du PGQ prévalent.</w:t>
      </w:r>
    </w:p>
    <w:p w14:paraId="46EB09A7" w14:textId="41A456B0" w:rsidR="008E74C0" w:rsidRDefault="008E74C0" w:rsidP="00D404CB">
      <w:pPr>
        <w:pStyle w:val="Paragraphe"/>
        <w:tabs>
          <w:tab w:val="clear" w:pos="2204"/>
        </w:tabs>
        <w:spacing w:line="240" w:lineRule="auto"/>
        <w:ind w:left="0"/>
        <w:rPr>
          <w:rFonts w:cs="Arial"/>
        </w:rPr>
      </w:pPr>
      <w:r>
        <w:rPr>
          <w:rFonts w:cs="Arial"/>
        </w:rPr>
        <w:t xml:space="preserve">Les Règles budgétaires s’adressent à l’ensemble des universités québécoises, francophones comme anglophones, et indiquent les frais de scolarité applicables à </w:t>
      </w:r>
      <w:r w:rsidR="00964927">
        <w:rPr>
          <w:rFonts w:cs="Arial"/>
        </w:rPr>
        <w:t xml:space="preserve">chaque </w:t>
      </w:r>
      <w:r>
        <w:rPr>
          <w:rFonts w:cs="Arial"/>
        </w:rPr>
        <w:t xml:space="preserve">catégorie d’étudiants. </w:t>
      </w:r>
      <w:r w:rsidR="00277A38">
        <w:rPr>
          <w:rFonts w:cs="Arial"/>
        </w:rPr>
        <w:t>Elles fixent des règles de portée générale qui encadrent l’aide financière étatique aux universités</w:t>
      </w:r>
      <w:r w:rsidR="00964927">
        <w:rPr>
          <w:rFonts w:cs="Arial"/>
        </w:rPr>
        <w:t xml:space="preserve">. Elles </w:t>
      </w:r>
      <w:r>
        <w:rPr>
          <w:rFonts w:cs="Arial"/>
        </w:rPr>
        <w:t xml:space="preserve">se distinguent nettement des cas </w:t>
      </w:r>
      <w:r w:rsidRPr="005A7950">
        <w:rPr>
          <w:rFonts w:cs="Arial"/>
          <w:i/>
          <w:iCs/>
        </w:rPr>
        <w:t>Doré</w:t>
      </w:r>
      <w:r>
        <w:rPr>
          <w:rFonts w:cs="Arial"/>
        </w:rPr>
        <w:t xml:space="preserve">, </w:t>
      </w:r>
      <w:r w:rsidRPr="005A7950">
        <w:rPr>
          <w:rFonts w:cs="Arial"/>
          <w:i/>
          <w:iCs/>
        </w:rPr>
        <w:t>Loyola</w:t>
      </w:r>
      <w:r>
        <w:rPr>
          <w:rFonts w:cs="Arial"/>
        </w:rPr>
        <w:t xml:space="preserve">, </w:t>
      </w:r>
      <w:r w:rsidRPr="005A7950">
        <w:rPr>
          <w:rFonts w:cs="Arial"/>
          <w:i/>
          <w:iCs/>
        </w:rPr>
        <w:t>TWU</w:t>
      </w:r>
      <w:r>
        <w:rPr>
          <w:rFonts w:cs="Arial"/>
        </w:rPr>
        <w:t xml:space="preserve"> et </w:t>
      </w:r>
      <w:r w:rsidRPr="005A7950">
        <w:rPr>
          <w:rFonts w:cs="Arial"/>
          <w:i/>
          <w:iCs/>
        </w:rPr>
        <w:t>CSFTNO</w:t>
      </w:r>
      <w:r>
        <w:rPr>
          <w:rFonts w:cs="Arial"/>
        </w:rPr>
        <w:t xml:space="preserve"> où des décisions individualisées se trouvaient au cœur de</w:t>
      </w:r>
      <w:r w:rsidR="00277A38">
        <w:rPr>
          <w:rFonts w:cs="Arial"/>
        </w:rPr>
        <w:t>s</w:t>
      </w:r>
      <w:r w:rsidR="00040B3F">
        <w:rPr>
          <w:rFonts w:cs="Arial"/>
        </w:rPr>
        <w:t xml:space="preserve"> enjeux</w:t>
      </w:r>
      <w:r>
        <w:rPr>
          <w:rFonts w:cs="Arial"/>
        </w:rPr>
        <w:t>.</w:t>
      </w:r>
    </w:p>
    <w:p w14:paraId="41DE1ACB" w14:textId="3254A90F" w:rsidR="008E74C0" w:rsidRDefault="008E74C0" w:rsidP="00D404CB">
      <w:pPr>
        <w:pStyle w:val="Paragraphe"/>
        <w:tabs>
          <w:tab w:val="clear" w:pos="2204"/>
        </w:tabs>
        <w:spacing w:line="240" w:lineRule="auto"/>
        <w:ind w:left="0"/>
        <w:rPr>
          <w:rFonts w:cs="Arial"/>
        </w:rPr>
      </w:pPr>
      <w:r>
        <w:rPr>
          <w:rFonts w:cs="Arial"/>
        </w:rPr>
        <w:t>Cela dit, l’argument du PGQ que les Règles budgétaires n</w:t>
      </w:r>
      <w:r w:rsidR="00277A38">
        <w:rPr>
          <w:rFonts w:cs="Arial"/>
        </w:rPr>
        <w:t>’établisse</w:t>
      </w:r>
      <w:r w:rsidR="00964927">
        <w:rPr>
          <w:rFonts w:cs="Arial"/>
        </w:rPr>
        <w:t>nt</w:t>
      </w:r>
      <w:r w:rsidR="00277A38">
        <w:rPr>
          <w:rFonts w:cs="Arial"/>
        </w:rPr>
        <w:t xml:space="preserve"> </w:t>
      </w:r>
      <w:r>
        <w:rPr>
          <w:rFonts w:cs="Arial"/>
        </w:rPr>
        <w:t>qu’un cadre contractuel auquel les universités adhèrent librement ne convainc pas</w:t>
      </w:r>
      <w:r w:rsidR="00964927">
        <w:rPr>
          <w:rFonts w:cs="Arial"/>
        </w:rPr>
        <w:t xml:space="preserve"> quant à la détermination de la norme de contrôle applicable</w:t>
      </w:r>
      <w:r>
        <w:rPr>
          <w:rFonts w:cs="Arial"/>
        </w:rPr>
        <w:t>. Il semble évident qu’il s’agit d’un non</w:t>
      </w:r>
      <w:r w:rsidR="000A1E6B">
        <w:rPr>
          <w:rFonts w:cs="Arial"/>
        </w:rPr>
        <w:t>-</w:t>
      </w:r>
      <w:r>
        <w:rPr>
          <w:rFonts w:cs="Arial"/>
        </w:rPr>
        <w:t xml:space="preserve">choix </w:t>
      </w:r>
      <w:r w:rsidR="001B39A1">
        <w:rPr>
          <w:rFonts w:cs="Arial"/>
        </w:rPr>
        <w:t xml:space="preserve">pour les universités, elles qui </w:t>
      </w:r>
      <w:r>
        <w:rPr>
          <w:rFonts w:cs="Arial"/>
        </w:rPr>
        <w:t>dépendent de l’argent du gouvernement pour exister</w:t>
      </w:r>
      <w:r w:rsidR="00247ECF" w:rsidRPr="00040B3F">
        <w:rPr>
          <w:rStyle w:val="Appelnotedebasdep"/>
          <w:rFonts w:cs="Arial"/>
        </w:rPr>
        <w:footnoteReference w:id="71"/>
      </w:r>
      <w:r w:rsidRPr="00040B3F">
        <w:rPr>
          <w:rFonts w:cs="Arial"/>
        </w:rPr>
        <w:t>.</w:t>
      </w:r>
    </w:p>
    <w:p w14:paraId="50E65B36" w14:textId="468F44E7" w:rsidR="008E74C0" w:rsidRPr="008E74C0" w:rsidRDefault="008E74C0" w:rsidP="00D404CB">
      <w:pPr>
        <w:pStyle w:val="Paragraphe"/>
        <w:tabs>
          <w:tab w:val="clear" w:pos="2204"/>
        </w:tabs>
        <w:spacing w:line="240" w:lineRule="auto"/>
        <w:ind w:left="0"/>
        <w:rPr>
          <w:rFonts w:cs="Arial"/>
        </w:rPr>
      </w:pPr>
      <w:r>
        <w:rPr>
          <w:rFonts w:eastAsia="Arial" w:cs="Arial"/>
          <w:szCs w:val="24"/>
        </w:rPr>
        <w:t>Néanmoins, alors qu’elle établit les R</w:t>
      </w:r>
      <w:r w:rsidRPr="002B5193">
        <w:rPr>
          <w:rFonts w:eastAsia="Arial" w:cs="Arial"/>
          <w:szCs w:val="24"/>
        </w:rPr>
        <w:t>ègles budgétaires</w:t>
      </w:r>
      <w:r>
        <w:rPr>
          <w:rFonts w:eastAsia="Arial" w:cs="Arial"/>
          <w:szCs w:val="24"/>
        </w:rPr>
        <w:t>, la Ministre ne rend pas des décisions</w:t>
      </w:r>
      <w:r w:rsidRPr="002B5193">
        <w:rPr>
          <w:rFonts w:eastAsia="Arial" w:cs="Arial"/>
          <w:szCs w:val="24"/>
        </w:rPr>
        <w:t xml:space="preserve"> individu</w:t>
      </w:r>
      <w:r>
        <w:rPr>
          <w:rFonts w:eastAsia="Arial" w:cs="Arial"/>
          <w:szCs w:val="24"/>
        </w:rPr>
        <w:t>alisée</w:t>
      </w:r>
      <w:r w:rsidR="00DC59FA">
        <w:rPr>
          <w:rFonts w:eastAsia="Arial" w:cs="Arial"/>
          <w:szCs w:val="24"/>
        </w:rPr>
        <w:t>s</w:t>
      </w:r>
      <w:r>
        <w:rPr>
          <w:rFonts w:eastAsia="Arial" w:cs="Arial"/>
          <w:szCs w:val="24"/>
        </w:rPr>
        <w:t xml:space="preserve"> auxquelles le cadre d’analyse de l’arrêt </w:t>
      </w:r>
      <w:r w:rsidRPr="00DC66DA">
        <w:rPr>
          <w:rFonts w:eastAsia="Arial" w:cs="Arial"/>
          <w:i/>
          <w:iCs/>
          <w:szCs w:val="24"/>
        </w:rPr>
        <w:t>Doré</w:t>
      </w:r>
      <w:r>
        <w:rPr>
          <w:rFonts w:eastAsia="Arial" w:cs="Arial"/>
          <w:szCs w:val="24"/>
        </w:rPr>
        <w:t xml:space="preserve"> s’applique</w:t>
      </w:r>
      <w:r w:rsidR="00040B3F">
        <w:rPr>
          <w:rFonts w:eastAsia="Arial" w:cs="Arial"/>
          <w:szCs w:val="24"/>
        </w:rPr>
        <w:t>rait</w:t>
      </w:r>
      <w:r>
        <w:rPr>
          <w:rFonts w:eastAsia="Arial" w:cs="Arial"/>
          <w:szCs w:val="24"/>
        </w:rPr>
        <w:t>.</w:t>
      </w:r>
    </w:p>
    <w:p w14:paraId="5AABCB67" w14:textId="60129B94" w:rsidR="001B39A1" w:rsidRDefault="001B39A1" w:rsidP="00BB091F">
      <w:pPr>
        <w:pStyle w:val="Paragraphe"/>
        <w:tabs>
          <w:tab w:val="num" w:pos="720"/>
        </w:tabs>
        <w:spacing w:line="240" w:lineRule="auto"/>
        <w:ind w:left="0"/>
        <w:rPr>
          <w:rFonts w:cs="Arial"/>
        </w:rPr>
      </w:pPr>
      <w:r>
        <w:rPr>
          <w:rFonts w:cs="Arial"/>
        </w:rPr>
        <w:t>Que conclure?</w:t>
      </w:r>
    </w:p>
    <w:p w14:paraId="4DED80FE" w14:textId="5D2C4EE4" w:rsidR="00CF6C1C" w:rsidRPr="00040B3F" w:rsidRDefault="001B39A1" w:rsidP="00BB091F">
      <w:pPr>
        <w:pStyle w:val="Paragraphe"/>
        <w:tabs>
          <w:tab w:val="num" w:pos="720"/>
        </w:tabs>
        <w:spacing w:line="240" w:lineRule="auto"/>
        <w:ind w:left="0"/>
        <w:rPr>
          <w:rFonts w:cs="Arial"/>
          <w:b/>
          <w:bCs/>
        </w:rPr>
      </w:pPr>
      <w:r>
        <w:rPr>
          <w:rFonts w:cs="Arial"/>
        </w:rPr>
        <w:t xml:space="preserve">Pour les </w:t>
      </w:r>
      <w:r w:rsidR="00FA5092">
        <w:rPr>
          <w:rFonts w:cs="Arial"/>
        </w:rPr>
        <w:t>motifs qui suivent, l</w:t>
      </w:r>
      <w:r w:rsidR="008E50B4">
        <w:rPr>
          <w:rFonts w:cs="Arial"/>
        </w:rPr>
        <w:t xml:space="preserve">es modifications aux Règles </w:t>
      </w:r>
      <w:r w:rsidR="00040B3F">
        <w:rPr>
          <w:rFonts w:cs="Arial"/>
        </w:rPr>
        <w:t>budgétaires</w:t>
      </w:r>
      <w:r w:rsidR="008E50B4">
        <w:rPr>
          <w:rFonts w:cs="Arial"/>
        </w:rPr>
        <w:t xml:space="preserve"> et la décision de la Ministre d</w:t>
      </w:r>
      <w:r w:rsidR="00D9744F">
        <w:rPr>
          <w:rFonts w:cs="Arial"/>
        </w:rPr>
        <w:t xml:space="preserve">e laquelle </w:t>
      </w:r>
      <w:r w:rsidR="008E50B4">
        <w:rPr>
          <w:rFonts w:cs="Arial"/>
        </w:rPr>
        <w:t xml:space="preserve">elles émanent </w:t>
      </w:r>
      <w:r w:rsidR="00040B3F">
        <w:rPr>
          <w:rFonts w:cs="Arial"/>
        </w:rPr>
        <w:t xml:space="preserve">appellent une </w:t>
      </w:r>
      <w:r w:rsidR="008E50B4">
        <w:rPr>
          <w:rFonts w:cs="Arial"/>
        </w:rPr>
        <w:t>importante retenue judiciaire que commande l’application de la norme de la décision raisonnable. Il en va de même de</w:t>
      </w:r>
      <w:r w:rsidR="004B629C">
        <w:rPr>
          <w:rFonts w:cs="Arial"/>
        </w:rPr>
        <w:t xml:space="preserve"> la </w:t>
      </w:r>
      <w:r w:rsidR="008E50B4">
        <w:rPr>
          <w:rFonts w:cs="Arial"/>
        </w:rPr>
        <w:t>Règle</w:t>
      </w:r>
      <w:r w:rsidR="004B629C">
        <w:rPr>
          <w:rFonts w:cs="Arial"/>
        </w:rPr>
        <w:t xml:space="preserve"> d’acquisition de compétences en </w:t>
      </w:r>
      <w:r w:rsidR="008E50B4">
        <w:rPr>
          <w:rFonts w:cs="Arial"/>
        </w:rPr>
        <w:t>fran</w:t>
      </w:r>
      <w:r w:rsidR="004B629C">
        <w:rPr>
          <w:rFonts w:cs="Arial"/>
        </w:rPr>
        <w:t>çais</w:t>
      </w:r>
      <w:r w:rsidR="008E50B4">
        <w:rPr>
          <w:rFonts w:cs="Arial"/>
        </w:rPr>
        <w:t>.</w:t>
      </w:r>
    </w:p>
    <w:p w14:paraId="0820620B" w14:textId="356646E5" w:rsidR="00040B3F" w:rsidRPr="008E50B4" w:rsidRDefault="00040B3F" w:rsidP="00BB091F">
      <w:pPr>
        <w:pStyle w:val="Paragraphe"/>
        <w:tabs>
          <w:tab w:val="num" w:pos="720"/>
        </w:tabs>
        <w:spacing w:line="240" w:lineRule="auto"/>
        <w:ind w:left="0"/>
        <w:rPr>
          <w:rFonts w:cs="Arial"/>
          <w:b/>
          <w:bCs/>
        </w:rPr>
      </w:pPr>
      <w:r>
        <w:rPr>
          <w:rFonts w:cs="Arial"/>
        </w:rPr>
        <w:t>Voici les motifs de cette conclusion.</w:t>
      </w:r>
    </w:p>
    <w:p w14:paraId="30D37E3E" w14:textId="3F9CAA07" w:rsidR="007F5968" w:rsidRPr="007F5968" w:rsidRDefault="007F5968" w:rsidP="00C15006">
      <w:pPr>
        <w:pStyle w:val="Paragraphe"/>
        <w:tabs>
          <w:tab w:val="num" w:pos="720"/>
        </w:tabs>
        <w:spacing w:after="0" w:line="240" w:lineRule="auto"/>
        <w:ind w:left="0"/>
        <w:rPr>
          <w:rFonts w:cs="Arial"/>
          <w:b/>
          <w:bCs/>
        </w:rPr>
      </w:pPr>
      <w:r>
        <w:rPr>
          <w:rFonts w:cs="Arial"/>
        </w:rPr>
        <w:t>Premièrement</w:t>
      </w:r>
      <w:r w:rsidR="008E50B4">
        <w:rPr>
          <w:rFonts w:cs="Arial"/>
        </w:rPr>
        <w:t>, le législateur n’indique aucune norme particulière à l’analyse d</w:t>
      </w:r>
      <w:r w:rsidR="00187C1A">
        <w:rPr>
          <w:rFonts w:cs="Arial"/>
        </w:rPr>
        <w:t>u contrôl</w:t>
      </w:r>
      <w:r w:rsidR="008E50B4">
        <w:rPr>
          <w:rFonts w:cs="Arial"/>
        </w:rPr>
        <w:t>e</w:t>
      </w:r>
      <w:r w:rsidR="00187C1A">
        <w:rPr>
          <w:rFonts w:cs="Arial"/>
        </w:rPr>
        <w:t xml:space="preserve"> de</w:t>
      </w:r>
      <w:r w:rsidR="008E50B4">
        <w:rPr>
          <w:rFonts w:cs="Arial"/>
        </w:rPr>
        <w:t xml:space="preserve"> l</w:t>
      </w:r>
      <w:r>
        <w:rPr>
          <w:rFonts w:cs="Arial"/>
        </w:rPr>
        <w:t>a</w:t>
      </w:r>
      <w:r w:rsidR="008E50B4">
        <w:rPr>
          <w:rFonts w:cs="Arial"/>
        </w:rPr>
        <w:t xml:space="preserve"> légalité</w:t>
      </w:r>
      <w:r>
        <w:rPr>
          <w:rFonts w:cs="Arial"/>
        </w:rPr>
        <w:t xml:space="preserve"> des Règles budgétaires</w:t>
      </w:r>
      <w:r w:rsidR="00D34B4D">
        <w:rPr>
          <w:rStyle w:val="Appelnotedebasdep"/>
          <w:rFonts w:cs="Arial"/>
        </w:rPr>
        <w:footnoteReference w:id="72"/>
      </w:r>
      <w:r w:rsidR="008E50B4">
        <w:rPr>
          <w:rFonts w:cs="Arial"/>
        </w:rPr>
        <w:t>. Le fait que les Règles budgétaires et, indubitablement l</w:t>
      </w:r>
      <w:r w:rsidR="004B629C">
        <w:rPr>
          <w:rFonts w:cs="Arial"/>
        </w:rPr>
        <w:t xml:space="preserve">a </w:t>
      </w:r>
      <w:r w:rsidR="008E50B4">
        <w:rPr>
          <w:rFonts w:cs="Arial"/>
        </w:rPr>
        <w:t xml:space="preserve">Règle </w:t>
      </w:r>
      <w:r w:rsidR="004B629C">
        <w:rPr>
          <w:rFonts w:cs="Arial"/>
        </w:rPr>
        <w:t>d’acquisition de compétences en français</w:t>
      </w:r>
      <w:r w:rsidR="008E50B4">
        <w:rPr>
          <w:rFonts w:cs="Arial"/>
        </w:rPr>
        <w:t>, se qualifient de directives n’y change rien</w:t>
      </w:r>
      <w:r w:rsidR="00FA5092">
        <w:rPr>
          <w:rFonts w:cs="Arial"/>
        </w:rPr>
        <w:t>, ce en quoi Concordia a raison</w:t>
      </w:r>
      <w:r w:rsidR="008E50B4">
        <w:rPr>
          <w:rFonts w:cs="Arial"/>
        </w:rPr>
        <w:t>.</w:t>
      </w:r>
    </w:p>
    <w:p w14:paraId="4C497F10" w14:textId="068BEBD4" w:rsidR="008E50B4" w:rsidRPr="008E50B4" w:rsidRDefault="008E50B4" w:rsidP="00C15006">
      <w:pPr>
        <w:pStyle w:val="Paragraphe"/>
        <w:tabs>
          <w:tab w:val="num" w:pos="720"/>
        </w:tabs>
        <w:spacing w:after="0" w:line="240" w:lineRule="auto"/>
        <w:ind w:left="0"/>
        <w:rPr>
          <w:rFonts w:cs="Arial"/>
          <w:b/>
          <w:bCs/>
        </w:rPr>
      </w:pPr>
      <w:r>
        <w:rPr>
          <w:rFonts w:cs="Arial"/>
        </w:rPr>
        <w:t>D</w:t>
      </w:r>
      <w:r w:rsidR="007F5968">
        <w:rPr>
          <w:rFonts w:cs="Arial"/>
        </w:rPr>
        <w:t xml:space="preserve">euxièmement, les Règles contestées s’apparentent à celles en cause dans les arrêts </w:t>
      </w:r>
      <w:r w:rsidR="0096345D" w:rsidRPr="00E67975">
        <w:rPr>
          <w:rFonts w:cs="Arial"/>
          <w:i/>
          <w:iCs/>
        </w:rPr>
        <w:t>TransAlta Generation Partnership</w:t>
      </w:r>
      <w:r w:rsidR="0096345D">
        <w:rPr>
          <w:rFonts w:cs="Arial"/>
        </w:rPr>
        <w:t xml:space="preserve"> c. </w:t>
      </w:r>
      <w:r w:rsidR="0096345D" w:rsidRPr="00E67975">
        <w:rPr>
          <w:rFonts w:cs="Arial"/>
          <w:i/>
          <w:iCs/>
        </w:rPr>
        <w:t>Alberta</w:t>
      </w:r>
      <w:r w:rsidR="007F5968" w:rsidRPr="00FD0220">
        <w:rPr>
          <w:rStyle w:val="Appelnotedebasdep"/>
          <w:rFonts w:cs="Arial"/>
        </w:rPr>
        <w:footnoteReference w:id="73"/>
      </w:r>
      <w:r w:rsidR="007F5968">
        <w:rPr>
          <w:rFonts w:cs="Arial"/>
        </w:rPr>
        <w:t xml:space="preserve"> et </w:t>
      </w:r>
      <w:r w:rsidRPr="008E50B4">
        <w:rPr>
          <w:rFonts w:cs="Arial"/>
          <w:i/>
          <w:iCs/>
        </w:rPr>
        <w:t>Auer</w:t>
      </w:r>
      <w:r w:rsidRPr="00DF4EDD">
        <w:rPr>
          <w:i/>
        </w:rPr>
        <w:t xml:space="preserve"> </w:t>
      </w:r>
      <w:r>
        <w:rPr>
          <w:rFonts w:cs="Arial"/>
        </w:rPr>
        <w:t>c.</w:t>
      </w:r>
      <w:r w:rsidRPr="00DF4EDD">
        <w:rPr>
          <w:i/>
        </w:rPr>
        <w:t xml:space="preserve"> </w:t>
      </w:r>
      <w:r w:rsidRPr="008E50B4">
        <w:rPr>
          <w:rFonts w:cs="Arial"/>
          <w:i/>
          <w:iCs/>
        </w:rPr>
        <w:t>Auer</w:t>
      </w:r>
      <w:r w:rsidRPr="00EE167B">
        <w:rPr>
          <w:rStyle w:val="Appelnotedebasdep"/>
          <w:rFonts w:cs="Arial"/>
        </w:rPr>
        <w:footnoteReference w:id="74"/>
      </w:r>
      <w:r w:rsidR="007F5968">
        <w:rPr>
          <w:rFonts w:cs="Arial"/>
          <w:i/>
          <w:iCs/>
        </w:rPr>
        <w:t xml:space="preserve">. </w:t>
      </w:r>
      <w:r w:rsidR="007F5968" w:rsidRPr="007F5968">
        <w:rPr>
          <w:rFonts w:cs="Arial"/>
        </w:rPr>
        <w:t>Dans ce dernier arrêt</w:t>
      </w:r>
      <w:r>
        <w:rPr>
          <w:rFonts w:cs="Arial"/>
        </w:rPr>
        <w:t>, la Cour suprême précise</w:t>
      </w:r>
      <w:r w:rsidR="00DF4EDD">
        <w:rPr>
          <w:rFonts w:cs="Arial"/>
        </w:rPr>
        <w:t> :</w:t>
      </w:r>
    </w:p>
    <w:p w14:paraId="303F921D" w14:textId="622EF606" w:rsidR="00DC4542" w:rsidRDefault="00352E9C" w:rsidP="00DC4542">
      <w:pPr>
        <w:pStyle w:val="Citationenretrait"/>
      </w:pPr>
      <w:r w:rsidRPr="00352E9C">
        <w:t>[</w:t>
      </w:r>
      <w:bookmarkStart w:id="43" w:name="par21"/>
      <w:r w:rsidRPr="00352E9C">
        <w:t>21</w:t>
      </w:r>
      <w:bookmarkEnd w:id="43"/>
      <w:r w:rsidRPr="00352E9C">
        <w:t>]</w:t>
      </w:r>
      <w:r w:rsidR="008E2561">
        <w:tab/>
      </w:r>
      <w:r w:rsidR="00D9744F">
        <w:t>[d]</w:t>
      </w:r>
      <w:r w:rsidRPr="00352E9C">
        <w:t>ans</w:t>
      </w:r>
      <w:r w:rsidR="008E2561">
        <w:t xml:space="preserve"> </w:t>
      </w:r>
      <w:r w:rsidRPr="00352E9C">
        <w:rPr>
          <w:i/>
          <w:iCs/>
        </w:rPr>
        <w:t>Vavilov</w:t>
      </w:r>
      <w:r w:rsidRPr="00352E9C">
        <w:t>, notre Cour a établi un cadre exhaustif pour déterminer la norme de contrôle qui s’applique lors de tout contrôle au fond d’une décision administrative (par. 17). Ce faisant, la Cour a apporté « une cohérence et une prévisibilité accrues à ce domaine du droit » et a éliminé la nécessité que les cours de justice recourent à une analyse contextuelle pour établir la norme de contrôle appropriée (par. 10 et 17). Notre Cour a reconnu que « la diversité des décisions et des décideurs »</w:t>
      </w:r>
      <w:r w:rsidR="000C6958">
        <w:t xml:space="preserve"> </w:t>
      </w:r>
      <w:r w:rsidRPr="00352E9C">
        <w:t>posait un défi</w:t>
      </w:r>
      <w:r w:rsidR="000C6958">
        <w:t xml:space="preserve"> </w:t>
      </w:r>
      <w:r w:rsidRPr="00352E9C">
        <w:t xml:space="preserve">dans l’élaboration d’une méthode cohérente et unifiée de contrôle judiciaire (par. 88). La Cour a veillé à ce que le cadre révisé « s’adapte à tous les types de décisions administratives, qui vont de l’immigration, de l’administration carcérale et des programmes de sécurité sociale aux relations de travail, à la réglementation des valeurs mobilières et à la politique énergétique » (par. 11). </w:t>
      </w:r>
      <w:r w:rsidRPr="00D9744F">
        <w:rPr>
          <w:u w:val="single"/>
        </w:rPr>
        <w:t>Cela comprend les décisions de décideurs allant de « tribunaux spécialisés exerçant des attributions judiciaires</w:t>
      </w:r>
      <w:r w:rsidRPr="00352E9C">
        <w:t xml:space="preserve"> aux organismes de réglementation indépendants, </w:t>
      </w:r>
      <w:r w:rsidRPr="00352E9C">
        <w:rPr>
          <w:u w:val="single"/>
        </w:rPr>
        <w:t>aux ministres</w:t>
      </w:r>
      <w:r w:rsidRPr="00352E9C">
        <w:t xml:space="preserve">, aux décideurs de première ligne et plus encore [. . .] </w:t>
      </w:r>
      <w:r w:rsidRPr="00964927">
        <w:rPr>
          <w:u w:val="single"/>
        </w:rPr>
        <w:t>vari[ant] en complexité et en importance</w:t>
      </w:r>
      <w:r w:rsidRPr="00352E9C">
        <w:t xml:space="preserve">, allant des décisions banales à celles qui changent le cours d’une vie [. . .] vis[ant], </w:t>
      </w:r>
      <w:r w:rsidRPr="00352E9C">
        <w:rPr>
          <w:u w:val="single"/>
        </w:rPr>
        <w:t>d’une part, des questions “hautement politiques” et, d’autre part, des questions de “droit pur</w:t>
      </w:r>
      <w:r w:rsidRPr="00352E9C">
        <w:t>” » (par. 88).</w:t>
      </w:r>
    </w:p>
    <w:p w14:paraId="78E447E5" w14:textId="27B926E3" w:rsidR="00C15006" w:rsidRPr="00352E9C" w:rsidRDefault="00DC4542" w:rsidP="00DC4542">
      <w:pPr>
        <w:pStyle w:val="Citationenretrait"/>
        <w:tabs>
          <w:tab w:val="right" w:pos="8640"/>
        </w:tabs>
      </w:pPr>
      <w:r>
        <w:tab/>
      </w:r>
      <w:r w:rsidR="00352E9C">
        <w:t>[</w:t>
      </w:r>
      <w:r>
        <w:t>S</w:t>
      </w:r>
      <w:r w:rsidR="00352E9C">
        <w:t>oulignement</w:t>
      </w:r>
      <w:r w:rsidR="00D9744F">
        <w:t>s</w:t>
      </w:r>
      <w:r w:rsidR="00352E9C">
        <w:t xml:space="preserve"> ajouté</w:t>
      </w:r>
      <w:r w:rsidR="00D9744F">
        <w:t>s</w:t>
      </w:r>
      <w:r w:rsidR="00352E9C">
        <w:t>]</w:t>
      </w:r>
    </w:p>
    <w:p w14:paraId="4E8957B5" w14:textId="45360582" w:rsidR="00E67975" w:rsidRPr="00E67975" w:rsidRDefault="00E67975" w:rsidP="004E388D">
      <w:pPr>
        <w:pStyle w:val="Paragraphe"/>
        <w:keepNext/>
        <w:tabs>
          <w:tab w:val="num" w:pos="720"/>
        </w:tabs>
        <w:spacing w:line="240" w:lineRule="auto"/>
        <w:ind w:left="0"/>
        <w:rPr>
          <w:rFonts w:cs="Arial"/>
          <w:b/>
          <w:bCs/>
        </w:rPr>
      </w:pPr>
      <w:r>
        <w:rPr>
          <w:rFonts w:cs="Arial"/>
        </w:rPr>
        <w:t>De même, dans</w:t>
      </w:r>
      <w:r w:rsidR="00187C1A">
        <w:rPr>
          <w:rFonts w:cs="Arial"/>
        </w:rPr>
        <w:t xml:space="preserve"> l’arrêt</w:t>
      </w:r>
      <w:r>
        <w:rPr>
          <w:rFonts w:cs="Arial"/>
        </w:rPr>
        <w:t xml:space="preserve"> </w:t>
      </w:r>
      <w:r w:rsidRPr="00E67975">
        <w:rPr>
          <w:rFonts w:cs="Arial"/>
          <w:i/>
          <w:iCs/>
        </w:rPr>
        <w:t>TransAlta</w:t>
      </w:r>
      <w:r>
        <w:rPr>
          <w:rFonts w:cs="Arial"/>
        </w:rPr>
        <w:t>, la Cour suprême ajoute :</w:t>
      </w:r>
    </w:p>
    <w:p w14:paraId="51F7962B" w14:textId="2780B2BD" w:rsidR="00E67975" w:rsidRDefault="00E67975" w:rsidP="004E388D">
      <w:pPr>
        <w:pStyle w:val="Citationenretrait"/>
        <w:keepNext/>
      </w:pPr>
      <w:bookmarkStart w:id="44" w:name="_Hlk181608333"/>
      <w:r w:rsidRPr="00E67975">
        <w:t>[14]</w:t>
      </w:r>
      <w:r w:rsidRPr="00E67975">
        <w:tab/>
        <w:t>Comme il est mentionné dans le pourvoi connexe,</w:t>
      </w:r>
      <w:r w:rsidR="00C33CAF">
        <w:t xml:space="preserve"> </w:t>
      </w:r>
      <w:r w:rsidRPr="00E67975">
        <w:rPr>
          <w:i/>
          <w:iCs/>
        </w:rPr>
        <w:t>Auer</w:t>
      </w:r>
      <w:r w:rsidRPr="00E67975">
        <w:t>, la norme de la décision raisonnable énoncée dans</w:t>
      </w:r>
      <w:bookmarkEnd w:id="44"/>
      <w:r w:rsidR="00C33CAF">
        <w:t xml:space="preserve"> </w:t>
      </w:r>
      <w:r w:rsidRPr="00E67975">
        <w:rPr>
          <w:i/>
          <w:iCs/>
        </w:rPr>
        <w:t>Vavilov</w:t>
      </w:r>
      <w:bookmarkStart w:id="45" w:name="_Hlk181608681"/>
      <w:r w:rsidR="00C33CAF">
        <w:t xml:space="preserve"> </w:t>
      </w:r>
      <w:r w:rsidRPr="00E67975">
        <w:t>est présumée s’appliquer lors du contrôle de la validité d’un texte législatif subordonné</w:t>
      </w:r>
      <w:bookmarkEnd w:id="45"/>
      <w:r w:rsidRPr="00E67975">
        <w:t>.</w:t>
      </w:r>
      <w:bookmarkStart w:id="46" w:name="_Hlk181610904"/>
      <w:r w:rsidR="00C33CAF">
        <w:t xml:space="preserve"> </w:t>
      </w:r>
      <w:r w:rsidRPr="00E67975">
        <w:t>Aucune exception à la présomption d’assujettissement à la norme de la décision raisonnable ne s’applique</w:t>
      </w:r>
      <w:bookmarkEnd w:id="46"/>
      <w:r w:rsidR="00C33CAF">
        <w:t xml:space="preserve"> </w:t>
      </w:r>
      <w:r w:rsidRPr="00E67975">
        <w:t>en l’espèce. De fait, la législature n’a pas indiqué que les</w:t>
      </w:r>
      <w:r w:rsidR="00C33CAF">
        <w:t xml:space="preserve"> </w:t>
      </w:r>
      <w:r w:rsidRPr="00E67975">
        <w:rPr>
          <w:i/>
          <w:iCs/>
        </w:rPr>
        <w:t>Lignes directrices sur l’évaluation foncière</w:t>
      </w:r>
      <w:r w:rsidRPr="00E67975">
        <w:t xml:space="preserve"> </w:t>
      </w:r>
      <w:r w:rsidRPr="00E67975">
        <w:rPr>
          <w:i/>
          <w:iCs/>
        </w:rPr>
        <w:t>linéaire</w:t>
      </w:r>
      <w:r w:rsidR="00C33CAF">
        <w:t xml:space="preserve"> </w:t>
      </w:r>
      <w:r w:rsidRPr="00E67975">
        <w:t>doivent être contrôlées suivant une norme différente, et la primauté du droit ne requiert pas l’application de la norme de la décision correcte.</w:t>
      </w:r>
      <w:bookmarkStart w:id="47" w:name="_Hlk181610962"/>
      <w:r w:rsidR="00E63F92">
        <w:t xml:space="preserve"> </w:t>
      </w:r>
      <w:r w:rsidRPr="00E67975">
        <w:t>En conséquence, la norme de la décision raisonnable s’applique au contrôle de la validité des</w:t>
      </w:r>
      <w:r w:rsidR="00E63F92">
        <w:t xml:space="preserve"> </w:t>
      </w:r>
      <w:r w:rsidRPr="00E67975">
        <w:rPr>
          <w:i/>
          <w:iCs/>
        </w:rPr>
        <w:t>Lignes directrices sur l’évaluation foncière linéair</w:t>
      </w:r>
      <w:r>
        <w:rPr>
          <w:i/>
          <w:iCs/>
        </w:rPr>
        <w:t>e</w:t>
      </w:r>
      <w:bookmarkEnd w:id="47"/>
      <w:r w:rsidRPr="00E67975">
        <w:t>.</w:t>
      </w:r>
    </w:p>
    <w:p w14:paraId="590C166E" w14:textId="31AF2044" w:rsidR="00E67975" w:rsidRDefault="00E67975" w:rsidP="00C33CAF">
      <w:pPr>
        <w:pStyle w:val="Citationenretrait"/>
      </w:pPr>
      <w:r>
        <w:t>[…]</w:t>
      </w:r>
    </w:p>
    <w:p w14:paraId="3E46D6BB" w14:textId="5A90C8E2" w:rsidR="00E67975" w:rsidRDefault="00E67975" w:rsidP="00FC6193">
      <w:pPr>
        <w:pStyle w:val="Citationenretrait"/>
      </w:pPr>
      <w:r w:rsidRPr="00E67975">
        <w:t>[</w:t>
      </w:r>
      <w:bookmarkStart w:id="48" w:name="par31"/>
      <w:r w:rsidRPr="00E67975">
        <w:t>31</w:t>
      </w:r>
      <w:bookmarkEnd w:id="48"/>
      <w:r w:rsidRPr="00E67975">
        <w:t>]</w:t>
      </w:r>
      <w:r w:rsidR="00FC6193">
        <w:tab/>
      </w:r>
      <w:r w:rsidRPr="00E67975">
        <w:t>Les</w:t>
      </w:r>
      <w:r w:rsidR="00FC6193">
        <w:t xml:space="preserve"> </w:t>
      </w:r>
      <w:r w:rsidRPr="00E67975">
        <w:rPr>
          <w:i/>
          <w:iCs/>
        </w:rPr>
        <w:t>Lignes directrices</w:t>
      </w:r>
      <w:r w:rsidR="00FC6193">
        <w:rPr>
          <w:i/>
          <w:iCs/>
        </w:rPr>
        <w:t xml:space="preserve"> </w:t>
      </w:r>
      <w:r w:rsidRPr="00E67975">
        <w:rPr>
          <w:i/>
          <w:iCs/>
        </w:rPr>
        <w:t>sur l’évaluation foncière linéaire</w:t>
      </w:r>
      <w:r w:rsidR="00FC6193">
        <w:t xml:space="preserve"> </w:t>
      </w:r>
      <w:r w:rsidRPr="00E67975">
        <w:t>énoncent les procédures de calcul de toutes les évaluations de biens</w:t>
      </w:r>
      <w:r w:rsidRPr="00E67975">
        <w:noBreakHyphen/>
        <w:t>fonds linéaires. Elles obligent les évaluateurs à multiplier les valeurs déterminées suivant quatre annexes. La contestation de TransAlta s’attache aux art.</w:t>
      </w:r>
      <w:r w:rsidR="00FC6193">
        <w:t xml:space="preserve"> </w:t>
      </w:r>
      <w:r w:rsidRPr="00E67975">
        <w:t>1.003 et 2.003 des</w:t>
      </w:r>
      <w:r w:rsidR="00FC6193">
        <w:t xml:space="preserve"> </w:t>
      </w:r>
      <w:r w:rsidRPr="00E67975">
        <w:rPr>
          <w:i/>
          <w:iCs/>
        </w:rPr>
        <w:t>Lignes directrices</w:t>
      </w:r>
      <w:r w:rsidR="00FC6193">
        <w:rPr>
          <w:i/>
          <w:iCs/>
        </w:rPr>
        <w:t xml:space="preserve"> </w:t>
      </w:r>
      <w:r w:rsidRPr="00E67975">
        <w:rPr>
          <w:i/>
          <w:iCs/>
        </w:rPr>
        <w:t>sur l’évaluation foncière linéaire</w:t>
      </w:r>
      <w:r w:rsidRPr="00E67975">
        <w:t>.</w:t>
      </w:r>
    </w:p>
    <w:p w14:paraId="5FC744C0" w14:textId="655D1C92" w:rsidR="00E67975" w:rsidRPr="00E67975" w:rsidRDefault="00E67975" w:rsidP="00614969">
      <w:pPr>
        <w:pStyle w:val="Citationenretrait"/>
      </w:pPr>
      <w:r>
        <w:t>[…]</w:t>
      </w:r>
    </w:p>
    <w:p w14:paraId="28D4AC09" w14:textId="2AF2E8C9" w:rsidR="00E67975" w:rsidRPr="00E67975" w:rsidRDefault="00E67975" w:rsidP="00614969">
      <w:pPr>
        <w:pStyle w:val="Citationenretrait"/>
      </w:pPr>
      <w:r w:rsidRPr="00E67975">
        <w:t>[</w:t>
      </w:r>
      <w:bookmarkStart w:id="49" w:name="par36"/>
      <w:r w:rsidRPr="00E67975">
        <w:t>36</w:t>
      </w:r>
      <w:bookmarkEnd w:id="49"/>
      <w:r w:rsidRPr="00E67975">
        <w:t>]</w:t>
      </w:r>
      <w:r w:rsidR="0074623D">
        <w:tab/>
      </w:r>
      <w:r w:rsidRPr="00E67975">
        <w:t>En pratique, ces dispositions font en sorte qu’un évaluateur ne peut pas accorder à TransAlta une dépréciation additionnelle pour ses installations alimentées au charbon au motif que ces installations font l’objet de l’Accord d’élimination du charbon (voir les</w:t>
      </w:r>
      <w:r w:rsidR="00614969">
        <w:t xml:space="preserve"> </w:t>
      </w:r>
      <w:r w:rsidRPr="00E67975">
        <w:rPr>
          <w:i/>
          <w:iCs/>
        </w:rPr>
        <w:t>Lignes directrices</w:t>
      </w:r>
      <w:r w:rsidR="00614969">
        <w:rPr>
          <w:i/>
          <w:iCs/>
        </w:rPr>
        <w:t xml:space="preserve"> </w:t>
      </w:r>
      <w:r w:rsidRPr="00E67975">
        <w:rPr>
          <w:i/>
          <w:iCs/>
        </w:rPr>
        <w:t>sur l’évaluation foncière linéaire</w:t>
      </w:r>
      <w:r w:rsidRPr="00E67975">
        <w:t>, al. 1.003(d) et 2.004(e)).</w:t>
      </w:r>
    </w:p>
    <w:p w14:paraId="494241E8" w14:textId="1B2C4981" w:rsidR="00CE2175" w:rsidRPr="00CE2175" w:rsidRDefault="00D34B4D" w:rsidP="00386575">
      <w:pPr>
        <w:pStyle w:val="Paragraphe"/>
        <w:tabs>
          <w:tab w:val="num" w:pos="720"/>
        </w:tabs>
        <w:spacing w:line="240" w:lineRule="auto"/>
        <w:ind w:left="0"/>
        <w:rPr>
          <w:rFonts w:cs="Arial"/>
          <w:b/>
          <w:bCs/>
        </w:rPr>
      </w:pPr>
      <w:r w:rsidRPr="00CB122B">
        <w:rPr>
          <w:rFonts w:cs="Arial"/>
        </w:rPr>
        <w:t xml:space="preserve">Si la norme de la décision raisonnable s’applique à </w:t>
      </w:r>
      <w:r w:rsidR="0096345D">
        <w:rPr>
          <w:rFonts w:cs="Arial"/>
        </w:rPr>
        <w:t>des</w:t>
      </w:r>
      <w:r w:rsidRPr="00CB122B">
        <w:rPr>
          <w:rFonts w:cs="Arial"/>
        </w:rPr>
        <w:t xml:space="preserve"> texte</w:t>
      </w:r>
      <w:r w:rsidR="0096345D">
        <w:rPr>
          <w:rFonts w:cs="Arial"/>
        </w:rPr>
        <w:t>s</w:t>
      </w:r>
      <w:r w:rsidRPr="00CB122B">
        <w:rPr>
          <w:rFonts w:cs="Arial"/>
        </w:rPr>
        <w:t xml:space="preserve"> subordonné</w:t>
      </w:r>
      <w:r w:rsidR="0096345D">
        <w:rPr>
          <w:rFonts w:cs="Arial"/>
        </w:rPr>
        <w:t>s</w:t>
      </w:r>
      <w:r w:rsidRPr="00CB122B">
        <w:rPr>
          <w:rFonts w:cs="Arial"/>
        </w:rPr>
        <w:t xml:space="preserve"> tel</w:t>
      </w:r>
      <w:r w:rsidR="00D9744F" w:rsidRPr="00CB122B">
        <w:rPr>
          <w:rFonts w:cs="Arial"/>
        </w:rPr>
        <w:t>les</w:t>
      </w:r>
      <w:r w:rsidRPr="00CB122B">
        <w:rPr>
          <w:rFonts w:cs="Arial"/>
        </w:rPr>
        <w:t xml:space="preserve"> les l</w:t>
      </w:r>
      <w:r w:rsidRPr="00CB122B">
        <w:rPr>
          <w:color w:val="000000"/>
        </w:rPr>
        <w:t>ignes directrices sur les pensions alimentaires pour enfants</w:t>
      </w:r>
      <w:r w:rsidR="00187C1A">
        <w:rPr>
          <w:color w:val="000000"/>
        </w:rPr>
        <w:t xml:space="preserve"> ou </w:t>
      </w:r>
      <w:r w:rsidR="0096345D">
        <w:rPr>
          <w:color w:val="000000"/>
        </w:rPr>
        <w:t>les règles</w:t>
      </w:r>
      <w:r w:rsidR="00187C1A">
        <w:rPr>
          <w:color w:val="000000"/>
        </w:rPr>
        <w:t xml:space="preserve"> dictant les niveaux de dépréciation additionnelle ayant un impact sur l</w:t>
      </w:r>
      <w:r w:rsidR="00CC15DE">
        <w:rPr>
          <w:color w:val="000000"/>
        </w:rPr>
        <w:t>’évaluation d’un immeuble</w:t>
      </w:r>
      <w:r w:rsidRPr="00CB122B">
        <w:rPr>
          <w:color w:val="000000"/>
        </w:rPr>
        <w:t>, il n’existe aucun motif de l’exclure de l’analyse de la légalité des</w:t>
      </w:r>
      <w:r w:rsidR="008E74C0" w:rsidRPr="00CB122B">
        <w:rPr>
          <w:color w:val="000000"/>
        </w:rPr>
        <w:t xml:space="preserve"> Règles budgétaires </w:t>
      </w:r>
      <w:r w:rsidRPr="00CB122B">
        <w:rPr>
          <w:color w:val="000000"/>
        </w:rPr>
        <w:t xml:space="preserve">en cause. </w:t>
      </w:r>
      <w:r w:rsidR="004B629C" w:rsidRPr="00CB122B">
        <w:rPr>
          <w:color w:val="000000"/>
        </w:rPr>
        <w:t xml:space="preserve">Dans les </w:t>
      </w:r>
      <w:r w:rsidR="00CC15DE">
        <w:rPr>
          <w:color w:val="000000"/>
        </w:rPr>
        <w:t>trois</w:t>
      </w:r>
      <w:r w:rsidR="004B629C" w:rsidRPr="00CB122B">
        <w:rPr>
          <w:color w:val="000000"/>
        </w:rPr>
        <w:t xml:space="preserve"> cas, le gouvernement </w:t>
      </w:r>
      <w:r w:rsidR="00CB122B">
        <w:rPr>
          <w:color w:val="000000"/>
        </w:rPr>
        <w:t xml:space="preserve">établit un cadre </w:t>
      </w:r>
      <w:r w:rsidR="0096345D">
        <w:rPr>
          <w:color w:val="000000"/>
        </w:rPr>
        <w:t>qui cause un impact aux parties auxquelles elles s’appliquent</w:t>
      </w:r>
      <w:r w:rsidR="00CB122B">
        <w:rPr>
          <w:color w:val="000000"/>
        </w:rPr>
        <w:t xml:space="preserve"> : dans le premier, en </w:t>
      </w:r>
      <w:r w:rsidR="004B629C" w:rsidRPr="00CB122B">
        <w:rPr>
          <w:color w:val="000000"/>
        </w:rPr>
        <w:t>fix</w:t>
      </w:r>
      <w:r w:rsidR="00CB122B">
        <w:rPr>
          <w:color w:val="000000"/>
        </w:rPr>
        <w:t>ant</w:t>
      </w:r>
      <w:r w:rsidR="004B629C" w:rsidRPr="00CB122B">
        <w:rPr>
          <w:color w:val="000000"/>
        </w:rPr>
        <w:t xml:space="preserve"> </w:t>
      </w:r>
      <w:r w:rsidR="00A26479">
        <w:rPr>
          <w:color w:val="000000"/>
        </w:rPr>
        <w:t>un</w:t>
      </w:r>
      <w:r w:rsidR="004B629C" w:rsidRPr="00CB122B">
        <w:rPr>
          <w:color w:val="000000"/>
        </w:rPr>
        <w:t xml:space="preserve"> barème</w:t>
      </w:r>
      <w:r w:rsidR="00CB122B">
        <w:rPr>
          <w:color w:val="000000"/>
        </w:rPr>
        <w:t xml:space="preserve">, dans le </w:t>
      </w:r>
      <w:r w:rsidR="00CE2175">
        <w:rPr>
          <w:color w:val="000000"/>
        </w:rPr>
        <w:t>deuxième</w:t>
      </w:r>
      <w:r w:rsidR="00CC15DE">
        <w:rPr>
          <w:color w:val="000000"/>
        </w:rPr>
        <w:t xml:space="preserve"> en déterminant l’évaluation d’une installation</w:t>
      </w:r>
      <w:r w:rsidR="00CB122B">
        <w:rPr>
          <w:color w:val="000000"/>
        </w:rPr>
        <w:t xml:space="preserve">, </w:t>
      </w:r>
      <w:r w:rsidR="00CC15DE">
        <w:rPr>
          <w:color w:val="000000"/>
        </w:rPr>
        <w:t xml:space="preserve">dans le dernier, </w:t>
      </w:r>
      <w:r w:rsidR="00CB122B">
        <w:rPr>
          <w:color w:val="000000"/>
        </w:rPr>
        <w:t xml:space="preserve">en </w:t>
      </w:r>
      <w:r w:rsidR="00A26479">
        <w:rPr>
          <w:color w:val="000000"/>
        </w:rPr>
        <w:t>assoyant des</w:t>
      </w:r>
      <w:r w:rsidR="002F2DA1">
        <w:rPr>
          <w:color w:val="000000"/>
        </w:rPr>
        <w:t xml:space="preserve"> critères encadrant </w:t>
      </w:r>
      <w:r w:rsidR="001B4B62">
        <w:rPr>
          <w:color w:val="000000"/>
        </w:rPr>
        <w:t>d</w:t>
      </w:r>
      <w:r w:rsidR="002F2DA1">
        <w:rPr>
          <w:color w:val="000000"/>
        </w:rPr>
        <w:t>es</w:t>
      </w:r>
      <w:r w:rsidR="00A26479">
        <w:rPr>
          <w:color w:val="000000"/>
        </w:rPr>
        <w:t xml:space="preserve"> règles budgétaires.</w:t>
      </w:r>
    </w:p>
    <w:p w14:paraId="3B4D4453" w14:textId="0D52739F" w:rsidR="007D5C5A" w:rsidRPr="007D5C5A" w:rsidRDefault="002863B5" w:rsidP="00DA1043">
      <w:pPr>
        <w:pStyle w:val="Paragraphe"/>
        <w:tabs>
          <w:tab w:val="num" w:pos="720"/>
        </w:tabs>
        <w:spacing w:line="240" w:lineRule="auto"/>
        <w:ind w:left="0"/>
        <w:rPr>
          <w:rFonts w:cs="Arial"/>
          <w:b/>
          <w:bCs/>
        </w:rPr>
      </w:pPr>
      <w:r w:rsidRPr="007D5C5A">
        <w:rPr>
          <w:color w:val="000000"/>
        </w:rPr>
        <w:t>Même si les Règles budgétaires</w:t>
      </w:r>
      <w:r w:rsidR="00CE2175" w:rsidRPr="007D5C5A">
        <w:rPr>
          <w:color w:val="000000"/>
        </w:rPr>
        <w:t xml:space="preserve"> contestées</w:t>
      </w:r>
      <w:r w:rsidRPr="007D5C5A">
        <w:rPr>
          <w:color w:val="000000"/>
        </w:rPr>
        <w:t xml:space="preserve"> </w:t>
      </w:r>
      <w:r w:rsidR="00CE2175" w:rsidRPr="007D5C5A">
        <w:rPr>
          <w:color w:val="000000"/>
        </w:rPr>
        <w:t xml:space="preserve">ne sont pas soumises à la </w:t>
      </w:r>
      <w:r w:rsidR="00CE2175" w:rsidRPr="007D5C5A">
        <w:rPr>
          <w:i/>
          <w:iCs/>
          <w:color w:val="000000"/>
        </w:rPr>
        <w:t xml:space="preserve">Loi sur les </w:t>
      </w:r>
      <w:r w:rsidR="00275C79">
        <w:rPr>
          <w:i/>
          <w:iCs/>
          <w:color w:val="000000"/>
        </w:rPr>
        <w:t>r</w:t>
      </w:r>
      <w:r w:rsidR="00CE2175" w:rsidRPr="007D5C5A">
        <w:rPr>
          <w:i/>
          <w:iCs/>
          <w:color w:val="000000"/>
        </w:rPr>
        <w:t>èglements</w:t>
      </w:r>
      <w:r w:rsidR="00CE2175" w:rsidRPr="007D5C5A">
        <w:rPr>
          <w:rStyle w:val="Appelnotedebasdep"/>
          <w:color w:val="000000"/>
        </w:rPr>
        <w:footnoteReference w:id="75"/>
      </w:r>
      <w:r w:rsidR="00CE2175" w:rsidRPr="007D5C5A">
        <w:rPr>
          <w:i/>
          <w:iCs/>
          <w:color w:val="000000"/>
        </w:rPr>
        <w:t xml:space="preserve"> </w:t>
      </w:r>
      <w:r w:rsidR="00CE2175" w:rsidRPr="007D5C5A">
        <w:rPr>
          <w:color w:val="000000"/>
        </w:rPr>
        <w:t xml:space="preserve">et </w:t>
      </w:r>
      <w:r w:rsidR="007D5C5A" w:rsidRPr="007D5C5A">
        <w:rPr>
          <w:color w:val="000000"/>
        </w:rPr>
        <w:t>diffèrent d’</w:t>
      </w:r>
      <w:r w:rsidRPr="007D5C5A">
        <w:rPr>
          <w:color w:val="000000"/>
        </w:rPr>
        <w:t>un texte législatif subordonné</w:t>
      </w:r>
      <w:r w:rsidR="007D5C5A" w:rsidRPr="007D5C5A">
        <w:rPr>
          <w:color w:val="000000"/>
        </w:rPr>
        <w:t xml:space="preserve"> comme les</w:t>
      </w:r>
      <w:r w:rsidR="00CE2175" w:rsidRPr="007D5C5A">
        <w:rPr>
          <w:color w:val="000000"/>
        </w:rPr>
        <w:t xml:space="preserve"> </w:t>
      </w:r>
      <w:r w:rsidRPr="007D5C5A">
        <w:rPr>
          <w:color w:val="000000"/>
        </w:rPr>
        <w:t xml:space="preserve">lignes directrices fédérales sur les pensions alimentaires </w:t>
      </w:r>
      <w:r w:rsidR="007D5C5A" w:rsidRPr="007D5C5A">
        <w:rPr>
          <w:color w:val="000000"/>
        </w:rPr>
        <w:t xml:space="preserve">analysées </w:t>
      </w:r>
      <w:r w:rsidR="00CE2175" w:rsidRPr="007D5C5A">
        <w:rPr>
          <w:color w:val="000000"/>
        </w:rPr>
        <w:t xml:space="preserve">dans </w:t>
      </w:r>
      <w:r w:rsidR="00CE2175" w:rsidRPr="007D5C5A">
        <w:rPr>
          <w:i/>
          <w:iCs/>
          <w:color w:val="000000"/>
        </w:rPr>
        <w:t>Auer</w:t>
      </w:r>
      <w:r w:rsidR="00CE2175" w:rsidRPr="007D5C5A">
        <w:rPr>
          <w:color w:val="000000"/>
        </w:rPr>
        <w:t xml:space="preserve"> </w:t>
      </w:r>
      <w:r w:rsidRPr="007D5C5A">
        <w:rPr>
          <w:color w:val="000000"/>
        </w:rPr>
        <w:t xml:space="preserve">ou encore </w:t>
      </w:r>
      <w:r w:rsidR="007D5C5A" w:rsidRPr="007D5C5A">
        <w:rPr>
          <w:color w:val="000000"/>
        </w:rPr>
        <w:t>l</w:t>
      </w:r>
      <w:r w:rsidRPr="007D5C5A">
        <w:rPr>
          <w:color w:val="000000"/>
        </w:rPr>
        <w:t xml:space="preserve">es </w:t>
      </w:r>
      <w:r w:rsidR="007D5C5A" w:rsidRPr="007D5C5A">
        <w:rPr>
          <w:color w:val="000000"/>
        </w:rPr>
        <w:t>règles prévoyant d</w:t>
      </w:r>
      <w:r w:rsidR="00CE2175" w:rsidRPr="007D5C5A">
        <w:rPr>
          <w:color w:val="000000"/>
        </w:rPr>
        <w:t xml:space="preserve">es exemptions </w:t>
      </w:r>
      <w:r w:rsidR="007D5C5A" w:rsidRPr="007D5C5A">
        <w:rPr>
          <w:color w:val="000000"/>
        </w:rPr>
        <w:t xml:space="preserve">comme </w:t>
      </w:r>
      <w:r w:rsidR="00CE2175" w:rsidRPr="007D5C5A">
        <w:rPr>
          <w:color w:val="000000"/>
        </w:rPr>
        <w:t xml:space="preserve">dans </w:t>
      </w:r>
      <w:r w:rsidR="00CE2175" w:rsidRPr="007D5C5A">
        <w:rPr>
          <w:i/>
          <w:iCs/>
          <w:color w:val="000000"/>
        </w:rPr>
        <w:t>TransAlta</w:t>
      </w:r>
      <w:r w:rsidR="00CE2175" w:rsidRPr="007D5C5A">
        <w:rPr>
          <w:color w:val="000000"/>
        </w:rPr>
        <w:t>, l</w:t>
      </w:r>
      <w:r w:rsidRPr="007D5C5A">
        <w:rPr>
          <w:color w:val="000000"/>
        </w:rPr>
        <w:t>e Tribunal ne voit aucun motif d’exclure l’application de la norme de la décision raisonnable</w:t>
      </w:r>
      <w:r w:rsidR="007D5C5A" w:rsidRPr="007D5C5A">
        <w:rPr>
          <w:color w:val="000000"/>
        </w:rPr>
        <w:t>.</w:t>
      </w:r>
    </w:p>
    <w:p w14:paraId="0DF58AE3" w14:textId="180C4157" w:rsidR="00D9744F" w:rsidRPr="007D5C5A" w:rsidRDefault="00924EE1" w:rsidP="00DA1043">
      <w:pPr>
        <w:pStyle w:val="Paragraphe"/>
        <w:tabs>
          <w:tab w:val="num" w:pos="720"/>
        </w:tabs>
        <w:spacing w:line="240" w:lineRule="auto"/>
        <w:ind w:left="0"/>
        <w:rPr>
          <w:rFonts w:cs="Arial"/>
          <w:b/>
          <w:bCs/>
        </w:rPr>
      </w:pPr>
      <w:r>
        <w:rPr>
          <w:color w:val="000000"/>
        </w:rPr>
        <w:t>Troisièmement</w:t>
      </w:r>
      <w:r w:rsidR="00D34B4D" w:rsidRPr="007D5C5A">
        <w:rPr>
          <w:color w:val="000000"/>
        </w:rPr>
        <w:t xml:space="preserve">, </w:t>
      </w:r>
      <w:r w:rsidR="00D34B4D" w:rsidRPr="007D5C5A">
        <w:rPr>
          <w:i/>
          <w:iCs/>
          <w:color w:val="000000"/>
        </w:rPr>
        <w:t xml:space="preserve">la primauté du droit n’exige pas que la question de validité des </w:t>
      </w:r>
      <w:r w:rsidR="00D34B4D" w:rsidRPr="007D5C5A">
        <w:rPr>
          <w:color w:val="000000"/>
        </w:rPr>
        <w:t>[Règles budgétaires]</w:t>
      </w:r>
      <w:r w:rsidR="00D34B4D" w:rsidRPr="007D5C5A">
        <w:rPr>
          <w:i/>
          <w:iCs/>
          <w:color w:val="000000"/>
        </w:rPr>
        <w:t>, en elle</w:t>
      </w:r>
      <w:r w:rsidR="00734273">
        <w:rPr>
          <w:i/>
          <w:iCs/>
          <w:color w:val="000000"/>
        </w:rPr>
        <w:t>-</w:t>
      </w:r>
      <w:r w:rsidR="00D34B4D" w:rsidRPr="007D5C5A">
        <w:rPr>
          <w:i/>
          <w:iCs/>
          <w:color w:val="000000"/>
        </w:rPr>
        <w:t xml:space="preserve">même, soit contrôlée selon la norme de la décision correcte et </w:t>
      </w:r>
      <w:r w:rsidR="00D34B4D" w:rsidRPr="007D5C5A">
        <w:rPr>
          <w:color w:val="000000"/>
        </w:rPr>
        <w:t>[u]</w:t>
      </w:r>
      <w:r w:rsidR="00D34B4D" w:rsidRPr="007D5C5A">
        <w:rPr>
          <w:i/>
          <w:iCs/>
          <w:color w:val="000000"/>
        </w:rPr>
        <w:t xml:space="preserve">n contrôle rigoureux selon la norme de la décision raisonnable suffit pour veiller à ce que </w:t>
      </w:r>
      <w:r w:rsidR="00D9744F" w:rsidRPr="007D5C5A">
        <w:rPr>
          <w:color w:val="000000"/>
        </w:rPr>
        <w:t xml:space="preserve">[la Ministre] </w:t>
      </w:r>
      <w:r w:rsidR="00D34B4D" w:rsidRPr="007D5C5A">
        <w:rPr>
          <w:i/>
          <w:iCs/>
          <w:color w:val="000000"/>
        </w:rPr>
        <w:t xml:space="preserve">agisse dans les limites des pouvoirs qui </w:t>
      </w:r>
      <w:r w:rsidR="00D9744F" w:rsidRPr="007D5C5A">
        <w:rPr>
          <w:color w:val="000000"/>
        </w:rPr>
        <w:t xml:space="preserve">[lui] </w:t>
      </w:r>
      <w:r w:rsidR="00D34B4D" w:rsidRPr="007D5C5A">
        <w:rPr>
          <w:i/>
          <w:iCs/>
          <w:color w:val="000000"/>
        </w:rPr>
        <w:t>sont conférés</w:t>
      </w:r>
      <w:r w:rsidR="00D9744F" w:rsidRPr="00D9744F">
        <w:rPr>
          <w:rStyle w:val="Appelnotedebasdep"/>
          <w:color w:val="000000"/>
        </w:rPr>
        <w:footnoteReference w:id="76"/>
      </w:r>
      <w:r w:rsidR="00D9744F" w:rsidRPr="007D5C5A">
        <w:rPr>
          <w:color w:val="000000"/>
        </w:rPr>
        <w:t>.</w:t>
      </w:r>
    </w:p>
    <w:p w14:paraId="65948DA8" w14:textId="3BA1136F" w:rsidR="007F772A" w:rsidRPr="00CC15DE" w:rsidRDefault="00924EE1" w:rsidP="0038522E">
      <w:pPr>
        <w:pStyle w:val="Paragraphe"/>
        <w:tabs>
          <w:tab w:val="num" w:pos="720"/>
        </w:tabs>
        <w:spacing w:line="240" w:lineRule="auto"/>
        <w:ind w:left="0"/>
        <w:rPr>
          <w:rFonts w:cs="Arial"/>
          <w:b/>
          <w:bCs/>
        </w:rPr>
      </w:pPr>
      <w:r>
        <w:rPr>
          <w:rFonts w:cs="Arial"/>
        </w:rPr>
        <w:t>Quatrièmement, l</w:t>
      </w:r>
      <w:r w:rsidR="007F772A">
        <w:rPr>
          <w:rFonts w:cs="Arial"/>
        </w:rPr>
        <w:t xml:space="preserve">a retenue judiciaire </w:t>
      </w:r>
      <w:r w:rsidR="00062482">
        <w:rPr>
          <w:rFonts w:cs="Arial"/>
        </w:rPr>
        <w:t xml:space="preserve">qu’induit une analyse suivant la norme de la décision raisonnable </w:t>
      </w:r>
      <w:r w:rsidR="007F772A">
        <w:rPr>
          <w:rFonts w:cs="Arial"/>
        </w:rPr>
        <w:t>s’impose d’autant que les modifications aux Règles budgétaires</w:t>
      </w:r>
      <w:r w:rsidR="00770FAE">
        <w:rPr>
          <w:rFonts w:cs="Arial"/>
        </w:rPr>
        <w:t xml:space="preserve">, présumées valides, </w:t>
      </w:r>
      <w:r w:rsidR="007F772A">
        <w:rPr>
          <w:rFonts w:cs="Arial"/>
        </w:rPr>
        <w:t>concernent l</w:t>
      </w:r>
      <w:r w:rsidR="00770FAE">
        <w:rPr>
          <w:rFonts w:cs="Arial"/>
        </w:rPr>
        <w:t>a manière dont le Gouvernement dispose des deniers publics</w:t>
      </w:r>
      <w:r w:rsidR="007F772A">
        <w:rPr>
          <w:rFonts w:cs="Arial"/>
        </w:rPr>
        <w:t xml:space="preserve">. Comme le soussigné l’écrit dans le jugement rejetant la demande de sursis présentée par Concordia et Meldrum, </w:t>
      </w:r>
      <w:r w:rsidR="007F772A" w:rsidRPr="007F772A">
        <w:rPr>
          <w:rFonts w:cs="Arial"/>
          <w:i/>
          <w:iCs/>
        </w:rPr>
        <w:t>[n]</w:t>
      </w:r>
      <w:r w:rsidR="007F772A" w:rsidRPr="007F772A">
        <w:rPr>
          <w:rFonts w:cs="Arial"/>
          <w:i/>
          <w:iCs/>
          <w:color w:val="000016"/>
          <w:spacing w:val="2"/>
          <w:shd w:val="clear" w:color="auto" w:fill="FFFFFF"/>
        </w:rPr>
        <w:t>e</w:t>
      </w:r>
      <w:r w:rsidR="00AC69EB">
        <w:rPr>
          <w:rFonts w:cs="Arial"/>
          <w:i/>
          <w:iCs/>
          <w:color w:val="000016"/>
          <w:spacing w:val="2"/>
          <w:shd w:val="clear" w:color="auto" w:fill="FFFFFF"/>
        </w:rPr>
        <w:t xml:space="preserve"> </w:t>
      </w:r>
      <w:r w:rsidR="007F772A" w:rsidRPr="007F772A">
        <w:rPr>
          <w:rFonts w:cs="Arial"/>
          <w:i/>
          <w:iCs/>
          <w:color w:val="000016"/>
          <w:spacing w:val="2"/>
          <w:shd w:val="clear" w:color="auto" w:fill="FFFFFF"/>
        </w:rPr>
        <w:t>subsisterait-il</w:t>
      </w:r>
      <w:r w:rsidR="00AC69EB">
        <w:rPr>
          <w:rFonts w:cs="Arial"/>
          <w:i/>
          <w:iCs/>
          <w:color w:val="000016"/>
          <w:spacing w:val="2"/>
          <w:shd w:val="clear" w:color="auto" w:fill="FFFFFF"/>
        </w:rPr>
        <w:t xml:space="preserve"> </w:t>
      </w:r>
      <w:r w:rsidR="007F772A" w:rsidRPr="007F772A">
        <w:rPr>
          <w:rFonts w:cs="Arial"/>
          <w:i/>
          <w:iCs/>
          <w:color w:val="000016"/>
          <w:spacing w:val="2"/>
          <w:shd w:val="clear" w:color="auto" w:fill="FFFFFF"/>
        </w:rPr>
        <w:t>qu’un seul type de décision gouvernementale discrétionnaire à l’égard duquel les tribunaux observeraient une grande retenue, ce serait celui-là</w:t>
      </w:r>
      <w:r w:rsidR="007F772A" w:rsidRPr="007337CF">
        <w:rPr>
          <w:rStyle w:val="Appelnotedebasdep"/>
          <w:rFonts w:cs="Arial"/>
          <w:color w:val="000016"/>
          <w:spacing w:val="2"/>
          <w:shd w:val="clear" w:color="auto" w:fill="FFFFFF"/>
        </w:rPr>
        <w:footnoteReference w:id="77"/>
      </w:r>
      <w:r w:rsidR="007F772A" w:rsidRPr="007337CF">
        <w:rPr>
          <w:rFonts w:cs="Arial"/>
          <w:color w:val="000016"/>
          <w:spacing w:val="2"/>
          <w:shd w:val="clear" w:color="auto" w:fill="FFFFFF"/>
        </w:rPr>
        <w:t>.</w:t>
      </w:r>
    </w:p>
    <w:p w14:paraId="469EDC09" w14:textId="72A3EEAB" w:rsidR="00CC15DE" w:rsidRPr="00CC15DE" w:rsidRDefault="00924EE1" w:rsidP="00CC15DE">
      <w:pPr>
        <w:pStyle w:val="Paragraphe"/>
        <w:tabs>
          <w:tab w:val="num" w:pos="720"/>
        </w:tabs>
        <w:spacing w:line="240" w:lineRule="auto"/>
        <w:ind w:left="0"/>
        <w:rPr>
          <w:rFonts w:cs="Arial"/>
          <w:b/>
          <w:bCs/>
        </w:rPr>
      </w:pPr>
      <w:r>
        <w:rPr>
          <w:rFonts w:cs="Arial"/>
        </w:rPr>
        <w:t>Cinquièmement</w:t>
      </w:r>
      <w:r w:rsidR="00CC15DE" w:rsidRPr="00CC15DE">
        <w:rPr>
          <w:rFonts w:cs="Arial"/>
        </w:rPr>
        <w:t xml:space="preserve">, l’arrêt </w:t>
      </w:r>
      <w:r w:rsidR="00CC15DE" w:rsidRPr="00CC15DE">
        <w:rPr>
          <w:rFonts w:cs="Arial"/>
          <w:i/>
          <w:iCs/>
        </w:rPr>
        <w:t>Vavilov</w:t>
      </w:r>
      <w:r w:rsidR="00CC15DE" w:rsidRPr="00CC15DE">
        <w:rPr>
          <w:rFonts w:cs="Arial"/>
        </w:rPr>
        <w:t xml:space="preserve"> précise que </w:t>
      </w:r>
      <w:r>
        <w:rPr>
          <w:rFonts w:cs="Arial"/>
        </w:rPr>
        <w:t>la</w:t>
      </w:r>
      <w:r w:rsidR="00CC15DE" w:rsidRPr="00CC15DE">
        <w:rPr>
          <w:rFonts w:cs="Arial"/>
        </w:rPr>
        <w:t xml:space="preserve"> norme </w:t>
      </w:r>
      <w:r>
        <w:rPr>
          <w:rFonts w:cs="Arial"/>
        </w:rPr>
        <w:t>de la décision raisonnable</w:t>
      </w:r>
      <w:r w:rsidR="00CC15DE" w:rsidRPr="00CC15DE">
        <w:rPr>
          <w:rFonts w:cs="Arial"/>
        </w:rPr>
        <w:t xml:space="preserve"> s’applique </w:t>
      </w:r>
      <w:r w:rsidR="00CC15DE" w:rsidRPr="00CC15DE">
        <w:rPr>
          <w:rFonts w:cs="Arial"/>
          <w:i/>
          <w:iCs/>
        </w:rPr>
        <w:t>d</w:t>
      </w:r>
      <w:r w:rsidR="00CC15DE" w:rsidRPr="00CC15DE">
        <w:rPr>
          <w:i/>
          <w:iCs/>
          <w:color w:val="000000"/>
        </w:rPr>
        <w:t>ans l’examen de questions de fait ou de questions concernant un pouvoir discrétionnaire ou des politiques</w:t>
      </w:r>
      <w:r w:rsidR="00CC15DE" w:rsidRPr="00CC15DE">
        <w:rPr>
          <w:rStyle w:val="Appelnotedebasdep"/>
          <w:color w:val="000000"/>
        </w:rPr>
        <w:footnoteReference w:id="78"/>
      </w:r>
      <w:r w:rsidR="00CC15DE" w:rsidRPr="00CC15DE">
        <w:rPr>
          <w:color w:val="000000"/>
        </w:rPr>
        <w:t>.</w:t>
      </w:r>
    </w:p>
    <w:p w14:paraId="1433619A" w14:textId="1A435FBE" w:rsidR="00770FAE" w:rsidRPr="007F772A" w:rsidRDefault="00770FAE" w:rsidP="0038522E">
      <w:pPr>
        <w:pStyle w:val="Paragraphe"/>
        <w:tabs>
          <w:tab w:val="num" w:pos="720"/>
        </w:tabs>
        <w:spacing w:line="240" w:lineRule="auto"/>
        <w:ind w:left="0"/>
        <w:rPr>
          <w:rFonts w:cs="Arial"/>
          <w:b/>
          <w:bCs/>
        </w:rPr>
      </w:pPr>
      <w:r>
        <w:rPr>
          <w:rFonts w:cs="Arial"/>
        </w:rPr>
        <w:t xml:space="preserve">Une dernière remarque. Si large soit-il, </w:t>
      </w:r>
      <w:r w:rsidR="00FA5092">
        <w:rPr>
          <w:rFonts w:cs="Arial"/>
        </w:rPr>
        <w:t xml:space="preserve">comme l’affirme correctement le PGQ, </w:t>
      </w:r>
      <w:r>
        <w:rPr>
          <w:rFonts w:cs="Arial"/>
        </w:rPr>
        <w:t xml:space="preserve">le </w:t>
      </w:r>
      <w:r w:rsidR="002F2DA1">
        <w:rPr>
          <w:rFonts w:cs="Arial"/>
        </w:rPr>
        <w:t xml:space="preserve">pouvoir </w:t>
      </w:r>
      <w:r>
        <w:rPr>
          <w:rFonts w:cs="Arial"/>
        </w:rPr>
        <w:t xml:space="preserve">discrétionnaire </w:t>
      </w:r>
      <w:r w:rsidR="002F2DA1">
        <w:rPr>
          <w:rFonts w:cs="Arial"/>
        </w:rPr>
        <w:t xml:space="preserve">en cause </w:t>
      </w:r>
      <w:r>
        <w:rPr>
          <w:rFonts w:cs="Arial"/>
        </w:rPr>
        <w:t xml:space="preserve">n’immunise pas </w:t>
      </w:r>
      <w:r w:rsidR="002F2DA1">
        <w:rPr>
          <w:rFonts w:cs="Arial"/>
        </w:rPr>
        <w:t>le</w:t>
      </w:r>
      <w:r>
        <w:rPr>
          <w:rFonts w:cs="Arial"/>
        </w:rPr>
        <w:t xml:space="preserve"> gouvernement des conséquences de son exercice illégal</w:t>
      </w:r>
      <w:r w:rsidR="002F2DA1">
        <w:rPr>
          <w:rFonts w:cs="Arial"/>
        </w:rPr>
        <w:t xml:space="preserve"> alors que la Ministre dit agir en fonction de faits qui, en réalité, s’avèrent erronés ou de motifs qui, tout bien considéré, ne sont pas fondés</w:t>
      </w:r>
      <w:r>
        <w:rPr>
          <w:rStyle w:val="Appelnotedebasdep"/>
          <w:rFonts w:cs="Arial"/>
        </w:rPr>
        <w:footnoteReference w:id="79"/>
      </w:r>
      <w:r>
        <w:rPr>
          <w:rFonts w:cs="Arial"/>
        </w:rPr>
        <w:t xml:space="preserve">. </w:t>
      </w:r>
      <w:r w:rsidR="002F2DA1">
        <w:rPr>
          <w:rFonts w:cs="Arial"/>
        </w:rPr>
        <w:t xml:space="preserve">Autrement dit, la Ministre ne possède pas </w:t>
      </w:r>
      <w:r w:rsidR="00A26479">
        <w:rPr>
          <w:rFonts w:cs="Arial"/>
        </w:rPr>
        <w:t>u</w:t>
      </w:r>
      <w:r w:rsidR="00924EE1">
        <w:rPr>
          <w:rFonts w:cs="Arial"/>
        </w:rPr>
        <w:t>ne discrétion</w:t>
      </w:r>
      <w:r w:rsidR="00A26479">
        <w:rPr>
          <w:rFonts w:cs="Arial"/>
        </w:rPr>
        <w:t xml:space="preserve"> </w:t>
      </w:r>
      <w:r w:rsidR="002F2DA1">
        <w:rPr>
          <w:rFonts w:cs="Arial"/>
        </w:rPr>
        <w:t xml:space="preserve">si vaste que ses décisions comme celles en l’espèce échappent absolument au </w:t>
      </w:r>
      <w:r w:rsidR="00A26479">
        <w:rPr>
          <w:rFonts w:cs="Arial"/>
        </w:rPr>
        <w:t xml:space="preserve">pouvoir de contrôle et de surveillance de </w:t>
      </w:r>
      <w:r w:rsidR="002F2DA1">
        <w:rPr>
          <w:rFonts w:cs="Arial"/>
        </w:rPr>
        <w:t>la C</w:t>
      </w:r>
      <w:r w:rsidR="00A26479">
        <w:rPr>
          <w:rFonts w:cs="Arial"/>
        </w:rPr>
        <w:t>our supérieure</w:t>
      </w:r>
      <w:r w:rsidR="00A26479">
        <w:rPr>
          <w:rStyle w:val="Appelnotedebasdep"/>
          <w:rFonts w:cs="Arial"/>
        </w:rPr>
        <w:footnoteReference w:id="80"/>
      </w:r>
      <w:r w:rsidR="00A26479">
        <w:rPr>
          <w:rFonts w:cs="Arial"/>
        </w:rPr>
        <w:t>.</w:t>
      </w:r>
    </w:p>
    <w:p w14:paraId="4FF2481D" w14:textId="5537F9AB" w:rsidR="00040B3F" w:rsidRPr="00040B3F" w:rsidRDefault="00666E53" w:rsidP="0038522E">
      <w:pPr>
        <w:pStyle w:val="Paragraphe"/>
        <w:tabs>
          <w:tab w:val="num" w:pos="720"/>
        </w:tabs>
        <w:spacing w:line="240" w:lineRule="auto"/>
        <w:ind w:left="0"/>
        <w:rPr>
          <w:rFonts w:cs="Arial"/>
          <w:b/>
          <w:bCs/>
        </w:rPr>
      </w:pPr>
      <w:r w:rsidRPr="00040B3F">
        <w:rPr>
          <w:rFonts w:cs="Arial"/>
        </w:rPr>
        <w:t>En résumé, l</w:t>
      </w:r>
      <w:r w:rsidR="00D9744F" w:rsidRPr="00040B3F">
        <w:rPr>
          <w:rFonts w:cs="Arial"/>
        </w:rPr>
        <w:t>e Tribunal conclut que la norme de la décision raisonnable s’impose au contrôle de</w:t>
      </w:r>
      <w:r w:rsidRPr="00040B3F">
        <w:rPr>
          <w:rFonts w:cs="Arial"/>
        </w:rPr>
        <w:t xml:space="preserve"> la décision de la Ministre</w:t>
      </w:r>
      <w:r w:rsidR="00062482">
        <w:rPr>
          <w:rFonts w:cs="Arial"/>
        </w:rPr>
        <w:t xml:space="preserve"> et</w:t>
      </w:r>
      <w:r w:rsidRPr="00040B3F">
        <w:rPr>
          <w:rFonts w:cs="Arial"/>
        </w:rPr>
        <w:t xml:space="preserve"> </w:t>
      </w:r>
      <w:r w:rsidR="00D9744F" w:rsidRPr="00040B3F">
        <w:rPr>
          <w:rFonts w:cs="Arial"/>
        </w:rPr>
        <w:t xml:space="preserve">aux </w:t>
      </w:r>
      <w:r w:rsidRPr="00040B3F">
        <w:rPr>
          <w:rFonts w:cs="Arial"/>
        </w:rPr>
        <w:t xml:space="preserve">modifications aux </w:t>
      </w:r>
      <w:r w:rsidR="00D9744F" w:rsidRPr="00040B3F">
        <w:rPr>
          <w:rFonts w:cs="Arial"/>
        </w:rPr>
        <w:t>Règles budgétaires</w:t>
      </w:r>
      <w:r w:rsidR="00040B3F" w:rsidRPr="00040B3F">
        <w:rPr>
          <w:rFonts w:cs="Arial"/>
        </w:rPr>
        <w:t>,</w:t>
      </w:r>
      <w:r w:rsidRPr="00040B3F">
        <w:rPr>
          <w:rFonts w:cs="Arial"/>
        </w:rPr>
        <w:t xml:space="preserve"> </w:t>
      </w:r>
      <w:r w:rsidR="00404A73" w:rsidRPr="00040B3F">
        <w:rPr>
          <w:rFonts w:cs="Arial"/>
        </w:rPr>
        <w:t xml:space="preserve">y compris </w:t>
      </w:r>
      <w:r w:rsidR="004A555C" w:rsidRPr="00040B3F">
        <w:rPr>
          <w:rFonts w:cs="Arial"/>
        </w:rPr>
        <w:t xml:space="preserve">à la </w:t>
      </w:r>
      <w:r w:rsidR="00D9744F" w:rsidRPr="00040B3F">
        <w:rPr>
          <w:rFonts w:cs="Arial"/>
        </w:rPr>
        <w:t>Règle</w:t>
      </w:r>
      <w:r w:rsidR="004A555C" w:rsidRPr="00040B3F">
        <w:rPr>
          <w:rFonts w:cs="Arial"/>
        </w:rPr>
        <w:t xml:space="preserve"> d’acquisition de compétences en</w:t>
      </w:r>
      <w:r w:rsidR="00D9744F" w:rsidRPr="00040B3F">
        <w:rPr>
          <w:rFonts w:cs="Arial"/>
        </w:rPr>
        <w:t xml:space="preserve"> fran</w:t>
      </w:r>
      <w:r w:rsidR="004A555C" w:rsidRPr="00040B3F">
        <w:rPr>
          <w:rFonts w:cs="Arial"/>
        </w:rPr>
        <w:t>çais</w:t>
      </w:r>
      <w:r w:rsidR="00040B3F" w:rsidRPr="00040B3F">
        <w:rPr>
          <w:rFonts w:cs="Arial"/>
        </w:rPr>
        <w:t>.</w:t>
      </w:r>
    </w:p>
    <w:p w14:paraId="08614DEC" w14:textId="34B0F679" w:rsidR="00040B3F" w:rsidRPr="00161C58" w:rsidRDefault="00BD51D8" w:rsidP="00344FF8">
      <w:pPr>
        <w:pStyle w:val="Paragraphe"/>
        <w:numPr>
          <w:ilvl w:val="0"/>
          <w:numId w:val="0"/>
        </w:numPr>
        <w:spacing w:line="240" w:lineRule="auto"/>
        <w:ind w:left="720"/>
        <w:rPr>
          <w:sz w:val="20"/>
          <w:u w:val="single"/>
        </w:rPr>
      </w:pPr>
      <w:r w:rsidRPr="00161C58">
        <w:rPr>
          <w:sz w:val="20"/>
          <w:u w:val="single"/>
        </w:rPr>
        <w:t>LA DÉCISION DE LA MINISTRE, LES MODIFICATIONS AUX RÈGLES BUDGÉTAIRES ET LA RÈGLE D</w:t>
      </w:r>
      <w:r w:rsidR="004A555C" w:rsidRPr="00161C58">
        <w:rPr>
          <w:sz w:val="20"/>
          <w:u w:val="single"/>
        </w:rPr>
        <w:t xml:space="preserve">’ACQUISITION DE COMPÉTENCES EN FRANÇAIS </w:t>
      </w:r>
      <w:r w:rsidRPr="00161C58">
        <w:rPr>
          <w:sz w:val="20"/>
          <w:u w:val="single"/>
        </w:rPr>
        <w:t>S’AVÈRENT-ELLES RAISONNABLES?</w:t>
      </w:r>
    </w:p>
    <w:p w14:paraId="57D9889B" w14:textId="52C30F98" w:rsidR="00437EE7" w:rsidRPr="00161C58" w:rsidRDefault="00437EE7" w:rsidP="00437EE7">
      <w:pPr>
        <w:pStyle w:val="Paragraphe"/>
        <w:numPr>
          <w:ilvl w:val="0"/>
          <w:numId w:val="6"/>
        </w:numPr>
        <w:spacing w:line="240" w:lineRule="auto"/>
      </w:pPr>
      <w:r w:rsidRPr="00161C58">
        <w:t xml:space="preserve">Le contexte factuel </w:t>
      </w:r>
      <w:r w:rsidR="00D606ED">
        <w:rPr>
          <w:rFonts w:cs="Arial"/>
        </w:rPr>
        <w:t>spécifique à cette question</w:t>
      </w:r>
    </w:p>
    <w:p w14:paraId="7BC488C4" w14:textId="57F9EBA0" w:rsidR="006F5F9A" w:rsidRPr="006F5F9A" w:rsidRDefault="00C75C56" w:rsidP="0082018A">
      <w:pPr>
        <w:pStyle w:val="Paragraphe"/>
        <w:tabs>
          <w:tab w:val="num" w:pos="720"/>
        </w:tabs>
        <w:spacing w:line="240" w:lineRule="auto"/>
        <w:ind w:left="0"/>
        <w:rPr>
          <w:rFonts w:cs="Arial"/>
          <w:b/>
          <w:bCs/>
        </w:rPr>
      </w:pPr>
      <w:r w:rsidRPr="006F5F9A">
        <w:rPr>
          <w:rFonts w:cs="Arial"/>
        </w:rPr>
        <w:t xml:space="preserve">Le réseau universitaire québécois se compose de 19 établissements </w:t>
      </w:r>
      <w:r w:rsidR="004A555C">
        <w:rPr>
          <w:rFonts w:cs="Arial"/>
        </w:rPr>
        <w:t xml:space="preserve">suivant </w:t>
      </w:r>
      <w:r w:rsidRPr="006F5F9A">
        <w:rPr>
          <w:rFonts w:cs="Arial"/>
        </w:rPr>
        <w:t xml:space="preserve">la </w:t>
      </w:r>
      <w:r w:rsidR="00E9557C" w:rsidRPr="00E9557C">
        <w:rPr>
          <w:rFonts w:cs="Arial"/>
          <w:i/>
          <w:iCs/>
        </w:rPr>
        <w:t>Loi sur les établissements d’enseignement de niveau universitaire</w:t>
      </w:r>
      <w:r w:rsidR="00E9557C">
        <w:rPr>
          <w:rFonts w:cs="Arial"/>
        </w:rPr>
        <w:t xml:space="preserve"> (</w:t>
      </w:r>
      <w:r w:rsidRPr="00E9557C">
        <w:rPr>
          <w:rFonts w:cs="Arial"/>
        </w:rPr>
        <w:t>L</w:t>
      </w:r>
      <w:r w:rsidR="004A555C" w:rsidRPr="00E9557C">
        <w:rPr>
          <w:rFonts w:cs="Arial"/>
        </w:rPr>
        <w:t>MES</w:t>
      </w:r>
      <w:r w:rsidR="00E9557C">
        <w:rPr>
          <w:rFonts w:cs="Arial"/>
        </w:rPr>
        <w:t>)</w:t>
      </w:r>
      <w:r>
        <w:rPr>
          <w:rStyle w:val="Appelnotedebasdep"/>
          <w:rFonts w:cs="Arial"/>
        </w:rPr>
        <w:footnoteReference w:id="81"/>
      </w:r>
      <w:r w:rsidRPr="006F5F9A">
        <w:rPr>
          <w:rFonts w:cs="Arial"/>
        </w:rPr>
        <w:t xml:space="preserve">. </w:t>
      </w:r>
      <w:r w:rsidR="006F5F9A" w:rsidRPr="006F5F9A">
        <w:rPr>
          <w:rFonts w:cs="Arial"/>
        </w:rPr>
        <w:t>Plus de 300 000 étudiant.e.s les fr</w:t>
      </w:r>
      <w:r w:rsidR="006F5F9A">
        <w:rPr>
          <w:rFonts w:cs="Arial"/>
        </w:rPr>
        <w:t>é</w:t>
      </w:r>
      <w:r w:rsidR="006F5F9A" w:rsidRPr="006F5F9A">
        <w:rPr>
          <w:rFonts w:cs="Arial"/>
        </w:rPr>
        <w:t>quentent</w:t>
      </w:r>
      <w:r w:rsidR="006F5F9A">
        <w:rPr>
          <w:rFonts w:cs="Arial"/>
        </w:rPr>
        <w:t>, dont environ 78 000 dans les universités anglophones</w:t>
      </w:r>
      <w:r w:rsidR="006F5F9A">
        <w:rPr>
          <w:rStyle w:val="Appelnotedebasdep"/>
          <w:rFonts w:cs="Arial"/>
        </w:rPr>
        <w:footnoteReference w:id="82"/>
      </w:r>
      <w:r w:rsidR="006F5F9A">
        <w:rPr>
          <w:rFonts w:cs="Arial"/>
        </w:rPr>
        <w:t>. Pour l’année scolaire 2023</w:t>
      </w:r>
      <w:r w:rsidR="00437EE7">
        <w:rPr>
          <w:rFonts w:cs="Arial"/>
          <w:strike/>
        </w:rPr>
        <w:t>-</w:t>
      </w:r>
      <w:r w:rsidR="006F5F9A">
        <w:rPr>
          <w:rFonts w:cs="Arial"/>
        </w:rPr>
        <w:t xml:space="preserve">2024, plus de 16 000 </w:t>
      </w:r>
      <w:r w:rsidR="00666E53">
        <w:rPr>
          <w:rFonts w:cs="Arial"/>
        </w:rPr>
        <w:t xml:space="preserve">d’entre eux </w:t>
      </w:r>
      <w:r w:rsidR="006F5F9A">
        <w:rPr>
          <w:rFonts w:cs="Arial"/>
        </w:rPr>
        <w:t>sont des étudiants CNRQ, dont seulement 20</w:t>
      </w:r>
      <w:r w:rsidR="00150018">
        <w:rPr>
          <w:rFonts w:cs="Arial"/>
        </w:rPr>
        <w:t> </w:t>
      </w:r>
      <w:r w:rsidR="006F5F9A">
        <w:rPr>
          <w:rFonts w:cs="Arial"/>
        </w:rPr>
        <w:t>% inscrits dans une université francophone, et près de 57 000 sont des étudiants Internationaux, dont près de 65</w:t>
      </w:r>
      <w:r w:rsidR="00150018">
        <w:rPr>
          <w:rFonts w:cs="Arial"/>
        </w:rPr>
        <w:t> </w:t>
      </w:r>
      <w:r w:rsidR="006F5F9A">
        <w:rPr>
          <w:rFonts w:cs="Arial"/>
        </w:rPr>
        <w:t>% inscrits dans le réseau francophone</w:t>
      </w:r>
      <w:r w:rsidR="006F5F9A">
        <w:rPr>
          <w:rStyle w:val="Appelnotedebasdep"/>
          <w:rFonts w:cs="Arial"/>
        </w:rPr>
        <w:footnoteReference w:id="83"/>
      </w:r>
      <w:r w:rsidR="006F5F9A">
        <w:rPr>
          <w:rFonts w:cs="Arial"/>
        </w:rPr>
        <w:t>.</w:t>
      </w:r>
    </w:p>
    <w:p w14:paraId="7B0FA572" w14:textId="4B5069B2" w:rsidR="006F5F9A" w:rsidRPr="0096663E" w:rsidRDefault="006F5F9A" w:rsidP="0082018A">
      <w:pPr>
        <w:pStyle w:val="Paragraphe"/>
        <w:tabs>
          <w:tab w:val="num" w:pos="720"/>
        </w:tabs>
        <w:spacing w:line="240" w:lineRule="auto"/>
        <w:ind w:left="0"/>
        <w:rPr>
          <w:rFonts w:cs="Arial"/>
          <w:b/>
          <w:bCs/>
        </w:rPr>
      </w:pPr>
      <w:r>
        <w:rPr>
          <w:rFonts w:cs="Arial"/>
        </w:rPr>
        <w:t xml:space="preserve">La méthode de financement des universités est exposée précédemment. Les subventions que verse le </w:t>
      </w:r>
      <w:r w:rsidR="00666E53">
        <w:rPr>
          <w:rFonts w:cs="Arial"/>
        </w:rPr>
        <w:t>g</w:t>
      </w:r>
      <w:r>
        <w:rPr>
          <w:rFonts w:cs="Arial"/>
        </w:rPr>
        <w:t>ouvernement du Québec s</w:t>
      </w:r>
      <w:r w:rsidR="00437EE7">
        <w:rPr>
          <w:rFonts w:cs="Arial"/>
        </w:rPr>
        <w:t>e v</w:t>
      </w:r>
      <w:r>
        <w:rPr>
          <w:rFonts w:cs="Arial"/>
        </w:rPr>
        <w:t>o</w:t>
      </w:r>
      <w:r w:rsidR="00437EE7">
        <w:rPr>
          <w:rFonts w:cs="Arial"/>
        </w:rPr>
        <w:t>ie</w:t>
      </w:r>
      <w:r>
        <w:rPr>
          <w:rFonts w:cs="Arial"/>
        </w:rPr>
        <w:t>nt octroyées conformément aux Règles budgétaires élaborées par la Ministre</w:t>
      </w:r>
      <w:r>
        <w:rPr>
          <w:rStyle w:val="Appelnotedebasdep"/>
          <w:rFonts w:cs="Arial"/>
        </w:rPr>
        <w:footnoteReference w:id="84"/>
      </w:r>
      <w:r>
        <w:rPr>
          <w:rFonts w:cs="Arial"/>
        </w:rPr>
        <w:t>.</w:t>
      </w:r>
    </w:p>
    <w:p w14:paraId="3D5A70BE" w14:textId="3696BC4F" w:rsidR="0096663E" w:rsidRPr="00437EE7" w:rsidRDefault="0096663E" w:rsidP="0082018A">
      <w:pPr>
        <w:pStyle w:val="Paragraphe"/>
        <w:tabs>
          <w:tab w:val="num" w:pos="720"/>
        </w:tabs>
        <w:spacing w:line="240" w:lineRule="auto"/>
        <w:ind w:left="0"/>
        <w:rPr>
          <w:rFonts w:cs="Arial"/>
          <w:b/>
          <w:bCs/>
        </w:rPr>
      </w:pPr>
      <w:r w:rsidRPr="00437EE7">
        <w:rPr>
          <w:rFonts w:cs="Arial"/>
        </w:rPr>
        <w:t xml:space="preserve">De manière générale, les règles budgétaires mettent en application la </w:t>
      </w:r>
      <w:r w:rsidR="009C36B8" w:rsidRPr="00437EE7">
        <w:rPr>
          <w:rFonts w:cs="Arial"/>
        </w:rPr>
        <w:t xml:space="preserve">politique du gouvernement de financement des universités. </w:t>
      </w:r>
      <w:r w:rsidR="00B76D23" w:rsidRPr="00437EE7">
        <w:rPr>
          <w:rFonts w:cs="Arial"/>
        </w:rPr>
        <w:t>R</w:t>
      </w:r>
      <w:r w:rsidR="009C36B8" w:rsidRPr="00437EE7">
        <w:rPr>
          <w:rFonts w:cs="Arial"/>
        </w:rPr>
        <w:t>évisé</w:t>
      </w:r>
      <w:r w:rsidR="00B76D23" w:rsidRPr="00437EE7">
        <w:rPr>
          <w:rFonts w:cs="Arial"/>
        </w:rPr>
        <w:t>e</w:t>
      </w:r>
      <w:r w:rsidR="009C36B8" w:rsidRPr="00437EE7">
        <w:rPr>
          <w:rFonts w:cs="Arial"/>
        </w:rPr>
        <w:t xml:space="preserve"> périodiquement par le gouvernement, </w:t>
      </w:r>
      <w:r w:rsidR="00B76D23" w:rsidRPr="00437EE7">
        <w:rPr>
          <w:rFonts w:cs="Arial"/>
        </w:rPr>
        <w:t>l’adoption d’une nouvelle politique est prévue dès l’adoption des Règles budgétaires en mai</w:t>
      </w:r>
      <w:r w:rsidR="00344FF8">
        <w:rPr>
          <w:rFonts w:cs="Arial"/>
        </w:rPr>
        <w:t> </w:t>
      </w:r>
      <w:r w:rsidR="00B76D23" w:rsidRPr="00437EE7">
        <w:rPr>
          <w:rFonts w:cs="Arial"/>
        </w:rPr>
        <w:t xml:space="preserve">2023. On y annonce </w:t>
      </w:r>
      <w:r w:rsidR="00B76D23" w:rsidRPr="00437EE7">
        <w:t>qu’à compter de 2024-2025, la reconduction de l’allocation pour le recrutement d’étudiants Internationaux déréglementés accordée aux universités francophones « dépendra des travaux de la nouvelle Politique de financement »</w:t>
      </w:r>
      <w:r w:rsidR="00B76D23" w:rsidRPr="00437EE7">
        <w:rPr>
          <w:rStyle w:val="Appelnotedebasdep"/>
        </w:rPr>
        <w:footnoteReference w:id="85"/>
      </w:r>
      <w:r w:rsidR="00B76D23" w:rsidRPr="00437EE7">
        <w:t>.</w:t>
      </w:r>
    </w:p>
    <w:p w14:paraId="5AFA3159" w14:textId="4E4C425A" w:rsidR="00B13C25" w:rsidRPr="00437EE7" w:rsidRDefault="00B13C25" w:rsidP="0082018A">
      <w:pPr>
        <w:pStyle w:val="Paragraphe"/>
        <w:tabs>
          <w:tab w:val="num" w:pos="720"/>
        </w:tabs>
        <w:spacing w:line="240" w:lineRule="auto"/>
        <w:ind w:left="0"/>
        <w:rPr>
          <w:rFonts w:cs="Arial"/>
          <w:b/>
          <w:bCs/>
        </w:rPr>
      </w:pPr>
      <w:r w:rsidRPr="00437EE7">
        <w:t xml:space="preserve">Cette nouvelle </w:t>
      </w:r>
      <w:r w:rsidRPr="00437EE7">
        <w:rPr>
          <w:i/>
          <w:iCs/>
        </w:rPr>
        <w:t>Politique québécoise de financement des universités</w:t>
      </w:r>
      <w:r w:rsidRPr="00437EE7">
        <w:rPr>
          <w:rStyle w:val="Appelnotedebasdep"/>
        </w:rPr>
        <w:footnoteReference w:id="86"/>
      </w:r>
      <w:r w:rsidRPr="00437EE7">
        <w:t>,</w:t>
      </w:r>
      <w:r w:rsidRPr="00437EE7">
        <w:rPr>
          <w:i/>
          <w:iCs/>
        </w:rPr>
        <w:t xml:space="preserve"> </w:t>
      </w:r>
      <w:r w:rsidRPr="00437EE7">
        <w:t>dévoilée par la Ministre en juin</w:t>
      </w:r>
      <w:r w:rsidR="00344FF8">
        <w:t> </w:t>
      </w:r>
      <w:r w:rsidRPr="00437EE7">
        <w:t>2024, remplace celle de 2018-2019</w:t>
      </w:r>
      <w:r w:rsidRPr="00437EE7">
        <w:rPr>
          <w:rStyle w:val="Appelnotedebasdep"/>
        </w:rPr>
        <w:footnoteReference w:id="87"/>
      </w:r>
      <w:r w:rsidR="000908FC" w:rsidRPr="00437EE7">
        <w:t>. S</w:t>
      </w:r>
      <w:r w:rsidRPr="00437EE7">
        <w:t>on adoption fut précédé</w:t>
      </w:r>
      <w:r w:rsidR="00434618" w:rsidRPr="00437EE7">
        <w:t>e</w:t>
      </w:r>
      <w:r w:rsidRPr="00437EE7">
        <w:t xml:space="preserve"> de divers travaux </w:t>
      </w:r>
      <w:r w:rsidR="000908FC" w:rsidRPr="00437EE7">
        <w:t>entrepris dès 2019</w:t>
      </w:r>
      <w:r w:rsidR="00B21E87" w:rsidRPr="00437EE7">
        <w:t>, mais accélérés notamment en 2023</w:t>
      </w:r>
      <w:r w:rsidR="000908FC" w:rsidRPr="00437EE7">
        <w:t>.</w:t>
      </w:r>
    </w:p>
    <w:p w14:paraId="3D355A88" w14:textId="2CCD68E0" w:rsidR="00434618" w:rsidRPr="00437EE7" w:rsidRDefault="00434618" w:rsidP="0082018A">
      <w:pPr>
        <w:pStyle w:val="Paragraphe"/>
        <w:tabs>
          <w:tab w:val="num" w:pos="720"/>
        </w:tabs>
        <w:spacing w:line="240" w:lineRule="auto"/>
        <w:ind w:left="0"/>
        <w:rPr>
          <w:rFonts w:cs="Arial"/>
          <w:b/>
          <w:bCs/>
        </w:rPr>
      </w:pPr>
      <w:r w:rsidRPr="00437EE7">
        <w:rPr>
          <w:rFonts w:cs="Arial"/>
        </w:rPr>
        <w:t>En février</w:t>
      </w:r>
      <w:r w:rsidR="00550343">
        <w:rPr>
          <w:rFonts w:cs="Arial"/>
        </w:rPr>
        <w:t> </w:t>
      </w:r>
      <w:r w:rsidRPr="00437EE7">
        <w:rPr>
          <w:rFonts w:cs="Arial"/>
        </w:rPr>
        <w:t xml:space="preserve">2023 </w:t>
      </w:r>
      <w:r w:rsidR="00437EE7">
        <w:rPr>
          <w:rFonts w:cs="Arial"/>
        </w:rPr>
        <w:t xml:space="preserve">est créé </w:t>
      </w:r>
      <w:r w:rsidR="00334CED" w:rsidRPr="00437EE7">
        <w:rPr>
          <w:rFonts w:cs="Arial"/>
        </w:rPr>
        <w:t>un</w:t>
      </w:r>
      <w:r w:rsidR="00437EE7">
        <w:rPr>
          <w:rFonts w:cs="Arial"/>
        </w:rPr>
        <w:t xml:space="preserve"> </w:t>
      </w:r>
      <w:r w:rsidR="00334CED" w:rsidRPr="00437EE7">
        <w:rPr>
          <w:rFonts w:cs="Arial"/>
        </w:rPr>
        <w:t>Comité de coordination MES-Université</w:t>
      </w:r>
      <w:r w:rsidR="00437EE7">
        <w:rPr>
          <w:rFonts w:cs="Arial"/>
        </w:rPr>
        <w:t xml:space="preserve"> (</w:t>
      </w:r>
      <w:r w:rsidR="00437EE7" w:rsidRPr="00437EE7">
        <w:rPr>
          <w:rFonts w:cs="Arial"/>
          <w:b/>
          <w:bCs/>
        </w:rPr>
        <w:t>Comité</w:t>
      </w:r>
      <w:r w:rsidR="00437EE7">
        <w:rPr>
          <w:rFonts w:cs="Arial"/>
        </w:rPr>
        <w:t xml:space="preserve">), </w:t>
      </w:r>
      <w:r w:rsidR="00334CED" w:rsidRPr="00437EE7">
        <w:rPr>
          <w:rFonts w:cs="Arial"/>
        </w:rPr>
        <w:t xml:space="preserve">constitué de représentants du Ministère et des universités. </w:t>
      </w:r>
      <w:r w:rsidR="00A16C83" w:rsidRPr="00437EE7">
        <w:rPr>
          <w:rFonts w:cs="Arial"/>
        </w:rPr>
        <w:t>Selon l</w:t>
      </w:r>
      <w:r w:rsidR="0084006F" w:rsidRPr="00437EE7">
        <w:rPr>
          <w:rFonts w:cs="Arial"/>
        </w:rPr>
        <w:t>es principes guidant les travaux du Comité</w:t>
      </w:r>
      <w:r w:rsidR="00A16C83" w:rsidRPr="00437EE7">
        <w:rPr>
          <w:rFonts w:cs="Arial"/>
        </w:rPr>
        <w:t>, les modifications au modèle de financement visent à assurer une meilleure équité entre les universités, à ne pas avantager ou désavantager certains établissements universitaires, à simplifier le modèle de financement, à apporter une plus grande transparence.</w:t>
      </w:r>
      <w:r w:rsidR="0084006F" w:rsidRPr="00437EE7">
        <w:rPr>
          <w:rFonts w:cs="Arial"/>
        </w:rPr>
        <w:t xml:space="preserve"> </w:t>
      </w:r>
      <w:r w:rsidR="00A16C83" w:rsidRPr="00437EE7">
        <w:rPr>
          <w:rFonts w:cs="Arial"/>
        </w:rPr>
        <w:t>Le Comité</w:t>
      </w:r>
      <w:r w:rsidR="00334CED" w:rsidRPr="00437EE7">
        <w:rPr>
          <w:rFonts w:cs="Arial"/>
        </w:rPr>
        <w:t xml:space="preserve"> comporte plusieurs sous-comités dont les mandats portent sur la </w:t>
      </w:r>
      <w:r w:rsidR="00564D37" w:rsidRPr="00437EE7">
        <w:rPr>
          <w:rFonts w:cs="Arial"/>
        </w:rPr>
        <w:t xml:space="preserve">prévisibilité et la pérennité du financement, sur la révision de la grille de pondération et des subventions spécifiques, sur la révision de l’enveloppe terrains-bâtiments, sur la transformation numérique, sur l’appui à la recherche. </w:t>
      </w:r>
      <w:r w:rsidR="00C51EFD" w:rsidRPr="00437EE7">
        <w:rPr>
          <w:rFonts w:cs="Arial"/>
        </w:rPr>
        <w:t>Même si aucun sous-comité concernant la déréglementation des étudiants Internationaux n’est mis en place, le Ministère annonce qu’il « procédera à certains travaux en collaboration avec les universités</w:t>
      </w:r>
      <w:r w:rsidR="004B715B">
        <w:rPr>
          <w:rFonts w:cs="Arial"/>
        </w:rPr>
        <w:t xml:space="preserve"> (…)</w:t>
      </w:r>
      <w:r w:rsidR="00344FF8" w:rsidRPr="00437EE7">
        <w:rPr>
          <w:rFonts w:cs="Arial"/>
        </w:rPr>
        <w:t> </w:t>
      </w:r>
      <w:r w:rsidR="00C51EFD" w:rsidRPr="00437EE7">
        <w:rPr>
          <w:rFonts w:cs="Arial"/>
        </w:rPr>
        <w:t>»</w:t>
      </w:r>
      <w:r w:rsidR="00C51EFD" w:rsidRPr="00437EE7">
        <w:rPr>
          <w:rStyle w:val="Appelnotedebasdep"/>
          <w:rFonts w:cs="Arial"/>
        </w:rPr>
        <w:footnoteReference w:id="88"/>
      </w:r>
      <w:r w:rsidR="00C51EFD" w:rsidRPr="00437EE7">
        <w:rPr>
          <w:rFonts w:cs="Arial"/>
        </w:rPr>
        <w:t>.</w:t>
      </w:r>
    </w:p>
    <w:p w14:paraId="6A189DAA" w14:textId="362DBB7D" w:rsidR="004B715B" w:rsidRPr="004B715B" w:rsidRDefault="006F5F9A" w:rsidP="0082018A">
      <w:pPr>
        <w:pStyle w:val="Paragraphe"/>
        <w:tabs>
          <w:tab w:val="num" w:pos="720"/>
        </w:tabs>
        <w:spacing w:line="240" w:lineRule="auto"/>
        <w:ind w:left="0"/>
        <w:rPr>
          <w:rFonts w:cs="Arial"/>
          <w:b/>
          <w:bCs/>
        </w:rPr>
      </w:pPr>
      <w:r w:rsidRPr="004B715B">
        <w:rPr>
          <w:rFonts w:cs="Arial"/>
        </w:rPr>
        <w:t>Le 12</w:t>
      </w:r>
      <w:r w:rsidR="00BC1742" w:rsidRPr="004B715B">
        <w:rPr>
          <w:rFonts w:cs="Arial"/>
        </w:rPr>
        <w:t> </w:t>
      </w:r>
      <w:r w:rsidRPr="004B715B">
        <w:rPr>
          <w:rFonts w:cs="Arial"/>
        </w:rPr>
        <w:t>mai</w:t>
      </w:r>
      <w:r w:rsidR="00BC1742" w:rsidRPr="004B715B">
        <w:rPr>
          <w:rFonts w:cs="Arial"/>
        </w:rPr>
        <w:t> </w:t>
      </w:r>
      <w:r w:rsidRPr="004B715B">
        <w:rPr>
          <w:rFonts w:cs="Arial"/>
        </w:rPr>
        <w:t xml:space="preserve">2023, la Ministre lance un appel à mémoires </w:t>
      </w:r>
      <w:r w:rsidR="00C13DF7" w:rsidRPr="004B715B">
        <w:rPr>
          <w:rFonts w:cs="Arial"/>
        </w:rPr>
        <w:t xml:space="preserve">et invite les organismes concernés par </w:t>
      </w:r>
      <w:r w:rsidR="00851728" w:rsidRPr="004B715B">
        <w:rPr>
          <w:rFonts w:cs="Arial"/>
        </w:rPr>
        <w:t xml:space="preserve">la révision de la </w:t>
      </w:r>
      <w:r w:rsidR="004A555C" w:rsidRPr="004B715B">
        <w:rPr>
          <w:rFonts w:cs="Arial"/>
        </w:rPr>
        <w:t>P</w:t>
      </w:r>
      <w:r w:rsidR="00851728" w:rsidRPr="004B715B">
        <w:rPr>
          <w:rFonts w:cs="Arial"/>
        </w:rPr>
        <w:t>olitique de financement des universités</w:t>
      </w:r>
      <w:r w:rsidR="00C13DF7" w:rsidRPr="004B715B">
        <w:rPr>
          <w:rFonts w:cs="Arial"/>
        </w:rPr>
        <w:t>, dont notamment les établissements universitaires, à répondre à plusieurs questions de réflexion</w:t>
      </w:r>
      <w:r w:rsidR="00307006" w:rsidRPr="004B715B">
        <w:rPr>
          <w:rFonts w:cs="Arial"/>
        </w:rPr>
        <w:t>. Celles-ci</w:t>
      </w:r>
      <w:r w:rsidR="00C13DF7" w:rsidRPr="004B715B">
        <w:rPr>
          <w:rFonts w:cs="Arial"/>
        </w:rPr>
        <w:t xml:space="preserve"> port</w:t>
      </w:r>
      <w:r w:rsidR="00307006" w:rsidRPr="004B715B">
        <w:rPr>
          <w:rFonts w:cs="Arial"/>
        </w:rPr>
        <w:t>ent</w:t>
      </w:r>
      <w:r w:rsidR="00C13DF7" w:rsidRPr="004B715B">
        <w:rPr>
          <w:rFonts w:cs="Arial"/>
        </w:rPr>
        <w:t xml:space="preserve"> sur l’amélioration du modèle de financement</w:t>
      </w:r>
      <w:r w:rsidR="00307006" w:rsidRPr="004B715B">
        <w:rPr>
          <w:rFonts w:cs="Arial"/>
        </w:rPr>
        <w:t xml:space="preserve"> en vue, entre autres, de soutenir davantage les universités afin qu’elles préservent la vitalité du français</w:t>
      </w:r>
      <w:r w:rsidR="00851728" w:rsidRPr="004B715B">
        <w:rPr>
          <w:rFonts w:cs="Arial"/>
        </w:rPr>
        <w:t>.</w:t>
      </w:r>
    </w:p>
    <w:p w14:paraId="1FE1C626" w14:textId="42D36709" w:rsidR="006F5F9A" w:rsidRPr="004B715B" w:rsidRDefault="00851728" w:rsidP="0082018A">
      <w:pPr>
        <w:pStyle w:val="Paragraphe"/>
        <w:tabs>
          <w:tab w:val="num" w:pos="720"/>
        </w:tabs>
        <w:spacing w:line="240" w:lineRule="auto"/>
        <w:ind w:left="0"/>
        <w:rPr>
          <w:rFonts w:cs="Arial"/>
          <w:b/>
          <w:bCs/>
        </w:rPr>
      </w:pPr>
      <w:r w:rsidRPr="004B715B">
        <w:rPr>
          <w:rFonts w:cs="Arial"/>
        </w:rPr>
        <w:t>Dans le communiqué qui le publicise, la Ministre dévoile que la formation de la main</w:t>
      </w:r>
      <w:r w:rsidR="00C77024">
        <w:rPr>
          <w:rFonts w:cs="Arial"/>
        </w:rPr>
        <w:t>-</w:t>
      </w:r>
      <w:r w:rsidRPr="004B715B">
        <w:rPr>
          <w:rFonts w:cs="Arial"/>
        </w:rPr>
        <w:t>d’œuvre, la protection de la langue française et la valorisation de la recherche et de l’innovation figurent parmi les défis auxquels elle se trouve confrontée</w:t>
      </w:r>
      <w:r w:rsidRPr="004B715B">
        <w:rPr>
          <w:rStyle w:val="Appelnotedebasdep"/>
          <w:rFonts w:cs="Arial"/>
        </w:rPr>
        <w:footnoteReference w:id="89"/>
      </w:r>
      <w:r w:rsidRPr="004B715B">
        <w:rPr>
          <w:rFonts w:cs="Arial"/>
        </w:rPr>
        <w:t>. La nouvelle politique de financement des universités visera à contribuer à la vitalité du français au Québec</w:t>
      </w:r>
      <w:r w:rsidR="00C25A7D" w:rsidRPr="004B715B">
        <w:rPr>
          <w:rFonts w:cs="Arial"/>
        </w:rPr>
        <w:t xml:space="preserve">, selon le document intitulé </w:t>
      </w:r>
      <w:r w:rsidR="000B2036">
        <w:rPr>
          <w:rFonts w:cs="Arial"/>
        </w:rPr>
        <w:t>« </w:t>
      </w:r>
      <w:r w:rsidR="00C25A7D" w:rsidRPr="004B715B">
        <w:rPr>
          <w:rFonts w:cs="Arial"/>
        </w:rPr>
        <w:t>Révision de la Politique québécoise de financement des universités, appel à mémoires</w:t>
      </w:r>
      <w:r w:rsidR="000B2036">
        <w:rPr>
          <w:rFonts w:cs="Arial"/>
        </w:rPr>
        <w:t> »</w:t>
      </w:r>
      <w:r w:rsidRPr="004B715B">
        <w:rPr>
          <w:rStyle w:val="Appelnotedebasdep"/>
          <w:rFonts w:cs="Arial"/>
        </w:rPr>
        <w:footnoteReference w:id="90"/>
      </w:r>
      <w:r w:rsidRPr="004B715B">
        <w:rPr>
          <w:rFonts w:cs="Arial"/>
        </w:rPr>
        <w:t>.</w:t>
      </w:r>
    </w:p>
    <w:p w14:paraId="6060D749" w14:textId="20203DF8" w:rsidR="00C25A7D" w:rsidRPr="006F51C4" w:rsidRDefault="00BE0E37" w:rsidP="0082018A">
      <w:pPr>
        <w:pStyle w:val="Paragraphe"/>
        <w:tabs>
          <w:tab w:val="num" w:pos="720"/>
        </w:tabs>
        <w:spacing w:line="240" w:lineRule="auto"/>
        <w:ind w:left="0"/>
        <w:rPr>
          <w:rFonts w:cs="Arial"/>
        </w:rPr>
      </w:pPr>
      <w:r w:rsidRPr="006F51C4">
        <w:rPr>
          <w:rFonts w:cs="Arial"/>
        </w:rPr>
        <w:t>Le 15</w:t>
      </w:r>
      <w:r w:rsidR="00EE489C">
        <w:rPr>
          <w:rFonts w:cs="Arial"/>
        </w:rPr>
        <w:t> </w:t>
      </w:r>
      <w:r w:rsidRPr="006F51C4">
        <w:rPr>
          <w:rFonts w:cs="Arial"/>
        </w:rPr>
        <w:t>mai</w:t>
      </w:r>
      <w:r w:rsidR="00EE489C">
        <w:rPr>
          <w:rFonts w:cs="Arial"/>
        </w:rPr>
        <w:t> </w:t>
      </w:r>
      <w:r w:rsidRPr="006F51C4">
        <w:rPr>
          <w:rFonts w:cs="Arial"/>
        </w:rPr>
        <w:t>2023, la Ministre écrit aux universités anglophones. Elle précise que l’appel à mémoire</w:t>
      </w:r>
      <w:r w:rsidR="00BC1CE4" w:rsidRPr="006F51C4">
        <w:rPr>
          <w:rFonts w:cs="Arial"/>
        </w:rPr>
        <w:t>s</w:t>
      </w:r>
      <w:r w:rsidRPr="006F51C4">
        <w:rPr>
          <w:rFonts w:cs="Arial"/>
        </w:rPr>
        <w:t xml:space="preserve"> vise notamment</w:t>
      </w:r>
      <w:r w:rsidR="00F2589B" w:rsidRPr="006F51C4">
        <w:rPr>
          <w:rFonts w:cs="Arial"/>
        </w:rPr>
        <w:t xml:space="preserve"> à obtenir des solutions aux trois problèmes suivants :</w:t>
      </w:r>
      <w:r w:rsidR="001B4B9B" w:rsidRPr="006F51C4">
        <w:rPr>
          <w:rFonts w:cs="Arial"/>
        </w:rPr>
        <w:t xml:space="preserve"> </w:t>
      </w:r>
      <w:r w:rsidR="00F2589B" w:rsidRPr="006F51C4">
        <w:rPr>
          <w:rFonts w:cs="Arial"/>
        </w:rPr>
        <w:t>le faible taux de</w:t>
      </w:r>
      <w:r w:rsidRPr="006F51C4">
        <w:rPr>
          <w:rFonts w:cs="Arial"/>
        </w:rPr>
        <w:t xml:space="preserve"> rétention des étudiants CNRQ et Internationaux</w:t>
      </w:r>
      <w:r w:rsidR="00F2589B" w:rsidRPr="006F51C4">
        <w:rPr>
          <w:rFonts w:cs="Arial"/>
        </w:rPr>
        <w:t xml:space="preserve"> après leur diplomation, et surtout, après avoir profité « des tarifs équivalents à ceux payés par les étudiants québécois », </w:t>
      </w:r>
      <w:r w:rsidRPr="006F51C4">
        <w:rPr>
          <w:rFonts w:cs="Arial"/>
        </w:rPr>
        <w:t>leur capacité à travailler et vivre en français au Québec</w:t>
      </w:r>
      <w:r w:rsidR="00F2589B" w:rsidRPr="006F51C4">
        <w:rPr>
          <w:rFonts w:cs="Arial"/>
        </w:rPr>
        <w:t xml:space="preserve"> et la déréglementation des droits de scolarité des étudiants Internationaux</w:t>
      </w:r>
      <w:r w:rsidRPr="006F51C4">
        <w:rPr>
          <w:rStyle w:val="Appelnotedebasdep"/>
          <w:rFonts w:cs="Arial"/>
        </w:rPr>
        <w:footnoteReference w:id="91"/>
      </w:r>
      <w:r w:rsidRPr="006F51C4">
        <w:rPr>
          <w:rFonts w:cs="Arial"/>
        </w:rPr>
        <w:t xml:space="preserve">. Selon la Ministre, </w:t>
      </w:r>
      <w:r w:rsidR="00F2589B" w:rsidRPr="006F51C4">
        <w:rPr>
          <w:rFonts w:cs="Arial"/>
        </w:rPr>
        <w:t xml:space="preserve">ce sont les universités anglophones qui </w:t>
      </w:r>
      <w:r w:rsidRPr="006F51C4">
        <w:rPr>
          <w:rFonts w:cs="Arial"/>
        </w:rPr>
        <w:t xml:space="preserve">ont </w:t>
      </w:r>
      <w:r w:rsidR="00A72DD7" w:rsidRPr="006F51C4">
        <w:rPr>
          <w:rFonts w:cs="Arial"/>
        </w:rPr>
        <w:t>surtout</w:t>
      </w:r>
      <w:r w:rsidRPr="006F51C4">
        <w:rPr>
          <w:rFonts w:cs="Arial"/>
        </w:rPr>
        <w:t xml:space="preserve"> profité</w:t>
      </w:r>
      <w:r w:rsidR="00CD3812" w:rsidRPr="006F51C4">
        <w:rPr>
          <w:rFonts w:cs="Arial"/>
        </w:rPr>
        <w:t xml:space="preserve"> de cette déréglementation</w:t>
      </w:r>
      <w:r w:rsidRPr="006F51C4">
        <w:rPr>
          <w:rFonts w:cs="Arial"/>
        </w:rPr>
        <w:t>, ce à quoi elle entend remédier pour</w:t>
      </w:r>
      <w:r w:rsidR="00A72DD7" w:rsidRPr="006F51C4">
        <w:rPr>
          <w:rFonts w:cs="Arial"/>
        </w:rPr>
        <w:t>, à moyen terme, red</w:t>
      </w:r>
      <w:r w:rsidRPr="006F51C4">
        <w:rPr>
          <w:rFonts w:cs="Arial"/>
        </w:rPr>
        <w:t>istribuer</w:t>
      </w:r>
      <w:r w:rsidR="00A72DD7" w:rsidRPr="006F51C4">
        <w:rPr>
          <w:rFonts w:cs="Arial"/>
        </w:rPr>
        <w:t xml:space="preserve"> l’argent</w:t>
      </w:r>
      <w:r w:rsidRPr="006F51C4">
        <w:rPr>
          <w:rFonts w:cs="Arial"/>
        </w:rPr>
        <w:t xml:space="preserve"> </w:t>
      </w:r>
      <w:r w:rsidR="00A72DD7" w:rsidRPr="006F51C4">
        <w:rPr>
          <w:rFonts w:cs="Arial"/>
        </w:rPr>
        <w:t>aux universités francophones.</w:t>
      </w:r>
    </w:p>
    <w:p w14:paraId="7D48F71F" w14:textId="67C23750" w:rsidR="00BE0E37" w:rsidRPr="00A72DD7" w:rsidRDefault="00A72DD7" w:rsidP="0082018A">
      <w:pPr>
        <w:pStyle w:val="Paragraphe"/>
        <w:tabs>
          <w:tab w:val="num" w:pos="720"/>
        </w:tabs>
        <w:spacing w:line="240" w:lineRule="auto"/>
        <w:ind w:left="0"/>
        <w:rPr>
          <w:rFonts w:cs="Arial"/>
          <w:b/>
          <w:bCs/>
        </w:rPr>
      </w:pPr>
      <w:r w:rsidRPr="00A72DD7">
        <w:rPr>
          <w:rFonts w:cs="Arial"/>
        </w:rPr>
        <w:t xml:space="preserve">Le PGQ fournit diverses statistiques par lesquelles il </w:t>
      </w:r>
      <w:r w:rsidR="00451A76">
        <w:rPr>
          <w:rFonts w:cs="Arial"/>
        </w:rPr>
        <w:t>dit</w:t>
      </w:r>
      <w:r w:rsidRPr="00A72DD7">
        <w:rPr>
          <w:rFonts w:cs="Arial"/>
        </w:rPr>
        <w:t xml:space="preserve"> démontrer que l’accroissement de la population étudiante provenant hors du Québec </w:t>
      </w:r>
      <w:r w:rsidR="004B715B">
        <w:rPr>
          <w:rFonts w:cs="Arial"/>
        </w:rPr>
        <w:t>bénéficie</w:t>
      </w:r>
      <w:r w:rsidRPr="00A72DD7">
        <w:rPr>
          <w:rFonts w:cs="Arial"/>
        </w:rPr>
        <w:t xml:space="preserve"> surtout </w:t>
      </w:r>
      <w:r w:rsidR="00B90E1F">
        <w:rPr>
          <w:rFonts w:cs="Arial"/>
        </w:rPr>
        <w:t xml:space="preserve">aux </w:t>
      </w:r>
      <w:r w:rsidRPr="00A72DD7">
        <w:rPr>
          <w:rFonts w:cs="Arial"/>
        </w:rPr>
        <w:t>universités anglophones</w:t>
      </w:r>
      <w:r>
        <w:rPr>
          <w:rStyle w:val="Appelnotedebasdep"/>
          <w:rFonts w:cs="Arial"/>
        </w:rPr>
        <w:footnoteReference w:id="92"/>
      </w:r>
      <w:r w:rsidRPr="00A72DD7">
        <w:rPr>
          <w:rFonts w:cs="Arial"/>
        </w:rPr>
        <w:t xml:space="preserve">. Il parle même d’avantage </w:t>
      </w:r>
      <w:r w:rsidRPr="00A72DD7">
        <w:rPr>
          <w:rFonts w:cs="Arial"/>
          <w:i/>
          <w:iCs/>
        </w:rPr>
        <w:t>substantiel</w:t>
      </w:r>
      <w:r w:rsidRPr="00A72DD7">
        <w:rPr>
          <w:rFonts w:cs="Arial"/>
        </w:rPr>
        <w:t xml:space="preserve">. Selon les données dont il dispose, les universités anglophones </w:t>
      </w:r>
      <w:r w:rsidR="00B90E1F">
        <w:rPr>
          <w:rFonts w:cs="Arial"/>
        </w:rPr>
        <w:t>recueillent</w:t>
      </w:r>
      <w:r w:rsidRPr="00A72DD7">
        <w:rPr>
          <w:rFonts w:cs="Arial"/>
        </w:rPr>
        <w:t xml:space="preserve">, entre 2019 et 2022, </w:t>
      </w:r>
      <w:r>
        <w:rPr>
          <w:rFonts w:cs="Arial"/>
        </w:rPr>
        <w:t>69</w:t>
      </w:r>
      <w:r w:rsidR="00F17522">
        <w:rPr>
          <w:rFonts w:cs="Arial"/>
        </w:rPr>
        <w:t> </w:t>
      </w:r>
      <w:r>
        <w:rPr>
          <w:rFonts w:cs="Arial"/>
        </w:rPr>
        <w:t>% des revenus supplémentaires générés par la déréglementation des droits de scolarité des étudiants Internationaux</w:t>
      </w:r>
      <w:r w:rsidR="004B715B">
        <w:rPr>
          <w:rFonts w:cs="Arial"/>
        </w:rPr>
        <w:t xml:space="preserve">, elles qui </w:t>
      </w:r>
      <w:r w:rsidR="00666E53">
        <w:rPr>
          <w:rFonts w:cs="Arial"/>
        </w:rPr>
        <w:t>n’</w:t>
      </w:r>
      <w:r>
        <w:rPr>
          <w:rFonts w:cs="Arial"/>
        </w:rPr>
        <w:t>accueillent</w:t>
      </w:r>
      <w:r w:rsidR="004B715B">
        <w:rPr>
          <w:rFonts w:cs="Arial"/>
        </w:rPr>
        <w:t xml:space="preserve"> pourtant</w:t>
      </w:r>
      <w:r>
        <w:rPr>
          <w:rFonts w:cs="Arial"/>
        </w:rPr>
        <w:t xml:space="preserve"> </w:t>
      </w:r>
      <w:r w:rsidR="00666E53">
        <w:rPr>
          <w:rFonts w:cs="Arial"/>
        </w:rPr>
        <w:t xml:space="preserve">que </w:t>
      </w:r>
      <w:r>
        <w:rPr>
          <w:rFonts w:cs="Arial"/>
        </w:rPr>
        <w:t>37</w:t>
      </w:r>
      <w:r w:rsidR="00F17522">
        <w:rPr>
          <w:rFonts w:cs="Arial"/>
        </w:rPr>
        <w:t> </w:t>
      </w:r>
      <w:r>
        <w:rPr>
          <w:rFonts w:cs="Arial"/>
        </w:rPr>
        <w:t>% de cette clientèle pour la même période</w:t>
      </w:r>
      <w:r>
        <w:rPr>
          <w:rStyle w:val="Appelnotedebasdep"/>
          <w:rFonts w:cs="Arial"/>
        </w:rPr>
        <w:footnoteReference w:id="93"/>
      </w:r>
      <w:r>
        <w:rPr>
          <w:rFonts w:cs="Arial"/>
        </w:rPr>
        <w:t>.</w:t>
      </w:r>
    </w:p>
    <w:p w14:paraId="610485B8" w14:textId="639271A1" w:rsidR="00AF45C0" w:rsidRPr="004B715B" w:rsidRDefault="00A72DD7" w:rsidP="0082018A">
      <w:pPr>
        <w:pStyle w:val="Paragraphe"/>
        <w:tabs>
          <w:tab w:val="num" w:pos="720"/>
        </w:tabs>
        <w:spacing w:line="240" w:lineRule="auto"/>
        <w:ind w:left="0"/>
        <w:rPr>
          <w:rFonts w:cs="Arial"/>
          <w:b/>
          <w:bCs/>
        </w:rPr>
      </w:pPr>
      <w:r w:rsidRPr="004B715B">
        <w:rPr>
          <w:rFonts w:cs="Arial"/>
        </w:rPr>
        <w:t>Pour faire face à cette situation, entre autre</w:t>
      </w:r>
      <w:r w:rsidR="00AF45C0" w:rsidRPr="004B715B">
        <w:rPr>
          <w:rFonts w:cs="Arial"/>
        </w:rPr>
        <w:t>s</w:t>
      </w:r>
      <w:r w:rsidRPr="004B715B">
        <w:rPr>
          <w:rFonts w:cs="Arial"/>
        </w:rPr>
        <w:t>, le Plan stratégique 2023-2027</w:t>
      </w:r>
      <w:r w:rsidR="00AF45C0" w:rsidRPr="004B715B">
        <w:rPr>
          <w:rStyle w:val="Appelnotedebasdep"/>
          <w:rFonts w:cs="Arial"/>
        </w:rPr>
        <w:footnoteReference w:id="94"/>
      </w:r>
      <w:r w:rsidR="00841983" w:rsidRPr="004B715B">
        <w:rPr>
          <w:rFonts w:cs="Arial"/>
        </w:rPr>
        <w:t>,</w:t>
      </w:r>
      <w:r w:rsidR="004B715B" w:rsidRPr="004B715B">
        <w:rPr>
          <w:rFonts w:cs="Arial"/>
        </w:rPr>
        <w:t xml:space="preserve"> </w:t>
      </w:r>
      <w:r w:rsidR="00841983" w:rsidRPr="004B715B">
        <w:rPr>
          <w:rFonts w:cs="Arial"/>
        </w:rPr>
        <w:t xml:space="preserve">publié par </w:t>
      </w:r>
      <w:r w:rsidRPr="004B715B">
        <w:rPr>
          <w:rFonts w:cs="Arial"/>
        </w:rPr>
        <w:t xml:space="preserve">la Ministre </w:t>
      </w:r>
      <w:r w:rsidR="00841983" w:rsidRPr="004B715B">
        <w:rPr>
          <w:rFonts w:cs="Arial"/>
        </w:rPr>
        <w:t>le 2</w:t>
      </w:r>
      <w:r w:rsidR="00EE489C">
        <w:rPr>
          <w:rFonts w:cs="Arial"/>
        </w:rPr>
        <w:t> </w:t>
      </w:r>
      <w:r w:rsidR="00841983" w:rsidRPr="004B715B">
        <w:rPr>
          <w:rFonts w:cs="Arial"/>
        </w:rPr>
        <w:t>juin</w:t>
      </w:r>
      <w:r w:rsidR="00EE489C">
        <w:rPr>
          <w:rFonts w:cs="Arial"/>
        </w:rPr>
        <w:t> </w:t>
      </w:r>
      <w:r w:rsidR="00841983" w:rsidRPr="004B715B">
        <w:rPr>
          <w:rFonts w:cs="Arial"/>
        </w:rPr>
        <w:t xml:space="preserve">2023, </w:t>
      </w:r>
      <w:r w:rsidRPr="004B715B">
        <w:rPr>
          <w:rFonts w:cs="Arial"/>
        </w:rPr>
        <w:t>révèle ses objectifs, notamment ce</w:t>
      </w:r>
      <w:r w:rsidR="00AF45C0" w:rsidRPr="004B715B">
        <w:rPr>
          <w:rFonts w:cs="Arial"/>
        </w:rPr>
        <w:t>ux</w:t>
      </w:r>
      <w:r w:rsidRPr="004B715B">
        <w:rPr>
          <w:rFonts w:cs="Arial"/>
        </w:rPr>
        <w:t xml:space="preserve"> de valoriser et accroître la maîtrise de la langue française en enseignement supérieur</w:t>
      </w:r>
      <w:r w:rsidR="00AF45C0" w:rsidRPr="004B715B">
        <w:rPr>
          <w:rFonts w:cs="Arial"/>
        </w:rPr>
        <w:t xml:space="preserve"> et de promouvoir et valoriser la langue française selon la </w:t>
      </w:r>
      <w:r w:rsidR="00AF45C0" w:rsidRPr="004B715B">
        <w:rPr>
          <w:rFonts w:cs="Arial"/>
          <w:i/>
          <w:iCs/>
        </w:rPr>
        <w:t>Loi sur la langue officielle et commune du Québec, le français</w:t>
      </w:r>
      <w:r w:rsidR="00AA4FEC" w:rsidRPr="004B715B">
        <w:rPr>
          <w:rStyle w:val="Appelnotedebasdep"/>
          <w:rFonts w:cs="Arial"/>
        </w:rPr>
        <w:footnoteReference w:id="95"/>
      </w:r>
      <w:r w:rsidRPr="004B715B">
        <w:rPr>
          <w:rFonts w:cs="Arial"/>
        </w:rPr>
        <w:t>.</w:t>
      </w:r>
      <w:r w:rsidR="003573C3" w:rsidRPr="004B715B">
        <w:rPr>
          <w:rFonts w:cs="Arial"/>
        </w:rPr>
        <w:t xml:space="preserve"> Dans son message à la Présidente de l’Assemblée nationale, la Ministre écrit :</w:t>
      </w:r>
    </w:p>
    <w:p w14:paraId="28A484D4" w14:textId="6EBF7504" w:rsidR="003573C3" w:rsidRPr="003573C3" w:rsidRDefault="003573C3" w:rsidP="00F825E2">
      <w:pPr>
        <w:pStyle w:val="Citationenretrait"/>
        <w:rPr>
          <w:lang w:eastAsia="fr-CA"/>
        </w:rPr>
      </w:pPr>
      <w:r w:rsidRPr="003573C3">
        <w:rPr>
          <w:lang w:eastAsia="fr-CA"/>
        </w:rPr>
        <w:t>La nouvelle vision du Ministère s’articule autour de trois aspects clés de l’enseignement supérieur</w:t>
      </w:r>
      <w:r w:rsidR="008F6639">
        <w:rPr>
          <w:rFonts w:cs="Arial"/>
        </w:rPr>
        <w:t> </w:t>
      </w:r>
      <w:r w:rsidRPr="003573C3">
        <w:rPr>
          <w:lang w:eastAsia="fr-CA"/>
        </w:rPr>
        <w:t xml:space="preserve">: l’accès, la réussite et l’excellence. Ces trois principes doivent demeurer au </w:t>
      </w:r>
      <w:r w:rsidR="001E38BC" w:rsidRPr="003573C3">
        <w:rPr>
          <w:lang w:eastAsia="fr-CA"/>
        </w:rPr>
        <w:t>cœur</w:t>
      </w:r>
      <w:r w:rsidRPr="003573C3">
        <w:rPr>
          <w:lang w:eastAsia="fr-CA"/>
        </w:rPr>
        <w:t xml:space="preserve"> de nos actions pour que nous puissions offrir la possibilité de mener des études supérieures à tous ceux et celles qui le souhaitent, et ce, sans aucune discrimination. Pour ce faire, nous devons soutenir les étudiantes et étudiants dans leur parcours scolaire pour qu’ils atteignent la diplomation et soient en mesure de bien intégrer le marché du travail. Cela se fait par des expériences éducatives de grande qualité, adaptées à un monde en mutation, qui permettront à nos diplômés de se distinguer ici et ailleurs.</w:t>
      </w:r>
    </w:p>
    <w:p w14:paraId="3FE24BB2" w14:textId="0BD3F88B" w:rsidR="003573C3" w:rsidRPr="00AF45C0" w:rsidRDefault="003573C3" w:rsidP="00F825E2">
      <w:pPr>
        <w:pStyle w:val="Citationenretrait"/>
        <w:rPr>
          <w:b/>
          <w:bCs/>
        </w:rPr>
      </w:pPr>
      <w:r w:rsidRPr="003573C3">
        <w:rPr>
          <w:kern w:val="0"/>
          <w:lang w:eastAsia="fr-CA"/>
        </w:rPr>
        <w:t xml:space="preserve">Nous devons aussi accompagner le réseau dans son développement, en soutenant sa capacité d’accueil et en favorisant la collaboration, non seulement entre les ordres d’enseignement, mais aussi entre les régions qui peuvent profiter de la mobilité étudiante. Ce plan stratégique accorde aussi une place toute particulière à la valorisation et à l’amélioration de la maîtrise de la langue française ainsi qu’au soutien à la recherche et à l’innovation, qui sont des moteurs de développement dans nos collèges et nos universités. Grâce à ces efforts et à ceux investis pour contrer de façon concertée la pénurie de </w:t>
      </w:r>
      <w:r w:rsidR="001E38BC" w:rsidRPr="003573C3">
        <w:rPr>
          <w:kern w:val="0"/>
          <w:lang w:eastAsia="fr-CA"/>
        </w:rPr>
        <w:t>main-d’œuvre</w:t>
      </w:r>
      <w:r w:rsidRPr="003573C3">
        <w:rPr>
          <w:kern w:val="0"/>
          <w:lang w:eastAsia="fr-CA"/>
        </w:rPr>
        <w:t xml:space="preserve"> dans des domaines cruciaux de la société, nous serons à même de mieux répondre aux besoins évolutifs de la société québécoise.</w:t>
      </w:r>
    </w:p>
    <w:p w14:paraId="63A3E99E" w14:textId="08447E01" w:rsidR="00E932DA" w:rsidRPr="004B715B" w:rsidRDefault="005243BA" w:rsidP="0082018A">
      <w:pPr>
        <w:pStyle w:val="Paragraphe"/>
        <w:tabs>
          <w:tab w:val="num" w:pos="720"/>
        </w:tabs>
        <w:spacing w:line="240" w:lineRule="auto"/>
        <w:ind w:left="0"/>
        <w:rPr>
          <w:rFonts w:cs="Arial"/>
          <w:b/>
          <w:bCs/>
        </w:rPr>
      </w:pPr>
      <w:r w:rsidRPr="004B715B">
        <w:rPr>
          <w:rFonts w:cs="Arial"/>
        </w:rPr>
        <w:t xml:space="preserve">Dans la même veine, </w:t>
      </w:r>
      <w:r w:rsidR="004B715B" w:rsidRPr="004B715B">
        <w:rPr>
          <w:rFonts w:cs="Arial"/>
        </w:rPr>
        <w:t xml:space="preserve">l’accroissement de l’attraction </w:t>
      </w:r>
      <w:r w:rsidRPr="004B715B">
        <w:rPr>
          <w:rFonts w:cs="Arial"/>
        </w:rPr>
        <w:t xml:space="preserve">d’étudiants </w:t>
      </w:r>
      <w:r w:rsidR="004B715B" w:rsidRPr="004B715B">
        <w:rPr>
          <w:rFonts w:cs="Arial"/>
        </w:rPr>
        <w:t>I</w:t>
      </w:r>
      <w:r w:rsidRPr="004B715B">
        <w:rPr>
          <w:rFonts w:cs="Arial"/>
        </w:rPr>
        <w:t xml:space="preserve">nternationaux dans les </w:t>
      </w:r>
      <w:r w:rsidR="00E932DA" w:rsidRPr="004B715B">
        <w:rPr>
          <w:rFonts w:cs="Arial"/>
        </w:rPr>
        <w:t xml:space="preserve">collèges et les </w:t>
      </w:r>
      <w:r w:rsidRPr="004B715B">
        <w:rPr>
          <w:rFonts w:cs="Arial"/>
        </w:rPr>
        <w:t>universités francophones devient une priorité du gouvernement</w:t>
      </w:r>
      <w:r w:rsidR="00E932DA" w:rsidRPr="004B715B">
        <w:rPr>
          <w:rFonts w:cs="Arial"/>
        </w:rPr>
        <w:t xml:space="preserve"> qui vise à augmenter leur taux de 71,4</w:t>
      </w:r>
      <w:r w:rsidR="004C1BEF">
        <w:rPr>
          <w:rFonts w:cs="Arial"/>
        </w:rPr>
        <w:t> </w:t>
      </w:r>
      <w:r w:rsidR="00E932DA" w:rsidRPr="004B715B">
        <w:rPr>
          <w:rFonts w:cs="Arial"/>
        </w:rPr>
        <w:t>% (valeur de départ en 2021-2022) à 72,0</w:t>
      </w:r>
      <w:r w:rsidR="004C1BEF">
        <w:rPr>
          <w:rFonts w:cs="Arial"/>
        </w:rPr>
        <w:t> </w:t>
      </w:r>
      <w:r w:rsidR="00E932DA" w:rsidRPr="004B715B">
        <w:rPr>
          <w:rFonts w:cs="Arial"/>
        </w:rPr>
        <w:t>% (cible pour 2026</w:t>
      </w:r>
      <w:r w:rsidR="00E932DA" w:rsidRPr="004B715B">
        <w:rPr>
          <w:rFonts w:cs="Arial"/>
        </w:rPr>
        <w:noBreakHyphen/>
        <w:t>2027)</w:t>
      </w:r>
      <w:r w:rsidRPr="004B715B">
        <w:rPr>
          <w:rStyle w:val="Appelnotedebasdep"/>
          <w:rFonts w:cs="Arial"/>
        </w:rPr>
        <w:footnoteReference w:id="96"/>
      </w:r>
      <w:r w:rsidRPr="004B715B">
        <w:rPr>
          <w:rFonts w:cs="Arial"/>
        </w:rPr>
        <w:t>.</w:t>
      </w:r>
    </w:p>
    <w:p w14:paraId="23A07214" w14:textId="7DFC974B" w:rsidR="005243BA" w:rsidRPr="004B715B" w:rsidRDefault="001B4B9B" w:rsidP="0082018A">
      <w:pPr>
        <w:pStyle w:val="Paragraphe"/>
        <w:tabs>
          <w:tab w:val="num" w:pos="720"/>
        </w:tabs>
        <w:spacing w:line="240" w:lineRule="auto"/>
        <w:ind w:left="0"/>
        <w:rPr>
          <w:rFonts w:cs="Arial"/>
          <w:b/>
          <w:bCs/>
        </w:rPr>
      </w:pPr>
      <w:r w:rsidRPr="004B715B">
        <w:rPr>
          <w:rFonts w:cs="Arial"/>
        </w:rPr>
        <w:t>Les orientations du plan stratégique devront être pris</w:t>
      </w:r>
      <w:r w:rsidR="00C77024">
        <w:rPr>
          <w:rFonts w:cs="Arial"/>
        </w:rPr>
        <w:t>es</w:t>
      </w:r>
      <w:r w:rsidRPr="004B715B">
        <w:rPr>
          <w:rFonts w:cs="Arial"/>
        </w:rPr>
        <w:t xml:space="preserve"> en compte dans la future politique de financement des universités</w:t>
      </w:r>
      <w:r w:rsidRPr="004B715B">
        <w:rPr>
          <w:rStyle w:val="Appelnotedebasdep"/>
          <w:rFonts w:cs="Arial"/>
        </w:rPr>
        <w:footnoteReference w:id="97"/>
      </w:r>
      <w:r w:rsidRPr="004B715B">
        <w:rPr>
          <w:rFonts w:cs="Arial"/>
        </w:rPr>
        <w:t>.</w:t>
      </w:r>
    </w:p>
    <w:p w14:paraId="3FB02038" w14:textId="10384876" w:rsidR="004B5F54" w:rsidRPr="008A1926" w:rsidRDefault="004B5F54" w:rsidP="0082018A">
      <w:pPr>
        <w:pStyle w:val="Paragraphe"/>
        <w:tabs>
          <w:tab w:val="num" w:pos="720"/>
        </w:tabs>
        <w:spacing w:line="240" w:lineRule="auto"/>
        <w:ind w:left="0"/>
        <w:rPr>
          <w:rFonts w:cs="Arial"/>
          <w:b/>
          <w:bCs/>
        </w:rPr>
      </w:pPr>
      <w:r w:rsidRPr="008A1926">
        <w:rPr>
          <w:rFonts w:cs="Arial"/>
        </w:rPr>
        <w:t>Le 12</w:t>
      </w:r>
      <w:r w:rsidR="000B2036">
        <w:rPr>
          <w:rFonts w:cs="Arial"/>
        </w:rPr>
        <w:t> </w:t>
      </w:r>
      <w:r w:rsidRPr="008A1926">
        <w:rPr>
          <w:rFonts w:cs="Arial"/>
        </w:rPr>
        <w:t>juin</w:t>
      </w:r>
      <w:r w:rsidR="000B2036">
        <w:rPr>
          <w:rFonts w:cs="Arial"/>
        </w:rPr>
        <w:t> </w:t>
      </w:r>
      <w:r w:rsidRPr="008A1926">
        <w:rPr>
          <w:rFonts w:cs="Arial"/>
        </w:rPr>
        <w:t>2023, le CCAFÉ répond à l’appel à mémoires. Dans son avis soumis à la Ministre, il rappelle son mandat de conseiller le Ministère et la Ministre en matière d’accessibilité financière aux études, et conséquemment sur des questions relatives aux droits de scolarité.</w:t>
      </w:r>
      <w:r w:rsidR="005A679C" w:rsidRPr="008A1926">
        <w:rPr>
          <w:rFonts w:cs="Arial"/>
        </w:rPr>
        <w:t xml:space="preserve"> Il observe que les subventions gouvernementales ont diminué tandis que le financement provenant des étudiants a augmenté. En ce sens, le CCAFÉ invite le Ministère « à mener une réflexion sur la trop forte "dépendance" à l’étalon de financement basé sur les effectifs étudiants et sur les effets induits par ce mode de financement »</w:t>
      </w:r>
      <w:r w:rsidR="00686BB5" w:rsidRPr="008A1926">
        <w:rPr>
          <w:rStyle w:val="Appelnotedebasdep"/>
          <w:rFonts w:cs="Arial"/>
        </w:rPr>
        <w:footnoteReference w:id="98"/>
      </w:r>
      <w:r w:rsidR="005A679C" w:rsidRPr="008A1926">
        <w:rPr>
          <w:rFonts w:cs="Arial"/>
        </w:rPr>
        <w:t xml:space="preserve">. Enfin, </w:t>
      </w:r>
      <w:r w:rsidR="00686BB5" w:rsidRPr="008A1926">
        <w:rPr>
          <w:rFonts w:cs="Arial"/>
        </w:rPr>
        <w:t>il recommande à la Ministre de rendre publique l’évaluation de la dernière Politique québécoise de financement de 2018-2019 afin d’alimenter la réflexion avant l’entrée en vigueur de la nouvelle politique.</w:t>
      </w:r>
    </w:p>
    <w:p w14:paraId="61F216E8" w14:textId="3B6CAE18" w:rsidR="006D5E92" w:rsidRPr="008A1926" w:rsidRDefault="006D5E92" w:rsidP="0082018A">
      <w:pPr>
        <w:pStyle w:val="Paragraphe"/>
        <w:tabs>
          <w:tab w:val="num" w:pos="720"/>
        </w:tabs>
        <w:spacing w:line="240" w:lineRule="auto"/>
        <w:ind w:left="0"/>
        <w:rPr>
          <w:rFonts w:cs="Arial"/>
          <w:b/>
          <w:bCs/>
        </w:rPr>
      </w:pPr>
      <w:r w:rsidRPr="008A1926">
        <w:rPr>
          <w:rFonts w:cs="Arial"/>
        </w:rPr>
        <w:t>Le 20</w:t>
      </w:r>
      <w:r w:rsidR="009C1471">
        <w:rPr>
          <w:rFonts w:cs="Arial"/>
        </w:rPr>
        <w:t> </w:t>
      </w:r>
      <w:r w:rsidRPr="008A1926">
        <w:rPr>
          <w:rFonts w:cs="Arial"/>
        </w:rPr>
        <w:t>juin</w:t>
      </w:r>
      <w:r w:rsidR="009C1471">
        <w:rPr>
          <w:rFonts w:cs="Arial"/>
        </w:rPr>
        <w:t> </w:t>
      </w:r>
      <w:r w:rsidRPr="008A1926">
        <w:rPr>
          <w:rFonts w:cs="Arial"/>
        </w:rPr>
        <w:t>2023, McGill et Concordia soumettent leur</w:t>
      </w:r>
      <w:r w:rsidR="000B0D2F" w:rsidRPr="008A1926">
        <w:rPr>
          <w:rFonts w:cs="Arial"/>
        </w:rPr>
        <w:t>s</w:t>
      </w:r>
      <w:r w:rsidRPr="008A1926">
        <w:rPr>
          <w:rFonts w:cs="Arial"/>
        </w:rPr>
        <w:t xml:space="preserve"> mémoires </w:t>
      </w:r>
      <w:r w:rsidR="006C4EAD" w:rsidRPr="008A1926">
        <w:rPr>
          <w:rFonts w:cs="Arial"/>
        </w:rPr>
        <w:t>respectifs.</w:t>
      </w:r>
      <w:r w:rsidR="000B0D2F" w:rsidRPr="008A1926">
        <w:rPr>
          <w:rFonts w:cs="Arial"/>
        </w:rPr>
        <w:t xml:space="preserve"> Selon McGill, les craintes relatives au débalancement du système en raison de la déréglementation de certains étudiants Internationaux ne se sont pas matérialisées</w:t>
      </w:r>
      <w:r w:rsidR="000B0D2F" w:rsidRPr="008A1926">
        <w:rPr>
          <w:rStyle w:val="Appelnotedebasdep"/>
          <w:rFonts w:cs="Arial"/>
        </w:rPr>
        <w:footnoteReference w:id="99"/>
      </w:r>
      <w:r w:rsidR="000B0D2F" w:rsidRPr="008A1926">
        <w:rPr>
          <w:rFonts w:cs="Arial"/>
        </w:rPr>
        <w:t>.</w:t>
      </w:r>
      <w:r w:rsidR="005F2253">
        <w:rPr>
          <w:rFonts w:cs="Arial"/>
        </w:rPr>
        <w:t xml:space="preserve"> </w:t>
      </w:r>
      <w:r w:rsidR="00950152" w:rsidRPr="008A1926">
        <w:rPr>
          <w:rFonts w:cs="Arial"/>
        </w:rPr>
        <w:t>Elle recommande le maintien en vigueur de la déréglementation et des différentes exemptions offertes.</w:t>
      </w:r>
      <w:r w:rsidR="00C6259E" w:rsidRPr="008A1926">
        <w:rPr>
          <w:rFonts w:cs="Arial"/>
        </w:rPr>
        <w:t xml:space="preserve"> Pour sa part, Concordia </w:t>
      </w:r>
      <w:r w:rsidR="008A1926" w:rsidRPr="008A1926">
        <w:rPr>
          <w:rFonts w:cs="Arial"/>
        </w:rPr>
        <w:t>s</w:t>
      </w:r>
      <w:r w:rsidR="00C6259E" w:rsidRPr="008A1926">
        <w:rPr>
          <w:rFonts w:cs="Arial"/>
        </w:rPr>
        <w:t>e</w:t>
      </w:r>
      <w:r w:rsidR="008A1926" w:rsidRPr="008A1926">
        <w:rPr>
          <w:rFonts w:cs="Arial"/>
        </w:rPr>
        <w:t xml:space="preserve"> dit</w:t>
      </w:r>
      <w:r w:rsidR="00C6259E" w:rsidRPr="008A1926">
        <w:rPr>
          <w:rFonts w:cs="Arial"/>
        </w:rPr>
        <w:t xml:space="preserve"> d’avis que la formule de financement </w:t>
      </w:r>
      <w:r w:rsidR="008A1926" w:rsidRPr="008A1926">
        <w:rPr>
          <w:rFonts w:cs="Arial"/>
        </w:rPr>
        <w:t>s’avère</w:t>
      </w:r>
      <w:r w:rsidR="00C6259E" w:rsidRPr="008A1926">
        <w:rPr>
          <w:rFonts w:cs="Arial"/>
        </w:rPr>
        <w:t xml:space="preserve"> trop dépendante du nombre d’étudiants inscrits</w:t>
      </w:r>
      <w:r w:rsidR="00047328" w:rsidRPr="008A1926">
        <w:rPr>
          <w:rFonts w:cs="Arial"/>
        </w:rPr>
        <w:t>. Concernant les étudiants Internationaux déréglementés, elle propose certaines améliorations, dont le fait de verser un pourcentage des revenus provenant de ces étudiants vers des initiatives de francisation ou dans un fonds consolidé de péréquation interuniversitaire</w:t>
      </w:r>
      <w:r w:rsidR="00047328" w:rsidRPr="008A1926">
        <w:rPr>
          <w:rStyle w:val="Appelnotedebasdep"/>
          <w:rFonts w:cs="Arial"/>
        </w:rPr>
        <w:footnoteReference w:id="100"/>
      </w:r>
      <w:r w:rsidR="00047328" w:rsidRPr="008A1926">
        <w:rPr>
          <w:rFonts w:cs="Arial"/>
        </w:rPr>
        <w:t>.</w:t>
      </w:r>
    </w:p>
    <w:p w14:paraId="6A537F73" w14:textId="1709FF56" w:rsidR="00250C99" w:rsidRPr="00A644A1" w:rsidRDefault="00250C99" w:rsidP="0082018A">
      <w:pPr>
        <w:pStyle w:val="Paragraphe"/>
        <w:tabs>
          <w:tab w:val="num" w:pos="720"/>
        </w:tabs>
        <w:spacing w:line="240" w:lineRule="auto"/>
        <w:ind w:left="0"/>
        <w:rPr>
          <w:rFonts w:cs="Arial"/>
          <w:b/>
          <w:bCs/>
        </w:rPr>
      </w:pPr>
      <w:r>
        <w:rPr>
          <w:rFonts w:cs="Arial"/>
        </w:rPr>
        <w:t>Le 13</w:t>
      </w:r>
      <w:r w:rsidR="00FB60DF">
        <w:rPr>
          <w:rFonts w:cs="Arial"/>
        </w:rPr>
        <w:t> </w:t>
      </w:r>
      <w:r>
        <w:rPr>
          <w:rFonts w:cs="Arial"/>
        </w:rPr>
        <w:t>octobre</w:t>
      </w:r>
      <w:r w:rsidR="00FB60DF">
        <w:rPr>
          <w:rFonts w:cs="Arial"/>
        </w:rPr>
        <w:t> </w:t>
      </w:r>
      <w:r>
        <w:rPr>
          <w:rFonts w:cs="Arial"/>
        </w:rPr>
        <w:t xml:space="preserve">2023, la Ministre annonce </w:t>
      </w:r>
      <w:r w:rsidR="00451A76">
        <w:rPr>
          <w:rFonts w:cs="Arial"/>
        </w:rPr>
        <w:t>un</w:t>
      </w:r>
      <w:r>
        <w:rPr>
          <w:rFonts w:cs="Arial"/>
        </w:rPr>
        <w:t xml:space="preserve"> nouveau modèle de tarification des étudiants CNRQ et Internationaux. S’ensuit un dialogue entre la Ministre, le Premier ministre et les universités anglophones, à leur initiative d’ailleurs. </w:t>
      </w:r>
      <w:r w:rsidR="00B90E1F">
        <w:rPr>
          <w:rFonts w:cs="Arial"/>
        </w:rPr>
        <w:t>Mais l</w:t>
      </w:r>
      <w:r>
        <w:rPr>
          <w:rFonts w:cs="Arial"/>
        </w:rPr>
        <w:t xml:space="preserve">e résultat net s’avère décevant pour elles alors que la Ministre </w:t>
      </w:r>
      <w:r w:rsidR="00A644A1">
        <w:rPr>
          <w:rFonts w:cs="Arial"/>
        </w:rPr>
        <w:t xml:space="preserve">contrebalance </w:t>
      </w:r>
      <w:r>
        <w:rPr>
          <w:rFonts w:cs="Arial"/>
        </w:rPr>
        <w:t>une hausse des droits de scolarité moins importante</w:t>
      </w:r>
      <w:r w:rsidR="00B90E1F">
        <w:rPr>
          <w:rFonts w:cs="Arial"/>
        </w:rPr>
        <w:t xml:space="preserve"> que ce qu’elle souhaitait </w:t>
      </w:r>
      <w:r w:rsidR="00610BA4" w:rsidRPr="002C3633">
        <w:rPr>
          <w:rFonts w:cs="Arial"/>
        </w:rPr>
        <w:t>au</w:t>
      </w:r>
      <w:r w:rsidR="00B90E1F">
        <w:rPr>
          <w:rFonts w:cs="Arial"/>
        </w:rPr>
        <w:t xml:space="preserve"> départ </w:t>
      </w:r>
      <w:r>
        <w:rPr>
          <w:rFonts w:cs="Arial"/>
        </w:rPr>
        <w:t>par une obligation que 80</w:t>
      </w:r>
      <w:r w:rsidR="00C11149">
        <w:rPr>
          <w:rFonts w:cs="Arial"/>
        </w:rPr>
        <w:t> </w:t>
      </w:r>
      <w:r>
        <w:rPr>
          <w:rFonts w:cs="Arial"/>
        </w:rPr>
        <w:t xml:space="preserve">% des nouveaux étudiants CNRQ et Internationaux inscrits dans un programme d’études </w:t>
      </w:r>
      <w:r w:rsidR="00B90E1F">
        <w:rPr>
          <w:rFonts w:cs="Arial"/>
        </w:rPr>
        <w:t xml:space="preserve">en </w:t>
      </w:r>
      <w:r>
        <w:rPr>
          <w:rFonts w:cs="Arial"/>
        </w:rPr>
        <w:t>angl</w:t>
      </w:r>
      <w:r w:rsidR="00B90E1F">
        <w:rPr>
          <w:rFonts w:cs="Arial"/>
        </w:rPr>
        <w:t>ais</w:t>
      </w:r>
      <w:r>
        <w:rPr>
          <w:rFonts w:cs="Arial"/>
        </w:rPr>
        <w:t xml:space="preserve"> atteigne</w:t>
      </w:r>
      <w:r w:rsidR="00C77024">
        <w:rPr>
          <w:rFonts w:cs="Arial"/>
        </w:rPr>
        <w:t>nt</w:t>
      </w:r>
      <w:r>
        <w:rPr>
          <w:rFonts w:cs="Arial"/>
        </w:rPr>
        <w:t xml:space="preserve"> le niveau 5 à l’oral selon l’échelle québécoise des niveaux de compétence en français</w:t>
      </w:r>
      <w:r w:rsidR="00C77024">
        <w:rPr>
          <w:rFonts w:cs="Arial"/>
        </w:rPr>
        <w:t>,</w:t>
      </w:r>
      <w:r>
        <w:rPr>
          <w:rFonts w:cs="Arial"/>
        </w:rPr>
        <w:t xml:space="preserve"> et ce, au terme de leur programme de grade de </w:t>
      </w:r>
      <w:r w:rsidR="00B162FF">
        <w:rPr>
          <w:rFonts w:cs="Arial"/>
        </w:rPr>
        <w:t>1</w:t>
      </w:r>
      <w:r w:rsidR="00B162FF" w:rsidRPr="00B162FF">
        <w:rPr>
          <w:rFonts w:cs="Arial"/>
          <w:vertAlign w:val="superscript"/>
        </w:rPr>
        <w:t>er</w:t>
      </w:r>
      <w:r w:rsidR="00B162FF">
        <w:rPr>
          <w:rFonts w:cs="Arial"/>
        </w:rPr>
        <w:t xml:space="preserve"> </w:t>
      </w:r>
      <w:r>
        <w:rPr>
          <w:rFonts w:cs="Arial"/>
        </w:rPr>
        <w:t>cycle</w:t>
      </w:r>
      <w:r w:rsidR="00A644A1">
        <w:rPr>
          <w:rStyle w:val="Appelnotedebasdep"/>
          <w:rFonts w:cs="Arial"/>
        </w:rPr>
        <w:footnoteReference w:id="101"/>
      </w:r>
      <w:r>
        <w:rPr>
          <w:rFonts w:cs="Arial"/>
        </w:rPr>
        <w:t>.</w:t>
      </w:r>
    </w:p>
    <w:p w14:paraId="7A5F6C23" w14:textId="26C90888" w:rsidR="00A644A1" w:rsidRPr="00250C99" w:rsidRDefault="00AA4FEC" w:rsidP="0082018A">
      <w:pPr>
        <w:pStyle w:val="Paragraphe"/>
        <w:tabs>
          <w:tab w:val="num" w:pos="720"/>
        </w:tabs>
        <w:spacing w:line="240" w:lineRule="auto"/>
        <w:ind w:left="0"/>
        <w:rPr>
          <w:rFonts w:cs="Arial"/>
          <w:b/>
          <w:bCs/>
        </w:rPr>
      </w:pPr>
      <w:r>
        <w:rPr>
          <w:rFonts w:cs="Arial"/>
        </w:rPr>
        <w:t>Le sous-ministre adjoint au financement, au budget et aux infrastructures, m</w:t>
      </w:r>
      <w:r w:rsidR="00A644A1">
        <w:rPr>
          <w:rFonts w:cs="Arial"/>
        </w:rPr>
        <w:t xml:space="preserve">onsieur </w:t>
      </w:r>
      <w:r>
        <w:rPr>
          <w:rFonts w:cs="Arial"/>
        </w:rPr>
        <w:t xml:space="preserve">François </w:t>
      </w:r>
      <w:r w:rsidR="00A644A1">
        <w:rPr>
          <w:rFonts w:cs="Arial"/>
        </w:rPr>
        <w:t xml:space="preserve">Leclerc, pour sa part, écrit </w:t>
      </w:r>
      <w:r w:rsidR="00107CC0">
        <w:rPr>
          <w:rFonts w:cs="Arial"/>
        </w:rPr>
        <w:t>le 14</w:t>
      </w:r>
      <w:r w:rsidR="00D67F6D">
        <w:t> </w:t>
      </w:r>
      <w:r w:rsidR="00107CC0">
        <w:rPr>
          <w:rFonts w:cs="Arial"/>
        </w:rPr>
        <w:t>décembre</w:t>
      </w:r>
      <w:r w:rsidR="00D67F6D">
        <w:t> </w:t>
      </w:r>
      <w:r w:rsidR="00107CC0">
        <w:rPr>
          <w:rFonts w:cs="Arial"/>
        </w:rPr>
        <w:t xml:space="preserve">2023 </w:t>
      </w:r>
      <w:r w:rsidR="00A644A1">
        <w:rPr>
          <w:rFonts w:cs="Arial"/>
        </w:rPr>
        <w:t>à monsieur Denis Cossette, alors président du Comité des affaires administratives et financières (</w:t>
      </w:r>
      <w:r w:rsidR="00A644A1" w:rsidRPr="00A644A1">
        <w:rPr>
          <w:rFonts w:cs="Arial"/>
          <w:b/>
          <w:bCs/>
        </w:rPr>
        <w:t>CAAF</w:t>
      </w:r>
      <w:r w:rsidR="00A644A1">
        <w:rPr>
          <w:rFonts w:cs="Arial"/>
        </w:rPr>
        <w:t>) du Bureau de coopération interuniversitaire (</w:t>
      </w:r>
      <w:r w:rsidR="00A644A1" w:rsidRPr="00A644A1">
        <w:rPr>
          <w:rFonts w:cs="Arial"/>
          <w:b/>
          <w:bCs/>
        </w:rPr>
        <w:t>BCI</w:t>
      </w:r>
      <w:r w:rsidR="00A644A1">
        <w:rPr>
          <w:rFonts w:cs="Arial"/>
        </w:rPr>
        <w:t>) pour obtenir ses commentaires sur les modifications proposées aux Règles budgétaires.</w:t>
      </w:r>
    </w:p>
    <w:p w14:paraId="612ECC84" w14:textId="6F980843" w:rsidR="00A72DD7" w:rsidRPr="008A1926" w:rsidRDefault="00250C99" w:rsidP="0082018A">
      <w:pPr>
        <w:pStyle w:val="Paragraphe"/>
        <w:tabs>
          <w:tab w:val="num" w:pos="720"/>
        </w:tabs>
        <w:spacing w:line="240" w:lineRule="auto"/>
        <w:ind w:left="0"/>
        <w:rPr>
          <w:rFonts w:cs="Arial"/>
          <w:b/>
          <w:bCs/>
        </w:rPr>
      </w:pPr>
      <w:r>
        <w:rPr>
          <w:rFonts w:cs="Arial"/>
        </w:rPr>
        <w:t xml:space="preserve"> </w:t>
      </w:r>
      <w:r w:rsidR="00A644A1" w:rsidRPr="008A1926">
        <w:rPr>
          <w:rFonts w:cs="Arial"/>
        </w:rPr>
        <w:t xml:space="preserve">Ce même jour, la Ministre soumet la nouvelle grille tarifaire applicable aux </w:t>
      </w:r>
      <w:r w:rsidR="00924EE1">
        <w:rPr>
          <w:rFonts w:cs="Arial"/>
        </w:rPr>
        <w:t xml:space="preserve">étudiants </w:t>
      </w:r>
      <w:r w:rsidR="00A644A1" w:rsidRPr="008A1926">
        <w:rPr>
          <w:rFonts w:cs="Arial"/>
        </w:rPr>
        <w:t>CNRQ et aux Internationaux de</w:t>
      </w:r>
      <w:r w:rsidR="00645385">
        <w:rPr>
          <w:rFonts w:cs="Arial"/>
        </w:rPr>
        <w:t xml:space="preserve"> </w:t>
      </w:r>
      <w:r w:rsidR="00A644A1" w:rsidRPr="008A1926">
        <w:rPr>
          <w:rFonts w:cs="Arial"/>
        </w:rPr>
        <w:t>1</w:t>
      </w:r>
      <w:r w:rsidR="00A644A1" w:rsidRPr="008A1926">
        <w:rPr>
          <w:rFonts w:cs="Arial"/>
          <w:vertAlign w:val="superscript"/>
        </w:rPr>
        <w:t>er</w:t>
      </w:r>
      <w:r w:rsidR="00A644A1" w:rsidRPr="008A1926">
        <w:rPr>
          <w:rFonts w:cs="Arial"/>
        </w:rPr>
        <w:t xml:space="preserve"> cycle et de </w:t>
      </w:r>
      <w:r w:rsidR="00192689" w:rsidRPr="002F3A22">
        <w:rPr>
          <w:rFonts w:cs="Arial"/>
        </w:rPr>
        <w:t>2</w:t>
      </w:r>
      <w:r w:rsidR="00192689" w:rsidRPr="002F3A22">
        <w:rPr>
          <w:rFonts w:cs="Arial"/>
          <w:vertAlign w:val="superscript"/>
        </w:rPr>
        <w:t>e</w:t>
      </w:r>
      <w:r w:rsidR="00192689">
        <w:rPr>
          <w:rFonts w:cs="Arial"/>
        </w:rPr>
        <w:t xml:space="preserve"> </w:t>
      </w:r>
      <w:r w:rsidR="00A644A1" w:rsidRPr="008A1926">
        <w:rPr>
          <w:rFonts w:cs="Arial"/>
        </w:rPr>
        <w:t xml:space="preserve">cycle professionnel au </w:t>
      </w:r>
      <w:r w:rsidR="0026569F" w:rsidRPr="008A1926">
        <w:rPr>
          <w:rFonts w:cs="Arial"/>
        </w:rPr>
        <w:t>CCAFÉ</w:t>
      </w:r>
      <w:r w:rsidR="00A644A1" w:rsidRPr="008A1926">
        <w:rPr>
          <w:rStyle w:val="Appelnotedebasdep"/>
          <w:rFonts w:cs="Arial"/>
        </w:rPr>
        <w:footnoteReference w:id="102"/>
      </w:r>
      <w:r w:rsidR="00A644A1" w:rsidRPr="008A1926">
        <w:rPr>
          <w:rFonts w:cs="Arial"/>
        </w:rPr>
        <w:t>. Le délai accordé au CCAF</w:t>
      </w:r>
      <w:r w:rsidR="00B90E1F" w:rsidRPr="008A1926">
        <w:rPr>
          <w:rFonts w:cs="Arial"/>
        </w:rPr>
        <w:t>É</w:t>
      </w:r>
      <w:r w:rsidR="00A644A1" w:rsidRPr="008A1926">
        <w:rPr>
          <w:rFonts w:cs="Arial"/>
        </w:rPr>
        <w:t xml:space="preserve"> pour répondre s’avérant trop court, tenant compte notamment </w:t>
      </w:r>
      <w:r w:rsidR="00FE4C33" w:rsidRPr="008A1926">
        <w:rPr>
          <w:rFonts w:cs="Arial"/>
        </w:rPr>
        <w:t>du manque d’effectifs</w:t>
      </w:r>
      <w:r w:rsidR="00451A76" w:rsidRPr="008A1926">
        <w:rPr>
          <w:rFonts w:cs="Arial"/>
        </w:rPr>
        <w:t xml:space="preserve"> et</w:t>
      </w:r>
      <w:r w:rsidR="00FE4C33" w:rsidRPr="008A1926">
        <w:rPr>
          <w:rFonts w:cs="Arial"/>
        </w:rPr>
        <w:t xml:space="preserve"> du départ de </w:t>
      </w:r>
      <w:r w:rsidR="008A1926" w:rsidRPr="008A1926">
        <w:rPr>
          <w:rFonts w:cs="Arial"/>
        </w:rPr>
        <w:t>s</w:t>
      </w:r>
      <w:r w:rsidR="00FE4C33" w:rsidRPr="008A1926">
        <w:rPr>
          <w:rFonts w:cs="Arial"/>
        </w:rPr>
        <w:t xml:space="preserve">a coordonnatrice, le tout à l’approche </w:t>
      </w:r>
      <w:r w:rsidR="00107CC0" w:rsidRPr="008A1926">
        <w:rPr>
          <w:rFonts w:cs="Arial"/>
        </w:rPr>
        <w:t>d</w:t>
      </w:r>
      <w:r w:rsidR="00FE4C33" w:rsidRPr="008A1926">
        <w:rPr>
          <w:rFonts w:cs="Arial"/>
        </w:rPr>
        <w:t>u</w:t>
      </w:r>
      <w:r w:rsidR="00107CC0" w:rsidRPr="008A1926">
        <w:rPr>
          <w:rFonts w:cs="Arial"/>
        </w:rPr>
        <w:t xml:space="preserve"> congé des Fêtes, le président du CCAF</w:t>
      </w:r>
      <w:r w:rsidR="00B90E1F" w:rsidRPr="008A1926">
        <w:rPr>
          <w:rFonts w:cs="Arial"/>
        </w:rPr>
        <w:t>É</w:t>
      </w:r>
      <w:r w:rsidR="00107CC0" w:rsidRPr="008A1926">
        <w:rPr>
          <w:rFonts w:cs="Arial"/>
        </w:rPr>
        <w:t xml:space="preserve"> demande une extension de délai. Or, ce même jour, la Ministre soumet les modifications aux Règles budgétaires au Conseil du Trésor, pour approbation. Le Conseil du Trésor les approuve, d’ailleurs, le 16</w:t>
      </w:r>
      <w:r w:rsidR="00422484" w:rsidRPr="008A1926">
        <w:t> </w:t>
      </w:r>
      <w:r w:rsidR="00107CC0" w:rsidRPr="008A1926">
        <w:rPr>
          <w:rFonts w:cs="Arial"/>
        </w:rPr>
        <w:t>janvier</w:t>
      </w:r>
      <w:r w:rsidR="00422484" w:rsidRPr="008A1926">
        <w:t> </w:t>
      </w:r>
      <w:r w:rsidR="00107CC0" w:rsidRPr="008A1926">
        <w:rPr>
          <w:rFonts w:cs="Arial"/>
        </w:rPr>
        <w:t>2024</w:t>
      </w:r>
      <w:r w:rsidR="00FA315C" w:rsidRPr="008A1926">
        <w:rPr>
          <w:rFonts w:cs="Arial"/>
        </w:rPr>
        <w:t xml:space="preserve">, avant que le CCAFÉ </w:t>
      </w:r>
      <w:r w:rsidR="00D6184B" w:rsidRPr="008A1926">
        <w:rPr>
          <w:rFonts w:cs="Arial"/>
        </w:rPr>
        <w:t>puisse soumettre son avis sur la nouvelle tarification</w:t>
      </w:r>
      <w:r w:rsidR="00107CC0" w:rsidRPr="008A1926">
        <w:rPr>
          <w:rFonts w:cs="Arial"/>
        </w:rPr>
        <w:t>.</w:t>
      </w:r>
    </w:p>
    <w:p w14:paraId="5E26A75E" w14:textId="3861286F" w:rsidR="00D6184B" w:rsidRPr="008A1926" w:rsidRDefault="008E3010" w:rsidP="0082018A">
      <w:pPr>
        <w:pStyle w:val="Paragraphe"/>
        <w:tabs>
          <w:tab w:val="num" w:pos="720"/>
        </w:tabs>
        <w:spacing w:line="240" w:lineRule="auto"/>
        <w:ind w:left="0"/>
        <w:rPr>
          <w:rFonts w:cs="Arial"/>
          <w:b/>
          <w:bCs/>
        </w:rPr>
      </w:pPr>
      <w:r w:rsidRPr="008A1926">
        <w:rPr>
          <w:rFonts w:cs="Arial"/>
        </w:rPr>
        <w:t>Trois jours plus tard,</w:t>
      </w:r>
      <w:r w:rsidR="003652A8" w:rsidRPr="008A1926">
        <w:rPr>
          <w:rFonts w:cs="Arial"/>
        </w:rPr>
        <w:t xml:space="preserve"> soit</w:t>
      </w:r>
      <w:r w:rsidRPr="008A1926">
        <w:rPr>
          <w:rFonts w:cs="Arial"/>
        </w:rPr>
        <w:t xml:space="preserve"> l</w:t>
      </w:r>
      <w:r w:rsidR="00D6184B" w:rsidRPr="008A1926">
        <w:rPr>
          <w:rFonts w:cs="Arial"/>
        </w:rPr>
        <w:t>e 19</w:t>
      </w:r>
      <w:r w:rsidR="00161C58">
        <w:rPr>
          <w:rFonts w:cs="Arial"/>
        </w:rPr>
        <w:t> </w:t>
      </w:r>
      <w:r w:rsidR="00D6184B" w:rsidRPr="008A1926">
        <w:rPr>
          <w:rFonts w:cs="Arial"/>
        </w:rPr>
        <w:t>janvier</w:t>
      </w:r>
      <w:r w:rsidR="00161C58">
        <w:rPr>
          <w:rFonts w:cs="Arial"/>
        </w:rPr>
        <w:t> </w:t>
      </w:r>
      <w:r w:rsidR="00D6184B" w:rsidRPr="008A1926">
        <w:rPr>
          <w:rFonts w:cs="Arial"/>
        </w:rPr>
        <w:t xml:space="preserve">2024, le CCAFÉ transmet à la Ministre </w:t>
      </w:r>
      <w:r w:rsidRPr="008A1926">
        <w:rPr>
          <w:rFonts w:cs="Arial"/>
        </w:rPr>
        <w:t>son avis</w:t>
      </w:r>
      <w:r w:rsidR="008A1926">
        <w:rPr>
          <w:rFonts w:cs="Arial"/>
        </w:rPr>
        <w:t xml:space="preserve">, qui se révèle </w:t>
      </w:r>
      <w:r w:rsidR="0092553A" w:rsidRPr="008A1926">
        <w:rPr>
          <w:rFonts w:cs="Arial"/>
        </w:rPr>
        <w:t>défavorable par rapport à la décision du gouvernement d’augmenter les droits de scolarité pour les étudiants CNRQ</w:t>
      </w:r>
      <w:r w:rsidR="00924EE1">
        <w:rPr>
          <w:rFonts w:cs="Arial"/>
        </w:rPr>
        <w:t>.</w:t>
      </w:r>
      <w:r w:rsidR="008A1926">
        <w:rPr>
          <w:rFonts w:cs="Arial"/>
        </w:rPr>
        <w:t xml:space="preserve"> Le CCAFÉ </w:t>
      </w:r>
      <w:r w:rsidR="0092553A" w:rsidRPr="008A1926">
        <w:rPr>
          <w:rFonts w:cs="Arial"/>
        </w:rPr>
        <w:t>demeure préoccupé quant à la révision de la tarification pour les étudiants</w:t>
      </w:r>
      <w:r w:rsidR="00161C58">
        <w:rPr>
          <w:rFonts w:cs="Arial"/>
        </w:rPr>
        <w:t xml:space="preserve"> </w:t>
      </w:r>
      <w:r w:rsidR="0092553A" w:rsidRPr="008A1926">
        <w:rPr>
          <w:rFonts w:cs="Arial"/>
        </w:rPr>
        <w:t>Internationaux</w:t>
      </w:r>
      <w:r w:rsidR="0092553A" w:rsidRPr="008A1926">
        <w:rPr>
          <w:rStyle w:val="Appelnotedebasdep"/>
          <w:rFonts w:cs="Arial"/>
        </w:rPr>
        <w:footnoteReference w:id="103"/>
      </w:r>
      <w:r w:rsidR="0092553A" w:rsidRPr="008A1926">
        <w:rPr>
          <w:rFonts w:cs="Arial"/>
        </w:rPr>
        <w:t>.</w:t>
      </w:r>
    </w:p>
    <w:p w14:paraId="74832BAD" w14:textId="1CCF71B2" w:rsidR="00B90E1F" w:rsidRPr="00B90E1F" w:rsidRDefault="003652A8" w:rsidP="0082018A">
      <w:pPr>
        <w:pStyle w:val="Paragraphe"/>
        <w:tabs>
          <w:tab w:val="num" w:pos="720"/>
        </w:tabs>
        <w:spacing w:line="240" w:lineRule="auto"/>
        <w:ind w:left="0"/>
        <w:rPr>
          <w:rFonts w:cs="Arial"/>
          <w:b/>
          <w:bCs/>
        </w:rPr>
      </w:pPr>
      <w:r w:rsidRPr="008A1926">
        <w:rPr>
          <w:rFonts w:cs="Arial"/>
        </w:rPr>
        <w:t>Cependant, s</w:t>
      </w:r>
      <w:r w:rsidR="0032248E" w:rsidRPr="008A1926">
        <w:rPr>
          <w:rFonts w:cs="Arial"/>
        </w:rPr>
        <w:t>elon</w:t>
      </w:r>
      <w:r w:rsidR="0032248E">
        <w:rPr>
          <w:rFonts w:cs="Arial"/>
        </w:rPr>
        <w:t xml:space="preserve"> monsieur Leclerc, le rééquilibrage que vise</w:t>
      </w:r>
      <w:r w:rsidR="00451A76">
        <w:rPr>
          <w:rFonts w:cs="Arial"/>
        </w:rPr>
        <w:t>nt</w:t>
      </w:r>
      <w:r w:rsidR="0032248E">
        <w:rPr>
          <w:rFonts w:cs="Arial"/>
        </w:rPr>
        <w:t xml:space="preserve"> les modifications aux Règles budgétaires s’avère nécessaire, en raison de la grande force d’attraction </w:t>
      </w:r>
      <w:r w:rsidR="00B90E1F">
        <w:rPr>
          <w:rFonts w:cs="Arial"/>
        </w:rPr>
        <w:t>qu’exercent l</w:t>
      </w:r>
      <w:r w:rsidR="0032248E">
        <w:rPr>
          <w:rFonts w:cs="Arial"/>
        </w:rPr>
        <w:t>es universités anglophones sur les étudiants CNRQ et Internationaux. L’application des nouvelles grilles tarifaires permettrait de dégager, dans un horizon de quatre ans, 160</w:t>
      </w:r>
      <w:r w:rsidR="001E7BE0">
        <w:rPr>
          <w:rFonts w:cs="Arial"/>
        </w:rPr>
        <w:t> </w:t>
      </w:r>
      <w:r w:rsidR="0032248E">
        <w:rPr>
          <w:rFonts w:cs="Arial"/>
        </w:rPr>
        <w:t>M$ annuellement</w:t>
      </w:r>
      <w:r w:rsidR="00FE4C33">
        <w:rPr>
          <w:rStyle w:val="Appelnotedebasdep"/>
          <w:rFonts w:cs="Arial"/>
        </w:rPr>
        <w:footnoteReference w:id="104"/>
      </w:r>
      <w:r w:rsidR="0032248E">
        <w:rPr>
          <w:rFonts w:cs="Arial"/>
        </w:rPr>
        <w:t>, somme qui sera</w:t>
      </w:r>
      <w:r w:rsidR="00B90E1F">
        <w:rPr>
          <w:rFonts w:cs="Arial"/>
        </w:rPr>
        <w:t>it</w:t>
      </w:r>
      <w:r w:rsidR="0032248E">
        <w:rPr>
          <w:rFonts w:cs="Arial"/>
        </w:rPr>
        <w:t xml:space="preserve"> distribuée </w:t>
      </w:r>
      <w:r w:rsidR="007D035A">
        <w:rPr>
          <w:rFonts w:cs="Arial"/>
        </w:rPr>
        <w:t xml:space="preserve">conformément aux priorités énoncées dans la </w:t>
      </w:r>
      <w:r w:rsidR="00B90E1F">
        <w:rPr>
          <w:rFonts w:cs="Arial"/>
        </w:rPr>
        <w:t>nouvelle mouture de la P</w:t>
      </w:r>
      <w:r w:rsidR="007D035A">
        <w:rPr>
          <w:rFonts w:cs="Arial"/>
        </w:rPr>
        <w:t>olitique de financement des universités, alors en préparation, dont la valorisation du français.</w:t>
      </w:r>
    </w:p>
    <w:p w14:paraId="342DA56E" w14:textId="0ABD9A36" w:rsidR="0032248E" w:rsidRPr="007D035A" w:rsidRDefault="007D035A" w:rsidP="0082018A">
      <w:pPr>
        <w:pStyle w:val="Paragraphe"/>
        <w:tabs>
          <w:tab w:val="num" w:pos="720"/>
        </w:tabs>
        <w:spacing w:line="240" w:lineRule="auto"/>
        <w:ind w:left="0"/>
        <w:rPr>
          <w:rFonts w:cs="Arial"/>
          <w:b/>
          <w:bCs/>
        </w:rPr>
      </w:pPr>
      <w:r>
        <w:rPr>
          <w:rFonts w:cs="Arial"/>
        </w:rPr>
        <w:t>Notons toutefois que, dans les premières années, même les universités francophones assiste</w:t>
      </w:r>
      <w:r w:rsidR="00B90E1F">
        <w:rPr>
          <w:rFonts w:cs="Arial"/>
        </w:rPr>
        <w:t>raien</w:t>
      </w:r>
      <w:r>
        <w:rPr>
          <w:rFonts w:cs="Arial"/>
        </w:rPr>
        <w:t xml:space="preserve">t à une baisse de leur financement en raison de l’application de </w:t>
      </w:r>
      <w:r w:rsidR="00B90E1F">
        <w:rPr>
          <w:rFonts w:cs="Arial"/>
        </w:rPr>
        <w:t>cette</w:t>
      </w:r>
      <w:r>
        <w:rPr>
          <w:rFonts w:cs="Arial"/>
        </w:rPr>
        <w:t xml:space="preserve"> nouvelle Politique de financement</w:t>
      </w:r>
      <w:r>
        <w:rPr>
          <w:rStyle w:val="Appelnotedebasdep"/>
          <w:rFonts w:cs="Arial"/>
        </w:rPr>
        <w:footnoteReference w:id="105"/>
      </w:r>
      <w:r>
        <w:rPr>
          <w:rFonts w:cs="Arial"/>
        </w:rPr>
        <w:t>.</w:t>
      </w:r>
      <w:r w:rsidR="008A1926">
        <w:rPr>
          <w:rFonts w:cs="Arial"/>
        </w:rPr>
        <w:t xml:space="preserve"> La vision gouvernementale se situe donc à moyen et à long terme.</w:t>
      </w:r>
    </w:p>
    <w:p w14:paraId="6F48333E" w14:textId="17361FC2" w:rsidR="007601A1" w:rsidRDefault="00171CBB" w:rsidP="0082018A">
      <w:pPr>
        <w:pStyle w:val="Paragraphe"/>
        <w:tabs>
          <w:tab w:val="num" w:pos="720"/>
        </w:tabs>
        <w:spacing w:line="240" w:lineRule="auto"/>
        <w:ind w:left="0"/>
        <w:rPr>
          <w:rFonts w:cs="Arial"/>
        </w:rPr>
      </w:pPr>
      <w:r w:rsidRPr="00171CBB">
        <w:rPr>
          <w:rFonts w:cs="Arial"/>
        </w:rPr>
        <w:t>Dans sa déclaration sous serment du 4</w:t>
      </w:r>
      <w:r w:rsidR="00BD7B57">
        <w:t> </w:t>
      </w:r>
      <w:r w:rsidRPr="00171CBB">
        <w:rPr>
          <w:rFonts w:cs="Arial"/>
        </w:rPr>
        <w:t>octobre</w:t>
      </w:r>
      <w:r w:rsidR="00BD7B57">
        <w:t> </w:t>
      </w:r>
      <w:r w:rsidRPr="00171CBB">
        <w:rPr>
          <w:rFonts w:cs="Arial"/>
        </w:rPr>
        <w:t>2024, monsieur Leclerc ajoute que les modifications aux Règles budgétaires visent à favoriser l’usage de la langue commune au Québec en outillant les nouvelles cohortes d’étu</w:t>
      </w:r>
      <w:r>
        <w:rPr>
          <w:rFonts w:cs="Arial"/>
        </w:rPr>
        <w:t>d</w:t>
      </w:r>
      <w:r w:rsidRPr="00171CBB">
        <w:rPr>
          <w:rFonts w:cs="Arial"/>
        </w:rPr>
        <w:t>iants CNR</w:t>
      </w:r>
      <w:r>
        <w:rPr>
          <w:rFonts w:cs="Arial"/>
        </w:rPr>
        <w:t>Q</w:t>
      </w:r>
      <w:r w:rsidRPr="00171CBB">
        <w:rPr>
          <w:rFonts w:cs="Arial"/>
        </w:rPr>
        <w:t xml:space="preserve"> et Internation</w:t>
      </w:r>
      <w:r>
        <w:rPr>
          <w:rFonts w:cs="Arial"/>
        </w:rPr>
        <w:t>aux</w:t>
      </w:r>
      <w:r w:rsidRPr="00171CBB">
        <w:rPr>
          <w:rFonts w:cs="Arial"/>
        </w:rPr>
        <w:t xml:space="preserve"> dans le pro</w:t>
      </w:r>
      <w:r>
        <w:rPr>
          <w:rFonts w:cs="Arial"/>
        </w:rPr>
        <w:t>gr</w:t>
      </w:r>
      <w:r w:rsidRPr="00171CBB">
        <w:rPr>
          <w:rFonts w:cs="Arial"/>
        </w:rPr>
        <w:t>amme de grade 1</w:t>
      </w:r>
      <w:r w:rsidRPr="00171CBB">
        <w:rPr>
          <w:rFonts w:cs="Arial"/>
          <w:vertAlign w:val="superscript"/>
        </w:rPr>
        <w:t>er</w:t>
      </w:r>
      <w:r w:rsidRPr="00171CBB">
        <w:rPr>
          <w:rFonts w:cs="Arial"/>
        </w:rPr>
        <w:t xml:space="preserve"> cycle, afin qu’</w:t>
      </w:r>
      <w:r>
        <w:rPr>
          <w:rFonts w:cs="Arial"/>
        </w:rPr>
        <w:t>i</w:t>
      </w:r>
      <w:r w:rsidRPr="00171CBB">
        <w:rPr>
          <w:rFonts w:cs="Arial"/>
        </w:rPr>
        <w:t>ls acqui</w:t>
      </w:r>
      <w:r>
        <w:rPr>
          <w:rFonts w:cs="Arial"/>
        </w:rPr>
        <w:t>è</w:t>
      </w:r>
      <w:r w:rsidRPr="00171CBB">
        <w:rPr>
          <w:rFonts w:cs="Arial"/>
        </w:rPr>
        <w:t>re</w:t>
      </w:r>
      <w:r>
        <w:rPr>
          <w:rFonts w:cs="Arial"/>
        </w:rPr>
        <w:t>n</w:t>
      </w:r>
      <w:r w:rsidRPr="00171CBB">
        <w:rPr>
          <w:rFonts w:cs="Arial"/>
        </w:rPr>
        <w:t xml:space="preserve">t les </w:t>
      </w:r>
      <w:r>
        <w:rPr>
          <w:rFonts w:cs="Arial"/>
        </w:rPr>
        <w:t>c</w:t>
      </w:r>
      <w:r w:rsidRPr="00171CBB">
        <w:rPr>
          <w:rFonts w:cs="Arial"/>
        </w:rPr>
        <w:t>ompé</w:t>
      </w:r>
      <w:r>
        <w:rPr>
          <w:rFonts w:cs="Arial"/>
        </w:rPr>
        <w:t>te</w:t>
      </w:r>
      <w:r w:rsidRPr="00171CBB">
        <w:rPr>
          <w:rFonts w:cs="Arial"/>
        </w:rPr>
        <w:t>n</w:t>
      </w:r>
      <w:r>
        <w:rPr>
          <w:rFonts w:cs="Arial"/>
        </w:rPr>
        <w:t>c</w:t>
      </w:r>
      <w:r w:rsidRPr="00171CBB">
        <w:rPr>
          <w:rFonts w:cs="Arial"/>
        </w:rPr>
        <w:t>es en f</w:t>
      </w:r>
      <w:r>
        <w:rPr>
          <w:rFonts w:cs="Arial"/>
        </w:rPr>
        <w:t>r</w:t>
      </w:r>
      <w:r w:rsidRPr="00171CBB">
        <w:rPr>
          <w:rFonts w:cs="Arial"/>
        </w:rPr>
        <w:t>an</w:t>
      </w:r>
      <w:r>
        <w:rPr>
          <w:rFonts w:cs="Arial"/>
        </w:rPr>
        <w:t>çais</w:t>
      </w:r>
      <w:r w:rsidRPr="00171CBB">
        <w:rPr>
          <w:rFonts w:cs="Arial"/>
        </w:rPr>
        <w:t xml:space="preserve"> </w:t>
      </w:r>
      <w:r w:rsidR="00451A76">
        <w:rPr>
          <w:rFonts w:cs="Arial"/>
        </w:rPr>
        <w:t xml:space="preserve">au niveau fixé, </w:t>
      </w:r>
      <w:r w:rsidRPr="00171CBB">
        <w:rPr>
          <w:rFonts w:cs="Arial"/>
        </w:rPr>
        <w:t>f</w:t>
      </w:r>
      <w:r>
        <w:rPr>
          <w:rFonts w:cs="Arial"/>
        </w:rPr>
        <w:t>acilitant leur intégration à l</w:t>
      </w:r>
      <w:r w:rsidRPr="00171CBB">
        <w:rPr>
          <w:rFonts w:cs="Arial"/>
        </w:rPr>
        <w:t>a société québécoise.</w:t>
      </w:r>
    </w:p>
    <w:p w14:paraId="7E812CBF" w14:textId="3204E80D" w:rsidR="00B90E1F" w:rsidRDefault="00934D71" w:rsidP="0082018A">
      <w:pPr>
        <w:pStyle w:val="Paragraphe"/>
        <w:tabs>
          <w:tab w:val="num" w:pos="720"/>
        </w:tabs>
        <w:spacing w:line="240" w:lineRule="auto"/>
        <w:ind w:left="0"/>
        <w:rPr>
          <w:rFonts w:cs="Arial"/>
        </w:rPr>
      </w:pPr>
      <w:r>
        <w:rPr>
          <w:rFonts w:cs="Arial"/>
        </w:rPr>
        <w:t>En ce qui concerne plus particulièrement la Règle d</w:t>
      </w:r>
      <w:r w:rsidR="00B90E1F">
        <w:rPr>
          <w:rFonts w:cs="Arial"/>
        </w:rPr>
        <w:t xml:space="preserve">’acquisition de compétences en français </w:t>
      </w:r>
      <w:r>
        <w:rPr>
          <w:rFonts w:cs="Arial"/>
        </w:rPr>
        <w:t>obligatoire</w:t>
      </w:r>
      <w:r w:rsidR="00B90E1F">
        <w:rPr>
          <w:rFonts w:cs="Arial"/>
        </w:rPr>
        <w:t>, i</w:t>
      </w:r>
      <w:r>
        <w:rPr>
          <w:rFonts w:cs="Arial"/>
        </w:rPr>
        <w:t xml:space="preserve">l écrit que le </w:t>
      </w:r>
      <w:r w:rsidR="00FA315C">
        <w:rPr>
          <w:rFonts w:cs="Arial"/>
        </w:rPr>
        <w:t>M</w:t>
      </w:r>
      <w:r>
        <w:rPr>
          <w:rFonts w:cs="Arial"/>
        </w:rPr>
        <w:t xml:space="preserve">inistère </w:t>
      </w:r>
      <w:r w:rsidR="001526FE">
        <w:rPr>
          <w:rFonts w:cs="Arial"/>
        </w:rPr>
        <w:t xml:space="preserve">en </w:t>
      </w:r>
      <w:r>
        <w:rPr>
          <w:rFonts w:cs="Arial"/>
        </w:rPr>
        <w:t>a analysé la faisabilité, notamment en tenant compte que 53,4</w:t>
      </w:r>
      <w:r w:rsidR="002A3ECC">
        <w:t> </w:t>
      </w:r>
      <w:r>
        <w:rPr>
          <w:rFonts w:cs="Arial"/>
        </w:rPr>
        <w:t xml:space="preserve">% de l’effectif </w:t>
      </w:r>
      <w:r w:rsidR="002D6AD1">
        <w:rPr>
          <w:rFonts w:cs="Arial"/>
        </w:rPr>
        <w:t>d’</w:t>
      </w:r>
      <w:r>
        <w:rPr>
          <w:rFonts w:cs="Arial"/>
        </w:rPr>
        <w:t>étudiant</w:t>
      </w:r>
      <w:r w:rsidR="002D6AD1">
        <w:rPr>
          <w:rFonts w:cs="Arial"/>
        </w:rPr>
        <w:t>s</w:t>
      </w:r>
      <w:r>
        <w:rPr>
          <w:rFonts w:cs="Arial"/>
        </w:rPr>
        <w:t xml:space="preserve"> </w:t>
      </w:r>
      <w:r w:rsidR="00B90E1F">
        <w:rPr>
          <w:rFonts w:cs="Arial"/>
        </w:rPr>
        <w:t xml:space="preserve">Internationaux </w:t>
      </w:r>
      <w:r>
        <w:rPr>
          <w:rFonts w:cs="Arial"/>
        </w:rPr>
        <w:t>des universités anglophones prov</w:t>
      </w:r>
      <w:r w:rsidR="001526FE">
        <w:rPr>
          <w:rFonts w:cs="Arial"/>
        </w:rPr>
        <w:t>iendrait</w:t>
      </w:r>
      <w:r>
        <w:rPr>
          <w:rFonts w:cs="Arial"/>
        </w:rPr>
        <w:t xml:space="preserve"> de pays </w:t>
      </w:r>
      <w:r w:rsidRPr="001526FE">
        <w:rPr>
          <w:rFonts w:cs="Arial"/>
          <w:i/>
          <w:iCs/>
        </w:rPr>
        <w:t>francotropes</w:t>
      </w:r>
      <w:r w:rsidR="00B90E1F">
        <w:rPr>
          <w:rFonts w:cs="Arial"/>
        </w:rPr>
        <w:t xml:space="preserve">. Cette notion réfère à des pays </w:t>
      </w:r>
      <w:r>
        <w:rPr>
          <w:rFonts w:cs="Arial"/>
        </w:rPr>
        <w:t>de langue latine autre que le français ou qui possède</w:t>
      </w:r>
      <w:r w:rsidR="001526FE">
        <w:rPr>
          <w:rFonts w:cs="Arial"/>
        </w:rPr>
        <w:t>nt</w:t>
      </w:r>
      <w:r>
        <w:rPr>
          <w:rFonts w:cs="Arial"/>
        </w:rPr>
        <w:t xml:space="preserve"> des liens historiques ou politiques avec cette langue, par exemple le roumain ou le catalan</w:t>
      </w:r>
      <w:r>
        <w:rPr>
          <w:rStyle w:val="Appelnotedebasdep"/>
          <w:rFonts w:cs="Arial"/>
        </w:rPr>
        <w:footnoteReference w:id="106"/>
      </w:r>
      <w:r>
        <w:rPr>
          <w:rFonts w:cs="Arial"/>
        </w:rPr>
        <w:t>, ou de pays membres de l’Organisation internationale de la francophonie.</w:t>
      </w:r>
    </w:p>
    <w:p w14:paraId="47F27998" w14:textId="21751AF3" w:rsidR="007D035A" w:rsidRDefault="00D46455" w:rsidP="0082018A">
      <w:pPr>
        <w:pStyle w:val="Paragraphe"/>
        <w:tabs>
          <w:tab w:val="num" w:pos="720"/>
        </w:tabs>
        <w:spacing w:line="240" w:lineRule="auto"/>
        <w:ind w:left="0"/>
        <w:rPr>
          <w:rFonts w:cs="Arial"/>
        </w:rPr>
      </w:pPr>
      <w:r>
        <w:rPr>
          <w:rFonts w:cs="Arial"/>
        </w:rPr>
        <w:t>À eux s’ajoutent les étudiants provenant de pays francophones, environ 17</w:t>
      </w:r>
      <w:r w:rsidR="002A3ECC">
        <w:t> </w:t>
      </w:r>
      <w:r>
        <w:rPr>
          <w:rFonts w:cs="Arial"/>
        </w:rPr>
        <w:t>% de la clientèle. La Ministre estime que le cumul de ces statistiques, environ 70</w:t>
      </w:r>
      <w:r w:rsidR="002A3ECC">
        <w:t> </w:t>
      </w:r>
      <w:r>
        <w:rPr>
          <w:rFonts w:cs="Arial"/>
        </w:rPr>
        <w:t>% des étudiants CNRQ et Internationaux, présentent une probabilité élevée d’atteindre l’objectif de 80</w:t>
      </w:r>
      <w:r w:rsidR="002A3ECC">
        <w:t> </w:t>
      </w:r>
      <w:r>
        <w:rPr>
          <w:rFonts w:cs="Arial"/>
        </w:rPr>
        <w:t>% de la cohorte possédant un niveau de compétence 5 en français à l’oral, c’est-à-dire la capacité de soutenir une conversation en français portant sur des sujets courants, d’échanger des propos factuels et concrets formulés dans des constructions syntaxiques simples ou parfois complexes et de comprendre un vocabulaire varié</w:t>
      </w:r>
      <w:r>
        <w:rPr>
          <w:rStyle w:val="Appelnotedebasdep"/>
          <w:rFonts w:cs="Arial"/>
        </w:rPr>
        <w:footnoteReference w:id="107"/>
      </w:r>
      <w:r>
        <w:rPr>
          <w:rFonts w:cs="Arial"/>
        </w:rPr>
        <w:t>.</w:t>
      </w:r>
    </w:p>
    <w:p w14:paraId="065F4260" w14:textId="2B03227D" w:rsidR="00D46455" w:rsidRDefault="00DD1A7F" w:rsidP="0082018A">
      <w:pPr>
        <w:pStyle w:val="Paragraphe"/>
        <w:tabs>
          <w:tab w:val="num" w:pos="720"/>
        </w:tabs>
        <w:spacing w:line="240" w:lineRule="auto"/>
        <w:ind w:left="0"/>
        <w:rPr>
          <w:rFonts w:cs="Arial"/>
        </w:rPr>
      </w:pPr>
      <w:r>
        <w:rPr>
          <w:rFonts w:cs="Arial"/>
        </w:rPr>
        <w:t>Tous ces aspects de la Règle</w:t>
      </w:r>
      <w:r w:rsidR="00614980">
        <w:rPr>
          <w:rFonts w:cs="Arial"/>
        </w:rPr>
        <w:t xml:space="preserve"> d’acquisition de compétences en français </w:t>
      </w:r>
      <w:r>
        <w:rPr>
          <w:rFonts w:cs="Arial"/>
        </w:rPr>
        <w:t>sont discutés avec les universités anglophones, tel qu’il appert de la déclaration sous serment du 4</w:t>
      </w:r>
      <w:r w:rsidR="00F646E6">
        <w:t> </w:t>
      </w:r>
      <w:r>
        <w:rPr>
          <w:rFonts w:cs="Arial"/>
        </w:rPr>
        <w:t>octobre</w:t>
      </w:r>
      <w:r w:rsidR="00F646E6">
        <w:t> </w:t>
      </w:r>
      <w:r>
        <w:rPr>
          <w:rFonts w:cs="Arial"/>
        </w:rPr>
        <w:t>2024 de monsieur Sylvain Périgny</w:t>
      </w:r>
      <w:r w:rsidR="00457557">
        <w:rPr>
          <w:rStyle w:val="Appelnotedebasdep"/>
          <w:rFonts w:cs="Arial"/>
        </w:rPr>
        <w:footnoteReference w:id="108"/>
      </w:r>
      <w:r>
        <w:rPr>
          <w:rFonts w:cs="Arial"/>
        </w:rPr>
        <w:t>, sous-ministre adjoint aux affaires universitaires, à la recherche et à la transformation numérique du ministère et des communications de la sous-ministre De Blois</w:t>
      </w:r>
      <w:r w:rsidR="00924EE1">
        <w:rPr>
          <w:rFonts w:cs="Arial"/>
        </w:rPr>
        <w:t>,</w:t>
      </w:r>
      <w:r>
        <w:rPr>
          <w:rFonts w:cs="Arial"/>
        </w:rPr>
        <w:t xml:space="preserve"> du recteur de McGill et de celui de Concordia</w:t>
      </w:r>
      <w:r>
        <w:rPr>
          <w:rStyle w:val="Appelnotedebasdep"/>
          <w:rFonts w:cs="Arial"/>
        </w:rPr>
        <w:footnoteReference w:id="109"/>
      </w:r>
      <w:r>
        <w:rPr>
          <w:rFonts w:cs="Arial"/>
        </w:rPr>
        <w:t>.</w:t>
      </w:r>
    </w:p>
    <w:p w14:paraId="0AD4CFD3" w14:textId="256C6410" w:rsidR="004E784D" w:rsidRDefault="004E784D" w:rsidP="0082018A">
      <w:pPr>
        <w:pStyle w:val="Paragraphe"/>
        <w:tabs>
          <w:tab w:val="num" w:pos="720"/>
        </w:tabs>
        <w:spacing w:line="240" w:lineRule="auto"/>
        <w:ind w:left="0"/>
        <w:rPr>
          <w:rFonts w:cs="Arial"/>
        </w:rPr>
      </w:pPr>
      <w:r>
        <w:rPr>
          <w:rFonts w:cs="Arial"/>
        </w:rPr>
        <w:t>Ce tableau factuel brossé, passons maintenant à l’analyse de la raisonnabilité de la décision proprement dite de la Ministre de modifier les Règles budgétaires</w:t>
      </w:r>
      <w:r w:rsidR="002D6AD1">
        <w:rPr>
          <w:rFonts w:cs="Arial"/>
        </w:rPr>
        <w:t xml:space="preserve">, tant à l’égard des </w:t>
      </w:r>
      <w:r w:rsidR="00924EE1">
        <w:rPr>
          <w:rFonts w:cs="Arial"/>
        </w:rPr>
        <w:t>règles</w:t>
      </w:r>
      <w:r w:rsidR="002D6AD1">
        <w:rPr>
          <w:rFonts w:cs="Arial"/>
        </w:rPr>
        <w:t xml:space="preserve"> tarifaires que </w:t>
      </w:r>
      <w:r w:rsidR="00924EE1">
        <w:rPr>
          <w:rFonts w:cs="Arial"/>
        </w:rPr>
        <w:t xml:space="preserve">celle </w:t>
      </w:r>
      <w:r w:rsidR="002D6AD1">
        <w:rPr>
          <w:rFonts w:cs="Arial"/>
        </w:rPr>
        <w:t xml:space="preserve">de </w:t>
      </w:r>
      <w:r w:rsidR="00924EE1">
        <w:rPr>
          <w:rFonts w:cs="Arial"/>
        </w:rPr>
        <w:t>l’</w:t>
      </w:r>
      <w:r w:rsidR="002D6AD1">
        <w:rPr>
          <w:rFonts w:cs="Arial"/>
        </w:rPr>
        <w:t>acquisition des compétences en français.</w:t>
      </w:r>
    </w:p>
    <w:p w14:paraId="4A720F73" w14:textId="2DAE44A5" w:rsidR="004E784D" w:rsidRPr="006A3C93" w:rsidRDefault="004E784D" w:rsidP="001540CC">
      <w:pPr>
        <w:pStyle w:val="Paragraphe"/>
        <w:keepNext/>
        <w:numPr>
          <w:ilvl w:val="0"/>
          <w:numId w:val="6"/>
        </w:numPr>
        <w:spacing w:line="240" w:lineRule="auto"/>
        <w:rPr>
          <w:b/>
          <w:sz w:val="22"/>
        </w:rPr>
      </w:pPr>
      <w:r w:rsidRPr="000750DD">
        <w:rPr>
          <w:rFonts w:cs="Arial"/>
          <w:b/>
          <w:bCs/>
          <w:sz w:val="22"/>
          <w:szCs w:val="22"/>
        </w:rPr>
        <w:t>L</w:t>
      </w:r>
      <w:r w:rsidR="000750DD" w:rsidRPr="000750DD">
        <w:rPr>
          <w:rFonts w:cs="Arial"/>
          <w:b/>
          <w:bCs/>
          <w:sz w:val="22"/>
          <w:szCs w:val="22"/>
        </w:rPr>
        <w:t>ES MOTIFS QU’INVOQUE LA MINISTRE</w:t>
      </w:r>
    </w:p>
    <w:p w14:paraId="73A56048" w14:textId="604AEC6B" w:rsidR="008A14C7" w:rsidRDefault="008A14C7" w:rsidP="001540CC">
      <w:pPr>
        <w:pStyle w:val="Paragraphe"/>
        <w:keepNext/>
        <w:tabs>
          <w:tab w:val="num" w:pos="720"/>
        </w:tabs>
        <w:spacing w:line="240" w:lineRule="auto"/>
        <w:ind w:left="0"/>
        <w:rPr>
          <w:rFonts w:cs="Arial"/>
        </w:rPr>
      </w:pPr>
      <w:r>
        <w:rPr>
          <w:rFonts w:cs="Arial"/>
        </w:rPr>
        <w:t>La Ministre dit poursuivre les objectifs suivants :</w:t>
      </w:r>
    </w:p>
    <w:p w14:paraId="7228D374" w14:textId="77777777" w:rsidR="008A14C7" w:rsidRDefault="008A14C7" w:rsidP="0084579D">
      <w:pPr>
        <w:pStyle w:val="Paragraphe"/>
        <w:numPr>
          <w:ilvl w:val="0"/>
          <w:numId w:val="6"/>
        </w:numPr>
        <w:spacing w:line="240" w:lineRule="auto"/>
        <w:ind w:left="1080"/>
        <w:rPr>
          <w:rFonts w:cs="Arial"/>
        </w:rPr>
      </w:pPr>
      <w:bookmarkStart w:id="50" w:name="_Hlk190938081"/>
      <w:r>
        <w:rPr>
          <w:rFonts w:cs="Arial"/>
        </w:rPr>
        <w:t>rétablir un équilibre financier entre les universités anglophones et francophones;</w:t>
      </w:r>
    </w:p>
    <w:p w14:paraId="1522F297" w14:textId="71EB6571" w:rsidR="008A14C7" w:rsidRDefault="008A14C7" w:rsidP="0084579D">
      <w:pPr>
        <w:pStyle w:val="Paragraphe"/>
        <w:numPr>
          <w:ilvl w:val="0"/>
          <w:numId w:val="6"/>
        </w:numPr>
        <w:spacing w:line="240" w:lineRule="auto"/>
        <w:ind w:left="1080"/>
        <w:rPr>
          <w:rFonts w:cs="Arial"/>
        </w:rPr>
      </w:pPr>
      <w:bookmarkStart w:id="51" w:name="_Hlk190934897"/>
      <w:bookmarkEnd w:id="50"/>
      <w:r>
        <w:rPr>
          <w:rFonts w:cs="Arial"/>
        </w:rPr>
        <w:t xml:space="preserve">s’assurer d’une meilleure rétention </w:t>
      </w:r>
      <w:r w:rsidR="002D6AD1">
        <w:rPr>
          <w:rFonts w:cs="Arial"/>
        </w:rPr>
        <w:t xml:space="preserve">au Québec </w:t>
      </w:r>
      <w:r>
        <w:rPr>
          <w:rFonts w:cs="Arial"/>
        </w:rPr>
        <w:t>des étudiants CNRQ et Internationaux;</w:t>
      </w:r>
    </w:p>
    <w:p w14:paraId="1F069948" w14:textId="3E1FA50E" w:rsidR="008A14C7" w:rsidRDefault="008A14C7" w:rsidP="0084579D">
      <w:pPr>
        <w:pStyle w:val="Paragraphe"/>
        <w:numPr>
          <w:ilvl w:val="0"/>
          <w:numId w:val="6"/>
        </w:numPr>
        <w:spacing w:line="240" w:lineRule="auto"/>
        <w:ind w:left="1080"/>
        <w:rPr>
          <w:rFonts w:cs="Arial"/>
        </w:rPr>
      </w:pPr>
      <w:bookmarkStart w:id="52" w:name="_Hlk190938112"/>
      <w:bookmarkEnd w:id="51"/>
      <w:r>
        <w:rPr>
          <w:rFonts w:cs="Arial"/>
        </w:rPr>
        <w:t>s’assurer d’une meilleure intégration de ces étudiants à la société québécoise par l’apprentissage suffisant de la langue de la majorité.</w:t>
      </w:r>
    </w:p>
    <w:bookmarkEnd w:id="52"/>
    <w:p w14:paraId="6FA3A388" w14:textId="4B892A2D" w:rsidR="00C5603B" w:rsidRDefault="00C5603B" w:rsidP="0082018A">
      <w:pPr>
        <w:pStyle w:val="Paragraphe"/>
        <w:tabs>
          <w:tab w:val="num" w:pos="720"/>
        </w:tabs>
        <w:spacing w:line="240" w:lineRule="auto"/>
        <w:ind w:left="0"/>
        <w:rPr>
          <w:rFonts w:cs="Arial"/>
        </w:rPr>
      </w:pPr>
      <w:r>
        <w:rPr>
          <w:rFonts w:cs="Arial"/>
        </w:rPr>
        <w:t xml:space="preserve">Le PGQ réfère </w:t>
      </w:r>
      <w:r w:rsidR="00183F3C">
        <w:rPr>
          <w:rFonts w:cs="Arial"/>
        </w:rPr>
        <w:t>aussi</w:t>
      </w:r>
      <w:r>
        <w:rPr>
          <w:rFonts w:cs="Arial"/>
        </w:rPr>
        <w:t xml:space="preserve"> aux objectifs </w:t>
      </w:r>
      <w:r w:rsidR="002D6AD1">
        <w:rPr>
          <w:rFonts w:cs="Arial"/>
        </w:rPr>
        <w:t xml:space="preserve">plus larges </w:t>
      </w:r>
      <w:r>
        <w:rPr>
          <w:rFonts w:cs="Arial"/>
        </w:rPr>
        <w:t>de la Politique québécoise de financement des universités pour justifier les hausses de montants forfaitaires. Il rappel</w:t>
      </w:r>
      <w:r w:rsidR="00183F3C">
        <w:rPr>
          <w:rFonts w:cs="Arial"/>
        </w:rPr>
        <w:t>le</w:t>
      </w:r>
      <w:r>
        <w:rPr>
          <w:rFonts w:cs="Arial"/>
        </w:rPr>
        <w:t xml:space="preserve"> que cette politique exprim</w:t>
      </w:r>
      <w:r w:rsidR="00183F3C">
        <w:rPr>
          <w:rFonts w:cs="Arial"/>
        </w:rPr>
        <w:t>e</w:t>
      </w:r>
      <w:r>
        <w:rPr>
          <w:rFonts w:cs="Arial"/>
        </w:rPr>
        <w:t xml:space="preserve"> trois objectifs généraux : rehausser le taux de diplomation de la population québécoise, répondre à la pénurie de </w:t>
      </w:r>
      <w:r w:rsidR="006F47E1">
        <w:rPr>
          <w:rFonts w:cs="Arial"/>
        </w:rPr>
        <w:t>main-d’œuvre</w:t>
      </w:r>
      <w:r>
        <w:rPr>
          <w:rFonts w:cs="Arial"/>
        </w:rPr>
        <w:t xml:space="preserve"> dans les services publics considérés prioritaires et contribuer à la promotion et à la valorisation de la langue française. Il ajoute que la politique vise l’intégrité du régime budgétaire et une réallocation des ressources budgétaires à coût nul.</w:t>
      </w:r>
    </w:p>
    <w:p w14:paraId="7DB809D5" w14:textId="529F4F89" w:rsidR="00A764D0" w:rsidRDefault="00C5603B" w:rsidP="0082018A">
      <w:pPr>
        <w:pStyle w:val="Paragraphe"/>
        <w:tabs>
          <w:tab w:val="num" w:pos="720"/>
        </w:tabs>
        <w:spacing w:line="240" w:lineRule="auto"/>
        <w:ind w:left="0"/>
        <w:rPr>
          <w:rFonts w:cs="Arial"/>
        </w:rPr>
      </w:pPr>
      <w:r>
        <w:rPr>
          <w:rFonts w:cs="Arial"/>
        </w:rPr>
        <w:t>Ce sont bien là les objectifs de la politique</w:t>
      </w:r>
      <w:r w:rsidR="00183F3C">
        <w:rPr>
          <w:rFonts w:cs="Arial"/>
        </w:rPr>
        <w:t xml:space="preserve"> de financement</w:t>
      </w:r>
      <w:r>
        <w:rPr>
          <w:rFonts w:cs="Arial"/>
        </w:rPr>
        <w:t xml:space="preserve">. Cependant, ce n’est pas la politique </w:t>
      </w:r>
      <w:r w:rsidR="004B03E1">
        <w:rPr>
          <w:rFonts w:cs="Arial"/>
        </w:rPr>
        <w:t>tout entière q</w:t>
      </w:r>
      <w:r>
        <w:rPr>
          <w:rFonts w:cs="Arial"/>
        </w:rPr>
        <w:t>u’attaquent McGill et Concordia mais bien les modifications aux Règles budgétaires mentionnées plus haut</w:t>
      </w:r>
      <w:r w:rsidR="004B03E1">
        <w:rPr>
          <w:rFonts w:cs="Arial"/>
        </w:rPr>
        <w:t xml:space="preserve"> </w:t>
      </w:r>
      <w:r w:rsidR="002D6AD1">
        <w:rPr>
          <w:rFonts w:cs="Arial"/>
        </w:rPr>
        <w:t>ainsi que</w:t>
      </w:r>
      <w:r w:rsidR="004B03E1">
        <w:rPr>
          <w:rFonts w:cs="Arial"/>
        </w:rPr>
        <w:t xml:space="preserve"> la Règle d’acquisition de compétences</w:t>
      </w:r>
      <w:r w:rsidR="00183F3C">
        <w:rPr>
          <w:rFonts w:cs="Arial"/>
        </w:rPr>
        <w:t xml:space="preserve"> en français</w:t>
      </w:r>
      <w:r>
        <w:rPr>
          <w:rFonts w:cs="Arial"/>
        </w:rPr>
        <w:t xml:space="preserve">. Or, ces </w:t>
      </w:r>
      <w:r w:rsidR="00A8357F">
        <w:rPr>
          <w:rFonts w:cs="Arial"/>
        </w:rPr>
        <w:t>règles spécifiques</w:t>
      </w:r>
      <w:r>
        <w:rPr>
          <w:rFonts w:cs="Arial"/>
        </w:rPr>
        <w:t xml:space="preserve"> résultent d’une décision de la </w:t>
      </w:r>
      <w:r w:rsidR="000A6A47">
        <w:rPr>
          <w:rFonts w:cs="Arial"/>
        </w:rPr>
        <w:t>M</w:t>
      </w:r>
      <w:r>
        <w:rPr>
          <w:rFonts w:cs="Arial"/>
        </w:rPr>
        <w:t>inistre qu’elle</w:t>
      </w:r>
      <w:r w:rsidR="002D6AD1">
        <w:rPr>
          <w:rFonts w:cs="Arial"/>
        </w:rPr>
        <w:t xml:space="preserve"> dit</w:t>
      </w:r>
      <w:r>
        <w:rPr>
          <w:rFonts w:cs="Arial"/>
        </w:rPr>
        <w:t xml:space="preserve"> justifie</w:t>
      </w:r>
      <w:r w:rsidR="002D6AD1">
        <w:rPr>
          <w:rFonts w:cs="Arial"/>
        </w:rPr>
        <w:t>r</w:t>
      </w:r>
      <w:r>
        <w:rPr>
          <w:rFonts w:cs="Arial"/>
        </w:rPr>
        <w:t xml:space="preserve"> en fonction d</w:t>
      </w:r>
      <w:r w:rsidR="00183F3C">
        <w:rPr>
          <w:rFonts w:cs="Arial"/>
        </w:rPr>
        <w:t xml:space="preserve">es </w:t>
      </w:r>
      <w:r>
        <w:rPr>
          <w:rFonts w:cs="Arial"/>
        </w:rPr>
        <w:t>objectifs précis</w:t>
      </w:r>
      <w:r w:rsidR="00183F3C">
        <w:rPr>
          <w:rFonts w:cs="Arial"/>
        </w:rPr>
        <w:t xml:space="preserve"> mentionnés plus haut</w:t>
      </w:r>
      <w:r>
        <w:rPr>
          <w:rFonts w:cs="Arial"/>
        </w:rPr>
        <w:t xml:space="preserve">. </w:t>
      </w:r>
      <w:r w:rsidR="00A764D0">
        <w:rPr>
          <w:rFonts w:cs="Arial"/>
        </w:rPr>
        <w:t>Dans la lettre qu’elle transmet aux Principaux et au Recteur des universités anglophones le 14</w:t>
      </w:r>
      <w:r w:rsidR="00AD52C4">
        <w:rPr>
          <w:rFonts w:cs="Arial"/>
        </w:rPr>
        <w:t> </w:t>
      </w:r>
      <w:r w:rsidR="00A764D0">
        <w:rPr>
          <w:rFonts w:cs="Arial"/>
        </w:rPr>
        <w:t>décembre</w:t>
      </w:r>
      <w:r w:rsidR="00AD52C4">
        <w:rPr>
          <w:rFonts w:cs="Arial"/>
        </w:rPr>
        <w:t> </w:t>
      </w:r>
      <w:r w:rsidR="00A764D0">
        <w:rPr>
          <w:rFonts w:cs="Arial"/>
        </w:rPr>
        <w:t>2023</w:t>
      </w:r>
      <w:r w:rsidR="00455CCC">
        <w:rPr>
          <w:rStyle w:val="Appelnotedebasdep"/>
          <w:rFonts w:cs="Arial"/>
        </w:rPr>
        <w:footnoteReference w:id="110"/>
      </w:r>
      <w:r w:rsidR="00A764D0">
        <w:rPr>
          <w:rFonts w:cs="Arial"/>
        </w:rPr>
        <w:t>, la Ministre écrit en effet</w:t>
      </w:r>
      <w:r w:rsidR="001B5612">
        <w:rPr>
          <w:rFonts w:cs="Arial"/>
        </w:rPr>
        <w:t xml:space="preserve"> </w:t>
      </w:r>
      <w:r w:rsidR="006B6FBD">
        <w:rPr>
          <w:rFonts w:cs="Arial"/>
        </w:rPr>
        <w:t>ceci</w:t>
      </w:r>
      <w:r w:rsidR="0007506A">
        <w:rPr>
          <w:rFonts w:cs="Arial"/>
        </w:rPr>
        <w:t> :</w:t>
      </w:r>
    </w:p>
    <w:p w14:paraId="6A5C9EE5" w14:textId="05D7BEC4" w:rsidR="00A764D0" w:rsidRPr="00455CCC" w:rsidRDefault="00A764D0" w:rsidP="00C66948">
      <w:pPr>
        <w:pStyle w:val="Citationenretrait"/>
      </w:pPr>
      <w:r w:rsidRPr="00455CCC">
        <w:t>(…)</w:t>
      </w:r>
      <w:r w:rsidR="00C5603B">
        <w:t xml:space="preserve"> </w:t>
      </w:r>
      <w:r w:rsidRPr="00455CCC">
        <w:t xml:space="preserve"> je tiens à vous rappeler que la décision du gouvernement du Québec vise à atteindre les objectifs suivants, communiqués par lettre le 15 mai dernier : corriger le </w:t>
      </w:r>
      <w:r w:rsidR="00455CCC" w:rsidRPr="00455CCC">
        <w:t>déséquilibre</w:t>
      </w:r>
      <w:r w:rsidRPr="00455CCC">
        <w:t xml:space="preserve"> financier </w:t>
      </w:r>
      <w:r w:rsidR="00455CCC" w:rsidRPr="00455CCC">
        <w:t>entre</w:t>
      </w:r>
      <w:r w:rsidRPr="00455CCC">
        <w:t xml:space="preserve"> les réseaux anglophone et </w:t>
      </w:r>
      <w:r w:rsidR="00455CCC" w:rsidRPr="00455CCC">
        <w:t>francophone</w:t>
      </w:r>
      <w:r w:rsidRPr="00455CCC">
        <w:t xml:space="preserve"> et assurer une meilleure </w:t>
      </w:r>
      <w:r w:rsidR="00455CCC" w:rsidRPr="00455CCC">
        <w:t>rétention</w:t>
      </w:r>
      <w:r w:rsidRPr="00455CCC">
        <w:t xml:space="preserve"> et intégration des </w:t>
      </w:r>
      <w:r w:rsidR="00455CCC" w:rsidRPr="00455CCC">
        <w:t>étudiants</w:t>
      </w:r>
      <w:r w:rsidRPr="00455CCC">
        <w:t xml:space="preserve"> canadiens e</w:t>
      </w:r>
      <w:r w:rsidR="006B6FBD">
        <w:t>t</w:t>
      </w:r>
      <w:r w:rsidRPr="00455CCC">
        <w:t xml:space="preserve"> </w:t>
      </w:r>
      <w:r w:rsidR="00455CCC" w:rsidRPr="00455CCC">
        <w:t>internationaux</w:t>
      </w:r>
      <w:r w:rsidRPr="00455CCC">
        <w:t xml:space="preserve"> à </w:t>
      </w:r>
      <w:r w:rsidR="00455CCC" w:rsidRPr="00455CCC">
        <w:t>l</w:t>
      </w:r>
      <w:r w:rsidRPr="00455CCC">
        <w:t>a so</w:t>
      </w:r>
      <w:r w:rsidR="00455CCC" w:rsidRPr="00455CCC">
        <w:t>ciété</w:t>
      </w:r>
      <w:r w:rsidRPr="00455CCC">
        <w:t xml:space="preserve"> qué</w:t>
      </w:r>
      <w:r w:rsidR="00455CCC" w:rsidRPr="00455CCC">
        <w:t>bé</w:t>
      </w:r>
      <w:r w:rsidRPr="00455CCC">
        <w:t xml:space="preserve">coise. Nous estimons également que </w:t>
      </w:r>
      <w:r w:rsidR="00455CCC" w:rsidRPr="00455CCC">
        <w:t>le financement accordé pour les étudiants CNRQ doit être revu à la baisse, sachant qu’une majorité d’entre eux ne restent pas au Québec au terme de leurs études. (…)</w:t>
      </w:r>
    </w:p>
    <w:p w14:paraId="0A42C57C" w14:textId="3C40060B" w:rsidR="00455CCC" w:rsidRDefault="00455CCC" w:rsidP="0082018A">
      <w:pPr>
        <w:pStyle w:val="Paragraphe"/>
        <w:tabs>
          <w:tab w:val="num" w:pos="720"/>
        </w:tabs>
        <w:spacing w:line="240" w:lineRule="auto"/>
        <w:ind w:left="0"/>
        <w:rPr>
          <w:rFonts w:cs="Arial"/>
        </w:rPr>
      </w:pPr>
      <w:r>
        <w:rPr>
          <w:rFonts w:cs="Arial"/>
        </w:rPr>
        <w:t xml:space="preserve">La Ministre réitère cette position, toutefois en la raffinant, dans ses </w:t>
      </w:r>
      <w:r w:rsidR="00A8357F">
        <w:rPr>
          <w:rFonts w:cs="Arial"/>
        </w:rPr>
        <w:t>envois épistolaires</w:t>
      </w:r>
      <w:r>
        <w:rPr>
          <w:rFonts w:cs="Arial"/>
        </w:rPr>
        <w:t xml:space="preserve"> des </w:t>
      </w:r>
      <w:r w:rsidR="00F83086" w:rsidRPr="004F7B53">
        <w:rPr>
          <w:rFonts w:cs="Arial"/>
        </w:rPr>
        <w:t>14</w:t>
      </w:r>
      <w:r w:rsidR="000A131D">
        <w:rPr>
          <w:rFonts w:cs="Arial"/>
        </w:rPr>
        <w:t> </w:t>
      </w:r>
      <w:r>
        <w:rPr>
          <w:rFonts w:cs="Arial"/>
        </w:rPr>
        <w:t>décembre</w:t>
      </w:r>
      <w:r w:rsidR="000A131D">
        <w:rPr>
          <w:rFonts w:cs="Arial"/>
        </w:rPr>
        <w:t> </w:t>
      </w:r>
      <w:r>
        <w:rPr>
          <w:rFonts w:cs="Arial"/>
        </w:rPr>
        <w:t>2023 et 24</w:t>
      </w:r>
      <w:r w:rsidR="000A131D">
        <w:rPr>
          <w:rFonts w:cs="Arial"/>
        </w:rPr>
        <w:t> </w:t>
      </w:r>
      <w:r>
        <w:rPr>
          <w:rFonts w:cs="Arial"/>
        </w:rPr>
        <w:t>janvier</w:t>
      </w:r>
      <w:r w:rsidR="000A131D">
        <w:rPr>
          <w:rFonts w:cs="Arial"/>
        </w:rPr>
        <w:t> </w:t>
      </w:r>
      <w:r>
        <w:rPr>
          <w:rFonts w:cs="Arial"/>
        </w:rPr>
        <w:t>2024</w:t>
      </w:r>
      <w:r>
        <w:rPr>
          <w:rStyle w:val="Appelnotedebasdep"/>
          <w:rFonts w:cs="Arial"/>
        </w:rPr>
        <w:footnoteReference w:id="111"/>
      </w:r>
      <w:r>
        <w:rPr>
          <w:rFonts w:cs="Arial"/>
        </w:rPr>
        <w:t>. Dans cette dernière lettre, elle écrit :</w:t>
      </w:r>
    </w:p>
    <w:p w14:paraId="0CE58F3F" w14:textId="593CD597" w:rsidR="008018BB" w:rsidRPr="002D6AD1" w:rsidRDefault="008018BB" w:rsidP="008018BB">
      <w:pPr>
        <w:pStyle w:val="Citationenretrait"/>
      </w:pPr>
      <w:r w:rsidRPr="002D6AD1">
        <w:t>Ainsi, à compter de l’automne 2024, une nouvelle tarification s’appliquera pour les étudiants canadiens non-résidents du Québec (CNRQ) et les étudiants internationaux au 1</w:t>
      </w:r>
      <w:r w:rsidRPr="002D6AD1">
        <w:rPr>
          <w:vertAlign w:val="superscript"/>
        </w:rPr>
        <w:t>er</w:t>
      </w:r>
      <w:r w:rsidRPr="002D6AD1">
        <w:t xml:space="preserve"> cycle et au 2e cycle de type professionnel (voir tableau en annexe). Il est à noter que les nouveaux tarifs présentés sont basés sur la tarification de l’année universitaire 2023-2024. Ces montants seront indexés pour l’année 2024-2025 et les suivantes selon le même taux d’indexation annuelle que celui des droits de scolarité de base.</w:t>
      </w:r>
    </w:p>
    <w:p w14:paraId="44EE24C7" w14:textId="4A2DD5D6" w:rsidR="008018BB" w:rsidRPr="002D6AD1" w:rsidRDefault="008018BB" w:rsidP="008018BB">
      <w:pPr>
        <w:pStyle w:val="Citationenretrait"/>
      </w:pPr>
      <w:r w:rsidRPr="002D6AD1">
        <w:t>Notons que ce nouveau modèle de tarification ne s’applique pas aux étudiants français et belges inscrits à un programme d’études conduisant à un grade ou à un diplôme universitaire de 1er cycle ou de 2e cycle professionnel. De même, les étudiants internationaux bénéficiant d’exemptions des droits de scolarité supplémentaires en vertu d’ententes bilatérales sur la mobilité étudiante ne sont pas visés par la nouvelle grille tarifaire.</w:t>
      </w:r>
    </w:p>
    <w:p w14:paraId="47C96857" w14:textId="1F5A5291" w:rsidR="00455CCC" w:rsidRDefault="008018BB" w:rsidP="008018BB">
      <w:pPr>
        <w:pStyle w:val="Citationenretrait"/>
      </w:pPr>
      <w:r w:rsidRPr="002D6AD1">
        <w:t>Par ailleurs, en vertu de l’article 29.6 de la Charte de la langue française (C-11), les étudiants CNRQ inscrits dans un programme offert en français uniquement au Québec continueront d’acquitter les mêmes droits de scolarité que les résidents du Québec. Toutes les exemptions des droits de scolarité supplémentaires aux Règles budgétaires et calcul des subventions de fonctionnement aux universités du Québec pour les étudiants CNRQ et internationaux seront maintenues. De plus, les étudiants CNRQ inscrits dans un programme offert en français dans une université francophone seront exclus du nouveau modèle de tarification et continueront de débourser les tarifs actuels, indexés annuellement</w:t>
      </w:r>
      <w:r w:rsidR="00455CCC" w:rsidRPr="002D6AD1">
        <w:t>.</w:t>
      </w:r>
    </w:p>
    <w:p w14:paraId="46FD7C42" w14:textId="37B01FF3" w:rsidR="00A36C76" w:rsidRDefault="004F7B53" w:rsidP="006B22C2">
      <w:pPr>
        <w:pStyle w:val="Paragraphe"/>
        <w:keepNext/>
        <w:tabs>
          <w:tab w:val="num" w:pos="720"/>
        </w:tabs>
        <w:spacing w:line="240" w:lineRule="auto"/>
        <w:ind w:left="0"/>
      </w:pPr>
      <w:r>
        <w:t xml:space="preserve">Comme elle l’indique dans sa lettre, </w:t>
      </w:r>
      <w:r w:rsidR="009F4C93">
        <w:t>le tableau suivant s’y trouve en annexe</w:t>
      </w:r>
      <w:r w:rsidR="00A36C76">
        <w:t> :</w:t>
      </w:r>
    </w:p>
    <w:p w14:paraId="3E2FE38F" w14:textId="5497C5C1" w:rsidR="0057644C" w:rsidRDefault="0057644C" w:rsidP="006B22C2">
      <w:pPr>
        <w:keepNext/>
      </w:pPr>
    </w:p>
    <w:tbl>
      <w:tblPr>
        <w:tblStyle w:val="Grilledutableau"/>
        <w:tblW w:w="0" w:type="auto"/>
        <w:tblLook w:val="04A0" w:firstRow="1" w:lastRow="0" w:firstColumn="1" w:lastColumn="0" w:noHBand="0" w:noVBand="1"/>
      </w:tblPr>
      <w:tblGrid>
        <w:gridCol w:w="1845"/>
        <w:gridCol w:w="1125"/>
        <w:gridCol w:w="1530"/>
        <w:gridCol w:w="1890"/>
        <w:gridCol w:w="2520"/>
      </w:tblGrid>
      <w:tr w:rsidR="00A36C76" w14:paraId="35B94380" w14:textId="77777777" w:rsidTr="0081190A">
        <w:tc>
          <w:tcPr>
            <w:tcW w:w="8910" w:type="dxa"/>
            <w:gridSpan w:val="5"/>
            <w:tcBorders>
              <w:top w:val="nil"/>
              <w:left w:val="nil"/>
              <w:bottom w:val="single" w:sz="4" w:space="0" w:color="auto"/>
              <w:right w:val="nil"/>
            </w:tcBorders>
          </w:tcPr>
          <w:p w14:paraId="0594BA3C" w14:textId="77777777" w:rsidR="00A36C76" w:rsidRPr="00FB6D0A" w:rsidRDefault="00A36C76" w:rsidP="006B22C2">
            <w:pPr>
              <w:pStyle w:val="Paragraphe"/>
              <w:keepNext/>
              <w:numPr>
                <w:ilvl w:val="0"/>
                <w:numId w:val="0"/>
              </w:numPr>
              <w:spacing w:line="240" w:lineRule="auto"/>
              <w:jc w:val="center"/>
              <w:rPr>
                <w:rFonts w:ascii="Times New Roman" w:hAnsi="Times New Roman"/>
                <w:b/>
                <w:bCs/>
                <w:sz w:val="22"/>
                <w:szCs w:val="22"/>
              </w:rPr>
            </w:pPr>
            <w:r w:rsidRPr="00FB6D0A">
              <w:rPr>
                <w:rFonts w:ascii="Times New Roman" w:hAnsi="Times New Roman"/>
                <w:b/>
                <w:bCs/>
                <w:sz w:val="22"/>
                <w:szCs w:val="22"/>
              </w:rPr>
              <w:t>Nouvelle tarification à compter de l’automne 2024 – Droits de scolarité exigés de la population étudiante dans les universités québécoises (en $, pour une année complète, par étudiant inscrit à 30 crédits sur la base de la tarification de l’année universitaire 2023-2024 (ces montants seront indexés pour l’année 2024-2025 et les suivantes)</w:t>
            </w:r>
          </w:p>
        </w:tc>
      </w:tr>
      <w:tr w:rsidR="00A36C76" w14:paraId="1E2FBA8C" w14:textId="77777777" w:rsidTr="006B22C2">
        <w:tc>
          <w:tcPr>
            <w:tcW w:w="1845" w:type="dxa"/>
            <w:tcBorders>
              <w:top w:val="single" w:sz="12" w:space="0" w:color="auto"/>
              <w:left w:val="nil"/>
              <w:right w:val="nil"/>
            </w:tcBorders>
          </w:tcPr>
          <w:p w14:paraId="1F5F45B7" w14:textId="77777777" w:rsidR="00A36C76" w:rsidRPr="0081190A" w:rsidRDefault="00A36C76" w:rsidP="006B22C2">
            <w:pPr>
              <w:pStyle w:val="Paragraphe"/>
              <w:keepNext/>
              <w:numPr>
                <w:ilvl w:val="0"/>
                <w:numId w:val="0"/>
              </w:numPr>
              <w:spacing w:line="240" w:lineRule="auto"/>
              <w:jc w:val="center"/>
              <w:rPr>
                <w:rFonts w:ascii="Times New Roman" w:hAnsi="Times New Roman"/>
                <w:b/>
                <w:bCs/>
                <w:sz w:val="20"/>
              </w:rPr>
            </w:pPr>
            <w:r w:rsidRPr="0081190A">
              <w:rPr>
                <w:rFonts w:ascii="Times New Roman" w:hAnsi="Times New Roman"/>
                <w:b/>
                <w:bCs/>
                <w:sz w:val="20"/>
              </w:rPr>
              <w:t>Catégorie</w:t>
            </w:r>
          </w:p>
        </w:tc>
        <w:tc>
          <w:tcPr>
            <w:tcW w:w="1125" w:type="dxa"/>
            <w:tcBorders>
              <w:top w:val="single" w:sz="12" w:space="0" w:color="auto"/>
              <w:left w:val="nil"/>
              <w:right w:val="nil"/>
            </w:tcBorders>
          </w:tcPr>
          <w:p w14:paraId="25024A82" w14:textId="77777777" w:rsidR="00A36C76" w:rsidRPr="0081190A" w:rsidRDefault="00A36C76" w:rsidP="006B22C2">
            <w:pPr>
              <w:pStyle w:val="Paragraphe"/>
              <w:keepNext/>
              <w:numPr>
                <w:ilvl w:val="0"/>
                <w:numId w:val="0"/>
              </w:numPr>
              <w:spacing w:line="240" w:lineRule="auto"/>
              <w:jc w:val="center"/>
              <w:rPr>
                <w:rFonts w:ascii="Times New Roman" w:hAnsi="Times New Roman"/>
                <w:b/>
                <w:bCs/>
                <w:sz w:val="20"/>
              </w:rPr>
            </w:pPr>
            <w:r w:rsidRPr="0081190A">
              <w:rPr>
                <w:rFonts w:ascii="Times New Roman" w:hAnsi="Times New Roman"/>
                <w:b/>
                <w:bCs/>
                <w:sz w:val="20"/>
              </w:rPr>
              <w:t>Droits de base</w:t>
            </w:r>
            <w:r w:rsidRPr="0081190A">
              <w:rPr>
                <w:rFonts w:ascii="Times New Roman" w:hAnsi="Times New Roman"/>
                <w:b/>
                <w:bCs/>
                <w:sz w:val="20"/>
                <w:vertAlign w:val="superscript"/>
              </w:rPr>
              <w:t>1</w:t>
            </w:r>
          </w:p>
        </w:tc>
        <w:tc>
          <w:tcPr>
            <w:tcW w:w="1530" w:type="dxa"/>
            <w:tcBorders>
              <w:top w:val="single" w:sz="12" w:space="0" w:color="auto"/>
              <w:left w:val="nil"/>
              <w:right w:val="nil"/>
            </w:tcBorders>
          </w:tcPr>
          <w:p w14:paraId="63F12C93" w14:textId="77777777" w:rsidR="00A36C76" w:rsidRPr="0081190A" w:rsidRDefault="00A36C76" w:rsidP="006B22C2">
            <w:pPr>
              <w:pStyle w:val="Paragraphe"/>
              <w:keepNext/>
              <w:numPr>
                <w:ilvl w:val="0"/>
                <w:numId w:val="0"/>
              </w:numPr>
              <w:spacing w:line="240" w:lineRule="auto"/>
              <w:jc w:val="center"/>
              <w:rPr>
                <w:rFonts w:ascii="Times New Roman" w:hAnsi="Times New Roman"/>
                <w:b/>
                <w:bCs/>
                <w:sz w:val="20"/>
              </w:rPr>
            </w:pPr>
            <w:r w:rsidRPr="0081190A">
              <w:rPr>
                <w:rFonts w:ascii="Times New Roman" w:hAnsi="Times New Roman"/>
                <w:b/>
                <w:bCs/>
                <w:sz w:val="20"/>
              </w:rPr>
              <w:t>Montant forfaitaire</w:t>
            </w:r>
            <w:r w:rsidRPr="0081190A">
              <w:rPr>
                <w:rFonts w:ascii="Times New Roman" w:hAnsi="Times New Roman"/>
                <w:b/>
                <w:bCs/>
                <w:sz w:val="20"/>
                <w:vertAlign w:val="superscript"/>
              </w:rPr>
              <w:t>2</w:t>
            </w:r>
          </w:p>
        </w:tc>
        <w:tc>
          <w:tcPr>
            <w:tcW w:w="1890" w:type="dxa"/>
            <w:tcBorders>
              <w:top w:val="single" w:sz="12" w:space="0" w:color="auto"/>
              <w:left w:val="nil"/>
              <w:right w:val="nil"/>
            </w:tcBorders>
          </w:tcPr>
          <w:p w14:paraId="3647EAF4" w14:textId="77777777" w:rsidR="00A36C76" w:rsidRPr="0081190A" w:rsidRDefault="00A36C76" w:rsidP="006B22C2">
            <w:pPr>
              <w:pStyle w:val="Paragraphe"/>
              <w:keepNext/>
              <w:numPr>
                <w:ilvl w:val="0"/>
                <w:numId w:val="0"/>
              </w:numPr>
              <w:spacing w:line="240" w:lineRule="auto"/>
              <w:jc w:val="center"/>
              <w:rPr>
                <w:rFonts w:ascii="Times New Roman" w:hAnsi="Times New Roman"/>
                <w:b/>
                <w:bCs/>
                <w:sz w:val="20"/>
              </w:rPr>
            </w:pPr>
            <w:r w:rsidRPr="0081190A">
              <w:rPr>
                <w:rFonts w:ascii="Times New Roman" w:hAnsi="Times New Roman"/>
                <w:b/>
                <w:bCs/>
                <w:sz w:val="20"/>
              </w:rPr>
              <w:t>Montant forfaitaire facultatif</w:t>
            </w:r>
            <w:r w:rsidRPr="0081190A">
              <w:rPr>
                <w:rFonts w:ascii="Times New Roman" w:hAnsi="Times New Roman"/>
                <w:b/>
                <w:bCs/>
                <w:sz w:val="20"/>
                <w:vertAlign w:val="superscript"/>
              </w:rPr>
              <w:t>3</w:t>
            </w:r>
          </w:p>
        </w:tc>
        <w:tc>
          <w:tcPr>
            <w:tcW w:w="2520" w:type="dxa"/>
            <w:tcBorders>
              <w:top w:val="single" w:sz="12" w:space="0" w:color="auto"/>
              <w:left w:val="nil"/>
              <w:right w:val="nil"/>
            </w:tcBorders>
          </w:tcPr>
          <w:p w14:paraId="000D6D88" w14:textId="77777777" w:rsidR="00A36C76" w:rsidRPr="0081190A" w:rsidRDefault="00A36C76" w:rsidP="006B22C2">
            <w:pPr>
              <w:pStyle w:val="Paragraphe"/>
              <w:keepNext/>
              <w:numPr>
                <w:ilvl w:val="0"/>
                <w:numId w:val="0"/>
              </w:numPr>
              <w:spacing w:line="240" w:lineRule="auto"/>
              <w:jc w:val="center"/>
              <w:rPr>
                <w:rFonts w:ascii="Times New Roman" w:hAnsi="Times New Roman"/>
                <w:b/>
                <w:bCs/>
                <w:sz w:val="20"/>
              </w:rPr>
            </w:pPr>
            <w:r w:rsidRPr="0081190A">
              <w:rPr>
                <w:rFonts w:ascii="Times New Roman" w:hAnsi="Times New Roman"/>
                <w:b/>
                <w:bCs/>
                <w:sz w:val="20"/>
              </w:rPr>
              <w:t>Total</w:t>
            </w:r>
          </w:p>
        </w:tc>
      </w:tr>
      <w:tr w:rsidR="00A36C76" w14:paraId="2EBDE27B" w14:textId="77777777" w:rsidTr="0081190A">
        <w:tc>
          <w:tcPr>
            <w:tcW w:w="8910" w:type="dxa"/>
            <w:gridSpan w:val="5"/>
            <w:tcBorders>
              <w:left w:val="nil"/>
              <w:bottom w:val="nil"/>
              <w:right w:val="nil"/>
            </w:tcBorders>
          </w:tcPr>
          <w:p w14:paraId="281452EC" w14:textId="77777777" w:rsidR="00A36C76" w:rsidRPr="002E5530" w:rsidRDefault="00A36C76" w:rsidP="006B22C2">
            <w:pPr>
              <w:pStyle w:val="Paragraphe"/>
              <w:keepNext/>
              <w:numPr>
                <w:ilvl w:val="0"/>
                <w:numId w:val="0"/>
              </w:numPr>
              <w:spacing w:line="240" w:lineRule="auto"/>
              <w:jc w:val="left"/>
              <w:rPr>
                <w:rFonts w:ascii="Times New Roman" w:hAnsi="Times New Roman"/>
                <w:b/>
                <w:bCs/>
              </w:rPr>
            </w:pPr>
            <w:r w:rsidRPr="00FD343D">
              <w:rPr>
                <w:rFonts w:ascii="Times New Roman" w:hAnsi="Times New Roman"/>
                <w:b/>
                <w:bCs/>
                <w:sz w:val="20"/>
                <w:u w:val="single"/>
              </w:rPr>
              <w:t>1. Québécois</w:t>
            </w:r>
          </w:p>
        </w:tc>
      </w:tr>
      <w:tr w:rsidR="00A36C76" w14:paraId="0C641F81" w14:textId="77777777" w:rsidTr="006B22C2">
        <w:tc>
          <w:tcPr>
            <w:tcW w:w="1845" w:type="dxa"/>
            <w:tcBorders>
              <w:top w:val="nil"/>
              <w:left w:val="nil"/>
              <w:right w:val="nil"/>
            </w:tcBorders>
          </w:tcPr>
          <w:p w14:paraId="45A64BBF" w14:textId="77777777" w:rsidR="00A36C76" w:rsidRPr="006B22C2" w:rsidRDefault="00A36C76" w:rsidP="006B22C2">
            <w:pPr>
              <w:pStyle w:val="Paragraphe"/>
              <w:keepNext/>
              <w:numPr>
                <w:ilvl w:val="0"/>
                <w:numId w:val="0"/>
              </w:numPr>
              <w:spacing w:line="240" w:lineRule="auto"/>
              <w:jc w:val="left"/>
              <w:rPr>
                <w:rFonts w:ascii="Times New Roman" w:hAnsi="Times New Roman"/>
                <w:sz w:val="20"/>
              </w:rPr>
            </w:pPr>
            <w:r w:rsidRPr="006B22C2">
              <w:rPr>
                <w:rFonts w:ascii="Times New Roman" w:hAnsi="Times New Roman"/>
                <w:sz w:val="20"/>
              </w:rPr>
              <w:t>Tous les cycles</w:t>
            </w:r>
          </w:p>
        </w:tc>
        <w:tc>
          <w:tcPr>
            <w:tcW w:w="1125" w:type="dxa"/>
            <w:tcBorders>
              <w:top w:val="nil"/>
              <w:left w:val="nil"/>
              <w:right w:val="nil"/>
            </w:tcBorders>
          </w:tcPr>
          <w:p w14:paraId="17B4A7AB" w14:textId="77777777" w:rsidR="00A36C76" w:rsidRPr="006B22C2" w:rsidRDefault="00A36C76" w:rsidP="006B22C2">
            <w:pPr>
              <w:pStyle w:val="Paragraphe"/>
              <w:keepNext/>
              <w:numPr>
                <w:ilvl w:val="0"/>
                <w:numId w:val="0"/>
              </w:numPr>
              <w:spacing w:line="240" w:lineRule="auto"/>
              <w:jc w:val="center"/>
              <w:rPr>
                <w:rFonts w:ascii="Times New Roman" w:hAnsi="Times New Roman"/>
                <w:sz w:val="20"/>
              </w:rPr>
            </w:pPr>
            <w:r w:rsidRPr="006B22C2">
              <w:rPr>
                <w:rFonts w:ascii="Times New Roman" w:hAnsi="Times New Roman"/>
                <w:sz w:val="20"/>
              </w:rPr>
              <w:t>2 881</w:t>
            </w:r>
          </w:p>
        </w:tc>
        <w:tc>
          <w:tcPr>
            <w:tcW w:w="1530" w:type="dxa"/>
            <w:tcBorders>
              <w:top w:val="nil"/>
              <w:left w:val="nil"/>
              <w:right w:val="nil"/>
            </w:tcBorders>
          </w:tcPr>
          <w:p w14:paraId="08911754" w14:textId="77777777" w:rsidR="00A36C76" w:rsidRPr="006B22C2" w:rsidRDefault="00A36C76" w:rsidP="006B22C2">
            <w:pPr>
              <w:pStyle w:val="Paragraphe"/>
              <w:keepNext/>
              <w:numPr>
                <w:ilvl w:val="0"/>
                <w:numId w:val="0"/>
              </w:numPr>
              <w:spacing w:line="240" w:lineRule="auto"/>
              <w:jc w:val="center"/>
              <w:rPr>
                <w:rFonts w:ascii="Times New Roman" w:hAnsi="Times New Roman"/>
                <w:b/>
                <w:bCs/>
                <w:sz w:val="20"/>
              </w:rPr>
            </w:pPr>
          </w:p>
        </w:tc>
        <w:tc>
          <w:tcPr>
            <w:tcW w:w="1890" w:type="dxa"/>
            <w:tcBorders>
              <w:top w:val="nil"/>
              <w:left w:val="nil"/>
              <w:right w:val="nil"/>
            </w:tcBorders>
          </w:tcPr>
          <w:p w14:paraId="41389A94" w14:textId="77777777" w:rsidR="00A36C76" w:rsidRPr="006B22C2" w:rsidRDefault="00A36C76" w:rsidP="006B22C2">
            <w:pPr>
              <w:pStyle w:val="Paragraphe"/>
              <w:keepNext/>
              <w:numPr>
                <w:ilvl w:val="0"/>
                <w:numId w:val="0"/>
              </w:numPr>
              <w:spacing w:line="240" w:lineRule="auto"/>
              <w:jc w:val="center"/>
              <w:rPr>
                <w:rFonts w:ascii="Times New Roman" w:hAnsi="Times New Roman"/>
                <w:b/>
                <w:bCs/>
                <w:sz w:val="20"/>
              </w:rPr>
            </w:pPr>
          </w:p>
        </w:tc>
        <w:tc>
          <w:tcPr>
            <w:tcW w:w="2520" w:type="dxa"/>
            <w:tcBorders>
              <w:top w:val="nil"/>
              <w:left w:val="nil"/>
              <w:right w:val="nil"/>
            </w:tcBorders>
          </w:tcPr>
          <w:p w14:paraId="338EE7EC" w14:textId="77777777" w:rsidR="00A36C76" w:rsidRPr="006B22C2" w:rsidRDefault="00A36C76" w:rsidP="006B22C2">
            <w:pPr>
              <w:pStyle w:val="Paragraphe"/>
              <w:keepNext/>
              <w:numPr>
                <w:ilvl w:val="0"/>
                <w:numId w:val="0"/>
              </w:numPr>
              <w:spacing w:line="240" w:lineRule="auto"/>
              <w:jc w:val="center"/>
              <w:rPr>
                <w:rFonts w:ascii="Times New Roman" w:hAnsi="Times New Roman"/>
                <w:b/>
                <w:bCs/>
                <w:sz w:val="20"/>
              </w:rPr>
            </w:pPr>
            <w:r w:rsidRPr="006B22C2">
              <w:rPr>
                <w:rFonts w:ascii="Times New Roman" w:hAnsi="Times New Roman"/>
                <w:b/>
                <w:bCs/>
                <w:sz w:val="20"/>
              </w:rPr>
              <w:t>2 881</w:t>
            </w:r>
          </w:p>
        </w:tc>
      </w:tr>
      <w:tr w:rsidR="00A36C76" w14:paraId="7F6043C5" w14:textId="77777777" w:rsidTr="0081190A">
        <w:tc>
          <w:tcPr>
            <w:tcW w:w="8910" w:type="dxa"/>
            <w:gridSpan w:val="5"/>
            <w:tcBorders>
              <w:left w:val="nil"/>
              <w:bottom w:val="nil"/>
              <w:right w:val="nil"/>
            </w:tcBorders>
          </w:tcPr>
          <w:p w14:paraId="78195860" w14:textId="77777777" w:rsidR="00A36C76" w:rsidRPr="00BC35AB" w:rsidRDefault="00A36C76" w:rsidP="006B22C2">
            <w:pPr>
              <w:pStyle w:val="Paragraphe"/>
              <w:keepNext/>
              <w:numPr>
                <w:ilvl w:val="0"/>
                <w:numId w:val="0"/>
              </w:numPr>
              <w:spacing w:line="240" w:lineRule="auto"/>
              <w:jc w:val="left"/>
              <w:rPr>
                <w:rFonts w:ascii="Times New Roman" w:hAnsi="Times New Roman"/>
                <w:b/>
                <w:bCs/>
                <w:u w:val="single"/>
              </w:rPr>
            </w:pPr>
            <w:r w:rsidRPr="00BC35AB">
              <w:rPr>
                <w:rFonts w:ascii="Times New Roman" w:hAnsi="Times New Roman"/>
                <w:b/>
                <w:bCs/>
                <w:sz w:val="20"/>
                <w:u w:val="single"/>
              </w:rPr>
              <w:t>2. CNRQ (étudiant dans les programmes en français dans une université francophone)</w:t>
            </w:r>
          </w:p>
        </w:tc>
      </w:tr>
      <w:tr w:rsidR="00A36C76" w14:paraId="280B9489" w14:textId="77777777" w:rsidTr="006B22C2">
        <w:tc>
          <w:tcPr>
            <w:tcW w:w="1845" w:type="dxa"/>
            <w:tcBorders>
              <w:top w:val="nil"/>
              <w:left w:val="nil"/>
              <w:bottom w:val="nil"/>
              <w:right w:val="nil"/>
            </w:tcBorders>
          </w:tcPr>
          <w:p w14:paraId="2B14E829" w14:textId="77777777" w:rsidR="00A36C76" w:rsidRPr="0008273A" w:rsidRDefault="00A36C76" w:rsidP="006B22C2">
            <w:pPr>
              <w:pStyle w:val="Paragraphe"/>
              <w:keepNext/>
              <w:numPr>
                <w:ilvl w:val="0"/>
                <w:numId w:val="0"/>
              </w:numPr>
              <w:spacing w:line="240" w:lineRule="auto"/>
              <w:jc w:val="left"/>
              <w:rPr>
                <w:rFonts w:ascii="Times New Roman" w:hAnsi="Times New Roman"/>
                <w:sz w:val="20"/>
              </w:rPr>
            </w:pPr>
            <w:r w:rsidRPr="0008273A">
              <w:rPr>
                <w:rFonts w:ascii="Times New Roman" w:hAnsi="Times New Roman"/>
                <w:sz w:val="20"/>
              </w:rPr>
              <w:t>1</w:t>
            </w:r>
            <w:r w:rsidRPr="0008273A">
              <w:rPr>
                <w:rFonts w:ascii="Times New Roman" w:hAnsi="Times New Roman"/>
                <w:sz w:val="20"/>
                <w:vertAlign w:val="superscript"/>
              </w:rPr>
              <w:t>er</w:t>
            </w:r>
            <w:r w:rsidRPr="0008273A">
              <w:rPr>
                <w:rFonts w:ascii="Times New Roman" w:hAnsi="Times New Roman"/>
                <w:sz w:val="20"/>
              </w:rPr>
              <w:t xml:space="preserve"> cycle</w:t>
            </w:r>
          </w:p>
        </w:tc>
        <w:tc>
          <w:tcPr>
            <w:tcW w:w="1125" w:type="dxa"/>
            <w:tcBorders>
              <w:top w:val="nil"/>
              <w:left w:val="nil"/>
              <w:bottom w:val="nil"/>
              <w:right w:val="nil"/>
            </w:tcBorders>
          </w:tcPr>
          <w:p w14:paraId="5C1B2FA7"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08273A">
              <w:rPr>
                <w:rFonts w:ascii="Times New Roman" w:hAnsi="Times New Roman"/>
                <w:sz w:val="20"/>
              </w:rPr>
              <w:t>2 881</w:t>
            </w:r>
          </w:p>
        </w:tc>
        <w:tc>
          <w:tcPr>
            <w:tcW w:w="1530" w:type="dxa"/>
            <w:tcBorders>
              <w:top w:val="nil"/>
              <w:left w:val="nil"/>
              <w:bottom w:val="nil"/>
              <w:right w:val="nil"/>
            </w:tcBorders>
          </w:tcPr>
          <w:p w14:paraId="1A0013CE" w14:textId="77777777" w:rsidR="00A36C76" w:rsidRPr="00FE5780" w:rsidRDefault="00A36C76" w:rsidP="006B22C2">
            <w:pPr>
              <w:pStyle w:val="Paragraphe"/>
              <w:keepNext/>
              <w:numPr>
                <w:ilvl w:val="0"/>
                <w:numId w:val="0"/>
              </w:numPr>
              <w:spacing w:line="240" w:lineRule="auto"/>
              <w:jc w:val="center"/>
              <w:rPr>
                <w:rFonts w:ascii="Times New Roman" w:hAnsi="Times New Roman"/>
                <w:sz w:val="20"/>
              </w:rPr>
            </w:pPr>
            <w:r w:rsidRPr="00FE5780">
              <w:rPr>
                <w:rFonts w:ascii="Times New Roman" w:hAnsi="Times New Roman"/>
                <w:sz w:val="20"/>
              </w:rPr>
              <w:t>6</w:t>
            </w:r>
            <w:r w:rsidRPr="0008273A">
              <w:rPr>
                <w:rFonts w:ascii="Times New Roman" w:hAnsi="Times New Roman"/>
                <w:sz w:val="20"/>
              </w:rPr>
              <w:t> </w:t>
            </w:r>
            <w:r w:rsidRPr="00FE5780">
              <w:rPr>
                <w:rFonts w:ascii="Times New Roman" w:hAnsi="Times New Roman"/>
                <w:sz w:val="20"/>
              </w:rPr>
              <w:t>111</w:t>
            </w:r>
          </w:p>
        </w:tc>
        <w:tc>
          <w:tcPr>
            <w:tcW w:w="1890" w:type="dxa"/>
            <w:tcBorders>
              <w:top w:val="nil"/>
              <w:left w:val="nil"/>
              <w:bottom w:val="nil"/>
              <w:right w:val="nil"/>
            </w:tcBorders>
          </w:tcPr>
          <w:p w14:paraId="10047C2A" w14:textId="77777777" w:rsidR="00A36C76" w:rsidRPr="00FE5780" w:rsidRDefault="00A36C76" w:rsidP="006B22C2">
            <w:pPr>
              <w:pStyle w:val="Paragraphe"/>
              <w:keepNext/>
              <w:numPr>
                <w:ilvl w:val="0"/>
                <w:numId w:val="0"/>
              </w:numPr>
              <w:spacing w:line="240" w:lineRule="auto"/>
              <w:jc w:val="center"/>
              <w:rPr>
                <w:rFonts w:ascii="Times New Roman" w:hAnsi="Times New Roman"/>
                <w:sz w:val="20"/>
              </w:rPr>
            </w:pPr>
            <w:r>
              <w:rPr>
                <w:rFonts w:ascii="Times New Roman" w:hAnsi="Times New Roman"/>
                <w:sz w:val="20"/>
              </w:rPr>
              <w:t>s.o.</w:t>
            </w:r>
          </w:p>
        </w:tc>
        <w:tc>
          <w:tcPr>
            <w:tcW w:w="2520" w:type="dxa"/>
            <w:tcBorders>
              <w:top w:val="nil"/>
              <w:left w:val="nil"/>
              <w:bottom w:val="nil"/>
              <w:right w:val="nil"/>
            </w:tcBorders>
          </w:tcPr>
          <w:p w14:paraId="171BFED3" w14:textId="77777777" w:rsidR="00A36C76" w:rsidRPr="009F26B8" w:rsidRDefault="00A36C76" w:rsidP="006B22C2">
            <w:pPr>
              <w:pStyle w:val="Paragraphe"/>
              <w:keepNext/>
              <w:numPr>
                <w:ilvl w:val="0"/>
                <w:numId w:val="0"/>
              </w:numPr>
              <w:spacing w:line="240" w:lineRule="auto"/>
              <w:jc w:val="center"/>
              <w:rPr>
                <w:rFonts w:ascii="Times New Roman" w:hAnsi="Times New Roman"/>
                <w:b/>
                <w:bCs/>
                <w:sz w:val="20"/>
              </w:rPr>
            </w:pPr>
            <w:r w:rsidRPr="009F26B8">
              <w:rPr>
                <w:rFonts w:ascii="Times New Roman" w:hAnsi="Times New Roman"/>
                <w:b/>
                <w:bCs/>
                <w:sz w:val="20"/>
              </w:rPr>
              <w:t>8 992</w:t>
            </w:r>
          </w:p>
        </w:tc>
      </w:tr>
      <w:tr w:rsidR="00A36C76" w14:paraId="41D38BED" w14:textId="77777777" w:rsidTr="006B22C2">
        <w:tc>
          <w:tcPr>
            <w:tcW w:w="1845" w:type="dxa"/>
            <w:tcBorders>
              <w:top w:val="nil"/>
              <w:left w:val="nil"/>
              <w:bottom w:val="nil"/>
              <w:right w:val="nil"/>
            </w:tcBorders>
          </w:tcPr>
          <w:p w14:paraId="5F4E01DE" w14:textId="77777777" w:rsidR="00A36C76" w:rsidRPr="0008273A" w:rsidRDefault="00A36C76" w:rsidP="006B22C2">
            <w:pPr>
              <w:pStyle w:val="Paragraphe"/>
              <w:keepNext/>
              <w:numPr>
                <w:ilvl w:val="0"/>
                <w:numId w:val="0"/>
              </w:numPr>
              <w:spacing w:line="240" w:lineRule="auto"/>
              <w:jc w:val="left"/>
              <w:rPr>
                <w:rFonts w:ascii="Times New Roman" w:hAnsi="Times New Roman"/>
                <w:sz w:val="20"/>
              </w:rPr>
            </w:pPr>
            <w:r w:rsidRPr="0008273A">
              <w:rPr>
                <w:rFonts w:ascii="Times New Roman" w:hAnsi="Times New Roman"/>
                <w:sz w:val="20"/>
              </w:rPr>
              <w:t>2</w:t>
            </w:r>
            <w:r w:rsidRPr="0008273A">
              <w:rPr>
                <w:rFonts w:ascii="Times New Roman" w:hAnsi="Times New Roman"/>
                <w:sz w:val="20"/>
                <w:vertAlign w:val="superscript"/>
              </w:rPr>
              <w:t>e</w:t>
            </w:r>
            <w:r w:rsidRPr="0008273A">
              <w:rPr>
                <w:rFonts w:ascii="Times New Roman" w:hAnsi="Times New Roman"/>
                <w:sz w:val="20"/>
              </w:rPr>
              <w:t xml:space="preserve"> cycle – professionnel</w:t>
            </w:r>
          </w:p>
        </w:tc>
        <w:tc>
          <w:tcPr>
            <w:tcW w:w="1125" w:type="dxa"/>
            <w:tcBorders>
              <w:top w:val="nil"/>
              <w:left w:val="nil"/>
              <w:bottom w:val="nil"/>
              <w:right w:val="nil"/>
            </w:tcBorders>
          </w:tcPr>
          <w:p w14:paraId="4EAA8108"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08273A">
              <w:rPr>
                <w:rFonts w:ascii="Times New Roman" w:hAnsi="Times New Roman"/>
                <w:sz w:val="20"/>
              </w:rPr>
              <w:t>2 881</w:t>
            </w:r>
          </w:p>
        </w:tc>
        <w:tc>
          <w:tcPr>
            <w:tcW w:w="1530" w:type="dxa"/>
            <w:tcBorders>
              <w:top w:val="nil"/>
              <w:left w:val="nil"/>
              <w:bottom w:val="nil"/>
              <w:right w:val="nil"/>
            </w:tcBorders>
          </w:tcPr>
          <w:p w14:paraId="7E24F282" w14:textId="77777777" w:rsidR="00A36C76" w:rsidRPr="00FE5780" w:rsidRDefault="00A36C76" w:rsidP="006B22C2">
            <w:pPr>
              <w:pStyle w:val="Paragraphe"/>
              <w:keepNext/>
              <w:numPr>
                <w:ilvl w:val="0"/>
                <w:numId w:val="0"/>
              </w:numPr>
              <w:spacing w:line="240" w:lineRule="auto"/>
              <w:jc w:val="center"/>
              <w:rPr>
                <w:rFonts w:ascii="Times New Roman" w:hAnsi="Times New Roman"/>
                <w:sz w:val="20"/>
              </w:rPr>
            </w:pPr>
            <w:r w:rsidRPr="00FE5780">
              <w:rPr>
                <w:rFonts w:ascii="Times New Roman" w:hAnsi="Times New Roman"/>
                <w:sz w:val="20"/>
              </w:rPr>
              <w:t>6</w:t>
            </w:r>
            <w:r w:rsidRPr="0008273A">
              <w:rPr>
                <w:rFonts w:ascii="Times New Roman" w:hAnsi="Times New Roman"/>
                <w:sz w:val="20"/>
              </w:rPr>
              <w:t> </w:t>
            </w:r>
            <w:r w:rsidRPr="00FE5780">
              <w:rPr>
                <w:rFonts w:ascii="Times New Roman" w:hAnsi="Times New Roman"/>
                <w:sz w:val="20"/>
              </w:rPr>
              <w:t>111</w:t>
            </w:r>
          </w:p>
        </w:tc>
        <w:tc>
          <w:tcPr>
            <w:tcW w:w="1890" w:type="dxa"/>
            <w:tcBorders>
              <w:top w:val="nil"/>
              <w:left w:val="nil"/>
              <w:bottom w:val="nil"/>
              <w:right w:val="nil"/>
            </w:tcBorders>
          </w:tcPr>
          <w:p w14:paraId="6A7866ED" w14:textId="77777777" w:rsidR="00A36C76" w:rsidRPr="00FE5780" w:rsidRDefault="00A36C76" w:rsidP="006B22C2">
            <w:pPr>
              <w:pStyle w:val="Paragraphe"/>
              <w:keepNext/>
              <w:numPr>
                <w:ilvl w:val="0"/>
                <w:numId w:val="0"/>
              </w:numPr>
              <w:spacing w:line="240" w:lineRule="auto"/>
              <w:jc w:val="center"/>
              <w:rPr>
                <w:rFonts w:ascii="Times New Roman" w:hAnsi="Times New Roman"/>
                <w:sz w:val="20"/>
              </w:rPr>
            </w:pPr>
            <w:r>
              <w:rPr>
                <w:rFonts w:ascii="Times New Roman" w:hAnsi="Times New Roman"/>
                <w:sz w:val="20"/>
              </w:rPr>
              <w:t>s.o.</w:t>
            </w:r>
          </w:p>
        </w:tc>
        <w:tc>
          <w:tcPr>
            <w:tcW w:w="2520" w:type="dxa"/>
            <w:tcBorders>
              <w:top w:val="nil"/>
              <w:left w:val="nil"/>
              <w:bottom w:val="nil"/>
              <w:right w:val="nil"/>
            </w:tcBorders>
          </w:tcPr>
          <w:p w14:paraId="28117C1F" w14:textId="77777777" w:rsidR="00A36C76" w:rsidRPr="00FE5780" w:rsidRDefault="00A36C76" w:rsidP="006B22C2">
            <w:pPr>
              <w:pStyle w:val="Paragraphe"/>
              <w:keepNext/>
              <w:numPr>
                <w:ilvl w:val="0"/>
                <w:numId w:val="0"/>
              </w:numPr>
              <w:spacing w:line="240" w:lineRule="auto"/>
              <w:jc w:val="center"/>
              <w:rPr>
                <w:rFonts w:ascii="Times New Roman" w:hAnsi="Times New Roman"/>
                <w:sz w:val="20"/>
              </w:rPr>
            </w:pPr>
            <w:r w:rsidRPr="009F26B8">
              <w:rPr>
                <w:rFonts w:ascii="Times New Roman" w:hAnsi="Times New Roman"/>
                <w:b/>
                <w:bCs/>
                <w:sz w:val="20"/>
              </w:rPr>
              <w:t>8 992</w:t>
            </w:r>
          </w:p>
        </w:tc>
      </w:tr>
      <w:tr w:rsidR="00A36C76" w14:paraId="40E6FF7C" w14:textId="77777777" w:rsidTr="006B22C2">
        <w:tc>
          <w:tcPr>
            <w:tcW w:w="1845" w:type="dxa"/>
            <w:tcBorders>
              <w:top w:val="nil"/>
              <w:left w:val="nil"/>
              <w:bottom w:val="nil"/>
              <w:right w:val="nil"/>
            </w:tcBorders>
          </w:tcPr>
          <w:p w14:paraId="6BABD4B1" w14:textId="77777777" w:rsidR="00A36C76" w:rsidRPr="0008273A" w:rsidRDefault="00A36C76" w:rsidP="006B22C2">
            <w:pPr>
              <w:pStyle w:val="Paragraphe"/>
              <w:keepNext/>
              <w:numPr>
                <w:ilvl w:val="0"/>
                <w:numId w:val="0"/>
              </w:numPr>
              <w:spacing w:line="240" w:lineRule="auto"/>
              <w:jc w:val="left"/>
              <w:rPr>
                <w:rFonts w:ascii="Times New Roman" w:hAnsi="Times New Roman"/>
                <w:sz w:val="20"/>
              </w:rPr>
            </w:pPr>
            <w:r w:rsidRPr="0008273A">
              <w:rPr>
                <w:rFonts w:ascii="Times New Roman" w:hAnsi="Times New Roman"/>
                <w:sz w:val="20"/>
              </w:rPr>
              <w:t>2</w:t>
            </w:r>
            <w:r w:rsidRPr="0008273A">
              <w:rPr>
                <w:rFonts w:ascii="Times New Roman" w:hAnsi="Times New Roman"/>
                <w:sz w:val="20"/>
                <w:vertAlign w:val="superscript"/>
              </w:rPr>
              <w:t>e</w:t>
            </w:r>
            <w:r w:rsidRPr="0008273A">
              <w:rPr>
                <w:rFonts w:ascii="Times New Roman" w:hAnsi="Times New Roman"/>
                <w:sz w:val="20"/>
              </w:rPr>
              <w:t xml:space="preserve"> cycle – recherche</w:t>
            </w:r>
          </w:p>
        </w:tc>
        <w:tc>
          <w:tcPr>
            <w:tcW w:w="1125" w:type="dxa"/>
            <w:tcBorders>
              <w:top w:val="nil"/>
              <w:left w:val="nil"/>
              <w:bottom w:val="nil"/>
              <w:right w:val="nil"/>
            </w:tcBorders>
          </w:tcPr>
          <w:p w14:paraId="3A0B8316"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08273A">
              <w:rPr>
                <w:rFonts w:ascii="Times New Roman" w:hAnsi="Times New Roman"/>
                <w:sz w:val="20"/>
              </w:rPr>
              <w:t>2 881</w:t>
            </w:r>
          </w:p>
        </w:tc>
        <w:tc>
          <w:tcPr>
            <w:tcW w:w="1530" w:type="dxa"/>
            <w:tcBorders>
              <w:top w:val="nil"/>
              <w:left w:val="nil"/>
              <w:bottom w:val="nil"/>
              <w:right w:val="nil"/>
            </w:tcBorders>
          </w:tcPr>
          <w:p w14:paraId="66B0B556" w14:textId="77777777" w:rsidR="00A36C76" w:rsidRPr="00FE5780" w:rsidRDefault="00A36C76" w:rsidP="006B22C2">
            <w:pPr>
              <w:pStyle w:val="Paragraphe"/>
              <w:keepNext/>
              <w:numPr>
                <w:ilvl w:val="0"/>
                <w:numId w:val="0"/>
              </w:numPr>
              <w:spacing w:line="240" w:lineRule="auto"/>
              <w:jc w:val="center"/>
              <w:rPr>
                <w:rFonts w:ascii="Times New Roman" w:hAnsi="Times New Roman"/>
                <w:sz w:val="20"/>
              </w:rPr>
            </w:pPr>
            <w:r w:rsidRPr="00FE5780">
              <w:rPr>
                <w:rFonts w:ascii="Times New Roman" w:hAnsi="Times New Roman"/>
                <w:sz w:val="20"/>
              </w:rPr>
              <w:t>6</w:t>
            </w:r>
            <w:r w:rsidRPr="0008273A">
              <w:rPr>
                <w:rFonts w:ascii="Times New Roman" w:hAnsi="Times New Roman"/>
                <w:sz w:val="20"/>
              </w:rPr>
              <w:t> </w:t>
            </w:r>
            <w:r w:rsidRPr="00FE5780">
              <w:rPr>
                <w:rFonts w:ascii="Times New Roman" w:hAnsi="Times New Roman"/>
                <w:sz w:val="20"/>
              </w:rPr>
              <w:t>111</w:t>
            </w:r>
          </w:p>
        </w:tc>
        <w:tc>
          <w:tcPr>
            <w:tcW w:w="1890" w:type="dxa"/>
            <w:tcBorders>
              <w:top w:val="nil"/>
              <w:left w:val="nil"/>
              <w:bottom w:val="nil"/>
              <w:right w:val="nil"/>
            </w:tcBorders>
          </w:tcPr>
          <w:p w14:paraId="242995FC" w14:textId="77777777" w:rsidR="00A36C76" w:rsidRPr="00FE5780" w:rsidRDefault="00A36C76" w:rsidP="006B22C2">
            <w:pPr>
              <w:pStyle w:val="Paragraphe"/>
              <w:keepNext/>
              <w:numPr>
                <w:ilvl w:val="0"/>
                <w:numId w:val="0"/>
              </w:numPr>
              <w:spacing w:line="240" w:lineRule="auto"/>
              <w:jc w:val="center"/>
              <w:rPr>
                <w:rFonts w:ascii="Times New Roman" w:hAnsi="Times New Roman"/>
                <w:sz w:val="20"/>
              </w:rPr>
            </w:pPr>
            <w:r>
              <w:rPr>
                <w:rFonts w:ascii="Times New Roman" w:hAnsi="Times New Roman"/>
                <w:sz w:val="20"/>
              </w:rPr>
              <w:t>s.o.</w:t>
            </w:r>
          </w:p>
        </w:tc>
        <w:tc>
          <w:tcPr>
            <w:tcW w:w="2520" w:type="dxa"/>
            <w:tcBorders>
              <w:top w:val="nil"/>
              <w:left w:val="nil"/>
              <w:bottom w:val="nil"/>
              <w:right w:val="nil"/>
            </w:tcBorders>
          </w:tcPr>
          <w:p w14:paraId="6A6BB40B" w14:textId="77777777" w:rsidR="00A36C76" w:rsidRPr="00FE5780" w:rsidRDefault="00A36C76" w:rsidP="006B22C2">
            <w:pPr>
              <w:pStyle w:val="Paragraphe"/>
              <w:keepNext/>
              <w:numPr>
                <w:ilvl w:val="0"/>
                <w:numId w:val="0"/>
              </w:numPr>
              <w:spacing w:line="240" w:lineRule="auto"/>
              <w:jc w:val="center"/>
              <w:rPr>
                <w:rFonts w:ascii="Times New Roman" w:hAnsi="Times New Roman"/>
                <w:sz w:val="20"/>
              </w:rPr>
            </w:pPr>
            <w:r w:rsidRPr="009F26B8">
              <w:rPr>
                <w:rFonts w:ascii="Times New Roman" w:hAnsi="Times New Roman"/>
                <w:b/>
                <w:bCs/>
                <w:sz w:val="20"/>
              </w:rPr>
              <w:t>8 992</w:t>
            </w:r>
          </w:p>
        </w:tc>
      </w:tr>
      <w:tr w:rsidR="00A36C76" w14:paraId="712CC18B" w14:textId="77777777" w:rsidTr="006B22C2">
        <w:tc>
          <w:tcPr>
            <w:tcW w:w="1845" w:type="dxa"/>
            <w:tcBorders>
              <w:top w:val="nil"/>
              <w:left w:val="nil"/>
              <w:right w:val="nil"/>
            </w:tcBorders>
          </w:tcPr>
          <w:p w14:paraId="78E40AB1" w14:textId="77777777" w:rsidR="00A36C76" w:rsidRPr="0008273A" w:rsidRDefault="00A36C76" w:rsidP="006B22C2">
            <w:pPr>
              <w:pStyle w:val="Paragraphe"/>
              <w:keepNext/>
              <w:numPr>
                <w:ilvl w:val="0"/>
                <w:numId w:val="0"/>
              </w:numPr>
              <w:spacing w:line="240" w:lineRule="auto"/>
              <w:jc w:val="left"/>
              <w:rPr>
                <w:rFonts w:ascii="Times New Roman" w:hAnsi="Times New Roman"/>
                <w:sz w:val="20"/>
              </w:rPr>
            </w:pPr>
            <w:r w:rsidRPr="0008273A">
              <w:rPr>
                <w:rFonts w:ascii="Times New Roman" w:hAnsi="Times New Roman"/>
                <w:sz w:val="20"/>
              </w:rPr>
              <w:t>3</w:t>
            </w:r>
            <w:r w:rsidRPr="0008273A">
              <w:rPr>
                <w:rFonts w:ascii="Times New Roman" w:hAnsi="Times New Roman"/>
                <w:sz w:val="20"/>
                <w:vertAlign w:val="superscript"/>
              </w:rPr>
              <w:t>e</w:t>
            </w:r>
            <w:r w:rsidRPr="0008273A">
              <w:rPr>
                <w:rFonts w:ascii="Times New Roman" w:hAnsi="Times New Roman"/>
                <w:sz w:val="20"/>
              </w:rPr>
              <w:t xml:space="preserve"> cycle</w:t>
            </w:r>
          </w:p>
        </w:tc>
        <w:tc>
          <w:tcPr>
            <w:tcW w:w="1125" w:type="dxa"/>
            <w:tcBorders>
              <w:top w:val="nil"/>
              <w:left w:val="nil"/>
              <w:right w:val="nil"/>
            </w:tcBorders>
          </w:tcPr>
          <w:p w14:paraId="5F7B0F8D"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08273A">
              <w:rPr>
                <w:rFonts w:ascii="Times New Roman" w:hAnsi="Times New Roman"/>
                <w:sz w:val="20"/>
              </w:rPr>
              <w:t>2 881</w:t>
            </w:r>
          </w:p>
        </w:tc>
        <w:tc>
          <w:tcPr>
            <w:tcW w:w="1530" w:type="dxa"/>
            <w:tcBorders>
              <w:top w:val="nil"/>
              <w:left w:val="nil"/>
              <w:right w:val="nil"/>
            </w:tcBorders>
          </w:tcPr>
          <w:p w14:paraId="0F1079C1" w14:textId="77777777" w:rsidR="00A36C76" w:rsidRPr="00FE5780" w:rsidRDefault="00A36C76" w:rsidP="006B22C2">
            <w:pPr>
              <w:pStyle w:val="Paragraphe"/>
              <w:keepNext/>
              <w:numPr>
                <w:ilvl w:val="0"/>
                <w:numId w:val="0"/>
              </w:numPr>
              <w:spacing w:line="240" w:lineRule="auto"/>
              <w:jc w:val="center"/>
              <w:rPr>
                <w:rFonts w:ascii="Times New Roman" w:hAnsi="Times New Roman"/>
                <w:sz w:val="20"/>
              </w:rPr>
            </w:pPr>
            <w:r w:rsidRPr="00FE5780">
              <w:rPr>
                <w:rFonts w:ascii="Times New Roman" w:hAnsi="Times New Roman"/>
                <w:sz w:val="20"/>
              </w:rPr>
              <w:t>6</w:t>
            </w:r>
            <w:r w:rsidRPr="0008273A">
              <w:rPr>
                <w:rFonts w:ascii="Times New Roman" w:hAnsi="Times New Roman"/>
                <w:sz w:val="20"/>
              </w:rPr>
              <w:t> </w:t>
            </w:r>
            <w:r w:rsidRPr="00FE5780">
              <w:rPr>
                <w:rFonts w:ascii="Times New Roman" w:hAnsi="Times New Roman"/>
                <w:sz w:val="20"/>
              </w:rPr>
              <w:t>111</w:t>
            </w:r>
          </w:p>
        </w:tc>
        <w:tc>
          <w:tcPr>
            <w:tcW w:w="1890" w:type="dxa"/>
            <w:tcBorders>
              <w:top w:val="nil"/>
              <w:left w:val="nil"/>
              <w:right w:val="nil"/>
            </w:tcBorders>
          </w:tcPr>
          <w:p w14:paraId="061B9950" w14:textId="77777777" w:rsidR="00A36C76" w:rsidRPr="00FE5780" w:rsidRDefault="00A36C76" w:rsidP="006B22C2">
            <w:pPr>
              <w:pStyle w:val="Paragraphe"/>
              <w:keepNext/>
              <w:numPr>
                <w:ilvl w:val="0"/>
                <w:numId w:val="0"/>
              </w:numPr>
              <w:spacing w:line="240" w:lineRule="auto"/>
              <w:jc w:val="center"/>
              <w:rPr>
                <w:rFonts w:ascii="Times New Roman" w:hAnsi="Times New Roman"/>
                <w:sz w:val="20"/>
              </w:rPr>
            </w:pPr>
            <w:r>
              <w:rPr>
                <w:rFonts w:ascii="Times New Roman" w:hAnsi="Times New Roman"/>
                <w:sz w:val="20"/>
              </w:rPr>
              <w:t>s.o.</w:t>
            </w:r>
          </w:p>
        </w:tc>
        <w:tc>
          <w:tcPr>
            <w:tcW w:w="2520" w:type="dxa"/>
            <w:tcBorders>
              <w:top w:val="nil"/>
              <w:left w:val="nil"/>
              <w:right w:val="nil"/>
            </w:tcBorders>
          </w:tcPr>
          <w:p w14:paraId="6BD54E61" w14:textId="77777777" w:rsidR="00A36C76" w:rsidRPr="00FE5780" w:rsidRDefault="00A36C76" w:rsidP="006B22C2">
            <w:pPr>
              <w:pStyle w:val="Paragraphe"/>
              <w:keepNext/>
              <w:numPr>
                <w:ilvl w:val="0"/>
                <w:numId w:val="0"/>
              </w:numPr>
              <w:spacing w:line="240" w:lineRule="auto"/>
              <w:jc w:val="center"/>
              <w:rPr>
                <w:rFonts w:ascii="Times New Roman" w:hAnsi="Times New Roman"/>
                <w:sz w:val="20"/>
              </w:rPr>
            </w:pPr>
            <w:r w:rsidRPr="009F26B8">
              <w:rPr>
                <w:rFonts w:ascii="Times New Roman" w:hAnsi="Times New Roman"/>
                <w:b/>
                <w:bCs/>
                <w:sz w:val="20"/>
              </w:rPr>
              <w:t>8 992</w:t>
            </w:r>
          </w:p>
        </w:tc>
      </w:tr>
      <w:tr w:rsidR="00A36C76" w14:paraId="5D965F4C" w14:textId="77777777" w:rsidTr="0081190A">
        <w:tc>
          <w:tcPr>
            <w:tcW w:w="8910" w:type="dxa"/>
            <w:gridSpan w:val="5"/>
            <w:tcBorders>
              <w:left w:val="nil"/>
              <w:bottom w:val="nil"/>
              <w:right w:val="nil"/>
            </w:tcBorders>
          </w:tcPr>
          <w:p w14:paraId="5D09D752" w14:textId="77777777" w:rsidR="00A36C76" w:rsidRPr="0008273A" w:rsidRDefault="00A36C76" w:rsidP="006B22C2">
            <w:pPr>
              <w:pStyle w:val="Paragraphe"/>
              <w:keepNext/>
              <w:numPr>
                <w:ilvl w:val="0"/>
                <w:numId w:val="0"/>
              </w:numPr>
              <w:spacing w:line="240" w:lineRule="auto"/>
              <w:jc w:val="left"/>
              <w:rPr>
                <w:rFonts w:ascii="Times New Roman" w:hAnsi="Times New Roman"/>
                <w:b/>
                <w:bCs/>
                <w:sz w:val="20"/>
              </w:rPr>
            </w:pPr>
            <w:r w:rsidRPr="0008273A">
              <w:rPr>
                <w:rFonts w:ascii="Times New Roman" w:hAnsi="Times New Roman"/>
                <w:b/>
                <w:bCs/>
                <w:sz w:val="20"/>
                <w:u w:val="single"/>
              </w:rPr>
              <w:t>2. CNRQ (autres)</w:t>
            </w:r>
          </w:p>
        </w:tc>
      </w:tr>
      <w:tr w:rsidR="00A36C76" w14:paraId="48F0F368" w14:textId="77777777" w:rsidTr="006B22C2">
        <w:tc>
          <w:tcPr>
            <w:tcW w:w="1845" w:type="dxa"/>
            <w:tcBorders>
              <w:top w:val="nil"/>
              <w:left w:val="nil"/>
              <w:bottom w:val="nil"/>
              <w:right w:val="nil"/>
            </w:tcBorders>
          </w:tcPr>
          <w:p w14:paraId="6CD2BFC6" w14:textId="77777777" w:rsidR="00A36C76" w:rsidRPr="0008273A" w:rsidRDefault="00A36C76" w:rsidP="006B22C2">
            <w:pPr>
              <w:pStyle w:val="Paragraphe"/>
              <w:keepNext/>
              <w:numPr>
                <w:ilvl w:val="0"/>
                <w:numId w:val="0"/>
              </w:numPr>
              <w:spacing w:line="240" w:lineRule="auto"/>
              <w:jc w:val="left"/>
              <w:rPr>
                <w:rFonts w:ascii="Times New Roman" w:hAnsi="Times New Roman"/>
                <w:b/>
                <w:bCs/>
                <w:sz w:val="20"/>
              </w:rPr>
            </w:pPr>
            <w:r w:rsidRPr="0008273A">
              <w:rPr>
                <w:rFonts w:ascii="Times New Roman" w:hAnsi="Times New Roman"/>
                <w:sz w:val="20"/>
              </w:rPr>
              <w:t>1</w:t>
            </w:r>
            <w:r w:rsidRPr="0008273A">
              <w:rPr>
                <w:rFonts w:ascii="Times New Roman" w:hAnsi="Times New Roman"/>
                <w:sz w:val="20"/>
                <w:vertAlign w:val="superscript"/>
              </w:rPr>
              <w:t>er</w:t>
            </w:r>
            <w:r w:rsidRPr="0008273A">
              <w:rPr>
                <w:rFonts w:ascii="Times New Roman" w:hAnsi="Times New Roman"/>
                <w:sz w:val="20"/>
              </w:rPr>
              <w:t xml:space="preserve"> cycle</w:t>
            </w:r>
          </w:p>
        </w:tc>
        <w:tc>
          <w:tcPr>
            <w:tcW w:w="1125" w:type="dxa"/>
            <w:tcBorders>
              <w:top w:val="nil"/>
              <w:left w:val="nil"/>
              <w:bottom w:val="nil"/>
              <w:right w:val="nil"/>
            </w:tcBorders>
          </w:tcPr>
          <w:p w14:paraId="6C13EE9C"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08273A">
              <w:rPr>
                <w:rFonts w:ascii="Times New Roman" w:hAnsi="Times New Roman"/>
                <w:sz w:val="20"/>
              </w:rPr>
              <w:t>2 881</w:t>
            </w:r>
          </w:p>
        </w:tc>
        <w:tc>
          <w:tcPr>
            <w:tcW w:w="1530" w:type="dxa"/>
            <w:tcBorders>
              <w:top w:val="nil"/>
              <w:left w:val="nil"/>
              <w:bottom w:val="nil"/>
              <w:right w:val="nil"/>
            </w:tcBorders>
          </w:tcPr>
          <w:p w14:paraId="53B5D53A" w14:textId="77777777" w:rsidR="00A36C76" w:rsidRPr="00F309E2" w:rsidRDefault="00A36C76" w:rsidP="006B22C2">
            <w:pPr>
              <w:pStyle w:val="Paragraphe"/>
              <w:keepNext/>
              <w:numPr>
                <w:ilvl w:val="0"/>
                <w:numId w:val="0"/>
              </w:numPr>
              <w:spacing w:line="240" w:lineRule="auto"/>
              <w:jc w:val="center"/>
              <w:rPr>
                <w:rFonts w:ascii="Times New Roman" w:hAnsi="Times New Roman"/>
                <w:sz w:val="20"/>
              </w:rPr>
            </w:pPr>
            <w:r w:rsidRPr="00F309E2">
              <w:rPr>
                <w:rFonts w:ascii="Times New Roman" w:hAnsi="Times New Roman"/>
                <w:sz w:val="20"/>
              </w:rPr>
              <w:t>9 119</w:t>
            </w:r>
          </w:p>
        </w:tc>
        <w:tc>
          <w:tcPr>
            <w:tcW w:w="1890" w:type="dxa"/>
            <w:tcBorders>
              <w:top w:val="nil"/>
              <w:left w:val="nil"/>
              <w:bottom w:val="nil"/>
              <w:right w:val="nil"/>
            </w:tcBorders>
          </w:tcPr>
          <w:p w14:paraId="01C1E3F9" w14:textId="77777777" w:rsidR="00A36C76" w:rsidRPr="00F309E2" w:rsidRDefault="00A36C76" w:rsidP="006B22C2">
            <w:pPr>
              <w:pStyle w:val="Paragraphe"/>
              <w:keepNext/>
              <w:numPr>
                <w:ilvl w:val="0"/>
                <w:numId w:val="0"/>
              </w:numPr>
              <w:spacing w:line="240" w:lineRule="auto"/>
              <w:jc w:val="center"/>
              <w:rPr>
                <w:rFonts w:ascii="Times New Roman" w:hAnsi="Times New Roman"/>
                <w:sz w:val="20"/>
              </w:rPr>
            </w:pPr>
            <w:r>
              <w:rPr>
                <w:rFonts w:ascii="Times New Roman" w:hAnsi="Times New Roman"/>
                <w:sz w:val="20"/>
              </w:rPr>
              <w:t>illimité</w:t>
            </w:r>
          </w:p>
        </w:tc>
        <w:tc>
          <w:tcPr>
            <w:tcW w:w="2520" w:type="dxa"/>
            <w:tcBorders>
              <w:top w:val="nil"/>
              <w:left w:val="nil"/>
              <w:bottom w:val="nil"/>
              <w:right w:val="nil"/>
            </w:tcBorders>
          </w:tcPr>
          <w:p w14:paraId="06536907"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Pr>
                <w:rFonts w:ascii="Times New Roman" w:hAnsi="Times New Roman"/>
                <w:b/>
                <w:bCs/>
                <w:sz w:val="20"/>
              </w:rPr>
              <w:t>12 000 à illimité</w:t>
            </w:r>
          </w:p>
        </w:tc>
      </w:tr>
      <w:tr w:rsidR="00A36C76" w14:paraId="53AFB68A" w14:textId="77777777" w:rsidTr="006B22C2">
        <w:tc>
          <w:tcPr>
            <w:tcW w:w="1845" w:type="dxa"/>
            <w:tcBorders>
              <w:top w:val="nil"/>
              <w:left w:val="nil"/>
              <w:bottom w:val="nil"/>
              <w:right w:val="nil"/>
            </w:tcBorders>
          </w:tcPr>
          <w:p w14:paraId="5EB6C0A6" w14:textId="77777777" w:rsidR="00A36C76" w:rsidRPr="0008273A" w:rsidRDefault="00A36C76" w:rsidP="006B22C2">
            <w:pPr>
              <w:pStyle w:val="Paragraphe"/>
              <w:keepNext/>
              <w:numPr>
                <w:ilvl w:val="0"/>
                <w:numId w:val="0"/>
              </w:numPr>
              <w:spacing w:line="240" w:lineRule="auto"/>
              <w:jc w:val="left"/>
              <w:rPr>
                <w:rFonts w:ascii="Times New Roman" w:hAnsi="Times New Roman"/>
                <w:b/>
                <w:bCs/>
                <w:sz w:val="20"/>
              </w:rPr>
            </w:pPr>
            <w:r w:rsidRPr="0008273A">
              <w:rPr>
                <w:rFonts w:ascii="Times New Roman" w:hAnsi="Times New Roman"/>
                <w:sz w:val="20"/>
              </w:rPr>
              <w:t>2</w:t>
            </w:r>
            <w:r w:rsidRPr="0008273A">
              <w:rPr>
                <w:rFonts w:ascii="Times New Roman" w:hAnsi="Times New Roman"/>
                <w:sz w:val="20"/>
                <w:vertAlign w:val="superscript"/>
              </w:rPr>
              <w:t>e</w:t>
            </w:r>
            <w:r w:rsidRPr="0008273A">
              <w:rPr>
                <w:rFonts w:ascii="Times New Roman" w:hAnsi="Times New Roman"/>
                <w:sz w:val="20"/>
              </w:rPr>
              <w:t xml:space="preserve"> cycle – professionnel</w:t>
            </w:r>
          </w:p>
        </w:tc>
        <w:tc>
          <w:tcPr>
            <w:tcW w:w="1125" w:type="dxa"/>
            <w:tcBorders>
              <w:top w:val="nil"/>
              <w:left w:val="nil"/>
              <w:bottom w:val="nil"/>
              <w:right w:val="nil"/>
            </w:tcBorders>
          </w:tcPr>
          <w:p w14:paraId="24099618"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08273A">
              <w:rPr>
                <w:rFonts w:ascii="Times New Roman" w:hAnsi="Times New Roman"/>
                <w:sz w:val="20"/>
              </w:rPr>
              <w:t>2 881</w:t>
            </w:r>
          </w:p>
        </w:tc>
        <w:tc>
          <w:tcPr>
            <w:tcW w:w="1530" w:type="dxa"/>
            <w:tcBorders>
              <w:top w:val="nil"/>
              <w:left w:val="nil"/>
              <w:bottom w:val="nil"/>
              <w:right w:val="nil"/>
            </w:tcBorders>
          </w:tcPr>
          <w:p w14:paraId="1ECFDEE1"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F309E2">
              <w:rPr>
                <w:rFonts w:ascii="Times New Roman" w:hAnsi="Times New Roman"/>
                <w:sz w:val="20"/>
              </w:rPr>
              <w:t>9 119</w:t>
            </w:r>
          </w:p>
        </w:tc>
        <w:tc>
          <w:tcPr>
            <w:tcW w:w="1890" w:type="dxa"/>
            <w:tcBorders>
              <w:top w:val="nil"/>
              <w:left w:val="nil"/>
              <w:bottom w:val="nil"/>
              <w:right w:val="nil"/>
            </w:tcBorders>
          </w:tcPr>
          <w:p w14:paraId="27A60E25"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Pr>
                <w:rFonts w:ascii="Times New Roman" w:hAnsi="Times New Roman"/>
                <w:sz w:val="20"/>
              </w:rPr>
              <w:t>illimité</w:t>
            </w:r>
          </w:p>
        </w:tc>
        <w:tc>
          <w:tcPr>
            <w:tcW w:w="2520" w:type="dxa"/>
            <w:tcBorders>
              <w:top w:val="nil"/>
              <w:left w:val="nil"/>
              <w:bottom w:val="nil"/>
              <w:right w:val="nil"/>
            </w:tcBorders>
          </w:tcPr>
          <w:p w14:paraId="287961F5"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Pr>
                <w:rFonts w:ascii="Times New Roman" w:hAnsi="Times New Roman"/>
                <w:b/>
                <w:bCs/>
                <w:sz w:val="20"/>
              </w:rPr>
              <w:t>12 000 à illimité</w:t>
            </w:r>
          </w:p>
        </w:tc>
      </w:tr>
      <w:tr w:rsidR="00A36C76" w14:paraId="3A40324E" w14:textId="77777777" w:rsidTr="006B22C2">
        <w:tc>
          <w:tcPr>
            <w:tcW w:w="1845" w:type="dxa"/>
            <w:tcBorders>
              <w:top w:val="nil"/>
              <w:left w:val="nil"/>
              <w:bottom w:val="nil"/>
              <w:right w:val="nil"/>
            </w:tcBorders>
          </w:tcPr>
          <w:p w14:paraId="16FAB15D" w14:textId="77777777" w:rsidR="00A36C76" w:rsidRPr="0008273A" w:rsidRDefault="00A36C76" w:rsidP="006B22C2">
            <w:pPr>
              <w:pStyle w:val="Paragraphe"/>
              <w:keepNext/>
              <w:numPr>
                <w:ilvl w:val="0"/>
                <w:numId w:val="0"/>
              </w:numPr>
              <w:spacing w:line="240" w:lineRule="auto"/>
              <w:jc w:val="left"/>
              <w:rPr>
                <w:rFonts w:ascii="Times New Roman" w:hAnsi="Times New Roman"/>
                <w:b/>
                <w:bCs/>
                <w:sz w:val="20"/>
              </w:rPr>
            </w:pPr>
            <w:r w:rsidRPr="0008273A">
              <w:rPr>
                <w:rFonts w:ascii="Times New Roman" w:hAnsi="Times New Roman"/>
                <w:sz w:val="20"/>
              </w:rPr>
              <w:t>2</w:t>
            </w:r>
            <w:r w:rsidRPr="0008273A">
              <w:rPr>
                <w:rFonts w:ascii="Times New Roman" w:hAnsi="Times New Roman"/>
                <w:sz w:val="20"/>
                <w:vertAlign w:val="superscript"/>
              </w:rPr>
              <w:t>e</w:t>
            </w:r>
            <w:r w:rsidRPr="0008273A">
              <w:rPr>
                <w:rFonts w:ascii="Times New Roman" w:hAnsi="Times New Roman"/>
                <w:sz w:val="20"/>
              </w:rPr>
              <w:t xml:space="preserve"> cycle – recherche</w:t>
            </w:r>
          </w:p>
        </w:tc>
        <w:tc>
          <w:tcPr>
            <w:tcW w:w="1125" w:type="dxa"/>
            <w:tcBorders>
              <w:top w:val="nil"/>
              <w:left w:val="nil"/>
              <w:bottom w:val="nil"/>
              <w:right w:val="nil"/>
            </w:tcBorders>
          </w:tcPr>
          <w:p w14:paraId="2A72FF79"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08273A">
              <w:rPr>
                <w:rFonts w:ascii="Times New Roman" w:hAnsi="Times New Roman"/>
                <w:sz w:val="20"/>
              </w:rPr>
              <w:t>2 881</w:t>
            </w:r>
          </w:p>
        </w:tc>
        <w:tc>
          <w:tcPr>
            <w:tcW w:w="1530" w:type="dxa"/>
            <w:tcBorders>
              <w:top w:val="nil"/>
              <w:left w:val="nil"/>
              <w:bottom w:val="nil"/>
              <w:right w:val="nil"/>
            </w:tcBorders>
          </w:tcPr>
          <w:p w14:paraId="18BF91C3"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FE5780">
              <w:rPr>
                <w:rFonts w:ascii="Times New Roman" w:hAnsi="Times New Roman"/>
                <w:sz w:val="20"/>
              </w:rPr>
              <w:t>6</w:t>
            </w:r>
            <w:r w:rsidRPr="0008273A">
              <w:rPr>
                <w:rFonts w:ascii="Times New Roman" w:hAnsi="Times New Roman"/>
                <w:sz w:val="20"/>
              </w:rPr>
              <w:t> </w:t>
            </w:r>
            <w:r w:rsidRPr="00FE5780">
              <w:rPr>
                <w:rFonts w:ascii="Times New Roman" w:hAnsi="Times New Roman"/>
                <w:sz w:val="20"/>
              </w:rPr>
              <w:t>111</w:t>
            </w:r>
          </w:p>
        </w:tc>
        <w:tc>
          <w:tcPr>
            <w:tcW w:w="1890" w:type="dxa"/>
            <w:tcBorders>
              <w:top w:val="nil"/>
              <w:left w:val="nil"/>
              <w:bottom w:val="nil"/>
              <w:right w:val="nil"/>
            </w:tcBorders>
          </w:tcPr>
          <w:p w14:paraId="0847A04A"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Pr>
                <w:rFonts w:ascii="Times New Roman" w:hAnsi="Times New Roman"/>
                <w:sz w:val="20"/>
              </w:rPr>
              <w:t>s.o.</w:t>
            </w:r>
          </w:p>
        </w:tc>
        <w:tc>
          <w:tcPr>
            <w:tcW w:w="2520" w:type="dxa"/>
            <w:tcBorders>
              <w:top w:val="nil"/>
              <w:left w:val="nil"/>
              <w:bottom w:val="nil"/>
              <w:right w:val="nil"/>
            </w:tcBorders>
          </w:tcPr>
          <w:p w14:paraId="3EDCDE12"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9F26B8">
              <w:rPr>
                <w:rFonts w:ascii="Times New Roman" w:hAnsi="Times New Roman"/>
                <w:b/>
                <w:bCs/>
                <w:sz w:val="20"/>
              </w:rPr>
              <w:t>8 992</w:t>
            </w:r>
          </w:p>
        </w:tc>
      </w:tr>
      <w:tr w:rsidR="00A36C76" w14:paraId="02570391" w14:textId="77777777" w:rsidTr="006B22C2">
        <w:tc>
          <w:tcPr>
            <w:tcW w:w="1845" w:type="dxa"/>
            <w:tcBorders>
              <w:top w:val="nil"/>
              <w:left w:val="nil"/>
              <w:right w:val="nil"/>
            </w:tcBorders>
          </w:tcPr>
          <w:p w14:paraId="4BD6A50A" w14:textId="77777777" w:rsidR="00A36C76" w:rsidRPr="0008273A" w:rsidRDefault="00A36C76" w:rsidP="006B22C2">
            <w:pPr>
              <w:pStyle w:val="Paragraphe"/>
              <w:keepNext/>
              <w:numPr>
                <w:ilvl w:val="0"/>
                <w:numId w:val="0"/>
              </w:numPr>
              <w:spacing w:line="240" w:lineRule="auto"/>
              <w:jc w:val="left"/>
              <w:rPr>
                <w:rFonts w:ascii="Times New Roman" w:hAnsi="Times New Roman"/>
                <w:b/>
                <w:bCs/>
                <w:sz w:val="20"/>
              </w:rPr>
            </w:pPr>
            <w:r w:rsidRPr="0008273A">
              <w:rPr>
                <w:rFonts w:ascii="Times New Roman" w:hAnsi="Times New Roman"/>
                <w:sz w:val="20"/>
              </w:rPr>
              <w:t>3</w:t>
            </w:r>
            <w:r w:rsidRPr="0008273A">
              <w:rPr>
                <w:rFonts w:ascii="Times New Roman" w:hAnsi="Times New Roman"/>
                <w:sz w:val="20"/>
                <w:vertAlign w:val="superscript"/>
              </w:rPr>
              <w:t>e</w:t>
            </w:r>
            <w:r w:rsidRPr="0008273A">
              <w:rPr>
                <w:rFonts w:ascii="Times New Roman" w:hAnsi="Times New Roman"/>
                <w:sz w:val="20"/>
              </w:rPr>
              <w:t xml:space="preserve"> cycle</w:t>
            </w:r>
          </w:p>
        </w:tc>
        <w:tc>
          <w:tcPr>
            <w:tcW w:w="1125" w:type="dxa"/>
            <w:tcBorders>
              <w:top w:val="nil"/>
              <w:left w:val="nil"/>
              <w:right w:val="nil"/>
            </w:tcBorders>
          </w:tcPr>
          <w:p w14:paraId="04864E26"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08273A">
              <w:rPr>
                <w:rFonts w:ascii="Times New Roman" w:hAnsi="Times New Roman"/>
                <w:sz w:val="20"/>
              </w:rPr>
              <w:t>2 881</w:t>
            </w:r>
          </w:p>
        </w:tc>
        <w:tc>
          <w:tcPr>
            <w:tcW w:w="1530" w:type="dxa"/>
            <w:tcBorders>
              <w:top w:val="nil"/>
              <w:left w:val="nil"/>
              <w:right w:val="nil"/>
            </w:tcBorders>
          </w:tcPr>
          <w:p w14:paraId="2F70AF4B"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FE5780">
              <w:rPr>
                <w:rFonts w:ascii="Times New Roman" w:hAnsi="Times New Roman"/>
                <w:sz w:val="20"/>
              </w:rPr>
              <w:t>6</w:t>
            </w:r>
            <w:r w:rsidRPr="0008273A">
              <w:rPr>
                <w:rFonts w:ascii="Times New Roman" w:hAnsi="Times New Roman"/>
                <w:sz w:val="20"/>
              </w:rPr>
              <w:t> </w:t>
            </w:r>
            <w:r w:rsidRPr="00FE5780">
              <w:rPr>
                <w:rFonts w:ascii="Times New Roman" w:hAnsi="Times New Roman"/>
                <w:sz w:val="20"/>
              </w:rPr>
              <w:t>111</w:t>
            </w:r>
          </w:p>
        </w:tc>
        <w:tc>
          <w:tcPr>
            <w:tcW w:w="1890" w:type="dxa"/>
            <w:tcBorders>
              <w:top w:val="nil"/>
              <w:left w:val="nil"/>
              <w:right w:val="nil"/>
            </w:tcBorders>
          </w:tcPr>
          <w:p w14:paraId="11019F86"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Pr>
                <w:rFonts w:ascii="Times New Roman" w:hAnsi="Times New Roman"/>
                <w:sz w:val="20"/>
              </w:rPr>
              <w:t>s.o.</w:t>
            </w:r>
          </w:p>
        </w:tc>
        <w:tc>
          <w:tcPr>
            <w:tcW w:w="2520" w:type="dxa"/>
            <w:tcBorders>
              <w:top w:val="nil"/>
              <w:left w:val="nil"/>
              <w:right w:val="nil"/>
            </w:tcBorders>
          </w:tcPr>
          <w:p w14:paraId="065191E7"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9F26B8">
              <w:rPr>
                <w:rFonts w:ascii="Times New Roman" w:hAnsi="Times New Roman"/>
                <w:b/>
                <w:bCs/>
                <w:sz w:val="20"/>
              </w:rPr>
              <w:t>8 992</w:t>
            </w:r>
          </w:p>
        </w:tc>
      </w:tr>
      <w:tr w:rsidR="00A36C76" w14:paraId="654865A1" w14:textId="77777777" w:rsidTr="0081190A">
        <w:tc>
          <w:tcPr>
            <w:tcW w:w="8910" w:type="dxa"/>
            <w:gridSpan w:val="5"/>
            <w:tcBorders>
              <w:left w:val="nil"/>
              <w:bottom w:val="nil"/>
              <w:right w:val="nil"/>
            </w:tcBorders>
          </w:tcPr>
          <w:p w14:paraId="5F309170" w14:textId="77777777" w:rsidR="00A36C76" w:rsidRPr="0008273A" w:rsidRDefault="00A36C76" w:rsidP="006B22C2">
            <w:pPr>
              <w:pStyle w:val="Paragraphe"/>
              <w:keepNext/>
              <w:numPr>
                <w:ilvl w:val="0"/>
                <w:numId w:val="0"/>
              </w:numPr>
              <w:spacing w:line="240" w:lineRule="auto"/>
              <w:jc w:val="left"/>
              <w:rPr>
                <w:rFonts w:ascii="Times New Roman" w:hAnsi="Times New Roman"/>
                <w:b/>
                <w:bCs/>
                <w:sz w:val="20"/>
              </w:rPr>
            </w:pPr>
            <w:r w:rsidRPr="0008273A">
              <w:rPr>
                <w:rFonts w:ascii="Times New Roman" w:hAnsi="Times New Roman"/>
                <w:b/>
                <w:bCs/>
                <w:sz w:val="20"/>
                <w:u w:val="single"/>
              </w:rPr>
              <w:t>3. Internationaux</w:t>
            </w:r>
          </w:p>
        </w:tc>
      </w:tr>
      <w:tr w:rsidR="00A36C76" w14:paraId="5D2F2645" w14:textId="77777777" w:rsidTr="006B22C2">
        <w:tc>
          <w:tcPr>
            <w:tcW w:w="1845" w:type="dxa"/>
            <w:tcBorders>
              <w:top w:val="nil"/>
              <w:left w:val="nil"/>
              <w:bottom w:val="nil"/>
              <w:right w:val="nil"/>
            </w:tcBorders>
          </w:tcPr>
          <w:p w14:paraId="256FD092" w14:textId="77777777" w:rsidR="00A36C76" w:rsidRPr="0008273A" w:rsidRDefault="00A36C76" w:rsidP="006B22C2">
            <w:pPr>
              <w:pStyle w:val="Paragraphe"/>
              <w:keepNext/>
              <w:numPr>
                <w:ilvl w:val="0"/>
                <w:numId w:val="0"/>
              </w:numPr>
              <w:spacing w:line="240" w:lineRule="auto"/>
              <w:jc w:val="left"/>
              <w:rPr>
                <w:rFonts w:ascii="Times New Roman" w:hAnsi="Times New Roman"/>
                <w:b/>
                <w:bCs/>
                <w:sz w:val="20"/>
              </w:rPr>
            </w:pPr>
            <w:r w:rsidRPr="0008273A">
              <w:rPr>
                <w:rFonts w:ascii="Times New Roman" w:hAnsi="Times New Roman"/>
                <w:sz w:val="20"/>
              </w:rPr>
              <w:t>1</w:t>
            </w:r>
            <w:r w:rsidRPr="0008273A">
              <w:rPr>
                <w:rFonts w:ascii="Times New Roman" w:hAnsi="Times New Roman"/>
                <w:sz w:val="20"/>
                <w:vertAlign w:val="superscript"/>
              </w:rPr>
              <w:t>er</w:t>
            </w:r>
            <w:r w:rsidRPr="0008273A">
              <w:rPr>
                <w:rFonts w:ascii="Times New Roman" w:hAnsi="Times New Roman"/>
                <w:sz w:val="20"/>
              </w:rPr>
              <w:t xml:space="preserve"> cycle</w:t>
            </w:r>
          </w:p>
        </w:tc>
        <w:tc>
          <w:tcPr>
            <w:tcW w:w="1125" w:type="dxa"/>
            <w:tcBorders>
              <w:top w:val="nil"/>
              <w:left w:val="nil"/>
              <w:bottom w:val="nil"/>
              <w:right w:val="nil"/>
            </w:tcBorders>
          </w:tcPr>
          <w:p w14:paraId="4DA126E9"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08273A">
              <w:rPr>
                <w:rFonts w:ascii="Times New Roman" w:hAnsi="Times New Roman"/>
                <w:sz w:val="20"/>
              </w:rPr>
              <w:t>2 881</w:t>
            </w:r>
          </w:p>
        </w:tc>
        <w:tc>
          <w:tcPr>
            <w:tcW w:w="1530" w:type="dxa"/>
            <w:tcBorders>
              <w:top w:val="nil"/>
              <w:left w:val="nil"/>
              <w:bottom w:val="nil"/>
              <w:right w:val="nil"/>
            </w:tcBorders>
          </w:tcPr>
          <w:p w14:paraId="3A5EA97D" w14:textId="77777777" w:rsidR="00A36C76" w:rsidRPr="00923166" w:rsidRDefault="00A36C76" w:rsidP="006B22C2">
            <w:pPr>
              <w:pStyle w:val="Paragraphe"/>
              <w:keepNext/>
              <w:numPr>
                <w:ilvl w:val="0"/>
                <w:numId w:val="0"/>
              </w:numPr>
              <w:spacing w:line="240" w:lineRule="auto"/>
              <w:jc w:val="center"/>
              <w:rPr>
                <w:rFonts w:ascii="Times New Roman" w:hAnsi="Times New Roman"/>
                <w:sz w:val="20"/>
              </w:rPr>
            </w:pPr>
            <w:r w:rsidRPr="00923166">
              <w:rPr>
                <w:rFonts w:ascii="Times New Roman" w:hAnsi="Times New Roman"/>
                <w:sz w:val="20"/>
              </w:rPr>
              <w:t>17</w:t>
            </w:r>
            <w:r>
              <w:rPr>
                <w:rFonts w:ascii="Times New Roman" w:hAnsi="Times New Roman"/>
                <w:sz w:val="20"/>
              </w:rPr>
              <w:t> </w:t>
            </w:r>
            <w:r w:rsidRPr="00923166">
              <w:rPr>
                <w:rFonts w:ascii="Times New Roman" w:hAnsi="Times New Roman"/>
                <w:sz w:val="20"/>
              </w:rPr>
              <w:t>737</w:t>
            </w:r>
          </w:p>
        </w:tc>
        <w:tc>
          <w:tcPr>
            <w:tcW w:w="1890" w:type="dxa"/>
            <w:tcBorders>
              <w:top w:val="nil"/>
              <w:left w:val="nil"/>
              <w:bottom w:val="nil"/>
              <w:right w:val="nil"/>
            </w:tcBorders>
          </w:tcPr>
          <w:p w14:paraId="5C98E904" w14:textId="77777777" w:rsidR="00A36C76" w:rsidRPr="00923166" w:rsidRDefault="00A36C76" w:rsidP="006B22C2">
            <w:pPr>
              <w:pStyle w:val="Paragraphe"/>
              <w:keepNext/>
              <w:numPr>
                <w:ilvl w:val="0"/>
                <w:numId w:val="0"/>
              </w:numPr>
              <w:spacing w:line="240" w:lineRule="auto"/>
              <w:jc w:val="center"/>
              <w:rPr>
                <w:rFonts w:ascii="Times New Roman" w:hAnsi="Times New Roman"/>
                <w:sz w:val="20"/>
              </w:rPr>
            </w:pPr>
            <w:r>
              <w:rPr>
                <w:rFonts w:ascii="Times New Roman" w:hAnsi="Times New Roman"/>
                <w:sz w:val="20"/>
              </w:rPr>
              <w:t>illimité</w:t>
            </w:r>
          </w:p>
        </w:tc>
        <w:tc>
          <w:tcPr>
            <w:tcW w:w="2520" w:type="dxa"/>
            <w:tcBorders>
              <w:top w:val="nil"/>
              <w:left w:val="nil"/>
              <w:bottom w:val="nil"/>
              <w:right w:val="nil"/>
            </w:tcBorders>
          </w:tcPr>
          <w:p w14:paraId="713018AA"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Pr>
                <w:rFonts w:ascii="Times New Roman" w:hAnsi="Times New Roman"/>
                <w:b/>
                <w:bCs/>
                <w:sz w:val="20"/>
              </w:rPr>
              <w:t>20 618 à illimité</w:t>
            </w:r>
          </w:p>
        </w:tc>
      </w:tr>
      <w:tr w:rsidR="00A36C76" w14:paraId="692E948F" w14:textId="77777777" w:rsidTr="006B22C2">
        <w:tc>
          <w:tcPr>
            <w:tcW w:w="1845" w:type="dxa"/>
            <w:tcBorders>
              <w:top w:val="nil"/>
              <w:left w:val="nil"/>
              <w:bottom w:val="nil"/>
              <w:right w:val="nil"/>
            </w:tcBorders>
          </w:tcPr>
          <w:p w14:paraId="74DC1049" w14:textId="77777777" w:rsidR="00A36C76" w:rsidRPr="0008273A" w:rsidRDefault="00A36C76" w:rsidP="006B22C2">
            <w:pPr>
              <w:pStyle w:val="Paragraphe"/>
              <w:keepNext/>
              <w:numPr>
                <w:ilvl w:val="0"/>
                <w:numId w:val="0"/>
              </w:numPr>
              <w:spacing w:line="240" w:lineRule="auto"/>
              <w:jc w:val="left"/>
              <w:rPr>
                <w:rFonts w:ascii="Times New Roman" w:hAnsi="Times New Roman"/>
                <w:b/>
                <w:bCs/>
                <w:sz w:val="20"/>
              </w:rPr>
            </w:pPr>
            <w:r w:rsidRPr="0008273A">
              <w:rPr>
                <w:rFonts w:ascii="Times New Roman" w:hAnsi="Times New Roman"/>
                <w:sz w:val="20"/>
              </w:rPr>
              <w:t>2</w:t>
            </w:r>
            <w:r w:rsidRPr="0008273A">
              <w:rPr>
                <w:rFonts w:ascii="Times New Roman" w:hAnsi="Times New Roman"/>
                <w:sz w:val="20"/>
                <w:vertAlign w:val="superscript"/>
              </w:rPr>
              <w:t>e</w:t>
            </w:r>
            <w:r w:rsidRPr="0008273A">
              <w:rPr>
                <w:rFonts w:ascii="Times New Roman" w:hAnsi="Times New Roman"/>
                <w:sz w:val="20"/>
              </w:rPr>
              <w:t xml:space="preserve"> cycle – professionnel</w:t>
            </w:r>
          </w:p>
        </w:tc>
        <w:tc>
          <w:tcPr>
            <w:tcW w:w="1125" w:type="dxa"/>
            <w:tcBorders>
              <w:top w:val="nil"/>
              <w:left w:val="nil"/>
              <w:bottom w:val="nil"/>
              <w:right w:val="nil"/>
            </w:tcBorders>
          </w:tcPr>
          <w:p w14:paraId="3969BDF3"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08273A">
              <w:rPr>
                <w:rFonts w:ascii="Times New Roman" w:hAnsi="Times New Roman"/>
                <w:sz w:val="20"/>
              </w:rPr>
              <w:t>2 881</w:t>
            </w:r>
          </w:p>
        </w:tc>
        <w:tc>
          <w:tcPr>
            <w:tcW w:w="1530" w:type="dxa"/>
            <w:tcBorders>
              <w:top w:val="nil"/>
              <w:left w:val="nil"/>
              <w:bottom w:val="nil"/>
              <w:right w:val="nil"/>
            </w:tcBorders>
          </w:tcPr>
          <w:p w14:paraId="28A8EFD1" w14:textId="77777777" w:rsidR="00A36C76" w:rsidRPr="00923166" w:rsidRDefault="00A36C76" w:rsidP="006B22C2">
            <w:pPr>
              <w:pStyle w:val="Paragraphe"/>
              <w:keepNext/>
              <w:numPr>
                <w:ilvl w:val="0"/>
                <w:numId w:val="0"/>
              </w:numPr>
              <w:spacing w:line="240" w:lineRule="auto"/>
              <w:jc w:val="center"/>
              <w:rPr>
                <w:rFonts w:ascii="Times New Roman" w:hAnsi="Times New Roman"/>
                <w:sz w:val="20"/>
              </w:rPr>
            </w:pPr>
            <w:r w:rsidRPr="00923166">
              <w:rPr>
                <w:rFonts w:ascii="Times New Roman" w:hAnsi="Times New Roman"/>
                <w:sz w:val="20"/>
              </w:rPr>
              <w:t>17</w:t>
            </w:r>
            <w:r>
              <w:rPr>
                <w:rFonts w:ascii="Times New Roman" w:hAnsi="Times New Roman"/>
                <w:sz w:val="20"/>
              </w:rPr>
              <w:t> </w:t>
            </w:r>
            <w:r w:rsidRPr="00923166">
              <w:rPr>
                <w:rFonts w:ascii="Times New Roman" w:hAnsi="Times New Roman"/>
                <w:sz w:val="20"/>
              </w:rPr>
              <w:t>737</w:t>
            </w:r>
          </w:p>
        </w:tc>
        <w:tc>
          <w:tcPr>
            <w:tcW w:w="1890" w:type="dxa"/>
            <w:tcBorders>
              <w:top w:val="nil"/>
              <w:left w:val="nil"/>
              <w:bottom w:val="nil"/>
              <w:right w:val="nil"/>
            </w:tcBorders>
          </w:tcPr>
          <w:p w14:paraId="7404E4E9" w14:textId="77777777" w:rsidR="00A36C76" w:rsidRPr="00923166" w:rsidRDefault="00A36C76" w:rsidP="006B22C2">
            <w:pPr>
              <w:pStyle w:val="Paragraphe"/>
              <w:keepNext/>
              <w:numPr>
                <w:ilvl w:val="0"/>
                <w:numId w:val="0"/>
              </w:numPr>
              <w:spacing w:line="240" w:lineRule="auto"/>
              <w:jc w:val="center"/>
              <w:rPr>
                <w:rFonts w:ascii="Times New Roman" w:hAnsi="Times New Roman"/>
                <w:sz w:val="20"/>
              </w:rPr>
            </w:pPr>
            <w:r>
              <w:rPr>
                <w:rFonts w:ascii="Times New Roman" w:hAnsi="Times New Roman"/>
                <w:sz w:val="20"/>
              </w:rPr>
              <w:t>illimité</w:t>
            </w:r>
          </w:p>
        </w:tc>
        <w:tc>
          <w:tcPr>
            <w:tcW w:w="2520" w:type="dxa"/>
            <w:tcBorders>
              <w:top w:val="nil"/>
              <w:left w:val="nil"/>
              <w:bottom w:val="nil"/>
              <w:right w:val="nil"/>
            </w:tcBorders>
          </w:tcPr>
          <w:p w14:paraId="7ACEC37D"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Pr>
                <w:rFonts w:ascii="Times New Roman" w:hAnsi="Times New Roman"/>
                <w:b/>
                <w:bCs/>
                <w:sz w:val="20"/>
              </w:rPr>
              <w:t>20 618 à illimité</w:t>
            </w:r>
          </w:p>
        </w:tc>
      </w:tr>
      <w:tr w:rsidR="00A36C76" w14:paraId="46D81A64" w14:textId="77777777" w:rsidTr="006B22C2">
        <w:tc>
          <w:tcPr>
            <w:tcW w:w="1845" w:type="dxa"/>
            <w:tcBorders>
              <w:top w:val="nil"/>
              <w:left w:val="nil"/>
              <w:bottom w:val="nil"/>
              <w:right w:val="nil"/>
            </w:tcBorders>
          </w:tcPr>
          <w:p w14:paraId="3B061F6C" w14:textId="77777777" w:rsidR="00A36C76" w:rsidRPr="0008273A" w:rsidRDefault="00A36C76" w:rsidP="006B22C2">
            <w:pPr>
              <w:pStyle w:val="Paragraphe"/>
              <w:keepNext/>
              <w:numPr>
                <w:ilvl w:val="0"/>
                <w:numId w:val="0"/>
              </w:numPr>
              <w:spacing w:line="240" w:lineRule="auto"/>
              <w:jc w:val="left"/>
              <w:rPr>
                <w:rFonts w:ascii="Times New Roman" w:hAnsi="Times New Roman"/>
                <w:b/>
                <w:bCs/>
                <w:sz w:val="20"/>
              </w:rPr>
            </w:pPr>
            <w:r w:rsidRPr="0008273A">
              <w:rPr>
                <w:rFonts w:ascii="Times New Roman" w:hAnsi="Times New Roman"/>
                <w:sz w:val="20"/>
              </w:rPr>
              <w:t>2</w:t>
            </w:r>
            <w:r w:rsidRPr="0008273A">
              <w:rPr>
                <w:rFonts w:ascii="Times New Roman" w:hAnsi="Times New Roman"/>
                <w:sz w:val="20"/>
                <w:vertAlign w:val="superscript"/>
              </w:rPr>
              <w:t>e</w:t>
            </w:r>
            <w:r w:rsidRPr="0008273A">
              <w:rPr>
                <w:rFonts w:ascii="Times New Roman" w:hAnsi="Times New Roman"/>
                <w:sz w:val="20"/>
              </w:rPr>
              <w:t xml:space="preserve"> cycle – recherche</w:t>
            </w:r>
          </w:p>
        </w:tc>
        <w:tc>
          <w:tcPr>
            <w:tcW w:w="1125" w:type="dxa"/>
            <w:tcBorders>
              <w:top w:val="nil"/>
              <w:left w:val="nil"/>
              <w:bottom w:val="nil"/>
              <w:right w:val="nil"/>
            </w:tcBorders>
          </w:tcPr>
          <w:p w14:paraId="74F0342B"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sidRPr="0008273A">
              <w:rPr>
                <w:rFonts w:ascii="Times New Roman" w:hAnsi="Times New Roman"/>
                <w:sz w:val="20"/>
              </w:rPr>
              <w:t>2 881</w:t>
            </w:r>
          </w:p>
        </w:tc>
        <w:tc>
          <w:tcPr>
            <w:tcW w:w="1530" w:type="dxa"/>
            <w:tcBorders>
              <w:top w:val="nil"/>
              <w:left w:val="nil"/>
              <w:bottom w:val="nil"/>
              <w:right w:val="nil"/>
            </w:tcBorders>
          </w:tcPr>
          <w:p w14:paraId="3E0E4FD4" w14:textId="77777777" w:rsidR="00A36C76" w:rsidRPr="00923166" w:rsidRDefault="00A36C76" w:rsidP="006B22C2">
            <w:pPr>
              <w:pStyle w:val="Paragraphe"/>
              <w:keepNext/>
              <w:numPr>
                <w:ilvl w:val="0"/>
                <w:numId w:val="0"/>
              </w:numPr>
              <w:spacing w:line="240" w:lineRule="auto"/>
              <w:jc w:val="center"/>
              <w:rPr>
                <w:rFonts w:ascii="Times New Roman" w:hAnsi="Times New Roman"/>
                <w:sz w:val="20"/>
              </w:rPr>
            </w:pPr>
            <w:r>
              <w:rPr>
                <w:rFonts w:ascii="Times New Roman" w:hAnsi="Times New Roman"/>
                <w:sz w:val="20"/>
              </w:rPr>
              <w:t>15 316</w:t>
            </w:r>
          </w:p>
        </w:tc>
        <w:tc>
          <w:tcPr>
            <w:tcW w:w="1890" w:type="dxa"/>
            <w:tcBorders>
              <w:top w:val="nil"/>
              <w:left w:val="nil"/>
              <w:bottom w:val="nil"/>
              <w:right w:val="nil"/>
            </w:tcBorders>
          </w:tcPr>
          <w:p w14:paraId="46195BBF" w14:textId="77777777" w:rsidR="00A36C76" w:rsidRPr="00923166" w:rsidRDefault="00A36C76" w:rsidP="006B22C2">
            <w:pPr>
              <w:pStyle w:val="Paragraphe"/>
              <w:keepNext/>
              <w:numPr>
                <w:ilvl w:val="0"/>
                <w:numId w:val="0"/>
              </w:numPr>
              <w:spacing w:line="240" w:lineRule="auto"/>
              <w:jc w:val="center"/>
              <w:rPr>
                <w:rFonts w:ascii="Times New Roman" w:hAnsi="Times New Roman"/>
                <w:sz w:val="20"/>
              </w:rPr>
            </w:pPr>
            <w:r>
              <w:rPr>
                <w:rFonts w:ascii="Times New Roman" w:hAnsi="Times New Roman"/>
                <w:sz w:val="20"/>
              </w:rPr>
              <w:t>1 532</w:t>
            </w:r>
          </w:p>
        </w:tc>
        <w:tc>
          <w:tcPr>
            <w:tcW w:w="2520" w:type="dxa"/>
            <w:tcBorders>
              <w:top w:val="nil"/>
              <w:left w:val="nil"/>
              <w:bottom w:val="nil"/>
              <w:right w:val="nil"/>
            </w:tcBorders>
          </w:tcPr>
          <w:p w14:paraId="55E17F29"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Pr>
                <w:rFonts w:ascii="Times New Roman" w:hAnsi="Times New Roman"/>
                <w:b/>
                <w:bCs/>
                <w:sz w:val="20"/>
              </w:rPr>
              <w:t>18 197 à 19 729</w:t>
            </w:r>
          </w:p>
        </w:tc>
      </w:tr>
      <w:tr w:rsidR="00A36C76" w14:paraId="6E639469" w14:textId="77777777" w:rsidTr="006B22C2">
        <w:tc>
          <w:tcPr>
            <w:tcW w:w="1845" w:type="dxa"/>
            <w:tcBorders>
              <w:top w:val="nil"/>
              <w:left w:val="nil"/>
              <w:right w:val="nil"/>
            </w:tcBorders>
          </w:tcPr>
          <w:p w14:paraId="6B7947A4" w14:textId="77777777" w:rsidR="00A36C76" w:rsidRPr="0008273A" w:rsidRDefault="00A36C76" w:rsidP="006B22C2">
            <w:pPr>
              <w:pStyle w:val="Paragraphe"/>
              <w:keepNext/>
              <w:numPr>
                <w:ilvl w:val="0"/>
                <w:numId w:val="0"/>
              </w:numPr>
              <w:spacing w:line="240" w:lineRule="auto"/>
              <w:jc w:val="left"/>
              <w:rPr>
                <w:rFonts w:ascii="Times New Roman" w:hAnsi="Times New Roman"/>
                <w:b/>
                <w:bCs/>
                <w:sz w:val="20"/>
              </w:rPr>
            </w:pPr>
            <w:r w:rsidRPr="0008273A">
              <w:rPr>
                <w:rFonts w:ascii="Times New Roman" w:hAnsi="Times New Roman"/>
                <w:sz w:val="20"/>
              </w:rPr>
              <w:t>3</w:t>
            </w:r>
            <w:r w:rsidRPr="0008273A">
              <w:rPr>
                <w:rFonts w:ascii="Times New Roman" w:hAnsi="Times New Roman"/>
                <w:sz w:val="20"/>
                <w:vertAlign w:val="superscript"/>
              </w:rPr>
              <w:t>e</w:t>
            </w:r>
            <w:r w:rsidRPr="0008273A">
              <w:rPr>
                <w:rFonts w:ascii="Times New Roman" w:hAnsi="Times New Roman"/>
                <w:sz w:val="20"/>
              </w:rPr>
              <w:t xml:space="preserve"> cycle</w:t>
            </w:r>
          </w:p>
        </w:tc>
        <w:tc>
          <w:tcPr>
            <w:tcW w:w="1125" w:type="dxa"/>
            <w:tcBorders>
              <w:top w:val="nil"/>
              <w:left w:val="nil"/>
              <w:right w:val="nil"/>
            </w:tcBorders>
          </w:tcPr>
          <w:p w14:paraId="26BE4C33" w14:textId="77777777" w:rsidR="00A36C76" w:rsidRPr="0008273A" w:rsidRDefault="00A36C76" w:rsidP="006B22C2">
            <w:pPr>
              <w:pStyle w:val="Paragraphe"/>
              <w:keepNext/>
              <w:numPr>
                <w:ilvl w:val="0"/>
                <w:numId w:val="0"/>
              </w:numPr>
              <w:spacing w:line="240" w:lineRule="auto"/>
              <w:jc w:val="center"/>
              <w:rPr>
                <w:rFonts w:ascii="Times New Roman" w:hAnsi="Times New Roman"/>
                <w:sz w:val="20"/>
              </w:rPr>
            </w:pPr>
            <w:r w:rsidRPr="0008273A">
              <w:rPr>
                <w:rFonts w:ascii="Times New Roman" w:hAnsi="Times New Roman"/>
                <w:sz w:val="20"/>
              </w:rPr>
              <w:t>2 881</w:t>
            </w:r>
          </w:p>
        </w:tc>
        <w:tc>
          <w:tcPr>
            <w:tcW w:w="1530" w:type="dxa"/>
            <w:tcBorders>
              <w:top w:val="nil"/>
              <w:left w:val="nil"/>
              <w:right w:val="nil"/>
            </w:tcBorders>
          </w:tcPr>
          <w:p w14:paraId="6D7E1079" w14:textId="77777777" w:rsidR="00A36C76" w:rsidRPr="00923166" w:rsidRDefault="00A36C76" w:rsidP="006B22C2">
            <w:pPr>
              <w:pStyle w:val="Paragraphe"/>
              <w:keepNext/>
              <w:numPr>
                <w:ilvl w:val="0"/>
                <w:numId w:val="0"/>
              </w:numPr>
              <w:spacing w:line="240" w:lineRule="auto"/>
              <w:jc w:val="center"/>
              <w:rPr>
                <w:rFonts w:ascii="Times New Roman" w:hAnsi="Times New Roman"/>
                <w:sz w:val="20"/>
              </w:rPr>
            </w:pPr>
            <w:r>
              <w:rPr>
                <w:rFonts w:ascii="Times New Roman" w:hAnsi="Times New Roman"/>
                <w:sz w:val="20"/>
              </w:rPr>
              <w:t>13 480</w:t>
            </w:r>
          </w:p>
        </w:tc>
        <w:tc>
          <w:tcPr>
            <w:tcW w:w="1890" w:type="dxa"/>
            <w:tcBorders>
              <w:top w:val="nil"/>
              <w:left w:val="nil"/>
              <w:right w:val="nil"/>
            </w:tcBorders>
          </w:tcPr>
          <w:p w14:paraId="184AEAE5" w14:textId="77777777" w:rsidR="00A36C76" w:rsidRPr="00923166" w:rsidRDefault="00A36C76" w:rsidP="006B22C2">
            <w:pPr>
              <w:pStyle w:val="Paragraphe"/>
              <w:keepNext/>
              <w:numPr>
                <w:ilvl w:val="0"/>
                <w:numId w:val="0"/>
              </w:numPr>
              <w:spacing w:line="240" w:lineRule="auto"/>
              <w:jc w:val="center"/>
              <w:rPr>
                <w:rFonts w:ascii="Times New Roman" w:hAnsi="Times New Roman"/>
                <w:sz w:val="20"/>
              </w:rPr>
            </w:pPr>
            <w:r>
              <w:rPr>
                <w:rFonts w:ascii="Times New Roman" w:hAnsi="Times New Roman"/>
                <w:sz w:val="20"/>
              </w:rPr>
              <w:t>1 348</w:t>
            </w:r>
          </w:p>
        </w:tc>
        <w:tc>
          <w:tcPr>
            <w:tcW w:w="2520" w:type="dxa"/>
            <w:tcBorders>
              <w:top w:val="nil"/>
              <w:left w:val="nil"/>
              <w:right w:val="nil"/>
            </w:tcBorders>
          </w:tcPr>
          <w:p w14:paraId="0D220D44" w14:textId="77777777" w:rsidR="00A36C76" w:rsidRPr="0008273A" w:rsidRDefault="00A36C76" w:rsidP="006B22C2">
            <w:pPr>
              <w:pStyle w:val="Paragraphe"/>
              <w:keepNext/>
              <w:numPr>
                <w:ilvl w:val="0"/>
                <w:numId w:val="0"/>
              </w:numPr>
              <w:spacing w:line="240" w:lineRule="auto"/>
              <w:jc w:val="center"/>
              <w:rPr>
                <w:rFonts w:ascii="Times New Roman" w:hAnsi="Times New Roman"/>
                <w:b/>
                <w:bCs/>
                <w:sz w:val="20"/>
              </w:rPr>
            </w:pPr>
            <w:r>
              <w:rPr>
                <w:rFonts w:ascii="Times New Roman" w:hAnsi="Times New Roman"/>
                <w:b/>
                <w:bCs/>
                <w:sz w:val="20"/>
              </w:rPr>
              <w:t>16 361 à 17 709</w:t>
            </w:r>
          </w:p>
        </w:tc>
      </w:tr>
      <w:tr w:rsidR="00A36C76" w14:paraId="476BFED7" w14:textId="77777777" w:rsidTr="0081190A">
        <w:tc>
          <w:tcPr>
            <w:tcW w:w="8910" w:type="dxa"/>
            <w:gridSpan w:val="5"/>
            <w:tcBorders>
              <w:left w:val="nil"/>
              <w:bottom w:val="nil"/>
              <w:right w:val="nil"/>
            </w:tcBorders>
          </w:tcPr>
          <w:p w14:paraId="7D416E83" w14:textId="77777777" w:rsidR="00A36C76" w:rsidRPr="006A3C93" w:rsidRDefault="00A36C76" w:rsidP="006B22C2">
            <w:pPr>
              <w:pStyle w:val="Paragraphe"/>
              <w:keepNext/>
              <w:numPr>
                <w:ilvl w:val="0"/>
                <w:numId w:val="0"/>
              </w:numPr>
              <w:spacing w:line="240" w:lineRule="auto"/>
              <w:contextualSpacing/>
              <w:jc w:val="left"/>
              <w:rPr>
                <w:rFonts w:ascii="Times New Roman" w:hAnsi="Times New Roman"/>
                <w:sz w:val="16"/>
              </w:rPr>
            </w:pPr>
            <w:r w:rsidRPr="006A3C93">
              <w:rPr>
                <w:rFonts w:ascii="Times New Roman" w:hAnsi="Times New Roman"/>
                <w:sz w:val="16"/>
                <w:vertAlign w:val="superscript"/>
              </w:rPr>
              <w:t>1</w:t>
            </w:r>
            <w:r w:rsidRPr="006A3C93">
              <w:rPr>
                <w:rFonts w:ascii="Times New Roman" w:hAnsi="Times New Roman"/>
                <w:sz w:val="16"/>
              </w:rPr>
              <w:t xml:space="preserve"> Conservés par les universités</w:t>
            </w:r>
          </w:p>
          <w:p w14:paraId="523986DC" w14:textId="77777777" w:rsidR="00A36C76" w:rsidRPr="006A3C93" w:rsidRDefault="00A36C76" w:rsidP="006B22C2">
            <w:pPr>
              <w:pStyle w:val="Paragraphe"/>
              <w:keepNext/>
              <w:numPr>
                <w:ilvl w:val="0"/>
                <w:numId w:val="0"/>
              </w:numPr>
              <w:spacing w:line="240" w:lineRule="auto"/>
              <w:contextualSpacing/>
              <w:jc w:val="left"/>
              <w:rPr>
                <w:rFonts w:ascii="Times New Roman" w:hAnsi="Times New Roman"/>
                <w:sz w:val="16"/>
              </w:rPr>
            </w:pPr>
            <w:r w:rsidRPr="006A3C93">
              <w:rPr>
                <w:rFonts w:ascii="Times New Roman" w:hAnsi="Times New Roman"/>
                <w:sz w:val="16"/>
                <w:vertAlign w:val="superscript"/>
              </w:rPr>
              <w:t>2</w:t>
            </w:r>
            <w:r w:rsidRPr="006A3C93">
              <w:rPr>
                <w:rFonts w:ascii="Times New Roman" w:hAnsi="Times New Roman"/>
                <w:sz w:val="16"/>
              </w:rPr>
              <w:t xml:space="preserve"> Récupéré par le Ministère</w:t>
            </w:r>
          </w:p>
          <w:p w14:paraId="03F775B9" w14:textId="77777777" w:rsidR="00A36C76" w:rsidRPr="00FD343D" w:rsidRDefault="00A36C76" w:rsidP="006B22C2">
            <w:pPr>
              <w:pStyle w:val="Paragraphe"/>
              <w:keepNext/>
              <w:numPr>
                <w:ilvl w:val="0"/>
                <w:numId w:val="0"/>
              </w:numPr>
              <w:spacing w:line="240" w:lineRule="auto"/>
              <w:contextualSpacing/>
              <w:jc w:val="left"/>
              <w:rPr>
                <w:rFonts w:ascii="Times New Roman" w:hAnsi="Times New Roman"/>
                <w:b/>
                <w:bCs/>
                <w:sz w:val="20"/>
              </w:rPr>
            </w:pPr>
            <w:r w:rsidRPr="006A3C93">
              <w:rPr>
                <w:rFonts w:ascii="Times New Roman" w:hAnsi="Times New Roman"/>
                <w:sz w:val="16"/>
                <w:vertAlign w:val="superscript"/>
              </w:rPr>
              <w:t>3</w:t>
            </w:r>
            <w:r w:rsidRPr="006A3C93">
              <w:rPr>
                <w:rFonts w:ascii="Times New Roman" w:hAnsi="Times New Roman"/>
                <w:sz w:val="16"/>
              </w:rPr>
              <w:t xml:space="preserve"> Conservé par les universités</w:t>
            </w:r>
          </w:p>
        </w:tc>
      </w:tr>
    </w:tbl>
    <w:p w14:paraId="1CF8B8AA" w14:textId="1307B778" w:rsidR="004C497C" w:rsidRDefault="004C497C" w:rsidP="0082018A">
      <w:pPr>
        <w:pStyle w:val="Paragraphe"/>
        <w:tabs>
          <w:tab w:val="num" w:pos="720"/>
        </w:tabs>
        <w:spacing w:line="240" w:lineRule="auto"/>
        <w:ind w:left="0"/>
        <w:rPr>
          <w:rFonts w:cs="Arial"/>
        </w:rPr>
      </w:pPr>
      <w:r>
        <w:rPr>
          <w:rFonts w:cs="Arial"/>
        </w:rPr>
        <w:t xml:space="preserve">Ce sont donc sur ces objectifs </w:t>
      </w:r>
      <w:r w:rsidR="00255AE7">
        <w:rPr>
          <w:rFonts w:cs="Arial"/>
        </w:rPr>
        <w:t xml:space="preserve">précis que </w:t>
      </w:r>
      <w:r w:rsidR="00255AE7" w:rsidRPr="00C644A1">
        <w:rPr>
          <w:rFonts w:cs="Arial"/>
        </w:rPr>
        <w:t>constituent</w:t>
      </w:r>
      <w:r w:rsidR="00255AE7">
        <w:rPr>
          <w:rFonts w:cs="Arial"/>
        </w:rPr>
        <w:t xml:space="preserve"> le besoin de rééquilibrer le financement des universités, de s’assurer d’une meilleure rétention des étudiants et de leur intégration au Québec </w:t>
      </w:r>
      <w:r w:rsidR="007D77C6">
        <w:rPr>
          <w:rFonts w:cs="Arial"/>
        </w:rPr>
        <w:t>qu’il faut</w:t>
      </w:r>
      <w:r>
        <w:rPr>
          <w:rFonts w:cs="Arial"/>
        </w:rPr>
        <w:t xml:space="preserve"> focaliser, </w:t>
      </w:r>
      <w:r w:rsidR="002D6AD1">
        <w:rPr>
          <w:rFonts w:cs="Arial"/>
        </w:rPr>
        <w:t>même s’il convi</w:t>
      </w:r>
      <w:r w:rsidR="004F7B53">
        <w:rPr>
          <w:rFonts w:cs="Arial"/>
        </w:rPr>
        <w:t>e</w:t>
      </w:r>
      <w:r w:rsidR="002D6AD1">
        <w:rPr>
          <w:rFonts w:cs="Arial"/>
        </w:rPr>
        <w:t xml:space="preserve">nt de </w:t>
      </w:r>
      <w:r>
        <w:rPr>
          <w:rFonts w:cs="Arial"/>
        </w:rPr>
        <w:t>gard</w:t>
      </w:r>
      <w:r w:rsidR="002D6AD1">
        <w:rPr>
          <w:rFonts w:cs="Arial"/>
        </w:rPr>
        <w:t>er</w:t>
      </w:r>
      <w:r>
        <w:rPr>
          <w:rFonts w:cs="Arial"/>
        </w:rPr>
        <w:t xml:space="preserve"> en tête le cadre général de la </w:t>
      </w:r>
      <w:r w:rsidR="002D6AD1">
        <w:rPr>
          <w:rFonts w:cs="Arial"/>
        </w:rPr>
        <w:t>P</w:t>
      </w:r>
      <w:r>
        <w:rPr>
          <w:rFonts w:cs="Arial"/>
        </w:rPr>
        <w:t>olitique de financement.</w:t>
      </w:r>
    </w:p>
    <w:p w14:paraId="2560D223" w14:textId="6C2E7422" w:rsidR="008A14C7" w:rsidRDefault="004C497C" w:rsidP="0082018A">
      <w:pPr>
        <w:pStyle w:val="Paragraphe"/>
        <w:tabs>
          <w:tab w:val="num" w:pos="720"/>
        </w:tabs>
        <w:spacing w:line="240" w:lineRule="auto"/>
        <w:ind w:left="0"/>
        <w:rPr>
          <w:rFonts w:cs="Arial"/>
        </w:rPr>
      </w:pPr>
      <w:r>
        <w:rPr>
          <w:rFonts w:cs="Arial"/>
        </w:rPr>
        <w:t>R</w:t>
      </w:r>
      <w:r w:rsidR="008A14C7">
        <w:rPr>
          <w:rFonts w:cs="Arial"/>
        </w:rPr>
        <w:t xml:space="preserve">evoyons </w:t>
      </w:r>
      <w:r w:rsidR="00455CCC">
        <w:rPr>
          <w:rFonts w:cs="Arial"/>
        </w:rPr>
        <w:t>u</w:t>
      </w:r>
      <w:r w:rsidR="008A14C7">
        <w:rPr>
          <w:rFonts w:cs="Arial"/>
        </w:rPr>
        <w:t>n à un</w:t>
      </w:r>
      <w:r w:rsidR="00455CCC">
        <w:rPr>
          <w:rFonts w:cs="Arial"/>
        </w:rPr>
        <w:t xml:space="preserve"> les mot</w:t>
      </w:r>
      <w:r w:rsidR="004E784D">
        <w:rPr>
          <w:rFonts w:cs="Arial"/>
        </w:rPr>
        <w:t>i</w:t>
      </w:r>
      <w:r w:rsidR="006B6FBD">
        <w:rPr>
          <w:rFonts w:cs="Arial"/>
        </w:rPr>
        <w:t>fs qu’invoque la</w:t>
      </w:r>
      <w:r w:rsidR="00455CCC">
        <w:rPr>
          <w:rFonts w:cs="Arial"/>
        </w:rPr>
        <w:t xml:space="preserve"> Ministre</w:t>
      </w:r>
      <w:r w:rsidR="008A14C7">
        <w:rPr>
          <w:rFonts w:cs="Arial"/>
        </w:rPr>
        <w:t>.</w:t>
      </w:r>
    </w:p>
    <w:p w14:paraId="1CFD6DFF" w14:textId="4B81476B" w:rsidR="00670803" w:rsidRPr="00670803" w:rsidRDefault="006B6FBD" w:rsidP="00514D71">
      <w:pPr>
        <w:pStyle w:val="Paragraphe"/>
        <w:numPr>
          <w:ilvl w:val="1"/>
          <w:numId w:val="6"/>
        </w:numPr>
        <w:spacing w:line="240" w:lineRule="auto"/>
        <w:ind w:left="2520"/>
        <w:rPr>
          <w:rFonts w:cs="Arial"/>
          <w:b/>
          <w:bCs/>
        </w:rPr>
      </w:pPr>
      <w:r w:rsidRPr="00670803">
        <w:rPr>
          <w:rFonts w:cs="Arial"/>
          <w:b/>
          <w:bCs/>
        </w:rPr>
        <w:t>Rétablir</w:t>
      </w:r>
      <w:r w:rsidR="00670803" w:rsidRPr="00670803">
        <w:rPr>
          <w:rFonts w:cs="Arial"/>
          <w:b/>
          <w:bCs/>
        </w:rPr>
        <w:t xml:space="preserve"> un équilibre financier entre les universités anglophones et francophones</w:t>
      </w:r>
    </w:p>
    <w:p w14:paraId="6B5C1860" w14:textId="67EBBBCC" w:rsidR="008A14C7" w:rsidRDefault="004F7B53" w:rsidP="0082018A">
      <w:pPr>
        <w:pStyle w:val="Paragraphe"/>
        <w:tabs>
          <w:tab w:val="num" w:pos="720"/>
        </w:tabs>
        <w:spacing w:line="240" w:lineRule="auto"/>
        <w:ind w:left="0"/>
        <w:rPr>
          <w:rFonts w:cs="Arial"/>
        </w:rPr>
      </w:pPr>
      <w:r w:rsidRPr="004F7B53">
        <w:rPr>
          <w:rFonts w:cs="Arial"/>
        </w:rPr>
        <w:t>Un</w:t>
      </w:r>
      <w:r w:rsidR="008929C3" w:rsidRPr="004F7B53">
        <w:rPr>
          <w:rFonts w:cs="Arial"/>
        </w:rPr>
        <w:t xml:space="preserve"> déséquilibre financier existerait entre les universités francophones et les universités anglophones. </w:t>
      </w:r>
      <w:r w:rsidRPr="004F7B53">
        <w:rPr>
          <w:rFonts w:cs="Arial"/>
        </w:rPr>
        <w:t>La Ministre</w:t>
      </w:r>
      <w:r w:rsidR="008929C3" w:rsidRPr="004F7B53">
        <w:rPr>
          <w:rFonts w:cs="Arial"/>
        </w:rPr>
        <w:t xml:space="preserve"> réfère plus particulièrement </w:t>
      </w:r>
      <w:r w:rsidR="00B031B4" w:rsidRPr="004F7B53">
        <w:rPr>
          <w:rFonts w:cs="Arial"/>
        </w:rPr>
        <w:t>aux revenus provenant des étudiants Internationaux déréglementés que génèrent les universités anglophones</w:t>
      </w:r>
      <w:r w:rsidR="008929C3" w:rsidRPr="004F7B53">
        <w:rPr>
          <w:rFonts w:cs="Arial"/>
        </w:rPr>
        <w:t>. C’est en effet ce que laisse voir la lettre du 14</w:t>
      </w:r>
      <w:r w:rsidR="00CF1A8E" w:rsidRPr="004F7B53">
        <w:rPr>
          <w:rFonts w:cs="Arial"/>
        </w:rPr>
        <w:t> </w:t>
      </w:r>
      <w:r w:rsidR="008929C3" w:rsidRPr="004F7B53">
        <w:rPr>
          <w:rFonts w:cs="Arial"/>
        </w:rPr>
        <w:t>décembre</w:t>
      </w:r>
      <w:r w:rsidR="00CF1A8E" w:rsidRPr="004F7B53">
        <w:rPr>
          <w:rFonts w:cs="Arial"/>
        </w:rPr>
        <w:t> </w:t>
      </w:r>
      <w:r w:rsidR="008929C3" w:rsidRPr="004F7B53">
        <w:rPr>
          <w:rFonts w:cs="Arial"/>
        </w:rPr>
        <w:t>2023</w:t>
      </w:r>
      <w:r w:rsidR="008929C3" w:rsidRPr="004F7B53">
        <w:rPr>
          <w:rStyle w:val="Appelnotedebasdep"/>
          <w:rFonts w:cs="Arial"/>
        </w:rPr>
        <w:footnoteReference w:id="112"/>
      </w:r>
      <w:r w:rsidR="008929C3" w:rsidRPr="004F7B53">
        <w:rPr>
          <w:rFonts w:cs="Arial"/>
        </w:rPr>
        <w:t xml:space="preserve"> et ce qu’affirme monsieur Leclerc dans sa déclaration sous serment du 17</w:t>
      </w:r>
      <w:r w:rsidR="00CF1A8E" w:rsidRPr="004F7B53">
        <w:rPr>
          <w:rFonts w:cs="Arial"/>
        </w:rPr>
        <w:t> </w:t>
      </w:r>
      <w:r w:rsidR="008929C3" w:rsidRPr="004F7B53">
        <w:rPr>
          <w:rFonts w:cs="Arial"/>
        </w:rPr>
        <w:t>mai</w:t>
      </w:r>
      <w:r w:rsidR="00CF1A8E" w:rsidRPr="004F7B53">
        <w:rPr>
          <w:rFonts w:cs="Arial"/>
        </w:rPr>
        <w:t> </w:t>
      </w:r>
      <w:r w:rsidR="008929C3" w:rsidRPr="004F7B53">
        <w:rPr>
          <w:rFonts w:cs="Arial"/>
        </w:rPr>
        <w:t>2024</w:t>
      </w:r>
      <w:r w:rsidR="008929C3" w:rsidRPr="004F7B53">
        <w:rPr>
          <w:rStyle w:val="Appelnotedebasdep"/>
          <w:rFonts w:cs="Arial"/>
        </w:rPr>
        <w:footnoteReference w:id="113"/>
      </w:r>
      <w:r w:rsidR="008929C3" w:rsidRPr="004F7B53">
        <w:rPr>
          <w:rFonts w:cs="Arial"/>
        </w:rPr>
        <w:t>.</w:t>
      </w:r>
    </w:p>
    <w:p w14:paraId="135BD963" w14:textId="0F4DBFED" w:rsidR="00C36011" w:rsidRDefault="00C36011" w:rsidP="0082018A">
      <w:pPr>
        <w:pStyle w:val="Paragraphe"/>
        <w:tabs>
          <w:tab w:val="num" w:pos="720"/>
        </w:tabs>
        <w:spacing w:line="240" w:lineRule="auto"/>
        <w:ind w:left="0"/>
        <w:rPr>
          <w:rFonts w:cs="Arial"/>
        </w:rPr>
      </w:pPr>
      <w:r>
        <w:rPr>
          <w:rFonts w:cs="Arial"/>
        </w:rPr>
        <w:t xml:space="preserve">Le déséquilibre en question </w:t>
      </w:r>
      <w:r w:rsidR="005E47D2">
        <w:rPr>
          <w:rFonts w:cs="Arial"/>
        </w:rPr>
        <w:t>fait</w:t>
      </w:r>
      <w:r>
        <w:rPr>
          <w:rFonts w:cs="Arial"/>
        </w:rPr>
        <w:t xml:space="preserve"> l’objet de plusieurs </w:t>
      </w:r>
      <w:r w:rsidR="00EF0E75">
        <w:rPr>
          <w:rFonts w:cs="Arial"/>
        </w:rPr>
        <w:t>constats</w:t>
      </w:r>
      <w:r>
        <w:rPr>
          <w:rFonts w:cs="Arial"/>
        </w:rPr>
        <w:t xml:space="preserve"> et</w:t>
      </w:r>
      <w:r w:rsidR="005E47D2">
        <w:rPr>
          <w:rFonts w:cs="Arial"/>
        </w:rPr>
        <w:t>,</w:t>
      </w:r>
      <w:r>
        <w:rPr>
          <w:rFonts w:cs="Arial"/>
        </w:rPr>
        <w:t xml:space="preserve"> dans le milieu universitaire, chacun y va d</w:t>
      </w:r>
      <w:r w:rsidR="00AD064F">
        <w:rPr>
          <w:rFonts w:cs="Arial"/>
        </w:rPr>
        <w:t xml:space="preserve">u </w:t>
      </w:r>
      <w:r w:rsidR="005E47D2">
        <w:rPr>
          <w:rFonts w:cs="Arial"/>
        </w:rPr>
        <w:t>sien</w:t>
      </w:r>
      <w:r>
        <w:rPr>
          <w:rFonts w:cs="Arial"/>
        </w:rPr>
        <w:t>.</w:t>
      </w:r>
    </w:p>
    <w:p w14:paraId="2E450260" w14:textId="4F0A66E9" w:rsidR="00B10ECE" w:rsidRPr="00B37C21" w:rsidRDefault="00B10ECE" w:rsidP="00B37C21">
      <w:pPr>
        <w:pStyle w:val="Paragraphe"/>
        <w:numPr>
          <w:ilvl w:val="0"/>
          <w:numId w:val="10"/>
        </w:numPr>
        <w:spacing w:line="240" w:lineRule="auto"/>
        <w:ind w:left="2880"/>
        <w:rPr>
          <w:rFonts w:cs="Arial"/>
          <w:i/>
          <w:iCs/>
        </w:rPr>
      </w:pPr>
      <w:r w:rsidRPr="00B37C21">
        <w:rPr>
          <w:rFonts w:cs="Arial"/>
          <w:i/>
          <w:iCs/>
        </w:rPr>
        <w:t>Le ministère de l’Enseignement supérieur</w:t>
      </w:r>
    </w:p>
    <w:p w14:paraId="1F5B3310" w14:textId="70C27B47" w:rsidR="006F3626" w:rsidRPr="004F7B53" w:rsidRDefault="00EF0E75" w:rsidP="0082018A">
      <w:pPr>
        <w:pStyle w:val="Paragraphe"/>
        <w:tabs>
          <w:tab w:val="num" w:pos="720"/>
        </w:tabs>
        <w:spacing w:line="240" w:lineRule="auto"/>
        <w:ind w:left="0"/>
      </w:pPr>
      <w:r>
        <w:t xml:space="preserve">Du côté du ministère, le déséquilibre s’avère problématique en raison de ses conséquences sur le financement des universités, plus particulièrement </w:t>
      </w:r>
      <w:r w:rsidR="000223B7">
        <w:t>celui d</w:t>
      </w:r>
      <w:r>
        <w:t xml:space="preserve">es universités francophones. </w:t>
      </w:r>
      <w:r w:rsidR="00033669">
        <w:t>M</w:t>
      </w:r>
      <w:r w:rsidR="006F3626" w:rsidRPr="004F7B53">
        <w:t xml:space="preserve">onsieur Leclerc </w:t>
      </w:r>
      <w:r w:rsidR="00D14947" w:rsidRPr="004F7B53">
        <w:t xml:space="preserve">explique </w:t>
      </w:r>
      <w:r w:rsidR="004F7B53" w:rsidRPr="004F7B53">
        <w:t xml:space="preserve">ainsi </w:t>
      </w:r>
      <w:r w:rsidR="00D14947" w:rsidRPr="004F7B53">
        <w:t>les objectifs de la déréglementation</w:t>
      </w:r>
      <w:r w:rsidR="00033669">
        <w:t xml:space="preserve">, </w:t>
      </w:r>
      <w:r w:rsidR="00D14947" w:rsidRPr="004F7B53">
        <w:t>source du déséquilibre</w:t>
      </w:r>
      <w:r w:rsidR="00033669">
        <w:t> :</w:t>
      </w:r>
    </w:p>
    <w:p w14:paraId="7C9DEB56" w14:textId="77777777" w:rsidR="00D14947" w:rsidRPr="004F7B53" w:rsidRDefault="00D14947" w:rsidP="00D14947">
      <w:pPr>
        <w:pStyle w:val="Citationenretrait"/>
      </w:pPr>
      <w:r w:rsidRPr="004F7B53">
        <w:t>21. À l’été 2019, faisant écho à cette politique [de 2018], les règles budgétaires relatives aux droits de scolarité de tous les étudiants internationaux inscrits dans un programme de 1er cycle ou de 2ème cycle de type professionnel sont ainsi assouplies […].</w:t>
      </w:r>
    </w:p>
    <w:p w14:paraId="515A334F" w14:textId="77777777" w:rsidR="00D14947" w:rsidRPr="004F7B53" w:rsidRDefault="00D14947" w:rsidP="00D14947">
      <w:pPr>
        <w:pStyle w:val="Citationenretrait"/>
      </w:pPr>
      <w:r w:rsidRPr="004F7B53">
        <w:t>22. Dès lors, les universités pouvaient exiger et conserver, sans partage et sans contrainte, tous les droits de scolarité qu’elles pouvaient obtenir de ces étudiants. En contrepartie, le Ministère cessait de financer la formation qui leur était dispensée par le retrait de la subvention dite « normée » ou « ESTB » […].</w:t>
      </w:r>
    </w:p>
    <w:p w14:paraId="0C6F3B4A" w14:textId="77777777" w:rsidR="00D14947" w:rsidRPr="004F7B53" w:rsidRDefault="00D14947" w:rsidP="00D14947">
      <w:pPr>
        <w:pStyle w:val="Citationenretrait"/>
      </w:pPr>
      <w:r w:rsidRPr="004F7B53">
        <w:t>[…]</w:t>
      </w:r>
    </w:p>
    <w:p w14:paraId="22423457" w14:textId="77777777" w:rsidR="00D14947" w:rsidRPr="004F7B53" w:rsidRDefault="00D14947" w:rsidP="00D14947">
      <w:pPr>
        <w:pStyle w:val="Citationenretrait"/>
      </w:pPr>
      <w:r w:rsidRPr="004F7B53">
        <w:t>23. L’objectif, à l’époque, était de permettre aux établissements du réseau d’accéder plus directement à la clientèle étudiante internationale, permettant une source de revenus nouvelle, le tout au bénéfice du réseau universitaire dans son ensemble.</w:t>
      </w:r>
    </w:p>
    <w:p w14:paraId="60DEB8C2" w14:textId="77777777" w:rsidR="00D14947" w:rsidRPr="004F7B53" w:rsidRDefault="00D14947" w:rsidP="00D14947">
      <w:pPr>
        <w:pStyle w:val="Citationenretrait"/>
      </w:pPr>
      <w:r w:rsidRPr="004F7B53">
        <w:t>25. Anticipant l’avantage des universités anglophones quant à leur capacité d’attirer cette clientèle internationale, les fonds jusqu’alors alloués au financement de la formation des étudiants internationaux et provenant du retrait de la subvention normée pour ces étudiants, soit 12,8 M$ à terme, auxquels le gouvernement a ajouté un montant de 10 M$, ont été alloués aux universités francophones afin qu’elles puissent investir dans le recrutement d’étudiants internationaux, le tout afin que la « dérèglementation » puisse profiter équitablement à l’ensemble du réseau. En 2023-2024, les universités francophones bénéficiaient donc d’une allocation de 22,8M$ à cet effet […].</w:t>
      </w:r>
    </w:p>
    <w:p w14:paraId="5B62CB6F" w14:textId="77777777" w:rsidR="00D14947" w:rsidRPr="004F7B53" w:rsidRDefault="00D14947" w:rsidP="00D14947">
      <w:pPr>
        <w:pStyle w:val="Citationenretrait"/>
      </w:pPr>
      <w:r w:rsidRPr="004F7B53">
        <w:t>[…]</w:t>
      </w:r>
    </w:p>
    <w:p w14:paraId="78233CCF" w14:textId="77777777" w:rsidR="00D14947" w:rsidRPr="004F7B53" w:rsidRDefault="00D14947" w:rsidP="00D14947">
      <w:pPr>
        <w:pStyle w:val="Citationenretrait"/>
      </w:pPr>
      <w:r w:rsidRPr="004F7B53">
        <w:t>49. Toujours selon cette lettre [de la Ministre du 14 décembre 2023], par le nouveau modèle de droits de scolarité, le gouvernement estime qu’il est primordial de rééquilibrer les revenus en provenance des étudiants internationaux afin de permettre à tout le réseau de poursuivre équitablement sa croissance et de maintenir le plus haut standard d’excellence.</w:t>
      </w:r>
    </w:p>
    <w:p w14:paraId="7AE0C915" w14:textId="77777777" w:rsidR="00D14947" w:rsidRPr="004F7B53" w:rsidRDefault="00D14947" w:rsidP="00D14947">
      <w:pPr>
        <w:pStyle w:val="Citationenretrait"/>
      </w:pPr>
      <w:r w:rsidRPr="004F7B53">
        <w:t>[…]</w:t>
      </w:r>
    </w:p>
    <w:p w14:paraId="1EA01EBE" w14:textId="1C8F1C73" w:rsidR="00D14947" w:rsidRDefault="00D14947" w:rsidP="00D14947">
      <w:pPr>
        <w:pStyle w:val="Citationenretrait"/>
      </w:pPr>
      <w:r w:rsidRPr="004F7B53">
        <w:t>54. Les règles budgétaires visent ainsi à assurer un relatif équilibre entre les établissements en procédant à des ajustements ponctuels, le tout au bénéfice du réseau dans son ensemble, mais également désormais au bénéfice de la protection et de la promotion de la langue française.</w:t>
      </w:r>
    </w:p>
    <w:p w14:paraId="71CDE3E6" w14:textId="4BABF343" w:rsidR="00E60005" w:rsidRPr="00E60005" w:rsidRDefault="00E60005" w:rsidP="00E60005">
      <w:pPr>
        <w:pStyle w:val="Citationenretrait"/>
      </w:pPr>
      <w:r w:rsidRPr="00E60005">
        <w:t>55. Nous l’avons vu, la déréglementation opérée en 2018 a eu pour effet d’avantager, sur le plan financier, les universités anglophones du réseau de façon plus importante que leurs pendants francophones.</w:t>
      </w:r>
    </w:p>
    <w:p w14:paraId="08C2ADEE" w14:textId="33C2077D" w:rsidR="006F3626" w:rsidRDefault="00E60005" w:rsidP="00E60005">
      <w:pPr>
        <w:pStyle w:val="Citationenretrait"/>
      </w:pPr>
      <w:r w:rsidRPr="00E60005">
        <w:t>56. C’est à ce déséquilibre, induit par la Politique de 2018, que les nouvelles Règles budgétaires répondent en introduisant des exigences financières pour les étudiants qui proviennent de l’extérieur du Québec, qu’ils soient CNRQ ou internationaux</w:t>
      </w:r>
      <w:r w:rsidR="006F3626" w:rsidRPr="00E60005">
        <w:t>.</w:t>
      </w:r>
      <w:r w:rsidR="00762068" w:rsidRPr="00E60005">
        <w:rPr>
          <w:rStyle w:val="Appelnotedebasdep"/>
          <w:rFonts w:cs="Arial"/>
        </w:rPr>
        <w:footnoteReference w:id="114"/>
      </w:r>
    </w:p>
    <w:p w14:paraId="2959D5AB" w14:textId="56CFD72A" w:rsidR="004E713C" w:rsidRPr="00B37C21" w:rsidRDefault="004E713C" w:rsidP="00B37C21">
      <w:pPr>
        <w:pStyle w:val="Paragraphe"/>
        <w:numPr>
          <w:ilvl w:val="0"/>
          <w:numId w:val="10"/>
        </w:numPr>
        <w:ind w:left="2880"/>
        <w:rPr>
          <w:i/>
          <w:iCs/>
        </w:rPr>
      </w:pPr>
      <w:r w:rsidRPr="00B37C21">
        <w:rPr>
          <w:i/>
          <w:iCs/>
        </w:rPr>
        <w:t>Le CCAFÉ</w:t>
      </w:r>
    </w:p>
    <w:p w14:paraId="2195518B" w14:textId="475DA370" w:rsidR="008A45F2" w:rsidRPr="004F7B53" w:rsidRDefault="008A45F2" w:rsidP="0082018A">
      <w:pPr>
        <w:pStyle w:val="Paragraphe"/>
        <w:tabs>
          <w:tab w:val="num" w:pos="720"/>
        </w:tabs>
        <w:spacing w:line="240" w:lineRule="auto"/>
        <w:ind w:left="0"/>
        <w:rPr>
          <w:rFonts w:cs="Arial"/>
        </w:rPr>
      </w:pPr>
      <w:r w:rsidRPr="004F7B53">
        <w:rPr>
          <w:rFonts w:cs="Arial"/>
        </w:rPr>
        <w:t xml:space="preserve">Le CCAFÉ </w:t>
      </w:r>
      <w:r w:rsidR="00C041CD" w:rsidRPr="004F7B53">
        <w:rPr>
          <w:rFonts w:cs="Arial"/>
        </w:rPr>
        <w:t xml:space="preserve">fait </w:t>
      </w:r>
      <w:r w:rsidR="00EF0E75">
        <w:rPr>
          <w:rFonts w:cs="Arial"/>
        </w:rPr>
        <w:t>un</w:t>
      </w:r>
      <w:r w:rsidR="00C041CD" w:rsidRPr="004F7B53">
        <w:rPr>
          <w:rFonts w:cs="Arial"/>
        </w:rPr>
        <w:t xml:space="preserve"> constat </w:t>
      </w:r>
      <w:r w:rsidR="00EF0E75">
        <w:rPr>
          <w:rFonts w:cs="Arial"/>
        </w:rPr>
        <w:t xml:space="preserve">semblable </w:t>
      </w:r>
      <w:r w:rsidR="00C041CD" w:rsidRPr="004F7B53">
        <w:rPr>
          <w:rFonts w:cs="Arial"/>
        </w:rPr>
        <w:t>en 2019</w:t>
      </w:r>
      <w:r w:rsidR="00C041CD" w:rsidRPr="004F7B53">
        <w:rPr>
          <w:rStyle w:val="Appelnotedebasdep"/>
          <w:rFonts w:cs="Arial"/>
        </w:rPr>
        <w:footnoteReference w:id="115"/>
      </w:r>
      <w:r w:rsidR="00C041CD" w:rsidRPr="004F7B53">
        <w:rPr>
          <w:rFonts w:cs="Arial"/>
        </w:rPr>
        <w:t xml:space="preserve"> alors qu’il </w:t>
      </w:r>
      <w:r w:rsidR="00EB46FE" w:rsidRPr="004F7B53">
        <w:rPr>
          <w:rFonts w:cs="Arial"/>
        </w:rPr>
        <w:t>donn</w:t>
      </w:r>
      <w:r w:rsidR="00EF0E75">
        <w:rPr>
          <w:rFonts w:cs="Arial"/>
        </w:rPr>
        <w:t>e</w:t>
      </w:r>
      <w:r w:rsidR="00EB46FE" w:rsidRPr="004F7B53">
        <w:rPr>
          <w:rFonts w:cs="Arial"/>
        </w:rPr>
        <w:t xml:space="preserve"> son avis sur la déréglementation de tous les étudiants Internationaux de 1</w:t>
      </w:r>
      <w:r w:rsidR="00EB46FE" w:rsidRPr="004F7B53">
        <w:rPr>
          <w:rFonts w:cs="Arial"/>
          <w:vertAlign w:val="superscript"/>
        </w:rPr>
        <w:t>er</w:t>
      </w:r>
      <w:r w:rsidR="00EB46FE" w:rsidRPr="004F7B53">
        <w:rPr>
          <w:rFonts w:cs="Arial"/>
        </w:rPr>
        <w:t xml:space="preserve"> </w:t>
      </w:r>
      <w:r w:rsidR="00245B82">
        <w:rPr>
          <w:rFonts w:cs="Arial"/>
        </w:rPr>
        <w:t xml:space="preserve">cycle </w:t>
      </w:r>
      <w:r w:rsidR="00EB46FE" w:rsidRPr="004F7B53">
        <w:rPr>
          <w:rFonts w:cs="Arial"/>
        </w:rPr>
        <w:t xml:space="preserve">et </w:t>
      </w:r>
      <w:r w:rsidR="0008066D">
        <w:rPr>
          <w:rFonts w:cs="Arial"/>
        </w:rPr>
        <w:t xml:space="preserve">de </w:t>
      </w:r>
      <w:r w:rsidR="00EB46FE" w:rsidRPr="004F7B53">
        <w:rPr>
          <w:rFonts w:cs="Arial"/>
        </w:rPr>
        <w:t>2</w:t>
      </w:r>
      <w:r w:rsidR="00EB46FE" w:rsidRPr="004F7B53">
        <w:rPr>
          <w:rFonts w:cs="Arial"/>
          <w:vertAlign w:val="superscript"/>
        </w:rPr>
        <w:t>e</w:t>
      </w:r>
      <w:r w:rsidR="00EB46FE" w:rsidRPr="004F7B53">
        <w:rPr>
          <w:rFonts w:cs="Arial"/>
        </w:rPr>
        <w:t xml:space="preserve"> cycle de type professionnel</w:t>
      </w:r>
      <w:r w:rsidR="00C041CD" w:rsidRPr="004F7B53">
        <w:rPr>
          <w:rFonts w:cs="Arial"/>
        </w:rPr>
        <w:t> :</w:t>
      </w:r>
    </w:p>
    <w:p w14:paraId="7B49A571" w14:textId="6AD26325" w:rsidR="00D80461" w:rsidRDefault="00C041CD" w:rsidP="007547DD">
      <w:pPr>
        <w:pStyle w:val="Citationenretrait"/>
        <w:rPr>
          <w:rFonts w:cs="Arial"/>
        </w:rPr>
      </w:pPr>
      <w:r>
        <w:t>Au Québec, seulement 3 des 18 universités de la province sont anglophones. Or, le bassin de recrutement des étudiants internationaux anglophones est plus grand que celui des étudiants francophones. Conjuguée au fait que le bassin de recrutement des étudiants internationaux déréglementés est d’abord anglophone</w:t>
      </w:r>
      <w:r>
        <w:rPr>
          <w:sz w:val="14"/>
          <w:szCs w:val="14"/>
        </w:rPr>
        <w:t xml:space="preserve"> </w:t>
      </w:r>
      <w:r>
        <w:t>(Centre for Educational Research and Innovation, 2004, p. 30), il va sans dire que la déréglementation des droits de scolarité des étudiants universitaires internationaux favorise les universités québécoises anglophones. Le gouvernement s’est engagé à verser aux universités francophones du Québec une subvention de soutien au recrutement d’étudiants internationaux. Cet engagement s’étend sur trois ans, de 2019-2020 à 2021-2022, et vise le recrutement de 2 500 étudiants internationaux supplémentaires dans les disciplines déréglementées par rapport au nombre enregistré en 2018-2019.</w:t>
      </w:r>
    </w:p>
    <w:p w14:paraId="7C0077B6" w14:textId="16C9DE92" w:rsidR="008F7F63" w:rsidRDefault="008F7F63" w:rsidP="0082018A">
      <w:pPr>
        <w:pStyle w:val="Paragraphe"/>
        <w:tabs>
          <w:tab w:val="num" w:pos="720"/>
        </w:tabs>
        <w:spacing w:line="240" w:lineRule="auto"/>
        <w:ind w:left="0"/>
        <w:rPr>
          <w:rFonts w:cs="Arial"/>
        </w:rPr>
      </w:pPr>
      <w:r w:rsidRPr="004F7B53">
        <w:rPr>
          <w:rFonts w:cs="Arial"/>
        </w:rPr>
        <w:t xml:space="preserve">Dans son mémoire transmis à la Ministre en 2023, le CCAFÉ </w:t>
      </w:r>
      <w:r w:rsidR="004F7B53" w:rsidRPr="004F7B53">
        <w:rPr>
          <w:rFonts w:cs="Arial"/>
        </w:rPr>
        <w:t xml:space="preserve">évoque </w:t>
      </w:r>
      <w:r w:rsidR="0088020B">
        <w:rPr>
          <w:rFonts w:cs="Arial"/>
        </w:rPr>
        <w:t xml:space="preserve">également </w:t>
      </w:r>
      <w:r w:rsidRPr="004F7B53">
        <w:rPr>
          <w:rFonts w:cs="Arial"/>
        </w:rPr>
        <w:t xml:space="preserve">des études </w:t>
      </w:r>
      <w:r w:rsidR="004F7B53" w:rsidRPr="004F7B53">
        <w:rPr>
          <w:rFonts w:cs="Arial"/>
        </w:rPr>
        <w:t>à l’effet</w:t>
      </w:r>
      <w:r w:rsidRPr="004F7B53">
        <w:rPr>
          <w:rFonts w:cs="Arial"/>
        </w:rPr>
        <w:t xml:space="preserve"> que </w:t>
      </w:r>
      <w:r w:rsidR="004F7B53" w:rsidRPr="004F7B53">
        <w:rPr>
          <w:rFonts w:cs="Arial"/>
        </w:rPr>
        <w:t>les processus successifs de</w:t>
      </w:r>
      <w:r w:rsidR="007E428F">
        <w:rPr>
          <w:rFonts w:cs="Arial"/>
        </w:rPr>
        <w:t xml:space="preserve"> </w:t>
      </w:r>
      <w:r w:rsidR="004F7B53" w:rsidRPr="004F7B53">
        <w:rPr>
          <w:rFonts w:cs="Arial"/>
        </w:rPr>
        <w:t xml:space="preserve">déréglementation exacerbent </w:t>
      </w:r>
      <w:r w:rsidRPr="004F7B53">
        <w:rPr>
          <w:rFonts w:cs="Arial"/>
        </w:rPr>
        <w:t>le phénomène de concurrence entre universités (« course aux effectifs étudiants »)</w:t>
      </w:r>
      <w:r w:rsidRPr="004F7B53">
        <w:rPr>
          <w:rStyle w:val="Appelnotedebasdep"/>
          <w:rFonts w:cs="Arial"/>
        </w:rPr>
        <w:footnoteReference w:id="116"/>
      </w:r>
      <w:r w:rsidRPr="004F7B53">
        <w:rPr>
          <w:rFonts w:cs="Arial"/>
        </w:rPr>
        <w:t>.</w:t>
      </w:r>
    </w:p>
    <w:p w14:paraId="0A49F019" w14:textId="5C2BA099" w:rsidR="00E46590" w:rsidRPr="00E46590" w:rsidRDefault="00E46590" w:rsidP="00E46590">
      <w:pPr>
        <w:pStyle w:val="Paragraphe"/>
        <w:tabs>
          <w:tab w:val="num" w:pos="720"/>
        </w:tabs>
        <w:spacing w:line="240" w:lineRule="auto"/>
        <w:ind w:left="0"/>
      </w:pPr>
      <w:r w:rsidRPr="004F7B53">
        <w:t>Le CCAFÉ relie l’augmentation des revenus des universités provenant des étudiants, par opposition aux subventions gouvernementales, « aux deux processus de déréglementation qui ont eu cours entre 2008 et 2019 et qui ont pour effet qu’une plus grande partie des revenus des universités reposent maintenant sur les étudiants »</w:t>
      </w:r>
      <w:r w:rsidRPr="004F7B53">
        <w:rPr>
          <w:rStyle w:val="Appelnotedebasdep"/>
        </w:rPr>
        <w:footnoteReference w:id="117"/>
      </w:r>
      <w:r w:rsidRPr="004F7B53">
        <w:t>.</w:t>
      </w:r>
    </w:p>
    <w:p w14:paraId="4B3F45FD" w14:textId="38D2D09C" w:rsidR="00EF0E75" w:rsidRPr="00EF0E75" w:rsidRDefault="00EF0E75" w:rsidP="00D00641">
      <w:pPr>
        <w:pStyle w:val="Paragraphe"/>
        <w:numPr>
          <w:ilvl w:val="0"/>
          <w:numId w:val="10"/>
        </w:numPr>
        <w:spacing w:line="240" w:lineRule="auto"/>
        <w:ind w:left="2880"/>
        <w:rPr>
          <w:i/>
          <w:iCs/>
        </w:rPr>
      </w:pPr>
      <w:r w:rsidRPr="00EF0E75">
        <w:rPr>
          <w:i/>
          <w:iCs/>
        </w:rPr>
        <w:t>Concordia</w:t>
      </w:r>
    </w:p>
    <w:p w14:paraId="55636959" w14:textId="1292550B" w:rsidR="00AA7523" w:rsidRPr="004F7B53" w:rsidRDefault="00127E9B" w:rsidP="0082018A">
      <w:pPr>
        <w:pStyle w:val="Paragraphe"/>
        <w:tabs>
          <w:tab w:val="num" w:pos="720"/>
        </w:tabs>
        <w:spacing w:line="240" w:lineRule="auto"/>
        <w:ind w:left="0"/>
        <w:rPr>
          <w:rFonts w:cs="Arial"/>
        </w:rPr>
      </w:pPr>
      <w:r w:rsidRPr="00EF0E75">
        <w:rPr>
          <w:rFonts w:cs="Arial"/>
        </w:rPr>
        <w:t xml:space="preserve">Concordia </w:t>
      </w:r>
      <w:r w:rsidR="00EF0E75" w:rsidRPr="00EF0E75">
        <w:rPr>
          <w:rFonts w:cs="Arial"/>
        </w:rPr>
        <w:t xml:space="preserve">voit les choses différemment. </w:t>
      </w:r>
      <w:r w:rsidRPr="004F7B53">
        <w:rPr>
          <w:rFonts w:cs="Arial"/>
        </w:rPr>
        <w:t xml:space="preserve">En réponse à la </w:t>
      </w:r>
      <w:r w:rsidR="00183F3C" w:rsidRPr="004F7B53">
        <w:rPr>
          <w:rFonts w:cs="Arial"/>
        </w:rPr>
        <w:t>d</w:t>
      </w:r>
      <w:r w:rsidRPr="004F7B53">
        <w:rPr>
          <w:rFonts w:cs="Arial"/>
        </w:rPr>
        <w:t xml:space="preserve">éclaration sous serment de monsieur Leclerc, monsieur </w:t>
      </w:r>
      <w:r w:rsidR="009B15F9">
        <w:rPr>
          <w:rFonts w:cs="Arial"/>
        </w:rPr>
        <w:t xml:space="preserve">Denis </w:t>
      </w:r>
      <w:r w:rsidRPr="004F7B53">
        <w:rPr>
          <w:rFonts w:cs="Arial"/>
        </w:rPr>
        <w:t>Cossette</w:t>
      </w:r>
      <w:r w:rsidR="00A4543F" w:rsidRPr="004F7B53">
        <w:rPr>
          <w:rFonts w:cs="Arial"/>
        </w:rPr>
        <w:t>, le chef de la direction financière de Concordia,</w:t>
      </w:r>
      <w:r w:rsidRPr="004F7B53">
        <w:rPr>
          <w:rFonts w:cs="Arial"/>
        </w:rPr>
        <w:t xml:space="preserve"> </w:t>
      </w:r>
      <w:r w:rsidR="0048522F" w:rsidRPr="004F7B53">
        <w:rPr>
          <w:rFonts w:cs="Arial"/>
        </w:rPr>
        <w:t>propose une comparaison entre les universités anglophones et francophones basée sur le revenu par étudiant équivalent à temps plein (« EETP ») au lieu du montant des revenus générés par la déréglementation</w:t>
      </w:r>
      <w:r w:rsidR="004F7B53">
        <w:rPr>
          <w:rStyle w:val="Appelnotedebasdep"/>
          <w:rFonts w:cs="Arial"/>
        </w:rPr>
        <w:footnoteReference w:id="118"/>
      </w:r>
      <w:r w:rsidR="001E0A14" w:rsidRPr="004F7B53">
        <w:rPr>
          <w:rFonts w:cs="Arial"/>
        </w:rPr>
        <w:t> :</w:t>
      </w:r>
    </w:p>
    <w:p w14:paraId="76FA8191" w14:textId="01C4319F" w:rsidR="0048522F" w:rsidRPr="006A3C93" w:rsidRDefault="0048522F" w:rsidP="00DC0143">
      <w:pPr>
        <w:pStyle w:val="Citationenretrait"/>
        <w:rPr>
          <w:i/>
        </w:rPr>
      </w:pPr>
      <w:r w:rsidRPr="006A3C93">
        <w:rPr>
          <w:i/>
        </w:rPr>
        <w:t>Les revenus liés aux étudiants internationaux</w:t>
      </w:r>
    </w:p>
    <w:p w14:paraId="2FDE3FD7" w14:textId="66C6FA80" w:rsidR="0048522F" w:rsidRPr="004F7B53" w:rsidRDefault="0048522F" w:rsidP="0048522F">
      <w:pPr>
        <w:pStyle w:val="Citationenretrait"/>
      </w:pPr>
      <w:r w:rsidRPr="004F7B53">
        <w:t>3. Au paragraphe 30 de sa déclaration, M. Leclerc rapporte qu’entre «</w:t>
      </w:r>
      <w:r w:rsidR="00FD3482">
        <w:t> </w:t>
      </w:r>
      <w:r w:rsidRPr="004F7B53">
        <w:t>2019-2020 et 2021-2022, les trois universités anglophones ont recueilli à elles seules 69</w:t>
      </w:r>
      <w:r w:rsidR="00FD3482">
        <w:t> </w:t>
      </w:r>
      <w:r w:rsidRPr="004F7B53">
        <w:t>% (282,4</w:t>
      </w:r>
      <w:r w:rsidR="00FD3482">
        <w:t> </w:t>
      </w:r>
      <w:r w:rsidRPr="004F7B53">
        <w:t>M</w:t>
      </w:r>
      <w:r w:rsidR="00FD3482">
        <w:t> </w:t>
      </w:r>
      <w:r w:rsidRPr="004F7B53">
        <w:t>$) des revenus supplémentaires générés par la déréglementation des droits de scolarité des étudiants internationaux (407,4</w:t>
      </w:r>
      <w:r w:rsidR="00FD3482">
        <w:t> </w:t>
      </w:r>
      <w:r w:rsidRPr="004F7B53">
        <w:t>M</w:t>
      </w:r>
      <w:r w:rsidR="00FD3482">
        <w:t> </w:t>
      </w:r>
      <w:r w:rsidRPr="004F7B53">
        <w:t>$), alors qu’elles accueillaient 37</w:t>
      </w:r>
      <w:r w:rsidR="00FD3482">
        <w:t> </w:t>
      </w:r>
      <w:r w:rsidRPr="004F7B53">
        <w:t>% de cette clientèle</w:t>
      </w:r>
      <w:r w:rsidR="00FD3482">
        <w:t> </w:t>
      </w:r>
      <w:r w:rsidRPr="004F7B53">
        <w:t>». M. Leclerc en conclut que «</w:t>
      </w:r>
      <w:r w:rsidR="007A4459">
        <w:t> </w:t>
      </w:r>
      <w:r w:rsidRPr="004F7B53">
        <w:t>ce sont néanmoins les universités anglophones du réseau qui ont profité des modifications apportées par la Politique de 2018 […], particulièrement McGill et Concordia</w:t>
      </w:r>
      <w:r w:rsidR="007A4459">
        <w:t> </w:t>
      </w:r>
      <w:r w:rsidRPr="004F7B53">
        <w:t>».</w:t>
      </w:r>
    </w:p>
    <w:p w14:paraId="375C56C6" w14:textId="161D23FE" w:rsidR="00DC0143" w:rsidRPr="00DC0143" w:rsidRDefault="00DC0143" w:rsidP="00DC0143">
      <w:pPr>
        <w:pStyle w:val="Citationenretrait"/>
      </w:pPr>
      <w:r w:rsidRPr="004F7B53">
        <w:t>4. Une analyse des revenus supplémentaires globalement générés par les universités anglophones pour les étudiants internationaux dérèglementés</w:t>
      </w:r>
      <w:r w:rsidRPr="00DC0143">
        <w:t xml:space="preserve"> ne</w:t>
      </w:r>
      <w:r w:rsidRPr="00B901C7">
        <w:t xml:space="preserve"> </w:t>
      </w:r>
      <w:r w:rsidRPr="00DC0143">
        <w:t>permet pas de tenir compte de différences importantes entre les deux réseaux</w:t>
      </w:r>
      <w:r w:rsidRPr="00B901C7">
        <w:t xml:space="preserve"> </w:t>
      </w:r>
      <w:r w:rsidRPr="00DC0143">
        <w:t>au niveau de leur population étudiante et leurs sources de financement.</w:t>
      </w:r>
    </w:p>
    <w:p w14:paraId="092E5D62" w14:textId="56B927E7" w:rsidR="00DC0143" w:rsidRPr="00B901C7" w:rsidRDefault="00DC0143" w:rsidP="00DC0143">
      <w:pPr>
        <w:pStyle w:val="Citationenretrait"/>
      </w:pPr>
      <w:r w:rsidRPr="00DC0143">
        <w:t>5. En général, les universités francophones reçoivent proportionnellement plus de</w:t>
      </w:r>
      <w:r w:rsidRPr="00B901C7">
        <w:t xml:space="preserve"> </w:t>
      </w:r>
      <w:r w:rsidRPr="00DC0143">
        <w:t>subventions que les universités anglophones pour leurs étudiants</w:t>
      </w:r>
      <w:r w:rsidRPr="00B901C7">
        <w:t xml:space="preserve"> </w:t>
      </w:r>
      <w:r w:rsidRPr="00DC0143">
        <w:t>internationaux, notamment en raison d’une plus grande proportion d’étudiants</w:t>
      </w:r>
      <w:r w:rsidRPr="00B901C7">
        <w:t xml:space="preserve"> </w:t>
      </w:r>
      <w:r w:rsidRPr="00DC0143">
        <w:t>internationaux réglementés dans leur réseau pour lesquels ils reçoivent des</w:t>
      </w:r>
      <w:r w:rsidRPr="00B901C7">
        <w:t xml:space="preserve"> </w:t>
      </w:r>
      <w:r w:rsidRPr="00DC0143">
        <w:t>subventions normées. Le MES ne verse pas de subventions normées pour les</w:t>
      </w:r>
      <w:r w:rsidRPr="00B901C7">
        <w:t xml:space="preserve"> </w:t>
      </w:r>
      <w:r w:rsidRPr="00DC0143">
        <w:t>étudiants internationaux dérèglementés ; les universités assument entièrement</w:t>
      </w:r>
      <w:r w:rsidRPr="00B901C7">
        <w:t xml:space="preserve"> les coûts de leur formation.</w:t>
      </w:r>
    </w:p>
    <w:p w14:paraId="45623590" w14:textId="74BAD349" w:rsidR="00DC0143" w:rsidRPr="00DC0143" w:rsidRDefault="00DC0143" w:rsidP="00DC0143">
      <w:pPr>
        <w:pStyle w:val="Citationenretrait"/>
      </w:pPr>
      <w:r w:rsidRPr="00DC0143">
        <w:t>6. Par exemple, parmi les 36</w:t>
      </w:r>
      <w:r w:rsidR="006972F7" w:rsidRPr="00B901C7">
        <w:rPr>
          <w:rFonts w:cs="Arial"/>
        </w:rPr>
        <w:t> </w:t>
      </w:r>
      <w:r w:rsidRPr="00DC0143">
        <w:t>357 étudiants internationaux dans le réseau</w:t>
      </w:r>
      <w:r w:rsidRPr="00B901C7">
        <w:t xml:space="preserve"> </w:t>
      </w:r>
      <w:r w:rsidRPr="00DC0143">
        <w:t>francophone en 2023-2024, 13</w:t>
      </w:r>
      <w:r w:rsidR="006972F7" w:rsidRPr="00B901C7">
        <w:rPr>
          <w:rFonts w:cs="Arial"/>
        </w:rPr>
        <w:t> </w:t>
      </w:r>
      <w:r w:rsidRPr="00DC0143">
        <w:t>020 sont des étudiants de la France (35,8</w:t>
      </w:r>
      <w:r w:rsidR="006972F7" w:rsidRPr="00B901C7">
        <w:rPr>
          <w:rFonts w:cs="Arial"/>
        </w:rPr>
        <w:t> </w:t>
      </w:r>
      <w:r w:rsidRPr="00DC0143">
        <w:t>%),</w:t>
      </w:r>
      <w:r w:rsidRPr="00B901C7">
        <w:t xml:space="preserve"> </w:t>
      </w:r>
      <w:r w:rsidRPr="00DC0143">
        <w:t>dont les frais de scolarité sont réglementés, tel qu’il appert de la pièce PGQ-9.</w:t>
      </w:r>
    </w:p>
    <w:p w14:paraId="0C1AA54D" w14:textId="7413FFB1" w:rsidR="00DC0143" w:rsidRPr="00DC0143" w:rsidRDefault="00DC0143" w:rsidP="00DC0143">
      <w:pPr>
        <w:pStyle w:val="Citationenretrait"/>
      </w:pPr>
      <w:r w:rsidRPr="00DC0143">
        <w:t>7. À titre de comparaison, parmi les 19</w:t>
      </w:r>
      <w:r w:rsidR="006972F7" w:rsidRPr="00B901C7">
        <w:rPr>
          <w:rFonts w:cs="Arial"/>
        </w:rPr>
        <w:t> </w:t>
      </w:r>
      <w:r w:rsidRPr="00DC0143">
        <w:t>975 étudiants internationaux dans le</w:t>
      </w:r>
      <w:r w:rsidRPr="00B901C7">
        <w:t xml:space="preserve"> </w:t>
      </w:r>
      <w:r w:rsidRPr="00DC0143">
        <w:t>réseau anglophone en 2023-2024, seulement 3</w:t>
      </w:r>
      <w:r w:rsidR="006972F7" w:rsidRPr="00B901C7">
        <w:rPr>
          <w:rFonts w:cs="Arial"/>
        </w:rPr>
        <w:t> </w:t>
      </w:r>
      <w:r w:rsidRPr="00DC0143">
        <w:t xml:space="preserve">038 proviennent de la </w:t>
      </w:r>
      <w:r w:rsidRPr="00B901C7">
        <w:t xml:space="preserve">France </w:t>
      </w:r>
      <w:r w:rsidRPr="00DC0143">
        <w:t>(15,2</w:t>
      </w:r>
      <w:r w:rsidR="006972F7" w:rsidRPr="00B901C7">
        <w:rPr>
          <w:rFonts w:cs="Arial"/>
        </w:rPr>
        <w:t> </w:t>
      </w:r>
      <w:r w:rsidRPr="00DC0143">
        <w:t>%), tel qu’il appert de la pièce PGQ-9.</w:t>
      </w:r>
    </w:p>
    <w:p w14:paraId="15775FA1" w14:textId="0237526D" w:rsidR="00DC0143" w:rsidRPr="00DC0143" w:rsidRDefault="00DC0143" w:rsidP="00DC0143">
      <w:pPr>
        <w:pStyle w:val="Citationenretrait"/>
      </w:pPr>
      <w:r w:rsidRPr="00DC0143">
        <w:t>8. Les universités francophones reçoivent également des subventions spécifiques</w:t>
      </w:r>
      <w:r w:rsidRPr="00B901C7">
        <w:t xml:space="preserve"> </w:t>
      </w:r>
      <w:r w:rsidRPr="00DC0143">
        <w:t>allouées seulement aux universités francophones pour appuyer le recrutement</w:t>
      </w:r>
      <w:r w:rsidRPr="00B901C7">
        <w:t xml:space="preserve"> </w:t>
      </w:r>
      <w:r w:rsidRPr="00DC0143">
        <w:t>d’étudiants internationaux, à la hauteur de 22,8</w:t>
      </w:r>
      <w:r w:rsidR="006972F7" w:rsidRPr="00B901C7">
        <w:rPr>
          <w:rFonts w:cs="Arial"/>
        </w:rPr>
        <w:t> </w:t>
      </w:r>
      <w:r w:rsidRPr="00DC0143">
        <w:t>M</w:t>
      </w:r>
      <w:r w:rsidR="006972F7" w:rsidRPr="00B901C7">
        <w:rPr>
          <w:rFonts w:cs="Arial"/>
        </w:rPr>
        <w:t> </w:t>
      </w:r>
      <w:r w:rsidRPr="00DC0143">
        <w:t>$ pour l’année 2023-2024</w:t>
      </w:r>
      <w:r w:rsidRPr="00B901C7">
        <w:t xml:space="preserve"> </w:t>
      </w:r>
      <w:r w:rsidRPr="00DC0143">
        <w:t>(</w:t>
      </w:r>
      <w:r w:rsidRPr="00DC0143">
        <w:rPr>
          <w:i/>
          <w:iCs/>
        </w:rPr>
        <w:t>2.1.7 Allocation aux universités francophones pour le recrutement d’étudiants</w:t>
      </w:r>
      <w:r w:rsidRPr="00B901C7">
        <w:t xml:space="preserve"> </w:t>
      </w:r>
      <w:r w:rsidRPr="00DC0143">
        <w:rPr>
          <w:i/>
          <w:iCs/>
        </w:rPr>
        <w:t>déréglementés</w:t>
      </w:r>
      <w:r w:rsidRPr="00DC0143">
        <w:t>, PGQ-2 à la p 58).</w:t>
      </w:r>
    </w:p>
    <w:p w14:paraId="6B845AE5" w14:textId="6E30CFDA" w:rsidR="00DC0143" w:rsidRDefault="00DC0143" w:rsidP="00DC0143">
      <w:pPr>
        <w:pStyle w:val="Citationenretrait"/>
      </w:pPr>
      <w:r w:rsidRPr="00DC0143">
        <w:t>9. Le revenu par étudiant équivalent à temps plein («</w:t>
      </w:r>
      <w:r w:rsidR="006972F7" w:rsidRPr="00B901C7">
        <w:rPr>
          <w:rFonts w:cs="Arial"/>
        </w:rPr>
        <w:t> </w:t>
      </w:r>
      <w:r w:rsidRPr="00DC0143">
        <w:t>EETP</w:t>
      </w:r>
      <w:r w:rsidR="006972F7" w:rsidRPr="00B901C7">
        <w:rPr>
          <w:rFonts w:cs="Arial"/>
        </w:rPr>
        <w:t> </w:t>
      </w:r>
      <w:r w:rsidRPr="00DC0143">
        <w:t>»), ce qui inclut les</w:t>
      </w:r>
      <w:r w:rsidRPr="00B901C7">
        <w:t xml:space="preserve"> </w:t>
      </w:r>
      <w:r w:rsidRPr="00DC0143">
        <w:t>revenus provenant des étudiants et les revenus provenant de subventions,</w:t>
      </w:r>
      <w:r w:rsidRPr="00B901C7">
        <w:t xml:space="preserve"> </w:t>
      </w:r>
      <w:r w:rsidRPr="00DC0143">
        <w:t>permet une meilleure comparaison des revenus des universités anglophones et</w:t>
      </w:r>
      <w:r w:rsidRPr="00B901C7">
        <w:t xml:space="preserve"> </w:t>
      </w:r>
      <w:r w:rsidRPr="00DC0143">
        <w:t>francophones pour les étudiants internationaux, en tenant compte du nombre</w:t>
      </w:r>
      <w:r w:rsidRPr="00B901C7">
        <w:t xml:space="preserve"> d’étudiants et de toutes les sources de revenu associés à ces étudiants.</w:t>
      </w:r>
    </w:p>
    <w:p w14:paraId="67D43FD1" w14:textId="324D411C" w:rsidR="007716E6" w:rsidRPr="00B901C7" w:rsidRDefault="007716E6" w:rsidP="00DC0143">
      <w:pPr>
        <w:pStyle w:val="Citationenretrait"/>
      </w:pPr>
      <w:r w:rsidRPr="004F7B53">
        <w:t>[…]</w:t>
      </w:r>
    </w:p>
    <w:p w14:paraId="2F661B6E" w14:textId="3A3248EE" w:rsidR="00127E9B" w:rsidRPr="00B901C7" w:rsidRDefault="00DC0143" w:rsidP="001E0A14">
      <w:pPr>
        <w:pStyle w:val="Citationenretrait"/>
      </w:pPr>
      <w:r w:rsidRPr="00B901C7">
        <w:t>15. Lorsque l’on tient compte de l’ensemble des étudiants, incluant les étudiants</w:t>
      </w:r>
      <w:r w:rsidR="001E0A14" w:rsidRPr="00B901C7">
        <w:t xml:space="preserve"> </w:t>
      </w:r>
      <w:r w:rsidRPr="00DC0143">
        <w:t>internationaux règlementés et dérèglementés, on constate que le revenu par</w:t>
      </w:r>
      <w:r w:rsidR="001E0A14" w:rsidRPr="00B901C7">
        <w:t xml:space="preserve"> </w:t>
      </w:r>
      <w:r w:rsidRPr="00DC0143">
        <w:t>EETP brut de Concordia provenant des étudiants et des subventions pour</w:t>
      </w:r>
      <w:r w:rsidR="001E0A14" w:rsidRPr="00B901C7">
        <w:t xml:space="preserve"> </w:t>
      </w:r>
      <w:r w:rsidRPr="00DC0143">
        <w:t>2021-2022 est de 18</w:t>
      </w:r>
      <w:r w:rsidR="006972F7" w:rsidRPr="00B901C7">
        <w:rPr>
          <w:rFonts w:cs="Arial"/>
        </w:rPr>
        <w:t> </w:t>
      </w:r>
      <w:r w:rsidRPr="00DC0143">
        <w:t>915</w:t>
      </w:r>
      <w:r w:rsidR="006972F7" w:rsidRPr="00B901C7">
        <w:rPr>
          <w:rFonts w:cs="Arial"/>
        </w:rPr>
        <w:t> </w:t>
      </w:r>
      <w:r w:rsidRPr="00DC0143">
        <w:t xml:space="preserve">$, ce qui est </w:t>
      </w:r>
      <w:r w:rsidRPr="00DC0143">
        <w:rPr>
          <w:u w:val="single"/>
        </w:rPr>
        <w:t>inférieur</w:t>
      </w:r>
      <w:r w:rsidRPr="00DC0143">
        <w:t xml:space="preserve"> au revenu par EETP brut du</w:t>
      </w:r>
      <w:r w:rsidR="001E0A14" w:rsidRPr="00B901C7">
        <w:t xml:space="preserve"> </w:t>
      </w:r>
      <w:r w:rsidRPr="00B901C7">
        <w:t>réseau francophone (20</w:t>
      </w:r>
      <w:r w:rsidR="00B901C7" w:rsidRPr="00B901C7">
        <w:rPr>
          <w:rFonts w:cs="Arial"/>
        </w:rPr>
        <w:t> </w:t>
      </w:r>
      <w:r w:rsidRPr="00B901C7">
        <w:t>727</w:t>
      </w:r>
      <w:r w:rsidR="00B901C7" w:rsidRPr="00B901C7">
        <w:rPr>
          <w:rFonts w:cs="Arial"/>
        </w:rPr>
        <w:t> </w:t>
      </w:r>
      <w:r w:rsidRPr="00B901C7">
        <w:t>$).</w:t>
      </w:r>
      <w:r w:rsidR="00A4543F">
        <w:rPr>
          <w:rStyle w:val="Appelnotedebasdep"/>
        </w:rPr>
        <w:footnoteReference w:id="119"/>
      </w:r>
    </w:p>
    <w:p w14:paraId="3911B831" w14:textId="3968DB70" w:rsidR="009445E3" w:rsidRDefault="004318EE" w:rsidP="0082018A">
      <w:pPr>
        <w:pStyle w:val="Paragraphe"/>
        <w:tabs>
          <w:tab w:val="num" w:pos="720"/>
        </w:tabs>
        <w:spacing w:line="240" w:lineRule="auto"/>
        <w:ind w:left="0"/>
        <w:rPr>
          <w:rFonts w:cs="Arial"/>
        </w:rPr>
      </w:pPr>
      <w:r>
        <w:rPr>
          <w:rFonts w:cs="Arial"/>
        </w:rPr>
        <w:t xml:space="preserve">Les calculs qu’effectue monsieur Cossette dans une autre déclaration sous serment au sujet des étudiants Internationaux déréglementés montrent </w:t>
      </w:r>
      <w:r w:rsidR="006B6FBD">
        <w:rPr>
          <w:rFonts w:cs="Arial"/>
        </w:rPr>
        <w:t xml:space="preserve">par ailleurs </w:t>
      </w:r>
      <w:r>
        <w:rPr>
          <w:rFonts w:cs="Arial"/>
        </w:rPr>
        <w:t>des résultats similaires</w:t>
      </w:r>
      <w:r>
        <w:rPr>
          <w:rStyle w:val="Appelnotedebasdep"/>
          <w:rFonts w:cs="Arial"/>
        </w:rPr>
        <w:footnoteReference w:id="120"/>
      </w:r>
      <w:r>
        <w:rPr>
          <w:rFonts w:cs="Arial"/>
        </w:rPr>
        <w:t>.</w:t>
      </w:r>
      <w:r w:rsidR="00183F3C">
        <w:rPr>
          <w:rFonts w:cs="Arial"/>
        </w:rPr>
        <w:t xml:space="preserve"> Il écrit :</w:t>
      </w:r>
    </w:p>
    <w:p w14:paraId="055F4EA9" w14:textId="76E5E370" w:rsidR="00DE0934" w:rsidRDefault="007F059A" w:rsidP="00570934">
      <w:pPr>
        <w:pStyle w:val="Citationenretrait"/>
        <w:rPr>
          <w:lang w:eastAsia="fr-CA"/>
        </w:rPr>
      </w:pPr>
      <w:r w:rsidRPr="004F7B53">
        <w:rPr>
          <w:lang w:eastAsia="fr-CA"/>
        </w:rPr>
        <w:t xml:space="preserve">27. </w:t>
      </w:r>
      <w:r w:rsidR="00DE0934" w:rsidRPr="004F7B53">
        <w:rPr>
          <w:lang w:eastAsia="fr-CA"/>
        </w:rPr>
        <w:t>J</w:t>
      </w:r>
      <w:r w:rsidR="00DE0934" w:rsidRPr="004F7B53">
        <w:rPr>
          <w:rFonts w:ascii="ArialMT" w:hAnsi="ArialMT" w:cs="ArialMT"/>
          <w:lang w:eastAsia="fr-CA"/>
        </w:rPr>
        <w:t>’ai</w:t>
      </w:r>
      <w:r w:rsidR="00DE0934" w:rsidRPr="002D6AD1">
        <w:rPr>
          <w:rFonts w:ascii="ArialMT" w:hAnsi="ArialMT" w:cs="ArialMT"/>
          <w:lang w:eastAsia="fr-CA"/>
        </w:rPr>
        <w:t xml:space="preserve"> </w:t>
      </w:r>
      <w:r w:rsidR="00DE0934" w:rsidRPr="002D6AD1">
        <w:rPr>
          <w:lang w:eastAsia="fr-CA"/>
        </w:rPr>
        <w:t>recalculé le revenu par étudiant international dérèglementé en EETP pour</w:t>
      </w:r>
      <w:r w:rsidR="00396EC9" w:rsidRPr="002D6AD1">
        <w:rPr>
          <w:lang w:eastAsia="fr-CA"/>
        </w:rPr>
        <w:t xml:space="preserve"> </w:t>
      </w:r>
      <w:r w:rsidR="00DE0934" w:rsidRPr="002D6AD1">
        <w:rPr>
          <w:lang w:eastAsia="fr-CA"/>
        </w:rPr>
        <w:t xml:space="preserve">Concordia et pour </w:t>
      </w:r>
      <w:r w:rsidR="00DE0934" w:rsidRPr="002D6AD1">
        <w:rPr>
          <w:rFonts w:ascii="ArialMT" w:hAnsi="ArialMT" w:cs="ArialMT"/>
          <w:lang w:eastAsia="fr-CA"/>
        </w:rPr>
        <w:t>l’ensemble des universités francophones à charte, ainsi que</w:t>
      </w:r>
      <w:r w:rsidR="00396EC9" w:rsidRPr="002D6AD1">
        <w:rPr>
          <w:lang w:eastAsia="fr-CA"/>
        </w:rPr>
        <w:t xml:space="preserve"> </w:t>
      </w:r>
      <w:r w:rsidR="00DE0934" w:rsidRPr="002D6AD1">
        <w:rPr>
          <w:rFonts w:ascii="ArialMT" w:hAnsi="ArialMT" w:cs="ArialMT"/>
          <w:lang w:eastAsia="fr-CA"/>
        </w:rPr>
        <w:t>quelques exemples d’universités du réseau de l’Université du Québec</w:t>
      </w:r>
      <w:r w:rsidR="00396EC9" w:rsidRPr="002D6AD1">
        <w:rPr>
          <w:lang w:eastAsia="fr-CA"/>
        </w:rPr>
        <w:t xml:space="preserve"> </w:t>
      </w:r>
      <w:r w:rsidR="00DE0934" w:rsidRPr="002D6AD1">
        <w:rPr>
          <w:lang w:eastAsia="fr-CA"/>
        </w:rPr>
        <w:t>(Université du Québec à Montréal, Université du Québec à Trois-Rivières et</w:t>
      </w:r>
      <w:r w:rsidR="00396EC9" w:rsidRPr="002D6AD1">
        <w:rPr>
          <w:lang w:eastAsia="fr-CA"/>
        </w:rPr>
        <w:t xml:space="preserve"> </w:t>
      </w:r>
      <w:r w:rsidR="00DE0934" w:rsidRPr="002D6AD1">
        <w:rPr>
          <w:lang w:eastAsia="fr-CA"/>
        </w:rPr>
        <w:t>Université du Québec à Chicoutimi), en utilisant les revenus déclarés au SIFU</w:t>
      </w:r>
      <w:r w:rsidR="00396EC9" w:rsidRPr="002D6AD1">
        <w:rPr>
          <w:lang w:eastAsia="fr-CA"/>
        </w:rPr>
        <w:t xml:space="preserve"> </w:t>
      </w:r>
      <w:r w:rsidR="00DE0934" w:rsidRPr="002D6AD1">
        <w:rPr>
          <w:lang w:eastAsia="fr-CA"/>
        </w:rPr>
        <w:t xml:space="preserve">et </w:t>
      </w:r>
      <w:r w:rsidR="00DE0934" w:rsidRPr="002D6AD1">
        <w:rPr>
          <w:rFonts w:ascii="ArialMT" w:hAnsi="ArialMT" w:cs="ArialMT"/>
          <w:lang w:eastAsia="fr-CA"/>
        </w:rPr>
        <w:t>le nombre d’étudiants internationaux dérèglementés, en EETP, indiqués</w:t>
      </w:r>
      <w:r w:rsidR="00396EC9" w:rsidRPr="002D6AD1">
        <w:rPr>
          <w:lang w:eastAsia="fr-CA"/>
        </w:rPr>
        <w:t xml:space="preserve"> </w:t>
      </w:r>
      <w:r w:rsidR="00DE0934" w:rsidRPr="002D6AD1">
        <w:rPr>
          <w:lang w:eastAsia="fr-CA"/>
        </w:rPr>
        <w:t xml:space="preserve">dans les données du MES de la pièce EM-17. </w:t>
      </w:r>
      <w:r w:rsidR="00DE0934" w:rsidRPr="002D6AD1">
        <w:rPr>
          <w:rFonts w:ascii="ArialMT" w:hAnsi="ArialMT" w:cs="ArialMT"/>
          <w:lang w:eastAsia="fr-CA"/>
        </w:rPr>
        <w:t>J’ai exclu Polytechnique du</w:t>
      </w:r>
      <w:r w:rsidR="00396EC9" w:rsidRPr="002D6AD1">
        <w:rPr>
          <w:lang w:eastAsia="fr-CA"/>
        </w:rPr>
        <w:t xml:space="preserve"> </w:t>
      </w:r>
      <w:r w:rsidR="00DE0934" w:rsidRPr="002D6AD1">
        <w:rPr>
          <w:lang w:eastAsia="fr-CA"/>
        </w:rPr>
        <w:t>tableau car les revenus déclarés par Polytechnique dans son rapport au SIFU</w:t>
      </w:r>
      <w:r w:rsidR="00396EC9" w:rsidRPr="002D6AD1">
        <w:rPr>
          <w:lang w:eastAsia="fr-CA"/>
        </w:rPr>
        <w:t xml:space="preserve"> </w:t>
      </w:r>
      <w:r w:rsidR="00DE0934" w:rsidRPr="002D6AD1">
        <w:rPr>
          <w:lang w:eastAsia="fr-CA"/>
        </w:rPr>
        <w:t>pour les étudiants internationaux dérèglementés sont erronés au regard du</w:t>
      </w:r>
      <w:r w:rsidR="00396EC9" w:rsidRPr="002D6AD1">
        <w:rPr>
          <w:lang w:eastAsia="fr-CA"/>
        </w:rPr>
        <w:t xml:space="preserve"> </w:t>
      </w:r>
      <w:r w:rsidR="00DE0934" w:rsidRPr="002D6AD1">
        <w:rPr>
          <w:rFonts w:ascii="ArialMT" w:hAnsi="ArialMT" w:cs="ArialMT"/>
          <w:lang w:eastAsia="fr-CA"/>
        </w:rPr>
        <w:t>nombre d’étudiants internationaux dérèglementés qui sont inscrit</w:t>
      </w:r>
      <w:r w:rsidR="00DE0934" w:rsidRPr="002D6AD1">
        <w:rPr>
          <w:lang w:eastAsia="fr-CA"/>
        </w:rPr>
        <w:t>s dans les</w:t>
      </w:r>
      <w:r w:rsidR="00570934" w:rsidRPr="002D6AD1">
        <w:rPr>
          <w:lang w:eastAsia="fr-CA"/>
        </w:rPr>
        <w:t xml:space="preserve"> données du MES (représentant un revenu par EETP brut de seulement 6</w:t>
      </w:r>
      <w:r w:rsidR="00570934" w:rsidRPr="002D6AD1">
        <w:rPr>
          <w:rFonts w:cs="Arial"/>
        </w:rPr>
        <w:t> </w:t>
      </w:r>
      <w:r w:rsidR="00570934" w:rsidRPr="002D6AD1">
        <w:rPr>
          <w:lang w:eastAsia="fr-CA"/>
        </w:rPr>
        <w:t>352</w:t>
      </w:r>
      <w:r w:rsidR="00570934" w:rsidRPr="002D6AD1">
        <w:rPr>
          <w:rFonts w:cs="Arial"/>
        </w:rPr>
        <w:t> </w:t>
      </w:r>
      <w:r w:rsidR="00570934" w:rsidRPr="002D6AD1">
        <w:rPr>
          <w:lang w:eastAsia="fr-CA"/>
        </w:rPr>
        <w:t>$).</w:t>
      </w:r>
    </w:p>
    <w:tbl>
      <w:tblPr>
        <w:tblStyle w:val="Grilledutableau"/>
        <w:tblW w:w="0" w:type="auto"/>
        <w:tblInd w:w="720" w:type="dxa"/>
        <w:tblLook w:val="04A0" w:firstRow="1" w:lastRow="0" w:firstColumn="1" w:lastColumn="0" w:noHBand="0" w:noVBand="1"/>
      </w:tblPr>
      <w:tblGrid>
        <w:gridCol w:w="4765"/>
        <w:gridCol w:w="3060"/>
      </w:tblGrid>
      <w:tr w:rsidR="00A32584" w14:paraId="3E8D77BD" w14:textId="77777777" w:rsidTr="00BF3097">
        <w:tc>
          <w:tcPr>
            <w:tcW w:w="7825" w:type="dxa"/>
            <w:gridSpan w:val="2"/>
          </w:tcPr>
          <w:p w14:paraId="7D2CE656" w14:textId="7E91553A" w:rsidR="00A32584" w:rsidRPr="00A04A88" w:rsidRDefault="00A32584" w:rsidP="0090362D">
            <w:pPr>
              <w:pStyle w:val="Citationenretrait"/>
              <w:ind w:left="0" w:right="-106"/>
              <w:jc w:val="center"/>
              <w:rPr>
                <w:rFonts w:ascii="Times New Roman" w:hAnsi="Times New Roman"/>
                <w:b/>
                <w:bCs/>
                <w:szCs w:val="22"/>
                <w:lang w:eastAsia="fr-CA"/>
              </w:rPr>
            </w:pPr>
            <w:r w:rsidRPr="00A04A88">
              <w:rPr>
                <w:rFonts w:ascii="Times New Roman" w:hAnsi="Times New Roman"/>
                <w:b/>
                <w:bCs/>
                <w:szCs w:val="22"/>
                <w:lang w:eastAsia="fr-CA"/>
              </w:rPr>
              <w:t>Revenu par EETP brut de certaines universités francophones, étudiants internationaux dérèglementés</w:t>
            </w:r>
          </w:p>
        </w:tc>
      </w:tr>
      <w:tr w:rsidR="00497E61" w14:paraId="6BD83DBF" w14:textId="77777777" w:rsidTr="00BF2629">
        <w:tc>
          <w:tcPr>
            <w:tcW w:w="4765" w:type="dxa"/>
          </w:tcPr>
          <w:p w14:paraId="5437694C" w14:textId="77777777" w:rsidR="00497E61" w:rsidRPr="00A04A88" w:rsidRDefault="00497E61" w:rsidP="00570934">
            <w:pPr>
              <w:pStyle w:val="Citationenretrait"/>
              <w:ind w:left="0"/>
              <w:rPr>
                <w:rFonts w:ascii="Times New Roman" w:hAnsi="Times New Roman"/>
                <w:sz w:val="20"/>
                <w:lang w:eastAsia="fr-CA"/>
              </w:rPr>
            </w:pPr>
          </w:p>
        </w:tc>
        <w:tc>
          <w:tcPr>
            <w:tcW w:w="3060" w:type="dxa"/>
          </w:tcPr>
          <w:p w14:paraId="6CCF6811" w14:textId="25548507" w:rsidR="00497E61" w:rsidRPr="00A04A88" w:rsidRDefault="00A32584" w:rsidP="00BF2629">
            <w:pPr>
              <w:pStyle w:val="Citationenretrait"/>
              <w:ind w:left="0"/>
              <w:jc w:val="center"/>
              <w:rPr>
                <w:rFonts w:ascii="Times New Roman" w:hAnsi="Times New Roman"/>
                <w:b/>
                <w:bCs/>
                <w:sz w:val="20"/>
                <w:lang w:eastAsia="fr-CA"/>
              </w:rPr>
            </w:pPr>
            <w:r w:rsidRPr="00A04A88">
              <w:rPr>
                <w:rFonts w:ascii="Times New Roman" w:hAnsi="Times New Roman"/>
                <w:b/>
                <w:bCs/>
                <w:sz w:val="20"/>
                <w:lang w:eastAsia="fr-CA"/>
              </w:rPr>
              <w:t>Revenu par EETP brut</w:t>
            </w:r>
          </w:p>
        </w:tc>
      </w:tr>
      <w:tr w:rsidR="00497E61" w14:paraId="15885606" w14:textId="77777777" w:rsidTr="00BF2629">
        <w:tc>
          <w:tcPr>
            <w:tcW w:w="4765" w:type="dxa"/>
          </w:tcPr>
          <w:p w14:paraId="61C5C60A" w14:textId="5CF0FD80" w:rsidR="00497E61" w:rsidRPr="00A04A88" w:rsidRDefault="00A32584" w:rsidP="00570934">
            <w:pPr>
              <w:pStyle w:val="Citationenretrait"/>
              <w:ind w:left="0"/>
              <w:rPr>
                <w:rFonts w:ascii="Times New Roman" w:hAnsi="Times New Roman"/>
                <w:sz w:val="20"/>
                <w:lang w:eastAsia="fr-CA"/>
              </w:rPr>
            </w:pPr>
            <w:r w:rsidRPr="00A04A88">
              <w:rPr>
                <w:rFonts w:ascii="Times New Roman" w:hAnsi="Times New Roman"/>
                <w:sz w:val="20"/>
                <w:lang w:eastAsia="fr-CA"/>
              </w:rPr>
              <w:t>Concordia</w:t>
            </w:r>
          </w:p>
        </w:tc>
        <w:tc>
          <w:tcPr>
            <w:tcW w:w="3060" w:type="dxa"/>
          </w:tcPr>
          <w:p w14:paraId="7B4B5EFF" w14:textId="2D3E3B24" w:rsidR="00497E61" w:rsidRPr="00A04A88" w:rsidRDefault="00A32584" w:rsidP="00BF2629">
            <w:pPr>
              <w:pStyle w:val="Citationenretrait"/>
              <w:ind w:left="0"/>
              <w:jc w:val="center"/>
              <w:rPr>
                <w:rFonts w:ascii="Times New Roman" w:hAnsi="Times New Roman"/>
                <w:sz w:val="20"/>
                <w:lang w:eastAsia="fr-CA"/>
              </w:rPr>
            </w:pPr>
            <w:r w:rsidRPr="00A04A88">
              <w:rPr>
                <w:rFonts w:ascii="Times New Roman" w:hAnsi="Times New Roman"/>
                <w:sz w:val="20"/>
                <w:lang w:eastAsia="fr-CA"/>
              </w:rPr>
              <w:t>22 312 $</w:t>
            </w:r>
          </w:p>
        </w:tc>
      </w:tr>
      <w:tr w:rsidR="00497E61" w14:paraId="37738159" w14:textId="77777777" w:rsidTr="00BF2629">
        <w:tc>
          <w:tcPr>
            <w:tcW w:w="4765" w:type="dxa"/>
          </w:tcPr>
          <w:p w14:paraId="2A58E18C" w14:textId="422A375D" w:rsidR="00497E61" w:rsidRPr="00A04A88" w:rsidRDefault="00912D4E" w:rsidP="00570934">
            <w:pPr>
              <w:pStyle w:val="Citationenretrait"/>
              <w:ind w:left="0"/>
              <w:rPr>
                <w:rFonts w:ascii="Times New Roman" w:hAnsi="Times New Roman"/>
                <w:b/>
                <w:bCs/>
                <w:sz w:val="20"/>
                <w:lang w:eastAsia="fr-CA"/>
              </w:rPr>
            </w:pPr>
            <w:r w:rsidRPr="00A04A88">
              <w:rPr>
                <w:rFonts w:ascii="Times New Roman" w:hAnsi="Times New Roman"/>
                <w:b/>
                <w:bCs/>
                <w:sz w:val="20"/>
                <w:lang w:eastAsia="fr-CA"/>
              </w:rPr>
              <w:t>Ensemble des universités francophones</w:t>
            </w:r>
          </w:p>
        </w:tc>
        <w:tc>
          <w:tcPr>
            <w:tcW w:w="3060" w:type="dxa"/>
          </w:tcPr>
          <w:p w14:paraId="2ED188A2" w14:textId="4A6E3FA6" w:rsidR="00497E61" w:rsidRPr="00A04A88" w:rsidRDefault="00912D4E" w:rsidP="00BF2629">
            <w:pPr>
              <w:pStyle w:val="Citationenretrait"/>
              <w:ind w:left="0"/>
              <w:jc w:val="center"/>
              <w:rPr>
                <w:rFonts w:ascii="Times New Roman" w:hAnsi="Times New Roman"/>
                <w:sz w:val="20"/>
                <w:lang w:eastAsia="fr-CA"/>
              </w:rPr>
            </w:pPr>
            <w:r w:rsidRPr="00A04A88">
              <w:rPr>
                <w:rFonts w:ascii="Times New Roman" w:hAnsi="Times New Roman"/>
                <w:sz w:val="20"/>
                <w:lang w:eastAsia="fr-CA"/>
              </w:rPr>
              <w:t>20 112 $</w:t>
            </w:r>
          </w:p>
        </w:tc>
      </w:tr>
      <w:tr w:rsidR="00497E61" w14:paraId="60E57B2F" w14:textId="77777777" w:rsidTr="00BF2629">
        <w:tc>
          <w:tcPr>
            <w:tcW w:w="4765" w:type="dxa"/>
          </w:tcPr>
          <w:p w14:paraId="65360CA5" w14:textId="3589B3CC" w:rsidR="00497E61" w:rsidRPr="00A04A88" w:rsidRDefault="00E9334D" w:rsidP="00570934">
            <w:pPr>
              <w:pStyle w:val="Citationenretrait"/>
              <w:ind w:left="0"/>
              <w:rPr>
                <w:rFonts w:ascii="Times New Roman" w:hAnsi="Times New Roman"/>
                <w:sz w:val="20"/>
                <w:lang w:eastAsia="fr-CA"/>
              </w:rPr>
            </w:pPr>
            <w:r w:rsidRPr="00A04A88">
              <w:rPr>
                <w:rFonts w:ascii="Times New Roman" w:hAnsi="Times New Roman"/>
                <w:sz w:val="20"/>
                <w:lang w:eastAsia="fr-CA"/>
              </w:rPr>
              <w:t>Université de Montréal</w:t>
            </w:r>
          </w:p>
        </w:tc>
        <w:tc>
          <w:tcPr>
            <w:tcW w:w="3060" w:type="dxa"/>
          </w:tcPr>
          <w:p w14:paraId="6590038F" w14:textId="209998F2" w:rsidR="00497E61" w:rsidRPr="00A04A88" w:rsidRDefault="00E9334D" w:rsidP="00BF2629">
            <w:pPr>
              <w:pStyle w:val="Citationenretrait"/>
              <w:ind w:left="0"/>
              <w:jc w:val="center"/>
              <w:rPr>
                <w:rFonts w:ascii="Times New Roman" w:hAnsi="Times New Roman"/>
                <w:sz w:val="20"/>
                <w:lang w:eastAsia="fr-CA"/>
              </w:rPr>
            </w:pPr>
            <w:r w:rsidRPr="00A04A88">
              <w:rPr>
                <w:rFonts w:ascii="Times New Roman" w:hAnsi="Times New Roman"/>
                <w:sz w:val="20"/>
                <w:lang w:eastAsia="fr-CA"/>
              </w:rPr>
              <w:t>24 525 $</w:t>
            </w:r>
          </w:p>
        </w:tc>
      </w:tr>
      <w:tr w:rsidR="00497E61" w14:paraId="672EA264" w14:textId="77777777" w:rsidTr="00BF2629">
        <w:tc>
          <w:tcPr>
            <w:tcW w:w="4765" w:type="dxa"/>
          </w:tcPr>
          <w:p w14:paraId="5EB3AC0A" w14:textId="0413B96E" w:rsidR="00497E61" w:rsidRPr="00A04A88" w:rsidRDefault="00E9334D" w:rsidP="00570934">
            <w:pPr>
              <w:pStyle w:val="Citationenretrait"/>
              <w:ind w:left="0"/>
              <w:rPr>
                <w:rFonts w:ascii="Times New Roman" w:hAnsi="Times New Roman"/>
                <w:sz w:val="20"/>
                <w:lang w:eastAsia="fr-CA"/>
              </w:rPr>
            </w:pPr>
            <w:r w:rsidRPr="00A04A88">
              <w:rPr>
                <w:rFonts w:ascii="Times New Roman" w:hAnsi="Times New Roman"/>
                <w:sz w:val="20"/>
                <w:lang w:eastAsia="fr-CA"/>
              </w:rPr>
              <w:t>ÉNAP</w:t>
            </w:r>
          </w:p>
        </w:tc>
        <w:tc>
          <w:tcPr>
            <w:tcW w:w="3060" w:type="dxa"/>
          </w:tcPr>
          <w:p w14:paraId="2DDBE00A" w14:textId="40AC0D84" w:rsidR="00497E61" w:rsidRPr="00A04A88" w:rsidRDefault="00E9334D" w:rsidP="00BF2629">
            <w:pPr>
              <w:pStyle w:val="Citationenretrait"/>
              <w:ind w:left="0"/>
              <w:jc w:val="center"/>
              <w:rPr>
                <w:rFonts w:ascii="Times New Roman" w:hAnsi="Times New Roman"/>
                <w:sz w:val="20"/>
                <w:lang w:eastAsia="fr-CA"/>
              </w:rPr>
            </w:pPr>
            <w:r w:rsidRPr="00A04A88">
              <w:rPr>
                <w:rFonts w:ascii="Times New Roman" w:hAnsi="Times New Roman"/>
                <w:sz w:val="20"/>
                <w:lang w:eastAsia="fr-CA"/>
              </w:rPr>
              <w:t>24 384 $</w:t>
            </w:r>
          </w:p>
        </w:tc>
      </w:tr>
      <w:tr w:rsidR="00497E61" w14:paraId="6DE7E483" w14:textId="77777777" w:rsidTr="00BF2629">
        <w:tc>
          <w:tcPr>
            <w:tcW w:w="4765" w:type="dxa"/>
          </w:tcPr>
          <w:p w14:paraId="0318D077" w14:textId="231511E6" w:rsidR="00497E61" w:rsidRPr="00A04A88" w:rsidRDefault="00E9334D" w:rsidP="00570934">
            <w:pPr>
              <w:pStyle w:val="Citationenretrait"/>
              <w:ind w:left="0"/>
              <w:rPr>
                <w:rFonts w:ascii="Times New Roman" w:hAnsi="Times New Roman"/>
                <w:sz w:val="20"/>
                <w:lang w:eastAsia="fr-CA"/>
              </w:rPr>
            </w:pPr>
            <w:r w:rsidRPr="00A04A88">
              <w:rPr>
                <w:rFonts w:ascii="Times New Roman" w:hAnsi="Times New Roman"/>
                <w:sz w:val="20"/>
                <w:lang w:eastAsia="fr-CA"/>
              </w:rPr>
              <w:t>HEC</w:t>
            </w:r>
          </w:p>
        </w:tc>
        <w:tc>
          <w:tcPr>
            <w:tcW w:w="3060" w:type="dxa"/>
          </w:tcPr>
          <w:p w14:paraId="6A021B8D" w14:textId="21BCAE6D" w:rsidR="00497E61" w:rsidRPr="00A04A88" w:rsidRDefault="004F69B1" w:rsidP="005761CC">
            <w:pPr>
              <w:pStyle w:val="Citationenretrait"/>
              <w:ind w:left="0"/>
              <w:jc w:val="center"/>
              <w:rPr>
                <w:rFonts w:ascii="Times New Roman" w:hAnsi="Times New Roman"/>
                <w:sz w:val="20"/>
                <w:lang w:eastAsia="fr-CA"/>
              </w:rPr>
            </w:pPr>
            <w:r w:rsidRPr="00A04A88">
              <w:rPr>
                <w:rFonts w:ascii="Times New Roman" w:hAnsi="Times New Roman"/>
                <w:sz w:val="20"/>
                <w:lang w:eastAsia="fr-CA"/>
              </w:rPr>
              <w:t>24 096</w:t>
            </w:r>
            <w:r w:rsidR="005761CC" w:rsidRPr="00A04A88">
              <w:rPr>
                <w:rFonts w:ascii="Times New Roman" w:hAnsi="Times New Roman"/>
                <w:sz w:val="20"/>
                <w:lang w:eastAsia="fr-CA"/>
              </w:rPr>
              <w:t> $</w:t>
            </w:r>
          </w:p>
        </w:tc>
      </w:tr>
      <w:tr w:rsidR="00497E61" w14:paraId="6B16C1C9" w14:textId="77777777" w:rsidTr="00BF2629">
        <w:tc>
          <w:tcPr>
            <w:tcW w:w="4765" w:type="dxa"/>
          </w:tcPr>
          <w:p w14:paraId="434832A2" w14:textId="22A0B5E7" w:rsidR="00497E61" w:rsidRPr="00A04A88" w:rsidRDefault="00E9334D" w:rsidP="00570934">
            <w:pPr>
              <w:pStyle w:val="Citationenretrait"/>
              <w:ind w:left="0"/>
              <w:rPr>
                <w:rFonts w:ascii="Times New Roman" w:hAnsi="Times New Roman"/>
                <w:sz w:val="20"/>
                <w:lang w:eastAsia="fr-CA"/>
              </w:rPr>
            </w:pPr>
            <w:r w:rsidRPr="00A04A88">
              <w:rPr>
                <w:rFonts w:ascii="Times New Roman" w:hAnsi="Times New Roman"/>
                <w:sz w:val="20"/>
                <w:lang w:eastAsia="fr-CA"/>
              </w:rPr>
              <w:t>Université de Sherbrooke</w:t>
            </w:r>
          </w:p>
        </w:tc>
        <w:tc>
          <w:tcPr>
            <w:tcW w:w="3060" w:type="dxa"/>
          </w:tcPr>
          <w:p w14:paraId="43CB58B4" w14:textId="2BCFEAAB" w:rsidR="00497E61" w:rsidRPr="00A04A88" w:rsidRDefault="004F69B1" w:rsidP="005761CC">
            <w:pPr>
              <w:pStyle w:val="Citationenretrait"/>
              <w:ind w:left="0"/>
              <w:jc w:val="center"/>
              <w:rPr>
                <w:rFonts w:ascii="Times New Roman" w:hAnsi="Times New Roman"/>
                <w:sz w:val="20"/>
                <w:lang w:eastAsia="fr-CA"/>
              </w:rPr>
            </w:pPr>
            <w:r w:rsidRPr="00A04A88">
              <w:rPr>
                <w:rFonts w:ascii="Times New Roman" w:hAnsi="Times New Roman"/>
                <w:sz w:val="20"/>
                <w:lang w:eastAsia="fr-CA"/>
              </w:rPr>
              <w:t>21 693</w:t>
            </w:r>
            <w:r w:rsidR="005761CC" w:rsidRPr="00A04A88">
              <w:rPr>
                <w:rFonts w:ascii="Times New Roman" w:hAnsi="Times New Roman"/>
                <w:sz w:val="20"/>
                <w:lang w:eastAsia="fr-CA"/>
              </w:rPr>
              <w:t> $</w:t>
            </w:r>
          </w:p>
        </w:tc>
      </w:tr>
      <w:tr w:rsidR="00497E61" w14:paraId="14941D0D" w14:textId="77777777" w:rsidTr="00BF2629">
        <w:tc>
          <w:tcPr>
            <w:tcW w:w="4765" w:type="dxa"/>
          </w:tcPr>
          <w:p w14:paraId="08960439" w14:textId="49016190" w:rsidR="00497E61" w:rsidRPr="00A04A88" w:rsidRDefault="00E9334D" w:rsidP="00570934">
            <w:pPr>
              <w:pStyle w:val="Citationenretrait"/>
              <w:ind w:left="0"/>
              <w:rPr>
                <w:rFonts w:ascii="Times New Roman" w:hAnsi="Times New Roman"/>
                <w:sz w:val="20"/>
                <w:lang w:eastAsia="fr-CA"/>
              </w:rPr>
            </w:pPr>
            <w:r w:rsidRPr="00A04A88">
              <w:rPr>
                <w:rFonts w:ascii="Times New Roman" w:hAnsi="Times New Roman"/>
                <w:sz w:val="20"/>
                <w:lang w:eastAsia="fr-CA"/>
              </w:rPr>
              <w:t>Université Laval</w:t>
            </w:r>
          </w:p>
        </w:tc>
        <w:tc>
          <w:tcPr>
            <w:tcW w:w="3060" w:type="dxa"/>
          </w:tcPr>
          <w:p w14:paraId="7E2CB7CD" w14:textId="3C30259E" w:rsidR="00497E61" w:rsidRPr="00A04A88" w:rsidRDefault="004F69B1" w:rsidP="005761CC">
            <w:pPr>
              <w:pStyle w:val="Citationenretrait"/>
              <w:ind w:left="0"/>
              <w:jc w:val="center"/>
              <w:rPr>
                <w:rFonts w:ascii="Times New Roman" w:hAnsi="Times New Roman"/>
                <w:sz w:val="20"/>
                <w:lang w:eastAsia="fr-CA"/>
              </w:rPr>
            </w:pPr>
            <w:r w:rsidRPr="00A04A88">
              <w:rPr>
                <w:rFonts w:ascii="Times New Roman" w:hAnsi="Times New Roman"/>
                <w:sz w:val="20"/>
                <w:lang w:eastAsia="fr-CA"/>
              </w:rPr>
              <w:t>20 536</w:t>
            </w:r>
            <w:r w:rsidR="005761CC" w:rsidRPr="00A04A88">
              <w:rPr>
                <w:rFonts w:ascii="Times New Roman" w:hAnsi="Times New Roman"/>
                <w:sz w:val="20"/>
                <w:lang w:eastAsia="fr-CA"/>
              </w:rPr>
              <w:t> $</w:t>
            </w:r>
          </w:p>
        </w:tc>
      </w:tr>
      <w:tr w:rsidR="00497E61" w14:paraId="2F43671D" w14:textId="77777777" w:rsidTr="00BF2629">
        <w:tc>
          <w:tcPr>
            <w:tcW w:w="4765" w:type="dxa"/>
          </w:tcPr>
          <w:p w14:paraId="31F174AB" w14:textId="54E8E555" w:rsidR="00497E61" w:rsidRPr="00A04A88" w:rsidRDefault="00E9334D" w:rsidP="00570934">
            <w:pPr>
              <w:pStyle w:val="Citationenretrait"/>
              <w:ind w:left="0"/>
              <w:rPr>
                <w:rFonts w:ascii="Times New Roman" w:hAnsi="Times New Roman"/>
                <w:sz w:val="20"/>
                <w:lang w:eastAsia="fr-CA"/>
              </w:rPr>
            </w:pPr>
            <w:r w:rsidRPr="00A04A88">
              <w:rPr>
                <w:rFonts w:ascii="Times New Roman" w:hAnsi="Times New Roman"/>
                <w:sz w:val="20"/>
                <w:lang w:eastAsia="fr-CA"/>
              </w:rPr>
              <w:t>UQTR</w:t>
            </w:r>
          </w:p>
        </w:tc>
        <w:tc>
          <w:tcPr>
            <w:tcW w:w="3060" w:type="dxa"/>
          </w:tcPr>
          <w:p w14:paraId="171582B0" w14:textId="47CCF566" w:rsidR="00497E61" w:rsidRPr="00A04A88" w:rsidRDefault="004F69B1" w:rsidP="005761CC">
            <w:pPr>
              <w:pStyle w:val="Citationenretrait"/>
              <w:ind w:left="0"/>
              <w:jc w:val="center"/>
              <w:rPr>
                <w:rFonts w:ascii="Times New Roman" w:hAnsi="Times New Roman"/>
                <w:sz w:val="20"/>
                <w:lang w:eastAsia="fr-CA"/>
              </w:rPr>
            </w:pPr>
            <w:r w:rsidRPr="00A04A88">
              <w:rPr>
                <w:rFonts w:ascii="Times New Roman" w:hAnsi="Times New Roman"/>
                <w:sz w:val="20"/>
                <w:lang w:eastAsia="fr-CA"/>
              </w:rPr>
              <w:t>20 420</w:t>
            </w:r>
            <w:r w:rsidR="005761CC" w:rsidRPr="00A04A88">
              <w:rPr>
                <w:rFonts w:ascii="Times New Roman" w:hAnsi="Times New Roman"/>
                <w:sz w:val="20"/>
                <w:lang w:eastAsia="fr-CA"/>
              </w:rPr>
              <w:t> $</w:t>
            </w:r>
          </w:p>
        </w:tc>
      </w:tr>
      <w:tr w:rsidR="00497E61" w14:paraId="3D6D1AF6" w14:textId="77777777" w:rsidTr="00BF2629">
        <w:tc>
          <w:tcPr>
            <w:tcW w:w="4765" w:type="dxa"/>
          </w:tcPr>
          <w:p w14:paraId="6DFD2944" w14:textId="04A413B1" w:rsidR="00497E61" w:rsidRPr="00A04A88" w:rsidRDefault="00E9334D" w:rsidP="00570934">
            <w:pPr>
              <w:pStyle w:val="Citationenretrait"/>
              <w:ind w:left="0"/>
              <w:rPr>
                <w:rFonts w:ascii="Times New Roman" w:hAnsi="Times New Roman"/>
                <w:sz w:val="20"/>
                <w:lang w:eastAsia="fr-CA"/>
              </w:rPr>
            </w:pPr>
            <w:r w:rsidRPr="00A04A88">
              <w:rPr>
                <w:rFonts w:ascii="Times New Roman" w:hAnsi="Times New Roman"/>
                <w:sz w:val="20"/>
                <w:lang w:eastAsia="fr-CA"/>
              </w:rPr>
              <w:t>UQAC</w:t>
            </w:r>
          </w:p>
        </w:tc>
        <w:tc>
          <w:tcPr>
            <w:tcW w:w="3060" w:type="dxa"/>
          </w:tcPr>
          <w:p w14:paraId="24251396" w14:textId="1F9C3C95" w:rsidR="00497E61" w:rsidRPr="00A04A88" w:rsidRDefault="004F69B1" w:rsidP="005761CC">
            <w:pPr>
              <w:pStyle w:val="Citationenretrait"/>
              <w:ind w:left="0"/>
              <w:jc w:val="center"/>
              <w:rPr>
                <w:rFonts w:ascii="Times New Roman" w:hAnsi="Times New Roman"/>
                <w:sz w:val="20"/>
                <w:lang w:eastAsia="fr-CA"/>
              </w:rPr>
            </w:pPr>
            <w:r w:rsidRPr="00A04A88">
              <w:rPr>
                <w:rFonts w:ascii="Times New Roman" w:hAnsi="Times New Roman"/>
                <w:sz w:val="20"/>
                <w:lang w:eastAsia="fr-CA"/>
              </w:rPr>
              <w:t>20 275</w:t>
            </w:r>
            <w:r w:rsidR="005761CC" w:rsidRPr="00A04A88">
              <w:rPr>
                <w:rFonts w:ascii="Times New Roman" w:hAnsi="Times New Roman"/>
                <w:sz w:val="20"/>
                <w:lang w:eastAsia="fr-CA"/>
              </w:rPr>
              <w:t> $</w:t>
            </w:r>
          </w:p>
        </w:tc>
      </w:tr>
      <w:tr w:rsidR="00497E61" w14:paraId="4AED68C8" w14:textId="77777777" w:rsidTr="00BF2629">
        <w:tc>
          <w:tcPr>
            <w:tcW w:w="4765" w:type="dxa"/>
          </w:tcPr>
          <w:p w14:paraId="5E89E52F" w14:textId="2A547B1B" w:rsidR="00497E61" w:rsidRPr="00A04A88" w:rsidRDefault="00E9334D" w:rsidP="00570934">
            <w:pPr>
              <w:pStyle w:val="Citationenretrait"/>
              <w:ind w:left="0"/>
              <w:rPr>
                <w:rFonts w:ascii="Times New Roman" w:hAnsi="Times New Roman"/>
                <w:sz w:val="20"/>
                <w:lang w:eastAsia="fr-CA"/>
              </w:rPr>
            </w:pPr>
            <w:r w:rsidRPr="00A04A88">
              <w:rPr>
                <w:rFonts w:ascii="Times New Roman" w:hAnsi="Times New Roman"/>
                <w:sz w:val="20"/>
                <w:lang w:eastAsia="fr-CA"/>
              </w:rPr>
              <w:t>ÉTS</w:t>
            </w:r>
          </w:p>
        </w:tc>
        <w:tc>
          <w:tcPr>
            <w:tcW w:w="3060" w:type="dxa"/>
          </w:tcPr>
          <w:p w14:paraId="6B2A257F" w14:textId="2052B2A6" w:rsidR="00497E61" w:rsidRPr="00A04A88" w:rsidRDefault="004F69B1" w:rsidP="005761CC">
            <w:pPr>
              <w:pStyle w:val="Citationenretrait"/>
              <w:ind w:left="0"/>
              <w:jc w:val="center"/>
              <w:rPr>
                <w:rFonts w:ascii="Times New Roman" w:hAnsi="Times New Roman"/>
                <w:sz w:val="20"/>
                <w:lang w:eastAsia="fr-CA"/>
              </w:rPr>
            </w:pPr>
            <w:r w:rsidRPr="00A04A88">
              <w:rPr>
                <w:rFonts w:ascii="Times New Roman" w:hAnsi="Times New Roman"/>
                <w:sz w:val="20"/>
                <w:lang w:eastAsia="fr-CA"/>
              </w:rPr>
              <w:t>18 778</w:t>
            </w:r>
            <w:r w:rsidR="005761CC" w:rsidRPr="00A04A88">
              <w:rPr>
                <w:rFonts w:ascii="Times New Roman" w:hAnsi="Times New Roman"/>
                <w:sz w:val="20"/>
                <w:lang w:eastAsia="fr-CA"/>
              </w:rPr>
              <w:t> $</w:t>
            </w:r>
          </w:p>
        </w:tc>
      </w:tr>
      <w:tr w:rsidR="00497E61" w14:paraId="277201BE" w14:textId="77777777" w:rsidTr="00BF2629">
        <w:tc>
          <w:tcPr>
            <w:tcW w:w="4765" w:type="dxa"/>
          </w:tcPr>
          <w:p w14:paraId="743662D5" w14:textId="37B0AD50" w:rsidR="00497E61" w:rsidRPr="00A04A88" w:rsidRDefault="00E9334D" w:rsidP="00570934">
            <w:pPr>
              <w:pStyle w:val="Citationenretrait"/>
              <w:ind w:left="0"/>
              <w:rPr>
                <w:rFonts w:ascii="Times New Roman" w:hAnsi="Times New Roman"/>
                <w:sz w:val="20"/>
                <w:lang w:eastAsia="fr-CA"/>
              </w:rPr>
            </w:pPr>
            <w:r w:rsidRPr="00A04A88">
              <w:rPr>
                <w:rFonts w:ascii="Times New Roman" w:hAnsi="Times New Roman"/>
                <w:sz w:val="20"/>
                <w:lang w:eastAsia="fr-CA"/>
              </w:rPr>
              <w:t>Université du Québec à Montréal</w:t>
            </w:r>
          </w:p>
        </w:tc>
        <w:tc>
          <w:tcPr>
            <w:tcW w:w="3060" w:type="dxa"/>
          </w:tcPr>
          <w:p w14:paraId="657A7F49" w14:textId="754CD9F6" w:rsidR="00497E61" w:rsidRPr="00A04A88" w:rsidRDefault="004F69B1" w:rsidP="005761CC">
            <w:pPr>
              <w:pStyle w:val="Citationenretrait"/>
              <w:ind w:left="0"/>
              <w:jc w:val="center"/>
              <w:rPr>
                <w:rFonts w:ascii="Times New Roman" w:hAnsi="Times New Roman"/>
                <w:sz w:val="20"/>
                <w:lang w:eastAsia="fr-CA"/>
              </w:rPr>
            </w:pPr>
            <w:r w:rsidRPr="00A04A88">
              <w:rPr>
                <w:rFonts w:ascii="Times New Roman" w:hAnsi="Times New Roman"/>
                <w:sz w:val="20"/>
                <w:lang w:eastAsia="fr-CA"/>
              </w:rPr>
              <w:t>18 293</w:t>
            </w:r>
            <w:r w:rsidR="005761CC" w:rsidRPr="00A04A88">
              <w:rPr>
                <w:rFonts w:ascii="Times New Roman" w:hAnsi="Times New Roman"/>
                <w:sz w:val="20"/>
                <w:lang w:eastAsia="fr-CA"/>
              </w:rPr>
              <w:t> $</w:t>
            </w:r>
          </w:p>
        </w:tc>
      </w:tr>
    </w:tbl>
    <w:p w14:paraId="08BA8A54" w14:textId="56BAE305" w:rsidR="00A4076B" w:rsidRPr="00FB4A12" w:rsidRDefault="007F059A" w:rsidP="00FB4A12">
      <w:pPr>
        <w:pStyle w:val="Citationenretrait"/>
        <w:rPr>
          <w:lang w:eastAsia="fr-CA"/>
        </w:rPr>
      </w:pPr>
      <w:r w:rsidRPr="004F7B53">
        <w:rPr>
          <w:lang w:eastAsia="fr-CA"/>
        </w:rPr>
        <w:t>28. En utilisant les données du [Ministère], le revenu par étudiant international dérèglementé (en EETP) de Concordia est inférieur à celui de l’Université de Montréal, l’École nationale d’administration publique (ÉNAP) et de HEC.</w:t>
      </w:r>
    </w:p>
    <w:p w14:paraId="75E72343" w14:textId="213D7357" w:rsidR="009445E3" w:rsidRDefault="0004331C" w:rsidP="0082018A">
      <w:pPr>
        <w:pStyle w:val="Paragraphe"/>
        <w:tabs>
          <w:tab w:val="num" w:pos="720"/>
        </w:tabs>
        <w:spacing w:line="240" w:lineRule="auto"/>
        <w:ind w:left="0"/>
        <w:rPr>
          <w:rFonts w:cs="Arial"/>
        </w:rPr>
      </w:pPr>
      <w:r>
        <w:rPr>
          <w:rFonts w:cs="Arial"/>
        </w:rPr>
        <w:t>À raison, le PGQ soutient p</w:t>
      </w:r>
      <w:r w:rsidR="00DB0CE2">
        <w:rPr>
          <w:rFonts w:cs="Arial"/>
        </w:rPr>
        <w:t>ar ailleurs</w:t>
      </w:r>
      <w:r>
        <w:rPr>
          <w:rFonts w:cs="Arial"/>
        </w:rPr>
        <w:t xml:space="preserve"> que</w:t>
      </w:r>
      <w:r w:rsidR="00DB0CE2">
        <w:rPr>
          <w:rFonts w:cs="Arial"/>
        </w:rPr>
        <w:t xml:space="preserve"> </w:t>
      </w:r>
      <w:r w:rsidR="009445E3">
        <w:rPr>
          <w:rFonts w:cs="Arial"/>
        </w:rPr>
        <w:t xml:space="preserve">la précarité de la situation financière de Concordia semble s’expliquer </w:t>
      </w:r>
      <w:r w:rsidR="006B6FBD">
        <w:rPr>
          <w:rFonts w:cs="Arial"/>
        </w:rPr>
        <w:t xml:space="preserve">en partie </w:t>
      </w:r>
      <w:r w:rsidR="009445E3">
        <w:rPr>
          <w:rFonts w:cs="Arial"/>
        </w:rPr>
        <w:t xml:space="preserve">par les importantes </w:t>
      </w:r>
      <w:r w:rsidR="004F7B53">
        <w:rPr>
          <w:rFonts w:cs="Arial"/>
        </w:rPr>
        <w:t xml:space="preserve">dépenses en </w:t>
      </w:r>
      <w:r w:rsidR="009445E3">
        <w:rPr>
          <w:rFonts w:cs="Arial"/>
        </w:rPr>
        <w:t xml:space="preserve">immobilisation qu’elle effectue depuis quelques </w:t>
      </w:r>
      <w:r w:rsidR="00183F3C">
        <w:rPr>
          <w:rFonts w:cs="Arial"/>
        </w:rPr>
        <w:t>a</w:t>
      </w:r>
      <w:r w:rsidR="009445E3">
        <w:rPr>
          <w:rFonts w:cs="Arial"/>
        </w:rPr>
        <w:t xml:space="preserve">nnées. Puisque les universités ne peuvent faire de déficit, </w:t>
      </w:r>
      <w:r w:rsidR="00183F3C">
        <w:rPr>
          <w:rFonts w:cs="Arial"/>
        </w:rPr>
        <w:t>Concordia</w:t>
      </w:r>
      <w:r w:rsidR="009445E3">
        <w:rPr>
          <w:rFonts w:cs="Arial"/>
        </w:rPr>
        <w:t xml:space="preserve"> a fourni un plan de redressement financier</w:t>
      </w:r>
      <w:r w:rsidR="009445E3">
        <w:rPr>
          <w:rStyle w:val="Appelnotedebasdep"/>
          <w:rFonts w:cs="Arial"/>
        </w:rPr>
        <w:footnoteReference w:id="121"/>
      </w:r>
      <w:r w:rsidR="009445E3">
        <w:rPr>
          <w:rFonts w:cs="Arial"/>
        </w:rPr>
        <w:t>.</w:t>
      </w:r>
    </w:p>
    <w:p w14:paraId="75FCA7D4" w14:textId="79318C0E" w:rsidR="00B22DD1" w:rsidRDefault="004274F6" w:rsidP="0082018A">
      <w:pPr>
        <w:pStyle w:val="Paragraphe"/>
        <w:tabs>
          <w:tab w:val="num" w:pos="720"/>
        </w:tabs>
        <w:spacing w:line="240" w:lineRule="auto"/>
        <w:ind w:left="0"/>
        <w:rPr>
          <w:rFonts w:cs="Arial"/>
        </w:rPr>
      </w:pPr>
      <w:r>
        <w:rPr>
          <w:rFonts w:cs="Arial"/>
        </w:rPr>
        <w:t>Quoiqu’il en soit, Concordia soumet que</w:t>
      </w:r>
      <w:r w:rsidR="00EF0E75">
        <w:rPr>
          <w:rFonts w:cs="Arial"/>
        </w:rPr>
        <w:t xml:space="preserve"> </w:t>
      </w:r>
      <w:r w:rsidR="003A63BB" w:rsidRPr="004F7B53">
        <w:rPr>
          <w:rFonts w:cs="Arial"/>
        </w:rPr>
        <w:t xml:space="preserve">son attractivité auprès des étudiants Internationaux et les revenus qui en découlent ne </w:t>
      </w:r>
      <w:r w:rsidR="009979B7" w:rsidRPr="004F7B53">
        <w:rPr>
          <w:rFonts w:cs="Arial"/>
        </w:rPr>
        <w:t>devraient pas</w:t>
      </w:r>
      <w:r w:rsidR="003A63BB" w:rsidRPr="004F7B53">
        <w:rPr>
          <w:rFonts w:cs="Arial"/>
        </w:rPr>
        <w:t xml:space="preserve"> lui être opposés.</w:t>
      </w:r>
    </w:p>
    <w:p w14:paraId="627A76CC" w14:textId="5324AD14" w:rsidR="004F7B53" w:rsidRDefault="00B22DD1" w:rsidP="0082018A">
      <w:pPr>
        <w:pStyle w:val="Paragraphe"/>
        <w:tabs>
          <w:tab w:val="num" w:pos="720"/>
        </w:tabs>
        <w:spacing w:line="240" w:lineRule="auto"/>
        <w:ind w:left="0"/>
        <w:rPr>
          <w:rFonts w:cs="Arial"/>
        </w:rPr>
      </w:pPr>
      <w:r>
        <w:rPr>
          <w:rFonts w:cs="Arial"/>
        </w:rPr>
        <w:t>Dans le mémoire qu’elle dépose le 23</w:t>
      </w:r>
      <w:r w:rsidR="004765AC">
        <w:rPr>
          <w:rFonts w:cs="Arial"/>
        </w:rPr>
        <w:t> </w:t>
      </w:r>
      <w:r>
        <w:rPr>
          <w:rFonts w:cs="Arial"/>
        </w:rPr>
        <w:t>juin</w:t>
      </w:r>
      <w:r w:rsidR="004765AC">
        <w:rPr>
          <w:rFonts w:cs="Arial"/>
        </w:rPr>
        <w:t> </w:t>
      </w:r>
      <w:r>
        <w:rPr>
          <w:rFonts w:cs="Arial"/>
        </w:rPr>
        <w:t>2023 auprès de la Ministre dans le cadre de la révision de la Politique québécoise de financement des universités, Concordia plaide que l</w:t>
      </w:r>
      <w:r w:rsidR="003A63BB" w:rsidRPr="004F7B53">
        <w:rPr>
          <w:rFonts w:cs="Arial"/>
        </w:rPr>
        <w:t xml:space="preserve">e cadre du financement </w:t>
      </w:r>
      <w:r w:rsidR="001E6DA2" w:rsidRPr="004F7B53">
        <w:rPr>
          <w:rFonts w:cs="Arial"/>
        </w:rPr>
        <w:t xml:space="preserve">universitaire </w:t>
      </w:r>
      <w:r w:rsidR="003A63BB" w:rsidRPr="004F7B53">
        <w:rPr>
          <w:rFonts w:cs="Arial"/>
        </w:rPr>
        <w:t xml:space="preserve">par </w:t>
      </w:r>
      <w:r w:rsidR="00A33C69" w:rsidRPr="004F7B53">
        <w:rPr>
          <w:rFonts w:cs="Arial"/>
        </w:rPr>
        <w:t xml:space="preserve">la déréglementation des étudiants Internationaux devrait </w:t>
      </w:r>
      <w:r w:rsidR="003A63BB" w:rsidRPr="004F7B53">
        <w:rPr>
          <w:rFonts w:cs="Arial"/>
        </w:rPr>
        <w:t xml:space="preserve">plutôt </w:t>
      </w:r>
      <w:r w:rsidR="00A33C69" w:rsidRPr="004F7B53">
        <w:rPr>
          <w:rFonts w:cs="Arial"/>
        </w:rPr>
        <w:t>être amélioré</w:t>
      </w:r>
      <w:r w:rsidR="003A63BB" w:rsidRPr="004F7B53">
        <w:rPr>
          <w:rFonts w:cs="Arial"/>
        </w:rPr>
        <w:t xml:space="preserve"> </w:t>
      </w:r>
      <w:r w:rsidR="001E6DA2" w:rsidRPr="004F7B53">
        <w:rPr>
          <w:rFonts w:cs="Arial"/>
        </w:rPr>
        <w:t>sans limiter la capacité d’accueil de ces étudiants par les universités anglophones</w:t>
      </w:r>
      <w:r>
        <w:rPr>
          <w:rFonts w:cs="Arial"/>
        </w:rPr>
        <w:t>. Elle écrit</w:t>
      </w:r>
      <w:r w:rsidR="00A33C69" w:rsidRPr="004F7B53">
        <w:rPr>
          <w:rFonts w:cs="Arial"/>
        </w:rPr>
        <w:t> :</w:t>
      </w:r>
    </w:p>
    <w:p w14:paraId="70AFA700" w14:textId="74B800CC" w:rsidR="003A63BB" w:rsidRDefault="00F17781" w:rsidP="00F17781">
      <w:pPr>
        <w:pStyle w:val="Citationenretrait"/>
        <w:rPr>
          <w:lang w:eastAsia="fr-CA"/>
        </w:rPr>
      </w:pPr>
      <w:r w:rsidRPr="004F7B53">
        <w:rPr>
          <w:lang w:eastAsia="fr-CA"/>
        </w:rPr>
        <w:t>Le cadre qui détermine les frais facturés aux étudiants de l’extérieur du Québec relève du gouvernement, selon leur provenance et le cycle d’études. Historiquement, le gouvernement a pris des actions pour favoriser l’attractivité du Québec en plafonnant les frais de scolarité pour certains étudiants, comme ceux des autres provinces canadiennes, et les citoyens de la France et de la Belgique francophone. Le gouvernement a aussi établi des subventions à hauteur de 22,8 M$ pour soutenir les efforts de recrutement d’étudiants internationaux des universités francophones, un financement initialement prévu pour trois ans et renouvelé depuis lors. Ce sont des choix et des actions proactives légitimes. Mais on ne peut pas du même souffle reprocher à certaines universités leur attractivité auprès des étudiants d’ailleurs, ni les revenus additionnels qui en découlent.</w:t>
      </w:r>
    </w:p>
    <w:p w14:paraId="46A6CD5E" w14:textId="5895007E" w:rsidR="00F17781" w:rsidRPr="004F7B53" w:rsidRDefault="00F17781" w:rsidP="00F17781">
      <w:pPr>
        <w:pStyle w:val="Citationenretrait"/>
        <w:rPr>
          <w:lang w:eastAsia="fr-CA"/>
        </w:rPr>
      </w:pPr>
      <w:r w:rsidRPr="004F7B53">
        <w:rPr>
          <w:lang w:eastAsia="fr-CA"/>
        </w:rPr>
        <w:t>[…]</w:t>
      </w:r>
    </w:p>
    <w:p w14:paraId="3B80EFA7" w14:textId="13D4F8E8" w:rsidR="00F17781" w:rsidRPr="004F7B53" w:rsidRDefault="00F17781" w:rsidP="00F17781">
      <w:pPr>
        <w:pStyle w:val="Citationenretrait"/>
        <w:rPr>
          <w:lang w:eastAsia="fr-CA"/>
        </w:rPr>
      </w:pPr>
      <w:r w:rsidRPr="004F7B53">
        <w:rPr>
          <w:lang w:eastAsia="fr-CA"/>
        </w:rPr>
        <w:t>Dans ses modifications implantées en 2019, le gouvernement a décidé d’exclure complètement de ses calculs les frais de scolarité des étudiants internationaux du premier cycle et du deuxième cycle dans des programmes professionnels. C’est un choix qui semblait logique : puisque le gouvernement ne prend en charge aucun des coûts reliés à ces étudiants, les revenus associés sont reçus et gérés par les universités de façon autonome.</w:t>
      </w:r>
    </w:p>
    <w:p w14:paraId="6EBD510C" w14:textId="776D871F" w:rsidR="00F17781" w:rsidRPr="004F7B53" w:rsidRDefault="00F17781" w:rsidP="00F17781">
      <w:pPr>
        <w:pStyle w:val="Citationenretrait"/>
        <w:rPr>
          <w:lang w:eastAsia="fr-CA"/>
        </w:rPr>
      </w:pPr>
      <w:r w:rsidRPr="004F7B53">
        <w:rPr>
          <w:lang w:eastAsia="fr-CA"/>
        </w:rPr>
        <w:t>Statistiquement, le bassin potentiel d’étudiants internationaux intéressés à étudier en anglais est plus important que la population étudiante intéressée à étudier en français, que ces étudiants soient initialement anglophones, francophones ou allophones.</w:t>
      </w:r>
    </w:p>
    <w:p w14:paraId="682E684E" w14:textId="3FA0713D" w:rsidR="00F17781" w:rsidRPr="004F7B53" w:rsidRDefault="00F17781" w:rsidP="00F17781">
      <w:pPr>
        <w:pStyle w:val="Citationenretrait"/>
        <w:rPr>
          <w:lang w:eastAsia="fr-CA"/>
        </w:rPr>
      </w:pPr>
      <w:r w:rsidRPr="004F7B53">
        <w:rPr>
          <w:lang w:eastAsia="fr-CA"/>
        </w:rPr>
        <w:t>Presque cinq ans après la mise en place de cette approche par le gouvernement, il y a certainement des améliorations à considérer. Voici quelques pistes de travail :</w:t>
      </w:r>
    </w:p>
    <w:p w14:paraId="6DD8E886" w14:textId="64A11E73" w:rsidR="00F17781" w:rsidRPr="004F7B53" w:rsidRDefault="00F17781" w:rsidP="004E713C">
      <w:pPr>
        <w:pStyle w:val="Citationenretrait"/>
        <w:numPr>
          <w:ilvl w:val="0"/>
          <w:numId w:val="9"/>
        </w:numPr>
        <w:rPr>
          <w:lang w:eastAsia="fr-CA"/>
        </w:rPr>
      </w:pPr>
      <w:r w:rsidRPr="004F7B53">
        <w:rPr>
          <w:lang w:eastAsia="fr-CA"/>
        </w:rPr>
        <w:t>Permettre à toutes les universités de conserver une portion des frais additionnels facturés aux étudiants d’ailleurs au Canada et des francophones d’Europe tout en maintenant le financement gouvernemental pour ces étudiants.</w:t>
      </w:r>
    </w:p>
    <w:p w14:paraId="45B3D89A" w14:textId="2E3A4EC3" w:rsidR="00F17781" w:rsidRDefault="00F17781" w:rsidP="004E713C">
      <w:pPr>
        <w:pStyle w:val="Citationenretrait"/>
        <w:numPr>
          <w:ilvl w:val="0"/>
          <w:numId w:val="9"/>
        </w:numPr>
        <w:rPr>
          <w:lang w:eastAsia="fr-CA"/>
        </w:rPr>
      </w:pPr>
      <w:r w:rsidRPr="004F7B53">
        <w:rPr>
          <w:lang w:eastAsia="fr-CA"/>
        </w:rPr>
        <w:t>Diriger une partie des revenus provenant des étudiants internationaux déréglementés, 10</w:t>
      </w:r>
      <w:r w:rsidR="002E2155">
        <w:rPr>
          <w:lang w:eastAsia="fr-CA"/>
        </w:rPr>
        <w:t> </w:t>
      </w:r>
      <w:r w:rsidRPr="004F7B53">
        <w:rPr>
          <w:lang w:eastAsia="fr-CA"/>
        </w:rPr>
        <w:t>% par exemple, vers des initiatives particulières telles que la francisation, le recrutement d’étudiants internationaux à profils particuliers ou la mise en place d’activités d’apprentissage expérientiel et de stages en milieu de travail, ou dans un fonds consolidé de péréquation interuniversitaire.</w:t>
      </w:r>
      <w:r w:rsidRPr="004F7B53">
        <w:rPr>
          <w:rStyle w:val="Appelnotedebasdep"/>
          <w:lang w:eastAsia="fr-CA"/>
        </w:rPr>
        <w:footnoteReference w:id="122"/>
      </w:r>
    </w:p>
    <w:p w14:paraId="537A2AB4" w14:textId="6D845311" w:rsidR="00994966" w:rsidRPr="00C36F08" w:rsidRDefault="00994966" w:rsidP="00B37C21">
      <w:pPr>
        <w:pStyle w:val="Citationenretrait"/>
        <w:numPr>
          <w:ilvl w:val="0"/>
          <w:numId w:val="11"/>
        </w:numPr>
        <w:ind w:left="2880"/>
        <w:rPr>
          <w:i/>
          <w:sz w:val="24"/>
        </w:rPr>
      </w:pPr>
      <w:r w:rsidRPr="00C36F08">
        <w:rPr>
          <w:i/>
          <w:sz w:val="24"/>
        </w:rPr>
        <w:t>Les recteurs des universités</w:t>
      </w:r>
    </w:p>
    <w:p w14:paraId="19FE5E3A" w14:textId="3DD145BC" w:rsidR="00B92937" w:rsidRDefault="00AA20F4" w:rsidP="0082018A">
      <w:pPr>
        <w:pStyle w:val="Paragraphe"/>
        <w:tabs>
          <w:tab w:val="num" w:pos="720"/>
        </w:tabs>
        <w:spacing w:line="240" w:lineRule="auto"/>
        <w:ind w:left="0"/>
        <w:rPr>
          <w:rFonts w:cs="Arial"/>
        </w:rPr>
      </w:pPr>
      <w:r>
        <w:rPr>
          <w:rFonts w:cs="Arial"/>
        </w:rPr>
        <w:t>Dans une lettre que publie en février</w:t>
      </w:r>
      <w:r w:rsidR="00C36F08">
        <w:rPr>
          <w:rFonts w:cs="Arial"/>
        </w:rPr>
        <w:t> </w:t>
      </w:r>
      <w:r>
        <w:rPr>
          <w:rFonts w:cs="Arial"/>
        </w:rPr>
        <w:t xml:space="preserve">2024 le journal La Presse, </w:t>
      </w:r>
      <w:r w:rsidR="006B6FBD">
        <w:rPr>
          <w:rFonts w:cs="Arial"/>
        </w:rPr>
        <w:t>les hauts dirigeants de certaines universités</w:t>
      </w:r>
      <w:r>
        <w:rPr>
          <w:rFonts w:cs="Arial"/>
        </w:rPr>
        <w:t xml:space="preserve">, c’est-à-dire </w:t>
      </w:r>
      <w:r w:rsidR="006B6FBD">
        <w:rPr>
          <w:rFonts w:cs="Arial"/>
        </w:rPr>
        <w:t>l</w:t>
      </w:r>
      <w:r w:rsidR="00B92937">
        <w:rPr>
          <w:rFonts w:cs="Arial"/>
        </w:rPr>
        <w:t>es recteurs de l’Université de Montréal et de l’Université de Sherbrooke,</w:t>
      </w:r>
      <w:r w:rsidR="00C8520B">
        <w:rPr>
          <w:rFonts w:cs="Arial"/>
        </w:rPr>
        <w:t xml:space="preserve"> </w:t>
      </w:r>
      <w:r w:rsidR="00B92937">
        <w:rPr>
          <w:rFonts w:cs="Arial"/>
        </w:rPr>
        <w:t xml:space="preserve">la rectrice de l’Université Laval, </w:t>
      </w:r>
      <w:r w:rsidR="006B6FBD">
        <w:rPr>
          <w:rFonts w:cs="Arial"/>
        </w:rPr>
        <w:t>l</w:t>
      </w:r>
      <w:r w:rsidR="00B92937">
        <w:rPr>
          <w:rFonts w:cs="Arial"/>
        </w:rPr>
        <w:t xml:space="preserve">a directrice générale de Polytechnique Montréal et </w:t>
      </w:r>
      <w:r w:rsidR="006B6FBD">
        <w:rPr>
          <w:rFonts w:cs="Arial"/>
        </w:rPr>
        <w:t>le</w:t>
      </w:r>
      <w:r w:rsidR="00B92937">
        <w:rPr>
          <w:rFonts w:cs="Arial"/>
        </w:rPr>
        <w:t xml:space="preserve"> directeur de HEC Montréal</w:t>
      </w:r>
      <w:r w:rsidR="006B6FBD">
        <w:rPr>
          <w:rFonts w:cs="Arial"/>
        </w:rPr>
        <w:t xml:space="preserve"> </w:t>
      </w:r>
      <w:r>
        <w:rPr>
          <w:rFonts w:cs="Arial"/>
        </w:rPr>
        <w:t>estiment raisonnable le rééquilibrage que cherche la Ministre, mais nuancent néanmoins cet objectif en ces termes</w:t>
      </w:r>
      <w:r w:rsidR="00B92937">
        <w:rPr>
          <w:rFonts w:cs="Arial"/>
        </w:rPr>
        <w:t> :</w:t>
      </w:r>
    </w:p>
    <w:p w14:paraId="722D41A0" w14:textId="16532FC3" w:rsidR="00CD3579" w:rsidRDefault="00B92937" w:rsidP="00CD3579">
      <w:pPr>
        <w:pStyle w:val="Citationenretrait"/>
      </w:pPr>
      <w:r w:rsidRPr="00C8520B">
        <w:t>Nous croyons qu’il est raisonnable de tente</w:t>
      </w:r>
      <w:r w:rsidR="002A3149">
        <w:t>r</w:t>
      </w:r>
      <w:r w:rsidRPr="00C8520B">
        <w:t xml:space="preserve"> d’équilibrer les gains découlant de l’attractivité des universités québécoises et de la plus grande capacité de certaines d’entre elles de tirer parti de cette attractivité. Tout est dans la manière. </w:t>
      </w:r>
      <w:r w:rsidRPr="00AA20F4">
        <w:rPr>
          <w:u w:val="single"/>
        </w:rPr>
        <w:t>N’importe quelle mesure qui mettrait en péril l’existence même d’une université, ou l’affaiblirait au pont de la dénaturer, doit être exclue de la dis</w:t>
      </w:r>
      <w:r w:rsidR="00C8520B" w:rsidRPr="00AA20F4">
        <w:rPr>
          <w:u w:val="single"/>
        </w:rPr>
        <w:t>c</w:t>
      </w:r>
      <w:r w:rsidRPr="00AA20F4">
        <w:rPr>
          <w:u w:val="single"/>
        </w:rPr>
        <w:t>ussion</w:t>
      </w:r>
      <w:r w:rsidR="00C8520B">
        <w:rPr>
          <w:rStyle w:val="Appelnotedebasdep"/>
          <w:szCs w:val="22"/>
        </w:rPr>
        <w:footnoteReference w:id="123"/>
      </w:r>
      <w:r w:rsidRPr="00C8520B">
        <w:t>.</w:t>
      </w:r>
    </w:p>
    <w:p w14:paraId="117B145D" w14:textId="03F5EFD7" w:rsidR="00B92937" w:rsidRDefault="00CD3579" w:rsidP="00CD3579">
      <w:pPr>
        <w:pStyle w:val="Citationenretrait"/>
        <w:tabs>
          <w:tab w:val="right" w:pos="8640"/>
        </w:tabs>
      </w:pPr>
      <w:r>
        <w:tab/>
      </w:r>
      <w:r w:rsidR="00AA20F4">
        <w:t>[</w:t>
      </w:r>
      <w:r>
        <w:t>S</w:t>
      </w:r>
      <w:r w:rsidR="00AA20F4">
        <w:t>oulignement ajouté]</w:t>
      </w:r>
    </w:p>
    <w:p w14:paraId="10EC6A4C" w14:textId="3FFAD72A" w:rsidR="00E232FB" w:rsidRPr="00C36F08" w:rsidRDefault="00E232FB" w:rsidP="00C36F08">
      <w:pPr>
        <w:pStyle w:val="Citationenretrait"/>
        <w:numPr>
          <w:ilvl w:val="0"/>
          <w:numId w:val="11"/>
        </w:numPr>
        <w:ind w:left="2880"/>
        <w:rPr>
          <w:i/>
        </w:rPr>
      </w:pPr>
      <w:r w:rsidRPr="00C36F08">
        <w:rPr>
          <w:i/>
        </w:rPr>
        <w:t>McGill</w:t>
      </w:r>
    </w:p>
    <w:p w14:paraId="0CF70992" w14:textId="1468BB76" w:rsidR="00B07DC4" w:rsidRDefault="00B07DC4" w:rsidP="00B07DC4">
      <w:pPr>
        <w:pStyle w:val="Paragraphe"/>
        <w:tabs>
          <w:tab w:val="num" w:pos="720"/>
        </w:tabs>
        <w:spacing w:line="240" w:lineRule="auto"/>
        <w:ind w:left="0"/>
      </w:pPr>
      <w:r w:rsidRPr="00615AE1">
        <w:t>De son côté, McGill affirme qu’en ce qui concerne le besoin de rééquilibrer les finances des universités anglophones et francophones, l’explication de la Ministre occulte le fait que la déréglementation des étudiants Internationaux a profité tout autant aux universités francophones qu’anglophones</w:t>
      </w:r>
      <w:r>
        <w:rPr>
          <w:rStyle w:val="Appelnotedebasdep"/>
          <w:rFonts w:cs="Arial"/>
        </w:rPr>
        <w:footnoteReference w:id="124"/>
      </w:r>
      <w:r w:rsidRPr="00615AE1">
        <w:t xml:space="preserve">. </w:t>
      </w:r>
      <w:r>
        <w:t>Elle ajoute que les exemptions accordées aux étudiants Internationaux francophones, notamment les étudiants français et belges, participe</w:t>
      </w:r>
      <w:r w:rsidR="004F7B53">
        <w:t>nt</w:t>
      </w:r>
      <w:r>
        <w:t xml:space="preserve"> au </w:t>
      </w:r>
      <w:r w:rsidR="00AA20F4">
        <w:t xml:space="preserve">phénomène </w:t>
      </w:r>
      <w:r w:rsidR="002D6AD1">
        <w:t xml:space="preserve">de </w:t>
      </w:r>
      <w:r>
        <w:t>déséquilibre allégué.</w:t>
      </w:r>
    </w:p>
    <w:p w14:paraId="1767E9F6" w14:textId="17D24C26" w:rsidR="00B07DC4" w:rsidRDefault="00B07DC4" w:rsidP="00B07DC4">
      <w:pPr>
        <w:pStyle w:val="Paragraphe"/>
        <w:tabs>
          <w:tab w:val="num" w:pos="720"/>
        </w:tabs>
        <w:spacing w:line="240" w:lineRule="auto"/>
        <w:ind w:left="0"/>
      </w:pPr>
      <w:r>
        <w:t xml:space="preserve">McGill </w:t>
      </w:r>
      <w:r w:rsidR="00AA20F4">
        <w:t xml:space="preserve">déplore </w:t>
      </w:r>
      <w:r>
        <w:t xml:space="preserve">la déficience du financement </w:t>
      </w:r>
      <w:r w:rsidR="004F7B53">
        <w:t xml:space="preserve">global </w:t>
      </w:r>
      <w:r>
        <w:t>du réseau universitaire québécois. Elle qualifie la situation de sous-financement chronique</w:t>
      </w:r>
      <w:r>
        <w:rPr>
          <w:rStyle w:val="Appelnotedebasdep"/>
        </w:rPr>
        <w:footnoteReference w:id="125"/>
      </w:r>
      <w:r>
        <w:t xml:space="preserve">. </w:t>
      </w:r>
      <w:r w:rsidR="00AA20F4">
        <w:t>A</w:t>
      </w:r>
      <w:r>
        <w:t>ux modifications aux Règles budgétaires s’ajoute un désinvestissement total de 432</w:t>
      </w:r>
      <w:r w:rsidR="00183D2B">
        <w:t> </w:t>
      </w:r>
      <w:r>
        <w:t>M$ sur quatre ans, s’étalant de 2024 à 2028, dont près de 270</w:t>
      </w:r>
      <w:r w:rsidR="00183D2B">
        <w:t> </w:t>
      </w:r>
      <w:r>
        <w:t xml:space="preserve">M$ pour les universités anglophones seulement. </w:t>
      </w:r>
      <w:r w:rsidR="003459FA">
        <w:t>Dans une étude dont il signe le rapport le 27</w:t>
      </w:r>
      <w:r w:rsidR="000955CF">
        <w:t> </w:t>
      </w:r>
      <w:r w:rsidR="003459FA">
        <w:t>octobre</w:t>
      </w:r>
      <w:r w:rsidR="000955CF">
        <w:t> </w:t>
      </w:r>
      <w:r w:rsidR="003459FA">
        <w:t>2021 pour le BCI, le professeur émérite Pierre Fortin écrit :</w:t>
      </w:r>
    </w:p>
    <w:p w14:paraId="4FD15879" w14:textId="59838A3D" w:rsidR="003459FA" w:rsidRPr="003459FA" w:rsidRDefault="003459FA" w:rsidP="000955CF">
      <w:pPr>
        <w:pStyle w:val="Citationenretrait"/>
      </w:pPr>
      <w:r w:rsidRPr="003459FA">
        <w:t>La situation comparative du Québec observée en 2018-2019 s’inscrivait dans une lourde tendance à la baisse des ressources par étudiant à coût équivalent de ses universités par rapport aux autres universités canadiennes depuis une vingtaine d’années. Le sous-financement universitaire du Québec désigne le montant global qu’il faudrait ajouter aux ressources de fonctionnement des universités québécoises afin qu’elles disposent du même revenu par étudiant à coût équivalent que les universités des autres provinces. Ce sous-financement est passé de 284m$ en 20021-2002 à 1 444m$ en 2018-2019</w:t>
      </w:r>
      <w:r>
        <w:rPr>
          <w:rStyle w:val="Appelnotedebasdep"/>
          <w:szCs w:val="22"/>
        </w:rPr>
        <w:footnoteReference w:id="126"/>
      </w:r>
      <w:r w:rsidRPr="003459FA">
        <w:t>.</w:t>
      </w:r>
    </w:p>
    <w:p w14:paraId="52FCD156" w14:textId="70CBCC2C" w:rsidR="00B07DC4" w:rsidRDefault="00B07DC4" w:rsidP="00B07DC4">
      <w:pPr>
        <w:pStyle w:val="Paragraphe"/>
        <w:tabs>
          <w:tab w:val="num" w:pos="720"/>
        </w:tabs>
        <w:spacing w:line="240" w:lineRule="auto"/>
        <w:ind w:left="0"/>
      </w:pPr>
      <w:r>
        <w:t>Selon McGill, les modifications aux Règles budgétaires, envisagées dans leur contexte factuel</w:t>
      </w:r>
      <w:r w:rsidR="00F13A9D">
        <w:t xml:space="preserve"> global</w:t>
      </w:r>
      <w:r>
        <w:t>, l’obligeront à revoir son offre académique y compris dans des domaines d’enseignement qu’elle est la seule à dispenser en anglais et en français et qui forment les futurs médecins, infirmiers, avocats, journalistes et enseignants.</w:t>
      </w:r>
    </w:p>
    <w:p w14:paraId="20B7E465" w14:textId="2C4C312F" w:rsidR="00890DB3" w:rsidRPr="00F71196" w:rsidRDefault="00DB641E" w:rsidP="00C36F08">
      <w:pPr>
        <w:pStyle w:val="Citationenretrait"/>
        <w:numPr>
          <w:ilvl w:val="0"/>
          <w:numId w:val="11"/>
        </w:numPr>
        <w:ind w:left="2880"/>
        <w:rPr>
          <w:b/>
          <w:bCs/>
        </w:rPr>
      </w:pPr>
      <w:r w:rsidRPr="00F71196">
        <w:rPr>
          <w:b/>
          <w:bCs/>
        </w:rPr>
        <w:t>Récapitulatif</w:t>
      </w:r>
    </w:p>
    <w:p w14:paraId="22C29105" w14:textId="792469D0" w:rsidR="004F7B53" w:rsidRPr="004F7B53" w:rsidRDefault="009044B9" w:rsidP="00B07DC4">
      <w:pPr>
        <w:pStyle w:val="Paragraphe"/>
        <w:tabs>
          <w:tab w:val="num" w:pos="720"/>
        </w:tabs>
        <w:spacing w:line="240" w:lineRule="auto"/>
        <w:ind w:left="0"/>
      </w:pPr>
      <w:r w:rsidRPr="004F7B53">
        <w:t>On voit donc que</w:t>
      </w:r>
      <w:r w:rsidR="00CD1D59" w:rsidRPr="004F7B53">
        <w:t xml:space="preserve"> </w:t>
      </w:r>
      <w:r w:rsidR="00FB4A12" w:rsidRPr="004F7B53">
        <w:t xml:space="preserve">la question du déséquilibre financier causé par la déréglementation des étudiants Internationaux est abordée par la Ministre et les demanderesses </w:t>
      </w:r>
      <w:r w:rsidR="004F7B53" w:rsidRPr="004F7B53">
        <w:t xml:space="preserve">selon </w:t>
      </w:r>
      <w:r w:rsidR="00FB4A12" w:rsidRPr="004F7B53">
        <w:t>de</w:t>
      </w:r>
      <w:r w:rsidR="004F7B53" w:rsidRPr="004F7B53">
        <w:t>s</w:t>
      </w:r>
      <w:r w:rsidR="00FB4A12" w:rsidRPr="004F7B53">
        <w:t xml:space="preserve"> perspectives distinctes</w:t>
      </w:r>
      <w:r w:rsidR="00EF0E75">
        <w:t>. P</w:t>
      </w:r>
      <w:r w:rsidR="00FB4A12" w:rsidRPr="004F7B53">
        <w:t>our la Ministre</w:t>
      </w:r>
      <w:r w:rsidR="00C30F09" w:rsidRPr="004F7B53">
        <w:t>, reprendre le contrôle de tous les revenus provenant des étudiants permettrait une répartition plus équitable du financement à l’intérieur du réseau universitaire</w:t>
      </w:r>
      <w:r w:rsidR="00EF0E75">
        <w:t>. P</w:t>
      </w:r>
      <w:r w:rsidR="00C30F09" w:rsidRPr="004F7B53">
        <w:t>our les universités</w:t>
      </w:r>
      <w:r w:rsidR="00CC61D0">
        <w:t xml:space="preserve"> anglophones</w:t>
      </w:r>
      <w:r w:rsidR="00C30F09" w:rsidRPr="004F7B53">
        <w:t xml:space="preserve">, perdre l’autonomie dans la gestion des revenus générés par la déréglementation signifie </w:t>
      </w:r>
      <w:r w:rsidR="00DD160E" w:rsidRPr="004F7B53">
        <w:t>une</w:t>
      </w:r>
      <w:r w:rsidR="00C30F09" w:rsidRPr="004F7B53">
        <w:t xml:space="preserve"> diminution d’une source importante de financement</w:t>
      </w:r>
      <w:r w:rsidR="00DD160E" w:rsidRPr="004F7B53">
        <w:t>, et ce, dans le contexte d’un désengagement général de l’État en matière de financement universitaire.</w:t>
      </w:r>
    </w:p>
    <w:p w14:paraId="317739C0" w14:textId="3D518B8F" w:rsidR="00DD160E" w:rsidRPr="004F7B53" w:rsidRDefault="007816D4" w:rsidP="00B07DC4">
      <w:pPr>
        <w:pStyle w:val="Paragraphe"/>
        <w:tabs>
          <w:tab w:val="num" w:pos="720"/>
        </w:tabs>
        <w:spacing w:line="240" w:lineRule="auto"/>
        <w:ind w:left="0"/>
      </w:pPr>
      <w:r>
        <w:t xml:space="preserve">Lorsqu’on analyse de près les effets de la dérèglementation des étudiants Internationaux, on constate que la mesure que </w:t>
      </w:r>
      <w:r w:rsidR="00F3075C">
        <w:t>réinstaure</w:t>
      </w:r>
      <w:r>
        <w:t xml:space="preserve"> la Ministre consiste à retourner</w:t>
      </w:r>
      <w:r w:rsidR="008C566D" w:rsidRPr="004F7B53">
        <w:t xml:space="preserve"> à un modèle de financement prévalant avant 2008, un</w:t>
      </w:r>
      <w:r w:rsidR="00DD160E" w:rsidRPr="004F7B53">
        <w:t xml:space="preserve">e question </w:t>
      </w:r>
      <w:r w:rsidR="00DD160E" w:rsidRPr="004F7B53">
        <w:rPr>
          <w:i/>
          <w:iCs/>
        </w:rPr>
        <w:t>d’arbitrage des valeurs et des principes</w:t>
      </w:r>
      <w:r w:rsidR="00FE4376" w:rsidRPr="004F7B53">
        <w:rPr>
          <w:rStyle w:val="Appelnotedebasdep"/>
        </w:rPr>
        <w:footnoteReference w:id="127"/>
      </w:r>
      <w:r w:rsidR="00DD160E" w:rsidRPr="004F7B53">
        <w:t xml:space="preserve"> en matière d’allocation des fonds à l’égard de laquelle</w:t>
      </w:r>
      <w:r w:rsidR="004F7B53">
        <w:t>, pour les motifs exposés plus loin,</w:t>
      </w:r>
      <w:r w:rsidR="00DD160E" w:rsidRPr="004F7B53">
        <w:t xml:space="preserve"> le Tribunal ne saurait intervenir</w:t>
      </w:r>
      <w:r w:rsidR="005B1980">
        <w:t xml:space="preserve"> qu’en présence d’une décision déraisonnable.</w:t>
      </w:r>
    </w:p>
    <w:p w14:paraId="4DCC9D11" w14:textId="0B1A49C9" w:rsidR="001649A7" w:rsidRPr="001649A7" w:rsidRDefault="00534145" w:rsidP="009A4130">
      <w:pPr>
        <w:pStyle w:val="Paragraphe"/>
        <w:numPr>
          <w:ilvl w:val="1"/>
          <w:numId w:val="6"/>
        </w:numPr>
        <w:spacing w:line="240" w:lineRule="auto"/>
        <w:ind w:left="2520"/>
        <w:rPr>
          <w:rFonts w:cs="Arial"/>
          <w:b/>
          <w:bCs/>
        </w:rPr>
      </w:pPr>
      <w:r>
        <w:rPr>
          <w:rFonts w:cs="Arial"/>
          <w:b/>
          <w:bCs/>
        </w:rPr>
        <w:t>S</w:t>
      </w:r>
      <w:r w:rsidR="001649A7" w:rsidRPr="001649A7">
        <w:rPr>
          <w:rFonts w:cs="Arial"/>
          <w:b/>
          <w:bCs/>
        </w:rPr>
        <w:t>’assurer d’une meilleure rétention des étudiants CNRQ et Internationaux</w:t>
      </w:r>
    </w:p>
    <w:p w14:paraId="591D1DF5" w14:textId="40C24EC4" w:rsidR="003459FA" w:rsidRDefault="003459FA" w:rsidP="0082018A">
      <w:pPr>
        <w:pStyle w:val="Paragraphe"/>
        <w:tabs>
          <w:tab w:val="num" w:pos="720"/>
        </w:tabs>
        <w:spacing w:line="240" w:lineRule="auto"/>
        <w:ind w:left="0"/>
        <w:rPr>
          <w:rFonts w:cs="Arial"/>
        </w:rPr>
      </w:pPr>
      <w:r>
        <w:rPr>
          <w:rFonts w:cs="Arial"/>
        </w:rPr>
        <w:t>Dans le Plan stratégique 2023-2027 qu’elle diffuse, l</w:t>
      </w:r>
      <w:r w:rsidR="001649A7">
        <w:rPr>
          <w:rFonts w:cs="Arial"/>
        </w:rPr>
        <w:t>a Ministre</w:t>
      </w:r>
      <w:r>
        <w:rPr>
          <w:rFonts w:cs="Arial"/>
        </w:rPr>
        <w:t xml:space="preserve"> indique que </w:t>
      </w:r>
      <w:r w:rsidR="00FB6EC3">
        <w:rPr>
          <w:rFonts w:cs="Arial"/>
        </w:rPr>
        <w:t>[</w:t>
      </w:r>
      <w:r>
        <w:rPr>
          <w:rFonts w:cs="Arial"/>
        </w:rPr>
        <w:t>l</w:t>
      </w:r>
      <w:r w:rsidR="00FB6EC3">
        <w:rPr>
          <w:rFonts w:cs="Arial"/>
        </w:rPr>
        <w:t>]</w:t>
      </w:r>
      <w:r w:rsidRPr="00FB6EC3">
        <w:rPr>
          <w:rFonts w:cs="Arial"/>
          <w:i/>
          <w:iCs/>
        </w:rPr>
        <w:t xml:space="preserve">a rétention des </w:t>
      </w:r>
      <w:r w:rsidR="00FB6EC3" w:rsidRPr="00FB6EC3">
        <w:rPr>
          <w:rFonts w:cs="Arial"/>
          <w:i/>
          <w:iCs/>
        </w:rPr>
        <w:t>étudiants</w:t>
      </w:r>
      <w:r w:rsidRPr="00FB6EC3">
        <w:rPr>
          <w:rFonts w:cs="Arial"/>
          <w:i/>
          <w:iCs/>
        </w:rPr>
        <w:t xml:space="preserve"> internationaux, une fois </w:t>
      </w:r>
      <w:r w:rsidR="00FB6EC3" w:rsidRPr="00FB6EC3">
        <w:rPr>
          <w:rFonts w:cs="Arial"/>
          <w:i/>
          <w:iCs/>
        </w:rPr>
        <w:t>diplômés</w:t>
      </w:r>
      <w:r w:rsidRPr="00FB6EC3">
        <w:rPr>
          <w:rFonts w:cs="Arial"/>
          <w:i/>
          <w:iCs/>
        </w:rPr>
        <w:t xml:space="preserve">, est une priorité gouvernementale. Elle </w:t>
      </w:r>
      <w:r w:rsidR="00FB6EC3" w:rsidRPr="00FB6EC3">
        <w:rPr>
          <w:rFonts w:cs="Arial"/>
          <w:i/>
          <w:iCs/>
        </w:rPr>
        <w:t>constitue</w:t>
      </w:r>
      <w:r w:rsidRPr="00FB6EC3">
        <w:rPr>
          <w:rFonts w:cs="Arial"/>
          <w:i/>
          <w:iCs/>
        </w:rPr>
        <w:t xml:space="preserve"> une </w:t>
      </w:r>
      <w:r w:rsidR="00FB6EC3" w:rsidRPr="00FB6EC3">
        <w:rPr>
          <w:rFonts w:cs="Arial"/>
          <w:i/>
          <w:iCs/>
        </w:rPr>
        <w:t>opportunité</w:t>
      </w:r>
      <w:r w:rsidRPr="00FB6EC3">
        <w:rPr>
          <w:rFonts w:cs="Arial"/>
          <w:i/>
          <w:iCs/>
        </w:rPr>
        <w:t xml:space="preserve"> mutuellement bénéfique à toutes les parties. D’une part, ces étudiants pourront contribuer au </w:t>
      </w:r>
      <w:r w:rsidR="00FB6EC3" w:rsidRPr="00FB6EC3">
        <w:rPr>
          <w:rFonts w:cs="Arial"/>
          <w:i/>
          <w:iCs/>
        </w:rPr>
        <w:t>développement</w:t>
      </w:r>
      <w:r w:rsidRPr="00FB6EC3">
        <w:rPr>
          <w:rFonts w:cs="Arial"/>
          <w:i/>
          <w:iCs/>
        </w:rPr>
        <w:t xml:space="preserve"> et à la croissance du Québec, </w:t>
      </w:r>
      <w:r w:rsidR="00FB6EC3" w:rsidRPr="00FB6EC3">
        <w:rPr>
          <w:rFonts w:cs="Arial"/>
          <w:i/>
          <w:iCs/>
        </w:rPr>
        <w:t>et d’autre part, ils auront la possibilité de s’épanouir personnellement et professionnellement dans une société prospère et équitable</w:t>
      </w:r>
      <w:r w:rsidR="00FB6EC3">
        <w:rPr>
          <w:rFonts w:cs="Arial"/>
        </w:rPr>
        <w:t xml:space="preserve">. </w:t>
      </w:r>
      <w:r w:rsidR="005A1DF4">
        <w:rPr>
          <w:rFonts w:cs="Arial"/>
        </w:rPr>
        <w:t>La Ministre</w:t>
      </w:r>
      <w:r w:rsidR="00FB6EC3">
        <w:rPr>
          <w:rFonts w:cs="Arial"/>
        </w:rPr>
        <w:t xml:space="preserve"> ajoute que la promotion et la </w:t>
      </w:r>
      <w:r w:rsidR="00FB6EC3" w:rsidRPr="00FB6EC3">
        <w:rPr>
          <w:rFonts w:cs="Arial"/>
          <w:i/>
          <w:iCs/>
        </w:rPr>
        <w:t>valorisation de la langue française sont au cœur des priorités gouvernementales</w:t>
      </w:r>
      <w:r w:rsidR="00FB6EC3" w:rsidRPr="00C06D26">
        <w:rPr>
          <w:rStyle w:val="Appelnotedebasdep"/>
          <w:rFonts w:cs="Arial"/>
        </w:rPr>
        <w:footnoteReference w:id="128"/>
      </w:r>
      <w:r w:rsidR="00FB6EC3">
        <w:rPr>
          <w:rFonts w:cs="Arial"/>
        </w:rPr>
        <w:t>.</w:t>
      </w:r>
    </w:p>
    <w:p w14:paraId="1BA83FC8" w14:textId="062FB2DD" w:rsidR="001649A7" w:rsidRDefault="001649A7" w:rsidP="0082018A">
      <w:pPr>
        <w:pStyle w:val="Paragraphe"/>
        <w:tabs>
          <w:tab w:val="num" w:pos="720"/>
        </w:tabs>
        <w:spacing w:line="240" w:lineRule="auto"/>
        <w:ind w:left="0"/>
        <w:rPr>
          <w:rFonts w:cs="Arial"/>
        </w:rPr>
      </w:pPr>
      <w:r>
        <w:rPr>
          <w:rFonts w:cs="Arial"/>
        </w:rPr>
        <w:t xml:space="preserve"> </w:t>
      </w:r>
      <w:r w:rsidR="00FF150D">
        <w:rPr>
          <w:rFonts w:cs="Arial"/>
        </w:rPr>
        <w:t xml:space="preserve">La Ministre </w:t>
      </w:r>
      <w:r>
        <w:rPr>
          <w:rFonts w:cs="Arial"/>
        </w:rPr>
        <w:t>veut justifier sa décision de revoir</w:t>
      </w:r>
      <w:r w:rsidR="00CE13EA">
        <w:rPr>
          <w:rFonts w:cs="Arial"/>
        </w:rPr>
        <w:t xml:space="preserve"> à </w:t>
      </w:r>
      <w:r>
        <w:rPr>
          <w:rFonts w:cs="Arial"/>
        </w:rPr>
        <w:t xml:space="preserve">la baisse le financement accordé aux universités anglophones, </w:t>
      </w:r>
      <w:r w:rsidR="008E40FE">
        <w:rPr>
          <w:rFonts w:cs="Arial"/>
        </w:rPr>
        <w:t>également</w:t>
      </w:r>
      <w:r>
        <w:rPr>
          <w:rFonts w:cs="Arial"/>
        </w:rPr>
        <w:t xml:space="preserve"> pour les étudiants CNRQ</w:t>
      </w:r>
      <w:r w:rsidR="005A1DF4">
        <w:rPr>
          <w:rFonts w:cs="Arial"/>
        </w:rPr>
        <w:t>,</w:t>
      </w:r>
      <w:r>
        <w:rPr>
          <w:rFonts w:cs="Arial"/>
        </w:rPr>
        <w:t xml:space="preserve"> </w:t>
      </w:r>
      <w:r w:rsidR="00CE13EA">
        <w:rPr>
          <w:rFonts w:cs="Arial"/>
        </w:rPr>
        <w:t>puisqu’a</w:t>
      </w:r>
      <w:r>
        <w:rPr>
          <w:rFonts w:cs="Arial"/>
        </w:rPr>
        <w:t xml:space="preserve">ffirme-t-elle, </w:t>
      </w:r>
      <w:r w:rsidRPr="001649A7">
        <w:rPr>
          <w:rFonts w:cs="Arial"/>
          <w:i/>
          <w:iCs/>
        </w:rPr>
        <w:t>une majorité d’entre eux ne restent pas au Québec au terme de leurs études</w:t>
      </w:r>
      <w:r w:rsidR="00C06D26" w:rsidRPr="00DE13B5">
        <w:rPr>
          <w:rStyle w:val="Appelnotedebasdep"/>
          <w:rFonts w:cs="Arial"/>
        </w:rPr>
        <w:footnoteReference w:id="129"/>
      </w:r>
      <w:r>
        <w:rPr>
          <w:rFonts w:cs="Arial"/>
        </w:rPr>
        <w:t>.</w:t>
      </w:r>
    </w:p>
    <w:p w14:paraId="43785FDD" w14:textId="4D9E8F94" w:rsidR="00B92937" w:rsidRPr="00EF667A" w:rsidRDefault="00B92937" w:rsidP="0082018A">
      <w:pPr>
        <w:pStyle w:val="Paragraphe"/>
        <w:tabs>
          <w:tab w:val="num" w:pos="720"/>
        </w:tabs>
        <w:spacing w:line="240" w:lineRule="auto"/>
        <w:ind w:left="0"/>
        <w:rPr>
          <w:rFonts w:cs="Arial"/>
        </w:rPr>
      </w:pPr>
      <w:r w:rsidRPr="00EF667A">
        <w:rPr>
          <w:rFonts w:cs="Arial"/>
        </w:rPr>
        <w:t>Ces d</w:t>
      </w:r>
      <w:r>
        <w:rPr>
          <w:rFonts w:cs="Arial"/>
        </w:rPr>
        <w:t>é</w:t>
      </w:r>
      <w:r w:rsidRPr="00EF667A">
        <w:rPr>
          <w:rFonts w:cs="Arial"/>
        </w:rPr>
        <w:t>clarations gouvernementales, provenant</w:t>
      </w:r>
      <w:r>
        <w:rPr>
          <w:rFonts w:cs="Arial"/>
        </w:rPr>
        <w:t xml:space="preserve"> même</w:t>
      </w:r>
      <w:r w:rsidRPr="00EF667A">
        <w:rPr>
          <w:rFonts w:cs="Arial"/>
        </w:rPr>
        <w:t xml:space="preserve"> du </w:t>
      </w:r>
      <w:r>
        <w:rPr>
          <w:rFonts w:cs="Arial"/>
        </w:rPr>
        <w:t>sommet de la pyramide</w:t>
      </w:r>
      <w:r w:rsidR="00CE13EA">
        <w:rPr>
          <w:rFonts w:cs="Arial"/>
        </w:rPr>
        <w:t>,</w:t>
      </w:r>
      <w:r>
        <w:rPr>
          <w:rFonts w:cs="Arial"/>
        </w:rPr>
        <w:t xml:space="preserve"> ne passent pas inaperçues dans le milieu universitaire. Toujours dan</w:t>
      </w:r>
      <w:r w:rsidR="00CE13EA">
        <w:rPr>
          <w:rFonts w:cs="Arial"/>
        </w:rPr>
        <w:t>s</w:t>
      </w:r>
      <w:r>
        <w:rPr>
          <w:rFonts w:cs="Arial"/>
        </w:rPr>
        <w:t xml:space="preserve"> la lettre ouverte </w:t>
      </w:r>
      <w:r w:rsidR="00361C3D">
        <w:rPr>
          <w:rFonts w:cs="Arial"/>
        </w:rPr>
        <w:t>de février</w:t>
      </w:r>
      <w:r w:rsidR="009A4130">
        <w:rPr>
          <w:rFonts w:cs="Arial"/>
        </w:rPr>
        <w:t> </w:t>
      </w:r>
      <w:r w:rsidR="00361C3D">
        <w:rPr>
          <w:rFonts w:cs="Arial"/>
        </w:rPr>
        <w:t xml:space="preserve">2024 </w:t>
      </w:r>
      <w:r>
        <w:rPr>
          <w:rFonts w:cs="Arial"/>
        </w:rPr>
        <w:t>des dirigeants d’universités francophones, on peut lire</w:t>
      </w:r>
      <w:r w:rsidR="005D415B">
        <w:rPr>
          <w:rFonts w:cs="Arial"/>
        </w:rPr>
        <w:t xml:space="preserve"> </w:t>
      </w:r>
      <w:r>
        <w:rPr>
          <w:rFonts w:cs="Arial"/>
        </w:rPr>
        <w:t xml:space="preserve">que (…) </w:t>
      </w:r>
      <w:r w:rsidRPr="00EF667A">
        <w:rPr>
          <w:rFonts w:cs="Arial"/>
          <w:i/>
          <w:iCs/>
        </w:rPr>
        <w:t>certains commentaire</w:t>
      </w:r>
      <w:r>
        <w:rPr>
          <w:rFonts w:cs="Arial"/>
          <w:i/>
          <w:iCs/>
        </w:rPr>
        <w:t>s</w:t>
      </w:r>
      <w:r w:rsidRPr="00EF667A">
        <w:rPr>
          <w:rFonts w:cs="Arial"/>
          <w:i/>
          <w:iCs/>
        </w:rPr>
        <w:t xml:space="preserve"> malencontreux ont teinté l’annonce de ces mesures. Les étudiants issus de l’extérieur du Québec ont été présentés tour à tour comme des variables budgétaires, des menaces à l’essor du français, des pique-assiettes ou des vaches à lait</w:t>
      </w:r>
      <w:r w:rsidRPr="001E407F">
        <w:rPr>
          <w:rStyle w:val="Appelnotedebasdep"/>
          <w:rFonts w:cs="Arial"/>
        </w:rPr>
        <w:footnoteReference w:id="130"/>
      </w:r>
      <w:r>
        <w:rPr>
          <w:rFonts w:cs="Arial"/>
        </w:rPr>
        <w:t>.</w:t>
      </w:r>
    </w:p>
    <w:p w14:paraId="3CB5EC61" w14:textId="2149D527" w:rsidR="008E40FE" w:rsidRDefault="008E40FE" w:rsidP="008E40FE">
      <w:pPr>
        <w:pStyle w:val="Paragraphe"/>
        <w:tabs>
          <w:tab w:val="num" w:pos="720"/>
        </w:tabs>
        <w:spacing w:line="240" w:lineRule="auto"/>
        <w:ind w:left="0"/>
      </w:pPr>
      <w:r>
        <w:t xml:space="preserve">Dans son communiqué de presse du 13 octobre 2023, la Ministre </w:t>
      </w:r>
      <w:r w:rsidR="00D443C7">
        <w:t>ajoute</w:t>
      </w:r>
      <w:r w:rsidR="00EF0E75">
        <w:t xml:space="preserve"> même</w:t>
      </w:r>
      <w:r>
        <w:t xml:space="preserve"> que </w:t>
      </w:r>
      <w:r w:rsidRPr="00FD02EB">
        <w:t>le gouvernement du Québec ne financera plus, au net, les étudiant</w:t>
      </w:r>
      <w:r w:rsidR="00A9582E">
        <w:t>s</w:t>
      </w:r>
      <w:r w:rsidRPr="00FD02EB">
        <w:t xml:space="preserve"> canadiens qui viennent étudier dans </w:t>
      </w:r>
      <w:r w:rsidR="00EF0E75">
        <w:t>le</w:t>
      </w:r>
      <w:r w:rsidRPr="00FD02EB">
        <w:t>s établissements anglophones et qui, pour la plupart, quittent le Québec après leur diplomation</w:t>
      </w:r>
      <w:r w:rsidRPr="00233F63">
        <w:rPr>
          <w:rStyle w:val="Appelnotedebasdep"/>
          <w:rFonts w:cs="Arial"/>
        </w:rPr>
        <w:footnoteReference w:id="131"/>
      </w:r>
      <w:r w:rsidRPr="00233F63">
        <w:t>.</w:t>
      </w:r>
    </w:p>
    <w:p w14:paraId="4DC5770F" w14:textId="13ECF8C4" w:rsidR="008E40FE" w:rsidRDefault="008E40FE" w:rsidP="008E40FE">
      <w:pPr>
        <w:pStyle w:val="Paragraphe"/>
        <w:tabs>
          <w:tab w:val="num" w:pos="720"/>
        </w:tabs>
        <w:spacing w:line="240" w:lineRule="auto"/>
        <w:ind w:left="0"/>
        <w:rPr>
          <w:lang w:val="en-CA"/>
        </w:rPr>
      </w:pPr>
      <w:r w:rsidRPr="0082018A">
        <w:t xml:space="preserve">Dans </w:t>
      </w:r>
      <w:r w:rsidR="00D443C7">
        <w:t>des propos</w:t>
      </w:r>
      <w:r w:rsidRPr="0082018A">
        <w:t xml:space="preserve"> que lui attribue Global News le 17</w:t>
      </w:r>
      <w:r>
        <w:t> </w:t>
      </w:r>
      <w:r w:rsidRPr="0082018A">
        <w:t>octobre</w:t>
      </w:r>
      <w:r>
        <w:t> </w:t>
      </w:r>
      <w:r w:rsidRPr="0082018A">
        <w:t>2023, le</w:t>
      </w:r>
      <w:r>
        <w:t xml:space="preserve"> </w:t>
      </w:r>
      <w:r w:rsidRPr="0082018A">
        <w:t xml:space="preserve">Premier ministre s’exprime ainsi : </w:t>
      </w:r>
      <w:r w:rsidRPr="00242A87">
        <w:rPr>
          <w:i/>
          <w:iCs/>
        </w:rPr>
        <w:t>I am commit</w:t>
      </w:r>
      <w:r w:rsidR="001145D3">
        <w:rPr>
          <w:i/>
          <w:iCs/>
        </w:rPr>
        <w:t>t</w:t>
      </w:r>
      <w:r w:rsidRPr="00242A87">
        <w:rPr>
          <w:i/>
          <w:iCs/>
        </w:rPr>
        <w:t xml:space="preserve">ed to stop </w:t>
      </w:r>
      <w:r w:rsidR="00A9571F">
        <w:rPr>
          <w:i/>
          <w:iCs/>
        </w:rPr>
        <w:t>th</w:t>
      </w:r>
      <w:r w:rsidRPr="00242A87">
        <w:rPr>
          <w:i/>
          <w:iCs/>
        </w:rPr>
        <w:t xml:space="preserve">e decline of French in Quebec. </w:t>
      </w:r>
      <w:r w:rsidRPr="00242A87">
        <w:rPr>
          <w:i/>
          <w:iCs/>
          <w:lang w:val="en-CA"/>
        </w:rPr>
        <w:t>In increasing the tuition fees for the rest of Canada for the people studying in Quebec it will be another move to reduce the number of anglophone students</w:t>
      </w:r>
      <w:r w:rsidRPr="005D415B">
        <w:rPr>
          <w:rStyle w:val="Appelnotedebasdep"/>
          <w:rFonts w:cs="Arial"/>
          <w:lang w:val="en-CA"/>
        </w:rPr>
        <w:footnoteReference w:id="132"/>
      </w:r>
      <w:r>
        <w:rPr>
          <w:lang w:val="en-CA"/>
        </w:rPr>
        <w:t>.</w:t>
      </w:r>
    </w:p>
    <w:p w14:paraId="38C377C8" w14:textId="50255CA6" w:rsidR="009E19E1" w:rsidRPr="009E19E1" w:rsidRDefault="009E19E1" w:rsidP="009E19E1">
      <w:pPr>
        <w:pStyle w:val="Paragraphe"/>
        <w:tabs>
          <w:tab w:val="num" w:pos="720"/>
        </w:tabs>
        <w:spacing w:line="240" w:lineRule="auto"/>
        <w:ind w:left="0"/>
        <w:rPr>
          <w:rFonts w:cs="Arial"/>
        </w:rPr>
      </w:pPr>
      <w:r w:rsidRPr="00361C3D">
        <w:rPr>
          <w:rFonts w:cs="Arial"/>
        </w:rPr>
        <w:t xml:space="preserve">Interrogé sur sa déclaration sous serment, monsieur Leclerc </w:t>
      </w:r>
      <w:r>
        <w:rPr>
          <w:rFonts w:cs="Arial"/>
        </w:rPr>
        <w:t>ne fournit aucune statistique à la connaissance de la Ministre</w:t>
      </w:r>
      <w:r w:rsidRPr="00361C3D">
        <w:rPr>
          <w:rFonts w:cs="Arial"/>
        </w:rPr>
        <w:t xml:space="preserve"> </w:t>
      </w:r>
      <w:r>
        <w:rPr>
          <w:rFonts w:cs="Arial"/>
        </w:rPr>
        <w:t xml:space="preserve">quant au </w:t>
      </w:r>
      <w:r w:rsidRPr="00361C3D">
        <w:rPr>
          <w:rFonts w:cs="Arial"/>
        </w:rPr>
        <w:t>taux de rétention des étudiants hors Québec au moment de prendre la décision</w:t>
      </w:r>
      <w:r>
        <w:rPr>
          <w:rStyle w:val="Appelnotedebasdep"/>
          <w:rFonts w:cs="Arial"/>
        </w:rPr>
        <w:footnoteReference w:id="133"/>
      </w:r>
      <w:r w:rsidRPr="00361C3D">
        <w:rPr>
          <w:rFonts w:cs="Arial"/>
        </w:rPr>
        <w:t xml:space="preserve">. </w:t>
      </w:r>
      <w:r>
        <w:rPr>
          <w:rFonts w:cs="Arial"/>
        </w:rPr>
        <w:t>Pourtant, McGill alertait la Ministre dès le 8</w:t>
      </w:r>
      <w:r w:rsidR="00A7040B">
        <w:rPr>
          <w:rFonts w:cs="Arial"/>
        </w:rPr>
        <w:t> </w:t>
      </w:r>
      <w:r>
        <w:rPr>
          <w:rFonts w:cs="Arial"/>
        </w:rPr>
        <w:t>juin</w:t>
      </w:r>
      <w:r w:rsidR="00A7040B">
        <w:rPr>
          <w:rFonts w:cs="Arial"/>
        </w:rPr>
        <w:t> </w:t>
      </w:r>
      <w:r>
        <w:rPr>
          <w:rFonts w:cs="Arial"/>
        </w:rPr>
        <w:t xml:space="preserve">2023 sur le fait </w:t>
      </w:r>
      <w:r w:rsidRPr="00C06D26">
        <w:rPr>
          <w:rFonts w:cs="Arial"/>
          <w:i/>
          <w:iCs/>
        </w:rPr>
        <w:t>qu’à ce jour, il n’existe aucune donnée fiable permettant d’évaluer avec précision le taux de rétention de ces étudiants</w:t>
      </w:r>
      <w:r>
        <w:rPr>
          <w:rFonts w:cs="Arial"/>
        </w:rPr>
        <w:t xml:space="preserve"> [Internationaux]</w:t>
      </w:r>
      <w:r>
        <w:rPr>
          <w:rStyle w:val="Appelnotedebasdep"/>
          <w:rFonts w:cs="Arial"/>
        </w:rPr>
        <w:footnoteReference w:id="134"/>
      </w:r>
      <w:r>
        <w:rPr>
          <w:rFonts w:cs="Arial"/>
        </w:rPr>
        <w:t>.</w:t>
      </w:r>
    </w:p>
    <w:p w14:paraId="276BCB60" w14:textId="26D9FB29" w:rsidR="00FF150D" w:rsidRDefault="00A410ED" w:rsidP="00306277">
      <w:pPr>
        <w:pStyle w:val="Paragraphe"/>
        <w:tabs>
          <w:tab w:val="num" w:pos="720"/>
        </w:tabs>
        <w:spacing w:line="240" w:lineRule="auto"/>
        <w:ind w:left="0"/>
        <w:rPr>
          <w:rFonts w:cs="Arial"/>
        </w:rPr>
      </w:pPr>
      <w:r>
        <w:rPr>
          <w:rFonts w:cs="Arial"/>
        </w:rPr>
        <w:t xml:space="preserve">Par opposition, </w:t>
      </w:r>
      <w:r w:rsidR="001649A7" w:rsidRPr="00361C3D">
        <w:rPr>
          <w:rFonts w:cs="Arial"/>
        </w:rPr>
        <w:t>Concordia démontre qu</w:t>
      </w:r>
      <w:r w:rsidR="00C61934">
        <w:rPr>
          <w:rFonts w:cs="Arial"/>
        </w:rPr>
        <w:t xml:space="preserve">’en ce qui concerne </w:t>
      </w:r>
      <w:r w:rsidR="001649A7" w:rsidRPr="00361C3D">
        <w:rPr>
          <w:rFonts w:cs="Arial"/>
        </w:rPr>
        <w:t>ses étudiants Internationaux</w:t>
      </w:r>
      <w:r w:rsidR="00C61934">
        <w:rPr>
          <w:rFonts w:cs="Arial"/>
        </w:rPr>
        <w:t xml:space="preserve">, du moins, la majorité d’entre eux </w:t>
      </w:r>
      <w:r w:rsidR="001649A7" w:rsidRPr="00361C3D">
        <w:rPr>
          <w:rFonts w:cs="Arial"/>
        </w:rPr>
        <w:t>reste au Québec après l’obtention de leur diplôme</w:t>
      </w:r>
      <w:r w:rsidR="00361C3D">
        <w:rPr>
          <w:rFonts w:cs="Arial"/>
        </w:rPr>
        <w:t>. Elle réfère le Tribunal à une</w:t>
      </w:r>
      <w:r w:rsidR="001649A7" w:rsidRPr="00361C3D">
        <w:rPr>
          <w:rFonts w:cs="Arial"/>
        </w:rPr>
        <w:t xml:space="preserve"> lettre du 8</w:t>
      </w:r>
      <w:r w:rsidR="00A26A47">
        <w:t> </w:t>
      </w:r>
      <w:r w:rsidR="001649A7" w:rsidRPr="00361C3D">
        <w:rPr>
          <w:rFonts w:cs="Arial"/>
        </w:rPr>
        <w:t>juin</w:t>
      </w:r>
      <w:r w:rsidR="00A26A47">
        <w:t> </w:t>
      </w:r>
      <w:r w:rsidR="001649A7" w:rsidRPr="00361C3D">
        <w:rPr>
          <w:rFonts w:cs="Arial"/>
        </w:rPr>
        <w:t xml:space="preserve">2023 que transmet </w:t>
      </w:r>
      <w:r w:rsidR="005A1DF4">
        <w:rPr>
          <w:rFonts w:cs="Arial"/>
        </w:rPr>
        <w:t xml:space="preserve">son </w:t>
      </w:r>
      <w:r w:rsidR="001649A7" w:rsidRPr="00361C3D">
        <w:rPr>
          <w:rFonts w:cs="Arial"/>
        </w:rPr>
        <w:t>recteur à la Ministre</w:t>
      </w:r>
      <w:r w:rsidR="001649A7">
        <w:rPr>
          <w:rStyle w:val="Appelnotedebasdep"/>
          <w:rFonts w:cs="Arial"/>
        </w:rPr>
        <w:footnoteReference w:id="135"/>
      </w:r>
      <w:r w:rsidR="0003236E" w:rsidRPr="00361C3D">
        <w:rPr>
          <w:rFonts w:cs="Arial"/>
        </w:rPr>
        <w:t xml:space="preserve"> ainsi que </w:t>
      </w:r>
      <w:r w:rsidR="00361C3D">
        <w:rPr>
          <w:rFonts w:cs="Arial"/>
        </w:rPr>
        <w:t>certain</w:t>
      </w:r>
      <w:r w:rsidR="00F94B76" w:rsidRPr="00361C3D">
        <w:rPr>
          <w:rFonts w:cs="Arial"/>
        </w:rPr>
        <w:t xml:space="preserve">es </w:t>
      </w:r>
      <w:r w:rsidR="001D7236" w:rsidRPr="00361C3D">
        <w:rPr>
          <w:rFonts w:cs="Arial"/>
        </w:rPr>
        <w:t>données de Statistique</w:t>
      </w:r>
      <w:r w:rsidR="00A935E7">
        <w:rPr>
          <w:rFonts w:cs="Arial"/>
        </w:rPr>
        <w:t>s</w:t>
      </w:r>
      <w:r w:rsidR="001D7236" w:rsidRPr="00361C3D">
        <w:rPr>
          <w:rFonts w:cs="Arial"/>
        </w:rPr>
        <w:t xml:space="preserve"> Canada</w:t>
      </w:r>
      <w:r w:rsidR="001D7236">
        <w:rPr>
          <w:rStyle w:val="Appelnotedebasdep"/>
          <w:rFonts w:cs="Arial"/>
        </w:rPr>
        <w:footnoteReference w:id="136"/>
      </w:r>
      <w:r w:rsidR="00F94B76" w:rsidRPr="00361C3D">
        <w:rPr>
          <w:rFonts w:cs="Arial"/>
        </w:rPr>
        <w:t>,</w:t>
      </w:r>
      <w:r w:rsidR="001D7236" w:rsidRPr="00361C3D">
        <w:rPr>
          <w:rFonts w:cs="Arial"/>
        </w:rPr>
        <w:t xml:space="preserve"> que corroborent les </w:t>
      </w:r>
      <w:r w:rsidR="00F94B76" w:rsidRPr="00361C3D">
        <w:rPr>
          <w:rFonts w:cs="Arial"/>
        </w:rPr>
        <w:t>étud</w:t>
      </w:r>
      <w:r w:rsidR="001D7236" w:rsidRPr="00361C3D">
        <w:rPr>
          <w:rFonts w:cs="Arial"/>
        </w:rPr>
        <w:t>es maison que fournissent messieurs Therrien et Law dans leurs déclarations sous serment respectives</w:t>
      </w:r>
      <w:r w:rsidR="001D7236">
        <w:rPr>
          <w:rStyle w:val="Appelnotedebasdep"/>
          <w:rFonts w:cs="Arial"/>
        </w:rPr>
        <w:footnoteReference w:id="137"/>
      </w:r>
      <w:r w:rsidR="001649A7" w:rsidRPr="00361C3D">
        <w:rPr>
          <w:rFonts w:cs="Arial"/>
        </w:rPr>
        <w:t>.</w:t>
      </w:r>
    </w:p>
    <w:p w14:paraId="6B32FE2C" w14:textId="040D0279" w:rsidR="00614AB3" w:rsidRDefault="00361C3D" w:rsidP="00306277">
      <w:pPr>
        <w:pStyle w:val="Paragraphe"/>
        <w:tabs>
          <w:tab w:val="num" w:pos="720"/>
        </w:tabs>
        <w:spacing w:line="240" w:lineRule="auto"/>
        <w:ind w:left="0"/>
        <w:rPr>
          <w:rFonts w:cs="Arial"/>
        </w:rPr>
      </w:pPr>
      <w:r>
        <w:rPr>
          <w:rFonts w:cs="Arial"/>
        </w:rPr>
        <w:t xml:space="preserve">En effet, après avoir exposé la manière utilisée par </w:t>
      </w:r>
      <w:r w:rsidR="005A1DF4">
        <w:rPr>
          <w:rFonts w:cs="Arial"/>
        </w:rPr>
        <w:t>Concordia</w:t>
      </w:r>
      <w:r>
        <w:rPr>
          <w:rFonts w:cs="Arial"/>
        </w:rPr>
        <w:t xml:space="preserve"> </w:t>
      </w:r>
      <w:r w:rsidR="00C12D59">
        <w:rPr>
          <w:rFonts w:cs="Arial"/>
        </w:rPr>
        <w:t>pour</w:t>
      </w:r>
      <w:r>
        <w:rPr>
          <w:rFonts w:cs="Arial"/>
        </w:rPr>
        <w:t xml:space="preserve"> la cueillette des données par pondération des adresses connues et inconnues des étudiants de ses anciennes cohortes, monsieur Therrien affirme que :</w:t>
      </w:r>
    </w:p>
    <w:p w14:paraId="28795C97" w14:textId="595AB664" w:rsidR="00361C3D" w:rsidRPr="00361C3D" w:rsidRDefault="00361C3D" w:rsidP="008E5FDA">
      <w:pPr>
        <w:pStyle w:val="Citationenretrait"/>
      </w:pPr>
      <w:r w:rsidRPr="00361C3D">
        <w:tab/>
        <w:t>(…) le Bureau de la planification et de l’analyse institutionnelle estime qu’au total, parmi les diplômés de Concordia ayant terminé leurs études entre 2</w:t>
      </w:r>
      <w:r w:rsidR="00C61934">
        <w:t>01</w:t>
      </w:r>
      <w:r w:rsidRPr="00361C3D">
        <w:t>2 et 2022 : 63% sont demeurés au Québec (…)</w:t>
      </w:r>
      <w:r w:rsidRPr="006E1D72">
        <w:rPr>
          <w:rStyle w:val="Appelnotedebasdep"/>
          <w:rFonts w:cs="Arial"/>
        </w:rPr>
        <w:footnoteReference w:id="138"/>
      </w:r>
      <w:r w:rsidRPr="00361C3D">
        <w:t>.</w:t>
      </w:r>
    </w:p>
    <w:p w14:paraId="2D6B72F2" w14:textId="4BFF8E13" w:rsidR="00597E86" w:rsidRPr="00242A87" w:rsidRDefault="00597E86" w:rsidP="0082018A">
      <w:pPr>
        <w:pStyle w:val="Paragraphe"/>
        <w:tabs>
          <w:tab w:val="num" w:pos="720"/>
        </w:tabs>
        <w:spacing w:line="240" w:lineRule="auto"/>
        <w:ind w:left="0"/>
        <w:rPr>
          <w:rFonts w:cs="Arial"/>
        </w:rPr>
      </w:pPr>
      <w:r w:rsidRPr="00242A87">
        <w:rPr>
          <w:rFonts w:cs="Arial"/>
        </w:rPr>
        <w:t>On constate donc</w:t>
      </w:r>
      <w:r w:rsidR="00242A87" w:rsidRPr="00242A87">
        <w:rPr>
          <w:rFonts w:cs="Arial"/>
        </w:rPr>
        <w:t xml:space="preserve"> une </w:t>
      </w:r>
      <w:r w:rsidRPr="00242A87">
        <w:rPr>
          <w:rFonts w:cs="Arial"/>
        </w:rPr>
        <w:t>absence de données sur lesquelles la Ministre prétend appuyer sa décision.</w:t>
      </w:r>
      <w:r w:rsidR="00242A87" w:rsidRPr="00242A87">
        <w:rPr>
          <w:rFonts w:cs="Arial"/>
        </w:rPr>
        <w:t xml:space="preserve"> À tout le moins, ce qu’elle avait en main ne convainc aucunement de la raisonnabilité du résultat. </w:t>
      </w:r>
      <w:r w:rsidR="00A9571F">
        <w:rPr>
          <w:rFonts w:cs="Arial"/>
        </w:rPr>
        <w:t xml:space="preserve">Les données </w:t>
      </w:r>
      <w:r w:rsidR="00C12D59">
        <w:rPr>
          <w:rFonts w:cs="Arial"/>
        </w:rPr>
        <w:t xml:space="preserve">que fournit Concordia </w:t>
      </w:r>
      <w:r w:rsidR="00A9571F">
        <w:rPr>
          <w:rFonts w:cs="Arial"/>
        </w:rPr>
        <w:t>corroborent cette conclusion d</w:t>
      </w:r>
      <w:r w:rsidR="00DA2A25">
        <w:rPr>
          <w:rFonts w:cs="Arial"/>
        </w:rPr>
        <w:t>’absence de fondement objectif de cette mesure</w:t>
      </w:r>
      <w:r w:rsidR="00C12D59">
        <w:rPr>
          <w:rFonts w:cs="Arial"/>
        </w:rPr>
        <w:t>.</w:t>
      </w:r>
    </w:p>
    <w:p w14:paraId="439D166C" w14:textId="2D2318D5" w:rsidR="00670803" w:rsidRPr="00670803" w:rsidRDefault="00534145" w:rsidP="00BA5ED8">
      <w:pPr>
        <w:pStyle w:val="Paragraphe"/>
        <w:numPr>
          <w:ilvl w:val="1"/>
          <w:numId w:val="6"/>
        </w:numPr>
        <w:spacing w:line="240" w:lineRule="auto"/>
        <w:ind w:left="2520"/>
        <w:rPr>
          <w:rFonts w:cs="Arial"/>
          <w:b/>
          <w:bCs/>
        </w:rPr>
      </w:pPr>
      <w:r w:rsidRPr="00670803">
        <w:rPr>
          <w:rFonts w:cs="Arial"/>
          <w:b/>
          <w:bCs/>
        </w:rPr>
        <w:t>S’assurer</w:t>
      </w:r>
      <w:r w:rsidR="00670803" w:rsidRPr="00670803">
        <w:rPr>
          <w:rFonts w:cs="Arial"/>
          <w:b/>
          <w:bCs/>
        </w:rPr>
        <w:t xml:space="preserve"> d’une meilleure intégration de ces étudiants à la société québécoise par l’apprentissage suffisant de la langue de la majorité</w:t>
      </w:r>
    </w:p>
    <w:p w14:paraId="3FDC1AAD" w14:textId="5A83914D" w:rsidR="00670803" w:rsidRDefault="002376EC" w:rsidP="0082018A">
      <w:pPr>
        <w:pStyle w:val="Paragraphe"/>
        <w:tabs>
          <w:tab w:val="num" w:pos="720"/>
        </w:tabs>
        <w:spacing w:line="240" w:lineRule="auto"/>
        <w:ind w:left="0"/>
        <w:rPr>
          <w:rFonts w:cs="Arial"/>
        </w:rPr>
      </w:pPr>
      <w:r>
        <w:rPr>
          <w:rFonts w:cs="Arial"/>
        </w:rPr>
        <w:t xml:space="preserve">La Ministre estime que l’apprentissage du français favorise une meilleure intégration </w:t>
      </w:r>
      <w:r w:rsidR="001E407F">
        <w:rPr>
          <w:rFonts w:cs="Arial"/>
        </w:rPr>
        <w:t xml:space="preserve">au Québec </w:t>
      </w:r>
      <w:r>
        <w:rPr>
          <w:rFonts w:cs="Arial"/>
        </w:rPr>
        <w:t>des étudiants C</w:t>
      </w:r>
      <w:r w:rsidR="00D430D6">
        <w:rPr>
          <w:rFonts w:cs="Arial"/>
        </w:rPr>
        <w:t>N</w:t>
      </w:r>
      <w:r>
        <w:rPr>
          <w:rFonts w:cs="Arial"/>
        </w:rPr>
        <w:t>RQ et Internationaux. Toutefois, ici encore, la Ministre ne disposait d’aucune donnée sur le sujet au moment de prendre sa décision</w:t>
      </w:r>
      <w:r w:rsidR="00242A87">
        <w:rPr>
          <w:rFonts w:cs="Arial"/>
        </w:rPr>
        <w:t>, c</w:t>
      </w:r>
      <w:r>
        <w:rPr>
          <w:rFonts w:cs="Arial"/>
        </w:rPr>
        <w:t>omme en témoigne monsieur Leclerc :</w:t>
      </w:r>
    </w:p>
    <w:p w14:paraId="0A5FCECF" w14:textId="31976B26" w:rsidR="005A7D14" w:rsidRPr="005A7D14" w:rsidRDefault="005A7D14" w:rsidP="005A7D14">
      <w:pPr>
        <w:pStyle w:val="Citationenretrait"/>
        <w:rPr>
          <w:i/>
          <w:iCs/>
        </w:rPr>
      </w:pPr>
      <w:r w:rsidRPr="00BE2AD6">
        <w:t xml:space="preserve">Q- Encore dans le même paragraphe, on parle aussi d'un </w:t>
      </w:r>
      <w:r w:rsidRPr="005A7D14">
        <w:t>objectif d'assurer l'intégration des étudiants à la société québécoise?</w:t>
      </w:r>
    </w:p>
    <w:p w14:paraId="188DA143" w14:textId="5C7530AC" w:rsidR="005A7D14" w:rsidRPr="005A7D14" w:rsidRDefault="005A7D14" w:rsidP="005A7D14">
      <w:pPr>
        <w:pStyle w:val="Citationenretrait"/>
        <w:rPr>
          <w:i/>
          <w:iCs/>
        </w:rPr>
      </w:pPr>
      <w:r w:rsidRPr="005A7D14">
        <w:t xml:space="preserve">R- Oui. </w:t>
      </w:r>
    </w:p>
    <w:p w14:paraId="4EECDF44" w14:textId="6DFF2C27" w:rsidR="005A7D14" w:rsidRPr="005A7D14" w:rsidRDefault="005A7D14" w:rsidP="005A7D14">
      <w:pPr>
        <w:pStyle w:val="Citationenretrait"/>
        <w:rPr>
          <w:i/>
          <w:iCs/>
        </w:rPr>
      </w:pPr>
      <w:r w:rsidRPr="005A7D14">
        <w:t>Q- Est-ce que le ministère a fait des analyses ou études relatives au degré d'intégration des étudiants canadiens non-résidents au Québec?</w:t>
      </w:r>
    </w:p>
    <w:p w14:paraId="4F498945" w14:textId="6D6424FC" w:rsidR="005A7D14" w:rsidRPr="005A7D14" w:rsidRDefault="005A7D14" w:rsidP="005A7D14">
      <w:pPr>
        <w:pStyle w:val="Citationenretrait"/>
        <w:rPr>
          <w:i/>
          <w:iCs/>
        </w:rPr>
      </w:pPr>
      <w:r w:rsidRPr="005A7D14">
        <w:t>R- En fait, on réfère à la... la notion de développement des compétences en français, puis on a la provenance. On a utilisé la provenance des étudiants internationaux...</w:t>
      </w:r>
    </w:p>
    <w:p w14:paraId="5323E8DE" w14:textId="35EBBEB9" w:rsidR="005A7D14" w:rsidRPr="005A7D14" w:rsidRDefault="005A7D14" w:rsidP="005A7D14">
      <w:pPr>
        <w:pStyle w:val="Citationenretrait"/>
        <w:rPr>
          <w:i/>
          <w:iCs/>
        </w:rPr>
      </w:pPr>
      <w:r w:rsidRPr="005A7D14">
        <w:t>Q- O.K.</w:t>
      </w:r>
    </w:p>
    <w:p w14:paraId="35D8EF0E" w14:textId="30009DB1" w:rsidR="005A7D14" w:rsidRPr="005A7D14" w:rsidRDefault="005A7D14" w:rsidP="005A7D14">
      <w:pPr>
        <w:pStyle w:val="Citationenretrait"/>
        <w:rPr>
          <w:i/>
          <w:iCs/>
        </w:rPr>
      </w:pPr>
      <w:r w:rsidRPr="005A7D14">
        <w:t>R- ... pour être en mesure d'évaluer leur capacité à apprendre le français.</w:t>
      </w:r>
    </w:p>
    <w:p w14:paraId="5C1E68D1" w14:textId="1C1E6F79" w:rsidR="005A7D14" w:rsidRPr="005A7D14" w:rsidRDefault="005A7D14" w:rsidP="005A7D14">
      <w:pPr>
        <w:pStyle w:val="Citationenretrait"/>
        <w:rPr>
          <w:i/>
          <w:iCs/>
        </w:rPr>
      </w:pPr>
      <w:r w:rsidRPr="005A7D14">
        <w:t>Q- Je vais revenir aux étudiants internationaux, mais ma question portait sur les étudiants canadiens non-résidents. Est-ce que vous avez des analyses ou des études sur l'intégration au Québec des étudiants canadiens non-résidents?</w:t>
      </w:r>
    </w:p>
    <w:p w14:paraId="3A7E43FF" w14:textId="77777777" w:rsidR="005A7D14" w:rsidRPr="00BE2AD6" w:rsidRDefault="005A7D14" w:rsidP="005A7D14">
      <w:pPr>
        <w:pStyle w:val="Citationenretrait"/>
        <w:rPr>
          <w:i/>
          <w:iCs/>
        </w:rPr>
      </w:pPr>
      <w:r w:rsidRPr="005A7D14">
        <w:t xml:space="preserve">R- Ça revient beaucoup au taux de rétention, je pense, </w:t>
      </w:r>
      <w:r w:rsidRPr="00BE2AD6">
        <w:t xml:space="preserve">à moins que j'aie mal compris votre question, là. </w:t>
      </w:r>
    </w:p>
    <w:p w14:paraId="53DACD2A" w14:textId="5D147B0B" w:rsidR="00396916" w:rsidRPr="00396916" w:rsidRDefault="00396916" w:rsidP="00396916">
      <w:pPr>
        <w:pStyle w:val="Citationenretrait"/>
        <w:rPr>
          <w:i/>
          <w:iCs/>
        </w:rPr>
      </w:pPr>
      <w:r w:rsidRPr="00396916">
        <w:t xml:space="preserve">Q- Bien, je pose la question parce que vous parlez de deux objectifs au paragraphe 48... </w:t>
      </w:r>
    </w:p>
    <w:p w14:paraId="5BF14830" w14:textId="77777777" w:rsidR="00396916" w:rsidRPr="00BE2AD6" w:rsidRDefault="00396916" w:rsidP="00396916">
      <w:pPr>
        <w:pStyle w:val="Citationenretrait"/>
        <w:rPr>
          <w:i/>
          <w:iCs/>
        </w:rPr>
      </w:pPr>
      <w:r w:rsidRPr="00396916">
        <w:t xml:space="preserve">R- Oui. </w:t>
      </w:r>
    </w:p>
    <w:p w14:paraId="2FC3546F" w14:textId="01C0C925" w:rsidR="00396916" w:rsidRPr="00396916" w:rsidRDefault="00396916" w:rsidP="00396916">
      <w:pPr>
        <w:pStyle w:val="Citationenretrait"/>
        <w:rPr>
          <w:i/>
          <w:iCs/>
        </w:rPr>
      </w:pPr>
      <w:r w:rsidRPr="00396916">
        <w:t>Q- ... de la meilleure rétention et l'intégration de ces étudiants à la société québécoise. Donc, c'est ça, je pose la question pour voir s'il y a des analyses distinctes...</w:t>
      </w:r>
    </w:p>
    <w:p w14:paraId="738AE7CF" w14:textId="55402BEB" w:rsidR="00396916" w:rsidRPr="00396916" w:rsidRDefault="00396916" w:rsidP="00396916">
      <w:pPr>
        <w:pStyle w:val="Citationenretrait"/>
        <w:rPr>
          <w:i/>
          <w:iCs/>
        </w:rPr>
      </w:pPr>
      <w:r w:rsidRPr="00396916">
        <w:t xml:space="preserve">R- O.K. Mais... </w:t>
      </w:r>
    </w:p>
    <w:p w14:paraId="32EBE6F6" w14:textId="5183F52C" w:rsidR="00396916" w:rsidRPr="00396916" w:rsidRDefault="00396916" w:rsidP="00396916">
      <w:pPr>
        <w:pStyle w:val="Citationenretrait"/>
        <w:rPr>
          <w:i/>
          <w:iCs/>
        </w:rPr>
      </w:pPr>
      <w:r w:rsidRPr="00396916">
        <w:t>Q- ... qui sont faites de...</w:t>
      </w:r>
    </w:p>
    <w:p w14:paraId="37A311AB" w14:textId="0876D2DC" w:rsidR="00396916" w:rsidRPr="00396916" w:rsidRDefault="00396916" w:rsidP="00396916">
      <w:pPr>
        <w:pStyle w:val="Citationenretrait"/>
        <w:rPr>
          <w:i/>
          <w:iCs/>
        </w:rPr>
      </w:pPr>
      <w:r w:rsidRPr="00396916">
        <w:t>R- O.K. Je comprends. L'intégration réfère au développement des compétences en français, la capacité d'apprendre le français. La rétention, c'est les... le... on en a parlé tout à l'heure, là. Ça fait que c'est les deux dimensions, là, comme ça.</w:t>
      </w:r>
    </w:p>
    <w:p w14:paraId="1A249819" w14:textId="5E6E8865" w:rsidR="00396916" w:rsidRPr="00BE2AD6" w:rsidRDefault="00396916" w:rsidP="00396916">
      <w:pPr>
        <w:pStyle w:val="Citationenretrait"/>
        <w:rPr>
          <w:i/>
          <w:iCs/>
        </w:rPr>
      </w:pPr>
      <w:r w:rsidRPr="00396916">
        <w:t xml:space="preserve">Q- O.K. Donc, est-ce que le ministère possède des données relatives à la compétence en français des étudiants canadiens non-résidents qui étudient dans les universités anglophones? </w:t>
      </w:r>
    </w:p>
    <w:p w14:paraId="4A18B5B7" w14:textId="5DD7CA70" w:rsidR="00396916" w:rsidRPr="00BE2AD6" w:rsidRDefault="00396916" w:rsidP="00396916">
      <w:pPr>
        <w:pStyle w:val="Citationenretrait"/>
      </w:pPr>
      <w:r w:rsidRPr="00396916">
        <w:t xml:space="preserve">R- On a la provenance des étudiants, mais on considère, de manière générale, que les étudiants qui... qui sont des autres provinces canadiennes ont une plus grande capacité d'apprendre le français que ceux, </w:t>
      </w:r>
      <w:r w:rsidRPr="00BE2AD6">
        <w:t>par exemple, qui viennent de l'Inde, là.</w:t>
      </w:r>
    </w:p>
    <w:p w14:paraId="11356D0F" w14:textId="73391302" w:rsidR="004B0927" w:rsidRPr="00BE2AD6" w:rsidRDefault="004B0927" w:rsidP="00396916">
      <w:pPr>
        <w:pStyle w:val="Citationenretrait"/>
      </w:pPr>
      <w:r w:rsidRPr="00BE2AD6">
        <w:t>(…)</w:t>
      </w:r>
    </w:p>
    <w:p w14:paraId="6F9210FE" w14:textId="2F4B8881" w:rsidR="00160FFA" w:rsidRPr="00160FFA" w:rsidRDefault="00160FFA" w:rsidP="00160FFA">
      <w:pPr>
        <w:pStyle w:val="Citationenretrait"/>
      </w:pPr>
      <w:r w:rsidRPr="00160FFA">
        <w:t>Q- Mais, donc vous n'avez pas de données sur la compétence en français des étudiants canadiens non-résidents?</w:t>
      </w:r>
    </w:p>
    <w:p w14:paraId="276D97BC" w14:textId="1385627E" w:rsidR="00160FFA" w:rsidRPr="00160FFA" w:rsidRDefault="00160FFA" w:rsidP="00160FFA">
      <w:pPr>
        <w:pStyle w:val="Citationenretrait"/>
      </w:pPr>
      <w:r w:rsidRPr="00160FFA">
        <w:t xml:space="preserve">R- Je ne sais pas si c'est juste moi qui ai gelé. J'ai manqué la dernière partie de votre phrase, là. Je suis désolé. </w:t>
      </w:r>
    </w:p>
    <w:p w14:paraId="4B2F0C79" w14:textId="7919EE5A" w:rsidR="00160FFA" w:rsidRPr="00160FFA" w:rsidRDefault="00160FFA" w:rsidP="00160FFA">
      <w:pPr>
        <w:pStyle w:val="Citationenretrait"/>
      </w:pPr>
      <w:r w:rsidRPr="00160FFA">
        <w:t>Q- Ça va. Je disais, mais vous n'avez pas de données sur la compétence en français des étudiants canadiens non-résidents?</w:t>
      </w:r>
    </w:p>
    <w:p w14:paraId="66FE53F9" w14:textId="72D9F375" w:rsidR="00160FFA" w:rsidRPr="00160FFA" w:rsidRDefault="00160FFA" w:rsidP="00160FFA">
      <w:pPr>
        <w:pStyle w:val="Citationenretrait"/>
      </w:pPr>
      <w:r w:rsidRPr="00160FFA">
        <w:t xml:space="preserve">R- À l'entrée, non. À l'entrée, non. </w:t>
      </w:r>
    </w:p>
    <w:p w14:paraId="45E86560" w14:textId="2E5DC25F" w:rsidR="00160FFA" w:rsidRPr="00160FFA" w:rsidRDefault="00160FFA" w:rsidP="00160FFA">
      <w:pPr>
        <w:pStyle w:val="Citationenretrait"/>
      </w:pPr>
      <w:r w:rsidRPr="00160FFA">
        <w:t xml:space="preserve">Q- O.K. </w:t>
      </w:r>
    </w:p>
    <w:p w14:paraId="7F85FF9E" w14:textId="5DF67B85" w:rsidR="00160FFA" w:rsidRPr="00160FFA" w:rsidRDefault="00160FFA" w:rsidP="00160FFA">
      <w:pPr>
        <w:pStyle w:val="Citationenretrait"/>
      </w:pPr>
      <w:r w:rsidRPr="00160FFA">
        <w:t xml:space="preserve">R- Ce qu'on vise, c'est un niveau à la sortie. </w:t>
      </w:r>
    </w:p>
    <w:p w14:paraId="6B123243" w14:textId="37E1A15F" w:rsidR="00160FFA" w:rsidRPr="00160FFA" w:rsidRDefault="00160FFA" w:rsidP="00160FFA">
      <w:pPr>
        <w:pStyle w:val="Citationenretrait"/>
      </w:pPr>
      <w:r w:rsidRPr="00160FFA">
        <w:t>Q- Puis, au moment où vous étiez en train d'analyser les modifications aux règles budgétaires puis prendre la décision de modifier les règles budgétaires, vous n'aviez pas de données sur la compétence en français de ces étudiants-là?</w:t>
      </w:r>
    </w:p>
    <w:p w14:paraId="21012849" w14:textId="3721E933" w:rsidR="00160FFA" w:rsidRPr="00160FFA" w:rsidRDefault="00160FFA" w:rsidP="00160FFA">
      <w:pPr>
        <w:pStyle w:val="Citationenretrait"/>
      </w:pPr>
      <w:r w:rsidRPr="00160FFA">
        <w:t>R- Non. Ce qu'on sait, c'est qu'ils ont suivi des cours de français dans les niveaux inférieurs, puis qu'ils ont des bonnes chances de réussir sans difficulté les... les... les évaluations pour atteindre le niveau 5 compte tenu que c'est un niveau assez inférieur, là, c'est un niveau intermédiaire.</w:t>
      </w:r>
    </w:p>
    <w:p w14:paraId="3249B7B7" w14:textId="63CDADE1" w:rsidR="00160FFA" w:rsidRPr="00160FFA" w:rsidRDefault="00160FFA" w:rsidP="00160FFA">
      <w:pPr>
        <w:pStyle w:val="Citationenretrait"/>
      </w:pPr>
      <w:r w:rsidRPr="00160FFA">
        <w:t xml:space="preserve">Q- O.K. Puis, maintenant, par rapport aux étudiants internationaux, donc j'ai le même questionnement. Donc, est-ce que le ministère a des données ou des analyses relatives à l'intégration à la société québécoise des étudiants internationaux qui fréquentent les universités anglophones? </w:t>
      </w:r>
    </w:p>
    <w:p w14:paraId="323E728E" w14:textId="045100EB" w:rsidR="00160FFA" w:rsidRPr="00160FFA" w:rsidRDefault="00160FFA" w:rsidP="00160FFA">
      <w:pPr>
        <w:pStyle w:val="Citationenretrait"/>
      </w:pPr>
      <w:r w:rsidRPr="00160FFA">
        <w:t>R- Est-ce que vous référez au même niveau de connaissance de français au départ? Parce que c'est de ça qu'on vient de parler, là, pour les étudiants canadiens non-résidents, là.</w:t>
      </w:r>
    </w:p>
    <w:p w14:paraId="20BD6CEE" w14:textId="6BCF607C" w:rsidR="00160FFA" w:rsidRPr="00160FFA" w:rsidRDefault="00160FFA" w:rsidP="00160FFA">
      <w:pPr>
        <w:pStyle w:val="Citationenretrait"/>
      </w:pPr>
      <w:r w:rsidRPr="00160FFA">
        <w:t xml:space="preserve">Q- O.K. </w:t>
      </w:r>
    </w:p>
    <w:p w14:paraId="57519A34" w14:textId="69E0392A" w:rsidR="00160FFA" w:rsidRPr="00160FFA" w:rsidRDefault="00160FFA" w:rsidP="00160FFA">
      <w:pPr>
        <w:pStyle w:val="Citationenretrait"/>
      </w:pPr>
      <w:r w:rsidRPr="00160FFA">
        <w:t xml:space="preserve">R- Si c'est ça, on a leur provenance, puis on a une évaluation de leur niveau de connaissance en français, sommaire, mais à leur entrée. </w:t>
      </w:r>
    </w:p>
    <w:p w14:paraId="515D7E4C" w14:textId="02F0D2B0" w:rsidR="00160FFA" w:rsidRPr="00160FFA" w:rsidRDefault="00160FFA" w:rsidP="00160FFA">
      <w:pPr>
        <w:pStyle w:val="Citationenretrait"/>
      </w:pPr>
      <w:r w:rsidRPr="00160FFA">
        <w:t xml:space="preserve">Q- Mais, en prenant la décision puis en évaluant les modifications qui seraient faites aux règles budgétaires, est-ce que le ministère avait des données sur la compétence en français des étudiants internationaux? </w:t>
      </w:r>
    </w:p>
    <w:p w14:paraId="0AC31B5B" w14:textId="47DCC63A" w:rsidR="00160FFA" w:rsidRPr="00160FFA" w:rsidRDefault="00160FFA" w:rsidP="00160FFA">
      <w:pPr>
        <w:pStyle w:val="Citationenretrait"/>
      </w:pPr>
      <w:r w:rsidRPr="00160FFA">
        <w:t xml:space="preserve">R- Non. </w:t>
      </w:r>
    </w:p>
    <w:p w14:paraId="79FD1B31" w14:textId="01983959" w:rsidR="00160FFA" w:rsidRPr="00160FFA" w:rsidRDefault="00160FFA" w:rsidP="00160FFA">
      <w:pPr>
        <w:pStyle w:val="Citationenretrait"/>
      </w:pPr>
      <w:r w:rsidRPr="00160FFA">
        <w:t xml:space="preserve">Q- O.K. </w:t>
      </w:r>
    </w:p>
    <w:p w14:paraId="31493605" w14:textId="50CB8769" w:rsidR="004B0927" w:rsidRPr="00BE2AD6" w:rsidRDefault="00160FFA" w:rsidP="00160FFA">
      <w:pPr>
        <w:pStyle w:val="Citationenretrait"/>
      </w:pPr>
      <w:r w:rsidRPr="00160FFA">
        <w:t xml:space="preserve">R- Ce qu'on a, c'est leur provenance, puis on a une... une estimation de leur niveau de connaissance, mais on n'a pas identifié le niveau de connaissance de </w:t>
      </w:r>
      <w:r w:rsidRPr="00BE2AD6">
        <w:t>chaque étudiant, là.</w:t>
      </w:r>
      <w:r w:rsidR="00155987" w:rsidRPr="00BE2AD6">
        <w:rPr>
          <w:rStyle w:val="Appelnotedebasdep"/>
        </w:rPr>
        <w:footnoteReference w:id="139"/>
      </w:r>
    </w:p>
    <w:p w14:paraId="79FB6C6B" w14:textId="2E6D3032" w:rsidR="00F72B66" w:rsidRDefault="00242A87" w:rsidP="0082018A">
      <w:pPr>
        <w:pStyle w:val="Paragraphe"/>
        <w:tabs>
          <w:tab w:val="num" w:pos="720"/>
        </w:tabs>
        <w:spacing w:line="240" w:lineRule="auto"/>
        <w:ind w:left="0"/>
        <w:rPr>
          <w:rFonts w:cs="Arial"/>
        </w:rPr>
      </w:pPr>
      <w:r>
        <w:rPr>
          <w:rFonts w:cs="Arial"/>
        </w:rPr>
        <w:t>A</w:t>
      </w:r>
      <w:r w:rsidR="00F72B66">
        <w:rPr>
          <w:rFonts w:cs="Arial"/>
        </w:rPr>
        <w:t xml:space="preserve">ucune donnée objective n’a donc servi de base à la décision de la Ministre de </w:t>
      </w:r>
      <w:r w:rsidR="006865B1" w:rsidRPr="00C23D94">
        <w:rPr>
          <w:rFonts w:cs="Arial"/>
        </w:rPr>
        <w:t>conditionner le financement des universités anglophones à l’acquisition de compétences en français par 80</w:t>
      </w:r>
      <w:r w:rsidR="00314987">
        <w:rPr>
          <w:rFonts w:cs="Arial"/>
        </w:rPr>
        <w:t> </w:t>
      </w:r>
      <w:r w:rsidR="006865B1" w:rsidRPr="00C23D94">
        <w:rPr>
          <w:rFonts w:cs="Arial"/>
        </w:rPr>
        <w:t>% de leurs étudiants hors Québec</w:t>
      </w:r>
      <w:r w:rsidR="00F72B66" w:rsidRPr="00C23D94">
        <w:rPr>
          <w:rFonts w:cs="Arial"/>
        </w:rPr>
        <w:t>.</w:t>
      </w:r>
      <w:r>
        <w:rPr>
          <w:rFonts w:cs="Arial"/>
        </w:rPr>
        <w:t xml:space="preserve"> La Ministre ne réfère qu’à une estimation du niveau de français des étudiants provenant de l’extérieur du Québec basée sur leur provenance.</w:t>
      </w:r>
    </w:p>
    <w:p w14:paraId="05296126" w14:textId="3DD3990A" w:rsidR="004E784D" w:rsidRDefault="00576ADE" w:rsidP="0082018A">
      <w:pPr>
        <w:pStyle w:val="Paragraphe"/>
        <w:tabs>
          <w:tab w:val="num" w:pos="720"/>
        </w:tabs>
        <w:spacing w:line="240" w:lineRule="auto"/>
        <w:ind w:left="0"/>
        <w:rPr>
          <w:rFonts w:cs="Arial"/>
        </w:rPr>
      </w:pPr>
      <w:r w:rsidRPr="009976D6">
        <w:rPr>
          <w:rFonts w:cs="Arial"/>
        </w:rPr>
        <w:t xml:space="preserve">La Ministre affirme </w:t>
      </w:r>
      <w:r w:rsidR="00F72B66">
        <w:rPr>
          <w:rFonts w:cs="Arial"/>
        </w:rPr>
        <w:t xml:space="preserve">par ailleurs </w:t>
      </w:r>
      <w:r w:rsidRPr="009976D6">
        <w:rPr>
          <w:rFonts w:cs="Arial"/>
        </w:rPr>
        <w:t xml:space="preserve">que les étudiants CNRQ et Internationaux provenant de pays </w:t>
      </w:r>
      <w:r w:rsidRPr="00C61934">
        <w:rPr>
          <w:rFonts w:cs="Arial"/>
          <w:i/>
          <w:iCs/>
        </w:rPr>
        <w:t>francotropes</w:t>
      </w:r>
      <w:r w:rsidRPr="009976D6">
        <w:rPr>
          <w:rFonts w:cs="Arial"/>
        </w:rPr>
        <w:t xml:space="preserve"> possèdent davantage de chance</w:t>
      </w:r>
      <w:r w:rsidR="00C61934">
        <w:rPr>
          <w:rFonts w:cs="Arial"/>
        </w:rPr>
        <w:t>s</w:t>
      </w:r>
      <w:r w:rsidRPr="009976D6">
        <w:rPr>
          <w:rFonts w:cs="Arial"/>
        </w:rPr>
        <w:t xml:space="preserve"> d’apprendre le français. </w:t>
      </w:r>
      <w:r w:rsidR="00F72B66">
        <w:rPr>
          <w:rFonts w:cs="Arial"/>
        </w:rPr>
        <w:t xml:space="preserve">Rappelons que les mots </w:t>
      </w:r>
      <w:r w:rsidRPr="00F72B66">
        <w:rPr>
          <w:rFonts w:cs="Arial"/>
          <w:i/>
          <w:iCs/>
        </w:rPr>
        <w:t>pays</w:t>
      </w:r>
      <w:r w:rsidRPr="009976D6">
        <w:rPr>
          <w:rFonts w:cs="Arial"/>
        </w:rPr>
        <w:t xml:space="preserve"> </w:t>
      </w:r>
      <w:r w:rsidRPr="00C61934">
        <w:rPr>
          <w:rFonts w:cs="Arial"/>
          <w:i/>
          <w:iCs/>
        </w:rPr>
        <w:t>francotrope</w:t>
      </w:r>
      <w:r w:rsidR="0060064E" w:rsidRPr="00C61934">
        <w:rPr>
          <w:rFonts w:cs="Arial"/>
          <w:i/>
          <w:iCs/>
        </w:rPr>
        <w:t>s</w:t>
      </w:r>
      <w:r w:rsidRPr="009976D6">
        <w:rPr>
          <w:rFonts w:cs="Arial"/>
        </w:rPr>
        <w:t xml:space="preserve"> réfère</w:t>
      </w:r>
      <w:r w:rsidR="00F72B66">
        <w:rPr>
          <w:rFonts w:cs="Arial"/>
        </w:rPr>
        <w:t>nt</w:t>
      </w:r>
      <w:r w:rsidRPr="009976D6">
        <w:rPr>
          <w:rFonts w:cs="Arial"/>
        </w:rPr>
        <w:t xml:space="preserve"> à </w:t>
      </w:r>
      <w:r w:rsidR="00F72B66">
        <w:rPr>
          <w:rFonts w:cs="Arial"/>
        </w:rPr>
        <w:t xml:space="preserve">des </w:t>
      </w:r>
      <w:r w:rsidR="00242A87">
        <w:rPr>
          <w:rFonts w:cs="Arial"/>
        </w:rPr>
        <w:t>pays</w:t>
      </w:r>
      <w:r w:rsidRPr="009976D6">
        <w:rPr>
          <w:rFonts w:cs="Arial"/>
        </w:rPr>
        <w:t xml:space="preserve"> qui </w:t>
      </w:r>
      <w:r w:rsidR="00C61934">
        <w:rPr>
          <w:rFonts w:cs="Arial"/>
        </w:rPr>
        <w:t>possèdent</w:t>
      </w:r>
      <w:r w:rsidRPr="009976D6">
        <w:rPr>
          <w:rFonts w:cs="Arial"/>
        </w:rPr>
        <w:t xml:space="preserve"> des liens, notamment historiques ou politiques, avec le français, ou </w:t>
      </w:r>
      <w:r w:rsidR="00C61934">
        <w:rPr>
          <w:rFonts w:cs="Arial"/>
        </w:rPr>
        <w:t xml:space="preserve">dont la population parle une </w:t>
      </w:r>
      <w:r w:rsidRPr="009976D6">
        <w:rPr>
          <w:rFonts w:cs="Arial"/>
        </w:rPr>
        <w:t xml:space="preserve">langue </w:t>
      </w:r>
      <w:r w:rsidR="009976D6" w:rsidRPr="009976D6">
        <w:rPr>
          <w:rFonts w:cs="Arial"/>
        </w:rPr>
        <w:t xml:space="preserve">romane </w:t>
      </w:r>
      <w:r w:rsidRPr="009976D6">
        <w:rPr>
          <w:rFonts w:cs="Arial"/>
        </w:rPr>
        <w:t>descendant</w:t>
      </w:r>
      <w:r w:rsidR="009976D6" w:rsidRPr="009976D6">
        <w:rPr>
          <w:rFonts w:cs="Arial"/>
        </w:rPr>
        <w:t>e</w:t>
      </w:r>
      <w:r w:rsidRPr="009976D6">
        <w:rPr>
          <w:rFonts w:cs="Arial"/>
        </w:rPr>
        <w:t xml:space="preserve"> du latin.</w:t>
      </w:r>
    </w:p>
    <w:p w14:paraId="25E9C9CD" w14:textId="6896AEA1" w:rsidR="004E784D" w:rsidRDefault="00576ADE" w:rsidP="0082018A">
      <w:pPr>
        <w:pStyle w:val="Paragraphe"/>
        <w:tabs>
          <w:tab w:val="num" w:pos="720"/>
        </w:tabs>
        <w:spacing w:line="240" w:lineRule="auto"/>
        <w:ind w:left="0"/>
        <w:rPr>
          <w:rFonts w:cs="Arial"/>
        </w:rPr>
      </w:pPr>
      <w:r w:rsidRPr="009976D6">
        <w:rPr>
          <w:rFonts w:cs="Arial"/>
        </w:rPr>
        <w:t>Cette prémisse s’avère non fondée.</w:t>
      </w:r>
    </w:p>
    <w:p w14:paraId="4689C9DD" w14:textId="068F63F7" w:rsidR="004E784D" w:rsidRPr="0063053C" w:rsidRDefault="00C61934" w:rsidP="0082018A">
      <w:pPr>
        <w:pStyle w:val="Paragraphe"/>
        <w:tabs>
          <w:tab w:val="num" w:pos="720"/>
        </w:tabs>
        <w:spacing w:line="240" w:lineRule="auto"/>
        <w:ind w:left="0"/>
        <w:rPr>
          <w:rFonts w:cs="Arial"/>
          <w:szCs w:val="24"/>
        </w:rPr>
      </w:pPr>
      <w:r>
        <w:rPr>
          <w:rFonts w:cs="Arial"/>
        </w:rPr>
        <w:t xml:space="preserve">Poussée à l’extrême, </w:t>
      </w:r>
      <w:r w:rsidR="00492F6D">
        <w:rPr>
          <w:rFonts w:cs="Arial"/>
        </w:rPr>
        <w:t>cette idée qu’un</w:t>
      </w:r>
      <w:r w:rsidR="001E407F">
        <w:rPr>
          <w:rFonts w:cs="Arial"/>
        </w:rPr>
        <w:t xml:space="preserve">e personne provenant d’un pays </w:t>
      </w:r>
      <w:r w:rsidR="001E407F" w:rsidRPr="001E407F">
        <w:rPr>
          <w:rFonts w:cs="Arial"/>
          <w:i/>
          <w:iCs/>
        </w:rPr>
        <w:t>francotrope</w:t>
      </w:r>
      <w:r w:rsidR="001E407F">
        <w:rPr>
          <w:rFonts w:cs="Arial"/>
        </w:rPr>
        <w:t xml:space="preserve"> </w:t>
      </w:r>
      <w:r w:rsidR="00492F6D">
        <w:rPr>
          <w:rFonts w:cs="Arial"/>
        </w:rPr>
        <w:t xml:space="preserve">apprenne plus facilement le français </w:t>
      </w:r>
      <w:r w:rsidR="001E407F">
        <w:rPr>
          <w:rFonts w:cs="Arial"/>
        </w:rPr>
        <w:t xml:space="preserve">qu’une autre </w:t>
      </w:r>
      <w:r w:rsidR="00492F6D">
        <w:rPr>
          <w:rFonts w:cs="Arial"/>
        </w:rPr>
        <w:t>laisse</w:t>
      </w:r>
      <w:r w:rsidR="001E407F">
        <w:rPr>
          <w:rFonts w:cs="Arial"/>
        </w:rPr>
        <w:t xml:space="preserve"> </w:t>
      </w:r>
      <w:r>
        <w:rPr>
          <w:rFonts w:cs="Arial"/>
        </w:rPr>
        <w:t>su</w:t>
      </w:r>
      <w:r w:rsidR="001E407F">
        <w:rPr>
          <w:rFonts w:cs="Arial"/>
        </w:rPr>
        <w:t>ppose</w:t>
      </w:r>
      <w:r>
        <w:rPr>
          <w:rFonts w:cs="Arial"/>
        </w:rPr>
        <w:t>r</w:t>
      </w:r>
      <w:r w:rsidR="00576ADE" w:rsidRPr="009976D6">
        <w:rPr>
          <w:rFonts w:cs="Arial"/>
        </w:rPr>
        <w:t xml:space="preserve"> qu’un étudiant russophone</w:t>
      </w:r>
      <w:r w:rsidR="001E407F">
        <w:rPr>
          <w:rFonts w:cs="Arial"/>
        </w:rPr>
        <w:t>, par exemple,</w:t>
      </w:r>
      <w:r w:rsidR="00576ADE" w:rsidRPr="009976D6">
        <w:rPr>
          <w:rFonts w:cs="Arial"/>
        </w:rPr>
        <w:t xml:space="preserve"> appren</w:t>
      </w:r>
      <w:r>
        <w:rPr>
          <w:rFonts w:cs="Arial"/>
        </w:rPr>
        <w:t>dra</w:t>
      </w:r>
      <w:r w:rsidR="00576ADE" w:rsidRPr="009976D6">
        <w:rPr>
          <w:rFonts w:cs="Arial"/>
        </w:rPr>
        <w:t xml:space="preserve"> plus facilement le français qu’un </w:t>
      </w:r>
      <w:r w:rsidR="001E407F">
        <w:rPr>
          <w:rFonts w:cs="Arial"/>
        </w:rPr>
        <w:t>étudiant j</w:t>
      </w:r>
      <w:r w:rsidR="00492F6D">
        <w:rPr>
          <w:rFonts w:cs="Arial"/>
        </w:rPr>
        <w:t>aponais</w:t>
      </w:r>
      <w:r w:rsidR="00576ADE" w:rsidRPr="009976D6">
        <w:rPr>
          <w:rFonts w:cs="Arial"/>
        </w:rPr>
        <w:t xml:space="preserve"> du fait qu’historiquement les tsars </w:t>
      </w:r>
      <w:r w:rsidR="0063053C">
        <w:rPr>
          <w:rFonts w:cs="Arial"/>
        </w:rPr>
        <w:t>et l’élite</w:t>
      </w:r>
      <w:r w:rsidR="00492F6D">
        <w:rPr>
          <w:rFonts w:cs="Arial"/>
        </w:rPr>
        <w:t xml:space="preserve"> russes</w:t>
      </w:r>
      <w:r w:rsidR="0063053C">
        <w:rPr>
          <w:rFonts w:cs="Arial"/>
        </w:rPr>
        <w:t xml:space="preserve"> </w:t>
      </w:r>
      <w:r w:rsidR="00576ADE" w:rsidRPr="009976D6">
        <w:rPr>
          <w:rFonts w:cs="Arial"/>
        </w:rPr>
        <w:t>parlaient le français</w:t>
      </w:r>
      <w:r w:rsidR="001E407F">
        <w:rPr>
          <w:rFonts w:cs="Arial"/>
        </w:rPr>
        <w:t xml:space="preserve"> ou que </w:t>
      </w:r>
      <w:r w:rsidR="0063053C" w:rsidRPr="008778A9">
        <w:t xml:space="preserve">Tolstoï </w:t>
      </w:r>
      <w:r w:rsidR="00F26E0A">
        <w:t xml:space="preserve">a </w:t>
      </w:r>
      <w:r w:rsidR="00813355">
        <w:rPr>
          <w:rFonts w:cs="Arial"/>
        </w:rPr>
        <w:t>écrit originellement</w:t>
      </w:r>
      <w:r w:rsidR="0063053C" w:rsidRPr="008778A9">
        <w:t xml:space="preserve"> en français</w:t>
      </w:r>
      <w:r w:rsidR="001E407F" w:rsidRPr="008778A9">
        <w:t xml:space="preserve"> </w:t>
      </w:r>
      <w:r w:rsidR="0078210A">
        <w:rPr>
          <w:rFonts w:cs="Arial"/>
        </w:rPr>
        <w:t xml:space="preserve">certains dialogues </w:t>
      </w:r>
      <w:r w:rsidR="0063053C">
        <w:rPr>
          <w:rFonts w:cs="Arial"/>
        </w:rPr>
        <w:t xml:space="preserve">de </w:t>
      </w:r>
      <w:r w:rsidR="0063053C" w:rsidRPr="0063053C">
        <w:rPr>
          <w:rFonts w:cs="Arial"/>
          <w:i/>
          <w:iCs/>
        </w:rPr>
        <w:t>Guerre et Paix</w:t>
      </w:r>
      <w:r w:rsidR="00813355">
        <w:rPr>
          <w:rFonts w:cs="Arial"/>
        </w:rPr>
        <w:t>.</w:t>
      </w:r>
      <w:r w:rsidR="0045398D">
        <w:rPr>
          <w:rFonts w:cs="Arial"/>
          <w:color w:val="151221"/>
          <w:szCs w:val="24"/>
          <w:shd w:val="clear" w:color="auto" w:fill="FFFFFF"/>
        </w:rPr>
        <w:t xml:space="preserve"> Et que dire des étudiants provenant d’Angleterre, dont les liens historiques et politiques avec la France tapissent l’histoire?</w:t>
      </w:r>
      <w:r w:rsidR="0078210A">
        <w:rPr>
          <w:rFonts w:cs="Arial"/>
          <w:color w:val="151221"/>
          <w:szCs w:val="24"/>
          <w:shd w:val="clear" w:color="auto" w:fill="FFFFFF"/>
        </w:rPr>
        <w:t xml:space="preserve"> </w:t>
      </w:r>
    </w:p>
    <w:p w14:paraId="323A7228" w14:textId="58E3E3B7" w:rsidR="00576ADE" w:rsidRDefault="006A7D7E" w:rsidP="0082018A">
      <w:pPr>
        <w:pStyle w:val="Paragraphe"/>
        <w:tabs>
          <w:tab w:val="num" w:pos="720"/>
        </w:tabs>
        <w:spacing w:line="240" w:lineRule="auto"/>
        <w:ind w:left="0"/>
        <w:rPr>
          <w:rFonts w:cs="Arial"/>
        </w:rPr>
      </w:pPr>
      <w:r>
        <w:rPr>
          <w:rFonts w:cs="Arial"/>
        </w:rPr>
        <w:t xml:space="preserve">Le Tribunal préfère nettement </w:t>
      </w:r>
      <w:r w:rsidR="00F42A15">
        <w:rPr>
          <w:rFonts w:cs="Arial"/>
        </w:rPr>
        <w:t>le r</w:t>
      </w:r>
      <w:r>
        <w:rPr>
          <w:rFonts w:cs="Arial"/>
        </w:rPr>
        <w:t xml:space="preserve">aisonnement </w:t>
      </w:r>
      <w:r w:rsidR="00F42A15">
        <w:rPr>
          <w:rFonts w:cs="Arial"/>
        </w:rPr>
        <w:t>m</w:t>
      </w:r>
      <w:r>
        <w:rPr>
          <w:rFonts w:cs="Arial"/>
        </w:rPr>
        <w:t>oins vacillant</w:t>
      </w:r>
      <w:r w:rsidR="00F42A15">
        <w:rPr>
          <w:rFonts w:cs="Arial"/>
        </w:rPr>
        <w:t xml:space="preserve"> de </w:t>
      </w:r>
      <w:r w:rsidR="00F42A15" w:rsidRPr="008778A9">
        <w:t>l’experte en linguistique Diane Querrien</w:t>
      </w:r>
      <w:r w:rsidR="00C106A1" w:rsidRPr="000764D5">
        <w:rPr>
          <w:rFonts w:cs="Arial"/>
        </w:rPr>
        <w:t xml:space="preserve">, professeure agrégée à l’Université Concordia au Département d’études françaises, </w:t>
      </w:r>
      <w:r w:rsidR="0078210A">
        <w:rPr>
          <w:rFonts w:cs="Arial"/>
        </w:rPr>
        <w:t xml:space="preserve">qui consacre sa </w:t>
      </w:r>
      <w:r w:rsidR="00C106A1" w:rsidRPr="000764D5">
        <w:rPr>
          <w:rFonts w:cs="Arial"/>
        </w:rPr>
        <w:t>carrière à l’enseignement et</w:t>
      </w:r>
      <w:r w:rsidR="0078210A">
        <w:rPr>
          <w:rFonts w:cs="Arial"/>
        </w:rPr>
        <w:t xml:space="preserve"> </w:t>
      </w:r>
      <w:r w:rsidR="00C106A1" w:rsidRPr="000764D5">
        <w:rPr>
          <w:rFonts w:cs="Arial"/>
        </w:rPr>
        <w:t>l’apprentissage du français comme langue seconde ou étrangère</w:t>
      </w:r>
      <w:r w:rsidRPr="000764D5">
        <w:rPr>
          <w:rFonts w:cs="Arial"/>
        </w:rPr>
        <w:t>.</w:t>
      </w:r>
      <w:r>
        <w:rPr>
          <w:rFonts w:cs="Arial"/>
        </w:rPr>
        <w:t xml:space="preserve"> À</w:t>
      </w:r>
      <w:r w:rsidR="009976D6" w:rsidRPr="009976D6">
        <w:rPr>
          <w:rFonts w:cs="Arial"/>
        </w:rPr>
        <w:t xml:space="preserve"> la question </w:t>
      </w:r>
      <w:r w:rsidR="009976D6" w:rsidRPr="009976D6">
        <w:rPr>
          <w:rFonts w:cs="Arial"/>
          <w:i/>
          <w:iCs/>
        </w:rPr>
        <w:t>Quels sont les facteurs qui affectent la probabilité qu’un étudiant apprenne une nouvelle langue</w:t>
      </w:r>
      <w:r w:rsidR="009976D6" w:rsidRPr="009976D6">
        <w:rPr>
          <w:rFonts w:cs="Arial"/>
        </w:rPr>
        <w:t xml:space="preserve">, </w:t>
      </w:r>
      <w:r w:rsidR="00F42A15">
        <w:rPr>
          <w:rFonts w:cs="Arial"/>
        </w:rPr>
        <w:t xml:space="preserve">elle </w:t>
      </w:r>
      <w:r w:rsidR="00576ADE" w:rsidRPr="009976D6">
        <w:rPr>
          <w:rFonts w:cs="Arial"/>
        </w:rPr>
        <w:t>affirme :</w:t>
      </w:r>
    </w:p>
    <w:p w14:paraId="2563F9EB" w14:textId="2ECBC9F7" w:rsidR="00576ADE" w:rsidRDefault="00CE6B95" w:rsidP="00CE6B95">
      <w:pPr>
        <w:pStyle w:val="Citationenretrait"/>
      </w:pPr>
      <w:r w:rsidRPr="002F32D3">
        <w:t>Notre exposé a démontré que la probabilité qu’un étudiant apprenne une nouvelle langue est influencée par plusieurs facteurs, notamment le plurilinguisme, le niveau de littératie dans la langue première, la motivation, le contexte d’apprentissage, les caractéristiques individuelles (comme la conscience métalinguistique, les préférences d’apprentissage, la personnalité, l’âge, etc.), ainsi que l’ordre d’acquisition des langues déjà parlées. Cependant, les résultats de recherche ne permettent pas de quantifier l’importance d’un facteur ou d’un autre dans la probabilité d’apprendre une nouvelle langue. C’est-à-dire qu’il n’est pas possible de prédire l’exclusivité de l’importance d’un facteur tel que la langue officielle du pays d’origine sur la probabilité d’apprendre le français dans un temps imparti.</w:t>
      </w:r>
      <w:r w:rsidR="001F6D65" w:rsidRPr="002F32D3">
        <w:rPr>
          <w:rStyle w:val="Appelnotedebasdep"/>
        </w:rPr>
        <w:footnoteReference w:id="140"/>
      </w:r>
    </w:p>
    <w:p w14:paraId="653FBE87" w14:textId="5A9A46BC" w:rsidR="009976D6" w:rsidRDefault="00576ADE" w:rsidP="0082018A">
      <w:pPr>
        <w:pStyle w:val="Paragraphe"/>
        <w:tabs>
          <w:tab w:val="num" w:pos="720"/>
        </w:tabs>
        <w:spacing w:line="240" w:lineRule="auto"/>
        <w:ind w:left="0"/>
        <w:rPr>
          <w:rFonts w:cs="Arial"/>
        </w:rPr>
      </w:pPr>
      <w:r>
        <w:rPr>
          <w:rFonts w:cs="Arial"/>
        </w:rPr>
        <w:t xml:space="preserve"> </w:t>
      </w:r>
      <w:r w:rsidR="0078210A">
        <w:rPr>
          <w:rFonts w:cs="Arial"/>
        </w:rPr>
        <w:t>En ce qui concerne les pays dont la population parle une langue romane, on cite la Roumanie en exemple. Or, à</w:t>
      </w:r>
      <w:r w:rsidR="009976D6">
        <w:rPr>
          <w:rFonts w:cs="Arial"/>
        </w:rPr>
        <w:t xml:space="preserve"> la question</w:t>
      </w:r>
      <w:r w:rsidR="005065F6">
        <w:rPr>
          <w:rFonts w:cs="Arial"/>
        </w:rPr>
        <w:t xml:space="preserve"> </w:t>
      </w:r>
      <w:r w:rsidR="00B419CF" w:rsidRPr="00B419CF">
        <w:rPr>
          <w:rFonts w:cs="Arial"/>
          <w:i/>
          <w:iCs/>
        </w:rPr>
        <w:t>Est-ce que les étudiants en provenance de pays «</w:t>
      </w:r>
      <w:r w:rsidR="00B419CF">
        <w:rPr>
          <w:rFonts w:cs="Arial"/>
        </w:rPr>
        <w:t> </w:t>
      </w:r>
      <w:r w:rsidR="00B419CF" w:rsidRPr="00B419CF">
        <w:rPr>
          <w:rFonts w:cs="Arial"/>
          <w:i/>
          <w:iCs/>
        </w:rPr>
        <w:t>de langue latine autre que le français</w:t>
      </w:r>
      <w:r w:rsidR="00B419CF">
        <w:rPr>
          <w:rFonts w:cs="Arial"/>
        </w:rPr>
        <w:t> </w:t>
      </w:r>
      <w:r w:rsidR="00B419CF" w:rsidRPr="00B419CF">
        <w:rPr>
          <w:rFonts w:cs="Arial"/>
          <w:i/>
          <w:iCs/>
        </w:rPr>
        <w:t>» ou de pays qui «</w:t>
      </w:r>
      <w:r w:rsidR="00B419CF">
        <w:rPr>
          <w:rFonts w:cs="Arial"/>
        </w:rPr>
        <w:t> </w:t>
      </w:r>
      <w:r w:rsidR="00B419CF" w:rsidRPr="00B419CF">
        <w:rPr>
          <w:rFonts w:cs="Arial"/>
          <w:i/>
          <w:iCs/>
        </w:rPr>
        <w:t>possèd[ent] des liens historiques ou politiques</w:t>
      </w:r>
      <w:r w:rsidR="00B419CF">
        <w:rPr>
          <w:rFonts w:cs="Arial"/>
        </w:rPr>
        <w:t> </w:t>
      </w:r>
      <w:r w:rsidR="00B419CF" w:rsidRPr="00B419CF">
        <w:rPr>
          <w:rFonts w:cs="Arial"/>
          <w:i/>
          <w:iCs/>
        </w:rPr>
        <w:t>» avec le français, tel que décrits aux pièces PGQ-39 et PGQ-41, ont une plus forte probabilité d’apprendre le français que d’autres étudiants</w:t>
      </w:r>
      <w:r w:rsidR="009976D6">
        <w:rPr>
          <w:rFonts w:cs="Arial"/>
        </w:rPr>
        <w:t xml:space="preserve">, </w:t>
      </w:r>
      <w:r w:rsidR="0078210A">
        <w:rPr>
          <w:rFonts w:cs="Arial"/>
        </w:rPr>
        <w:t>l’experte Querrien</w:t>
      </w:r>
      <w:r w:rsidR="009976D6">
        <w:rPr>
          <w:rFonts w:cs="Arial"/>
        </w:rPr>
        <w:t xml:space="preserve"> écrit :</w:t>
      </w:r>
    </w:p>
    <w:p w14:paraId="460650D2" w14:textId="4BEDDB57" w:rsidR="009976D6" w:rsidRPr="0078210A" w:rsidRDefault="001F6D65" w:rsidP="0078210A">
      <w:pPr>
        <w:pStyle w:val="Citationenretrait"/>
        <w:rPr>
          <w:szCs w:val="22"/>
        </w:rPr>
      </w:pPr>
      <w:r w:rsidRPr="00EB4B43">
        <w:t>Notre exposé a montré que le classement décrit et présenté dans les pièces PGQ-39 et PGQ-41 repose sur la proximité perçue des langues «</w:t>
      </w:r>
      <w:r w:rsidR="005306F0">
        <w:t> </w:t>
      </w:r>
      <w:r w:rsidRPr="00EB4B43">
        <w:t>officielles</w:t>
      </w:r>
      <w:r w:rsidR="005306F0">
        <w:t> </w:t>
      </w:r>
      <w:r w:rsidRPr="00EB4B43">
        <w:t xml:space="preserve">» des pays listés et la langue française. Cependant, les recherches en sociolinguistique et en acquisition des langues montrent que ce critère est trop réducteur pour évaluer la capacité d’une personne à apprendre le français. Premièrement, ce classement ignore la possibilité que les ressortissants soient plurilingues ou parlent une autre langue que la langue officielle de leur pays (incluant le français). </w:t>
      </w:r>
      <w:r w:rsidRPr="0035435E">
        <w:rPr>
          <w:u w:val="single"/>
        </w:rPr>
        <w:t>Deuxièmement, l’idée selon laquelle la proximité linguistique ou les affinités historiques et politiques avec la langue française constitueraient le seul facteur de réussite dans l’apprentissage du français n’a pas de fondement scientifique sérieux</w:t>
      </w:r>
      <w:r w:rsidRPr="00EB4B43">
        <w:t>. Les étudiants en provenance de pays de langue romane ont certes – peut-être – l’avantage de pouvoir faire de plus nombreux transferts entre leur langue et le français, mais ils n’échappent pas au phénomène des interférences, au possible manque de motivation, à un possible contexte d’apprentissage qui ne correspond pas à leurs besoins, etc. De plus, qu’un apprenant parle une langue «</w:t>
      </w:r>
      <w:r w:rsidR="00EB4B43" w:rsidRPr="00EB4B43">
        <w:rPr>
          <w:rFonts w:cs="Arial"/>
        </w:rPr>
        <w:t> </w:t>
      </w:r>
      <w:r w:rsidRPr="00EB4B43">
        <w:t>proche</w:t>
      </w:r>
      <w:r w:rsidR="00EB4B43" w:rsidRPr="00EB4B43">
        <w:rPr>
          <w:rFonts w:cs="Arial"/>
        </w:rPr>
        <w:t> </w:t>
      </w:r>
      <w:r w:rsidRPr="00EB4B43">
        <w:t>» ou «</w:t>
      </w:r>
      <w:r w:rsidR="00EB4B43" w:rsidRPr="00EB4B43">
        <w:rPr>
          <w:rFonts w:cs="Arial"/>
        </w:rPr>
        <w:t> </w:t>
      </w:r>
      <w:r w:rsidRPr="00EB4B43">
        <w:t>éloignée</w:t>
      </w:r>
      <w:r w:rsidR="00EB4B43" w:rsidRPr="00EB4B43">
        <w:rPr>
          <w:rFonts w:cs="Arial"/>
        </w:rPr>
        <w:t> </w:t>
      </w:r>
      <w:r w:rsidRPr="00EB4B43">
        <w:t>» du français, de nombreux autres facteurs peuvent affecter l’apprentissage et dépasser les effets supposés de la langue première, comme les compétences métacognitives et métalinguistiques développées par les plurilingues, le niveau scolaire et les compétences en littératie, le contexte dans lequel la langue est apprise, le temps que la personne peut allouer à l’apprentissage du français, la motivation ou encore l’attitude face à l’apprentissage.</w:t>
      </w:r>
      <w:r w:rsidRPr="00EB4B43">
        <w:rPr>
          <w:rStyle w:val="Appelnotedebasdep"/>
        </w:rPr>
        <w:footnoteReference w:id="141"/>
      </w:r>
      <w:r w:rsidR="006A6D6E" w:rsidRPr="0078210A">
        <w:rPr>
          <w:sz w:val="20"/>
        </w:rPr>
        <w:tab/>
      </w:r>
      <w:r w:rsidR="0035435E" w:rsidRPr="0078210A">
        <w:rPr>
          <w:szCs w:val="22"/>
        </w:rPr>
        <w:t>[</w:t>
      </w:r>
      <w:r w:rsidR="006A6D6E" w:rsidRPr="0078210A">
        <w:rPr>
          <w:szCs w:val="22"/>
        </w:rPr>
        <w:t>S</w:t>
      </w:r>
      <w:r w:rsidR="0035435E" w:rsidRPr="0078210A">
        <w:rPr>
          <w:szCs w:val="22"/>
        </w:rPr>
        <w:t>oulignement ajouté]</w:t>
      </w:r>
    </w:p>
    <w:p w14:paraId="38632CA7" w14:textId="054BA6D2" w:rsidR="00D430D6" w:rsidRDefault="00576ADE" w:rsidP="0082018A">
      <w:pPr>
        <w:pStyle w:val="Paragraphe"/>
        <w:tabs>
          <w:tab w:val="num" w:pos="720"/>
        </w:tabs>
        <w:spacing w:line="240" w:lineRule="auto"/>
        <w:ind w:left="0"/>
        <w:rPr>
          <w:rFonts w:cs="Arial"/>
        </w:rPr>
      </w:pPr>
      <w:r>
        <w:rPr>
          <w:rFonts w:cs="Arial"/>
        </w:rPr>
        <w:t>L</w:t>
      </w:r>
      <w:r w:rsidR="009976D6">
        <w:rPr>
          <w:rFonts w:cs="Arial"/>
        </w:rPr>
        <w:t>e Tribunal note que l</w:t>
      </w:r>
      <w:r>
        <w:rPr>
          <w:rFonts w:cs="Arial"/>
        </w:rPr>
        <w:t xml:space="preserve">a professeure </w:t>
      </w:r>
      <w:r w:rsidR="009976D6">
        <w:rPr>
          <w:rFonts w:cs="Arial"/>
        </w:rPr>
        <w:t>Qu</w:t>
      </w:r>
      <w:r>
        <w:rPr>
          <w:rFonts w:cs="Arial"/>
        </w:rPr>
        <w:t xml:space="preserve">errien </w:t>
      </w:r>
      <w:r w:rsidRPr="008778A9">
        <w:t>enseigne à l’Université Concordia</w:t>
      </w:r>
      <w:r w:rsidR="00C106A1" w:rsidRPr="00BE264E">
        <w:rPr>
          <w:rFonts w:cs="Arial"/>
        </w:rPr>
        <w:t xml:space="preserve"> depuis 2016</w:t>
      </w:r>
      <w:r>
        <w:rPr>
          <w:rFonts w:cs="Arial"/>
        </w:rPr>
        <w:t xml:space="preserve">, mais sa qualité d’expert n’a pas été remise en cause et la valeur probante de ses conclusions n’en </w:t>
      </w:r>
      <w:r w:rsidR="00492F6D">
        <w:rPr>
          <w:rFonts w:cs="Arial"/>
        </w:rPr>
        <w:t>e</w:t>
      </w:r>
      <w:r>
        <w:rPr>
          <w:rFonts w:cs="Arial"/>
        </w:rPr>
        <w:t>st pas affectée.</w:t>
      </w:r>
    </w:p>
    <w:p w14:paraId="42853CDB" w14:textId="7BB52101" w:rsidR="009A0C6A" w:rsidRDefault="009A0C6A" w:rsidP="0082018A">
      <w:pPr>
        <w:pStyle w:val="Paragraphe"/>
        <w:tabs>
          <w:tab w:val="num" w:pos="720"/>
        </w:tabs>
        <w:spacing w:line="240" w:lineRule="auto"/>
        <w:ind w:left="0"/>
        <w:rPr>
          <w:rFonts w:cs="Arial"/>
        </w:rPr>
      </w:pPr>
      <w:r w:rsidRPr="009A0C6A">
        <w:rPr>
          <w:rFonts w:cs="Arial"/>
        </w:rPr>
        <w:t>En outre, Concordia démontre que, sur l’ensemble de sa population étudiante, ce qui comprend, donc, ceux issus de C</w:t>
      </w:r>
      <w:r w:rsidR="006A7D7E">
        <w:rPr>
          <w:rFonts w:cs="Arial"/>
        </w:rPr>
        <w:t>É</w:t>
      </w:r>
      <w:r w:rsidRPr="009A0C6A">
        <w:rPr>
          <w:rFonts w:cs="Arial"/>
        </w:rPr>
        <w:t>GEP</w:t>
      </w:r>
      <w:r w:rsidR="00492F6D">
        <w:rPr>
          <w:rFonts w:cs="Arial"/>
        </w:rPr>
        <w:t>s</w:t>
      </w:r>
      <w:r w:rsidRPr="009A0C6A">
        <w:rPr>
          <w:rFonts w:cs="Arial"/>
        </w:rPr>
        <w:t xml:space="preserve"> du Québec,</w:t>
      </w:r>
      <w:r>
        <w:rPr>
          <w:rFonts w:cs="Arial"/>
        </w:rPr>
        <w:t xml:space="preserve"> </w:t>
      </w:r>
      <w:r w:rsidR="00026268">
        <w:rPr>
          <w:rFonts w:cs="Arial"/>
        </w:rPr>
        <w:t xml:space="preserve">la véritable menace appréhendée par le gouvernement </w:t>
      </w:r>
      <w:r w:rsidR="00492F6D">
        <w:rPr>
          <w:rFonts w:cs="Arial"/>
        </w:rPr>
        <w:t xml:space="preserve">proviendrait </w:t>
      </w:r>
      <w:r w:rsidR="00026268">
        <w:rPr>
          <w:rFonts w:cs="Arial"/>
        </w:rPr>
        <w:t xml:space="preserve">de </w:t>
      </w:r>
      <w:r>
        <w:rPr>
          <w:rFonts w:cs="Arial"/>
        </w:rPr>
        <w:t>seul</w:t>
      </w:r>
      <w:r w:rsidR="00026268">
        <w:rPr>
          <w:rFonts w:cs="Arial"/>
        </w:rPr>
        <w:t>ement</w:t>
      </w:r>
      <w:r>
        <w:rPr>
          <w:rFonts w:cs="Arial"/>
        </w:rPr>
        <w:t xml:space="preserve"> 300 étudiants CNRQ et 450 étudiants Internationaux</w:t>
      </w:r>
      <w:r>
        <w:rPr>
          <w:rStyle w:val="Appelnotedebasdep"/>
          <w:rFonts w:cs="Arial"/>
        </w:rPr>
        <w:footnoteReference w:id="142"/>
      </w:r>
      <w:r w:rsidR="00026268">
        <w:rPr>
          <w:rFonts w:cs="Arial"/>
        </w:rPr>
        <w:t>, lesquels</w:t>
      </w:r>
      <w:r>
        <w:rPr>
          <w:rFonts w:cs="Arial"/>
        </w:rPr>
        <w:t xml:space="preserve"> ne poss</w:t>
      </w:r>
      <w:r w:rsidR="00026268">
        <w:rPr>
          <w:rFonts w:cs="Arial"/>
        </w:rPr>
        <w:t>è</w:t>
      </w:r>
      <w:r>
        <w:rPr>
          <w:rFonts w:cs="Arial"/>
        </w:rPr>
        <w:t>d</w:t>
      </w:r>
      <w:r w:rsidR="00026268">
        <w:rPr>
          <w:rFonts w:cs="Arial"/>
        </w:rPr>
        <w:t>e</w:t>
      </w:r>
      <w:r>
        <w:rPr>
          <w:rFonts w:cs="Arial"/>
        </w:rPr>
        <w:t>nt qu’un niveau débutant en français, si on se réfère au sondage SOM</w:t>
      </w:r>
      <w:r w:rsidR="00026268">
        <w:rPr>
          <w:rFonts w:cs="Arial"/>
        </w:rPr>
        <w:t xml:space="preserve"> que dépose Concordia</w:t>
      </w:r>
      <w:r w:rsidR="00026268">
        <w:rPr>
          <w:rStyle w:val="Appelnotedebasdep"/>
          <w:rFonts w:cs="Arial"/>
        </w:rPr>
        <w:footnoteReference w:id="143"/>
      </w:r>
      <w:r>
        <w:rPr>
          <w:rFonts w:cs="Arial"/>
        </w:rPr>
        <w:t>.</w:t>
      </w:r>
    </w:p>
    <w:p w14:paraId="64258AA2" w14:textId="10CB90BD" w:rsidR="005A1DF4" w:rsidRPr="00242A87" w:rsidRDefault="005A1DF4" w:rsidP="005D26BE">
      <w:pPr>
        <w:pStyle w:val="Paragraphe"/>
        <w:tabs>
          <w:tab w:val="num" w:pos="720"/>
        </w:tabs>
        <w:spacing w:line="240" w:lineRule="auto"/>
        <w:ind w:left="0"/>
        <w:rPr>
          <w:rFonts w:cs="Arial"/>
        </w:rPr>
      </w:pPr>
      <w:r w:rsidRPr="00C61934">
        <w:t xml:space="preserve">Appuyant Concordia sur ce point, McGill ajoute que </w:t>
      </w:r>
      <w:r w:rsidR="00C41009">
        <w:t>s</w:t>
      </w:r>
      <w:r w:rsidRPr="00C61934">
        <w:t>es étudiants CNRQ et Internationaux ne représentent qu’une infime portion de la population vivant à Montréal, soit environ 1,7</w:t>
      </w:r>
      <w:r w:rsidRPr="009976D6">
        <w:t> </w:t>
      </w:r>
      <w:r w:rsidRPr="00C61934">
        <w:t>% et ce, en incluant même ceux qui maîtrisent le français. Cette statistique se réduit à 0,85</w:t>
      </w:r>
      <w:r w:rsidRPr="009976D6">
        <w:t> </w:t>
      </w:r>
      <w:r w:rsidRPr="00C61934">
        <w:t>% si on considère l’agglomération métropolitaine</w:t>
      </w:r>
      <w:r>
        <w:rPr>
          <w:rStyle w:val="Appelnotedebasdep"/>
          <w:rFonts w:cs="Arial"/>
        </w:rPr>
        <w:footnoteReference w:id="144"/>
      </w:r>
      <w:r w:rsidRPr="00C61934">
        <w:t>.</w:t>
      </w:r>
      <w:r w:rsidR="00242A87">
        <w:t xml:space="preserve"> </w:t>
      </w:r>
      <w:r w:rsidRPr="00242A87">
        <w:rPr>
          <w:rFonts w:cs="Arial"/>
        </w:rPr>
        <w:t>Pourtant, ajoute-t-elle, le gouvernement tente de justifier ses nouvelles mesures budgétaires par le fait que les étudiants provenant de l’extérieur du Québec constituent une menace à la survie du français à Montréal ou, du moins, participent au déclin du français, ce qui nécessiterait d’en réduire le nombre</w:t>
      </w:r>
      <w:r>
        <w:rPr>
          <w:rStyle w:val="Appelnotedebasdep"/>
          <w:rFonts w:cs="Arial"/>
        </w:rPr>
        <w:footnoteReference w:id="145"/>
      </w:r>
      <w:r w:rsidRPr="00242A87">
        <w:rPr>
          <w:rFonts w:cs="Arial"/>
        </w:rPr>
        <w:t>.</w:t>
      </w:r>
    </w:p>
    <w:p w14:paraId="4948AB2C" w14:textId="30D44459" w:rsidR="008C7808" w:rsidRDefault="008C7808" w:rsidP="008C7808">
      <w:pPr>
        <w:pStyle w:val="Paragraphe"/>
        <w:tabs>
          <w:tab w:val="num" w:pos="720"/>
        </w:tabs>
        <w:spacing w:line="240" w:lineRule="auto"/>
        <w:ind w:left="0"/>
      </w:pPr>
      <w:r>
        <w:t>Enfin, McGill dépose la déclaration sous serment d’une de ses professeurs qui corrobore l’opinion de madame Querrien. Dans sa déclaration sous serment du 7</w:t>
      </w:r>
      <w:r w:rsidR="00F34645">
        <w:t> </w:t>
      </w:r>
      <w:r>
        <w:t>novembre</w:t>
      </w:r>
      <w:r w:rsidR="00F34645">
        <w:t> </w:t>
      </w:r>
      <w:r>
        <w:t>2024, la professeure Natallia Liakina écrit :</w:t>
      </w:r>
    </w:p>
    <w:p w14:paraId="03DBA103" w14:textId="04478BF4" w:rsidR="008C7808" w:rsidRPr="008C7808" w:rsidRDefault="008C7808" w:rsidP="00F648C9">
      <w:pPr>
        <w:pStyle w:val="Citationenretrait"/>
        <w:rPr>
          <w:lang w:eastAsia="fr-CA"/>
        </w:rPr>
      </w:pPr>
      <w:r w:rsidRPr="008C7808">
        <w:rPr>
          <w:lang w:eastAsia="fr-CA"/>
        </w:rPr>
        <w:t>[16]</w:t>
      </w:r>
      <w:r w:rsidRPr="008C7808">
        <w:rPr>
          <w:lang w:eastAsia="fr-CA"/>
        </w:rPr>
        <w:tab/>
        <w:t>La cible de 80</w:t>
      </w:r>
      <w:r w:rsidR="00F648C9">
        <w:t> </w:t>
      </w:r>
      <w:r w:rsidRPr="008C7808">
        <w:rPr>
          <w:lang w:eastAsia="fr-CA"/>
        </w:rPr>
        <w:t>% prévue par l’obligation de francisation est fondamentalement irréaliste.</w:t>
      </w:r>
    </w:p>
    <w:p w14:paraId="1BBCA464" w14:textId="77777777" w:rsidR="008C7808" w:rsidRPr="008C7808" w:rsidRDefault="008C7808" w:rsidP="00F648C9">
      <w:pPr>
        <w:pStyle w:val="Citationenretrait"/>
        <w:rPr>
          <w:lang w:eastAsia="fr-CA"/>
        </w:rPr>
      </w:pPr>
      <w:r w:rsidRPr="008C7808">
        <w:rPr>
          <w:lang w:eastAsia="fr-CA"/>
        </w:rPr>
        <w:t>[…]</w:t>
      </w:r>
    </w:p>
    <w:p w14:paraId="64A48875" w14:textId="29749A17" w:rsidR="008C7808" w:rsidRPr="00AD2C63" w:rsidRDefault="008C7808" w:rsidP="0055014A">
      <w:pPr>
        <w:pStyle w:val="Citationenretrait"/>
        <w:rPr>
          <w:lang w:eastAsia="fr-CA"/>
        </w:rPr>
      </w:pPr>
      <w:r w:rsidRPr="00AD2C63">
        <w:t>[</w:t>
      </w:r>
      <w:r w:rsidRPr="00AD2C63">
        <w:rPr>
          <w:lang w:eastAsia="fr-CA"/>
        </w:rPr>
        <w:t>20</w:t>
      </w:r>
      <w:r w:rsidRPr="00AD2C63">
        <w:t>]</w:t>
      </w:r>
      <w:r w:rsidR="00242A87" w:rsidRPr="00AD2C63">
        <w:rPr>
          <w:lang w:eastAsia="fr-CA"/>
        </w:rPr>
        <w:t xml:space="preserve"> </w:t>
      </w:r>
      <w:r w:rsidR="00242A87" w:rsidRPr="00AD2C63">
        <w:rPr>
          <w:lang w:eastAsia="fr-CA"/>
        </w:rPr>
        <w:tab/>
      </w:r>
      <w:r w:rsidRPr="00AD2C63">
        <w:rPr>
          <w:lang w:eastAsia="fr-CA"/>
        </w:rPr>
        <w:t>Un pays «</w:t>
      </w:r>
      <w:r w:rsidR="00AD2C63">
        <w:rPr>
          <w:lang w:eastAsia="fr-CA"/>
        </w:rPr>
        <w:t> </w:t>
      </w:r>
      <w:r w:rsidRPr="00AD2C63">
        <w:rPr>
          <w:lang w:eastAsia="fr-CA"/>
        </w:rPr>
        <w:t>francotrope</w:t>
      </w:r>
      <w:r w:rsidR="00AD2C63">
        <w:rPr>
          <w:lang w:eastAsia="fr-CA"/>
        </w:rPr>
        <w:t> </w:t>
      </w:r>
      <w:r w:rsidRPr="00AD2C63">
        <w:rPr>
          <w:lang w:eastAsia="fr-CA"/>
        </w:rPr>
        <w:t>» serait un «</w:t>
      </w:r>
      <w:r w:rsidR="00AD2C63">
        <w:rPr>
          <w:lang w:eastAsia="fr-CA"/>
        </w:rPr>
        <w:t> </w:t>
      </w:r>
      <w:r w:rsidRPr="00AD2C63">
        <w:rPr>
          <w:i/>
        </w:rPr>
        <w:t>pays de langue latine autre que le français ou</w:t>
      </w:r>
      <w:r w:rsidR="0055014A" w:rsidRPr="00AD2C63">
        <w:rPr>
          <w:i/>
        </w:rPr>
        <w:t xml:space="preserve"> </w:t>
      </w:r>
      <w:r w:rsidRPr="00AD2C63">
        <w:rPr>
          <w:i/>
        </w:rPr>
        <w:t>qui possède des liens historiques ou politiques avec cette langue</w:t>
      </w:r>
      <w:r w:rsidR="00AD2C63">
        <w:rPr>
          <w:i/>
        </w:rPr>
        <w:t> </w:t>
      </w:r>
      <w:r w:rsidRPr="00AD2C63">
        <w:rPr>
          <w:lang w:eastAsia="fr-CA"/>
        </w:rPr>
        <w:t>». Le Ministère</w:t>
      </w:r>
      <w:r w:rsidR="0055014A" w:rsidRPr="00AD2C63">
        <w:rPr>
          <w:lang w:eastAsia="fr-CA"/>
        </w:rPr>
        <w:t xml:space="preserve"> </w:t>
      </w:r>
      <w:r w:rsidRPr="00AD2C63">
        <w:rPr>
          <w:lang w:eastAsia="fr-CA"/>
        </w:rPr>
        <w:t>a aussi inclus dans cette catégorie de pays les étudiants canadiens non-résidents</w:t>
      </w:r>
      <w:r w:rsidR="0055014A" w:rsidRPr="00AD2C63">
        <w:rPr>
          <w:lang w:eastAsia="fr-CA"/>
        </w:rPr>
        <w:t xml:space="preserve"> </w:t>
      </w:r>
      <w:r w:rsidRPr="00AD2C63">
        <w:rPr>
          <w:lang w:eastAsia="fr-CA"/>
        </w:rPr>
        <w:t>du Québec (les étudiants «</w:t>
      </w:r>
      <w:r w:rsidR="00AD2C63">
        <w:rPr>
          <w:lang w:eastAsia="fr-CA"/>
        </w:rPr>
        <w:t> </w:t>
      </w:r>
      <w:r w:rsidRPr="00AD2C63">
        <w:rPr>
          <w:b/>
        </w:rPr>
        <w:t>CNRQ</w:t>
      </w:r>
      <w:r w:rsidR="00AD2C63">
        <w:rPr>
          <w:b/>
        </w:rPr>
        <w:t> </w:t>
      </w:r>
      <w:r w:rsidRPr="00AD2C63">
        <w:rPr>
          <w:lang w:eastAsia="fr-CA"/>
        </w:rPr>
        <w:t>») de langue maternelle anglaise ou allophones,</w:t>
      </w:r>
      <w:r w:rsidR="0055014A" w:rsidRPr="00AD2C63">
        <w:rPr>
          <w:lang w:eastAsia="fr-CA"/>
        </w:rPr>
        <w:t xml:space="preserve"> </w:t>
      </w:r>
      <w:r w:rsidRPr="00AD2C63">
        <w:rPr>
          <w:lang w:eastAsia="fr-CA"/>
        </w:rPr>
        <w:t>comme il appert de la Pièce PGQ-39 (note de bas de page n° 2).</w:t>
      </w:r>
    </w:p>
    <w:p w14:paraId="3F13C3D7" w14:textId="34A486B2" w:rsidR="008C7808" w:rsidRPr="008C7808" w:rsidRDefault="008C7808" w:rsidP="0055014A">
      <w:pPr>
        <w:pStyle w:val="Citationenretrait"/>
        <w:rPr>
          <w:lang w:eastAsia="fr-CA"/>
        </w:rPr>
      </w:pPr>
      <w:r w:rsidRPr="00AD2C63">
        <w:rPr>
          <w:lang w:eastAsia="fr-CA"/>
        </w:rPr>
        <w:t>21</w:t>
      </w:r>
      <w:r w:rsidRPr="008778A9">
        <w:t>.</w:t>
      </w:r>
      <w:r w:rsidRPr="008C7808">
        <w:rPr>
          <w:lang w:eastAsia="fr-CA"/>
        </w:rPr>
        <w:t xml:space="preserve"> Toutefois, de mon expérience à titre d</w:t>
      </w:r>
      <w:r w:rsidR="00BD57BF">
        <w:rPr>
          <w:lang w:eastAsia="fr-CA"/>
        </w:rPr>
        <w:t>’</w:t>
      </w:r>
      <w:r w:rsidRPr="008C7808">
        <w:rPr>
          <w:lang w:eastAsia="fr-CA"/>
        </w:rPr>
        <w:t>enseignante de français langue seconde, le</w:t>
      </w:r>
      <w:r w:rsidR="0055014A">
        <w:rPr>
          <w:lang w:eastAsia="fr-CA"/>
        </w:rPr>
        <w:t xml:space="preserve"> </w:t>
      </w:r>
      <w:r w:rsidRPr="008C7808">
        <w:rPr>
          <w:lang w:eastAsia="fr-CA"/>
        </w:rPr>
        <w:t>fait qu</w:t>
      </w:r>
      <w:r w:rsidR="00BD57BF">
        <w:rPr>
          <w:lang w:eastAsia="fr-CA"/>
        </w:rPr>
        <w:t>’</w:t>
      </w:r>
      <w:r w:rsidRPr="008C7808">
        <w:rPr>
          <w:lang w:eastAsia="fr-CA"/>
        </w:rPr>
        <w:t>un étudiant maîtrise une langue latine autre que le français (comme</w:t>
      </w:r>
      <w:r w:rsidR="0055014A">
        <w:rPr>
          <w:lang w:eastAsia="fr-CA"/>
        </w:rPr>
        <w:t xml:space="preserve"> </w:t>
      </w:r>
      <w:r w:rsidRPr="008C7808">
        <w:rPr>
          <w:lang w:eastAsia="fr-CA"/>
        </w:rPr>
        <w:t>l</w:t>
      </w:r>
      <w:r w:rsidR="00BD57BF">
        <w:rPr>
          <w:lang w:eastAsia="fr-CA"/>
        </w:rPr>
        <w:t>’</w:t>
      </w:r>
      <w:r w:rsidRPr="008C7808">
        <w:rPr>
          <w:lang w:eastAsia="fr-CA"/>
        </w:rPr>
        <w:t>espagnol, l</w:t>
      </w:r>
      <w:r w:rsidR="00BD57BF">
        <w:rPr>
          <w:lang w:eastAsia="fr-CA"/>
        </w:rPr>
        <w:t>’</w:t>
      </w:r>
      <w:r w:rsidRPr="008C7808">
        <w:rPr>
          <w:lang w:eastAsia="fr-CA"/>
        </w:rPr>
        <w:t>italien, le portugais, le roumain et le catalan) ou provienne d</w:t>
      </w:r>
      <w:r w:rsidR="00BD57BF">
        <w:rPr>
          <w:lang w:eastAsia="fr-CA"/>
        </w:rPr>
        <w:t>’</w:t>
      </w:r>
      <w:r w:rsidRPr="008C7808">
        <w:rPr>
          <w:lang w:eastAsia="fr-CA"/>
        </w:rPr>
        <w:t>un pays</w:t>
      </w:r>
      <w:r w:rsidR="0055014A">
        <w:rPr>
          <w:lang w:eastAsia="fr-CA"/>
        </w:rPr>
        <w:t xml:space="preserve"> </w:t>
      </w:r>
      <w:r w:rsidRPr="008C7808">
        <w:rPr>
          <w:lang w:eastAsia="fr-CA"/>
        </w:rPr>
        <w:t>ayant des liens historiques ou politiques avec cette langue (comme l</w:t>
      </w:r>
      <w:r w:rsidR="00BD57BF">
        <w:rPr>
          <w:lang w:eastAsia="fr-CA"/>
        </w:rPr>
        <w:t>’</w:t>
      </w:r>
      <w:r w:rsidRPr="008C7808">
        <w:rPr>
          <w:lang w:eastAsia="fr-CA"/>
        </w:rPr>
        <w:t>Allemagne,</w:t>
      </w:r>
      <w:r w:rsidR="0055014A">
        <w:rPr>
          <w:lang w:eastAsia="fr-CA"/>
        </w:rPr>
        <w:t xml:space="preserve"> </w:t>
      </w:r>
      <w:r w:rsidRPr="008C7808">
        <w:rPr>
          <w:lang w:eastAsia="fr-CA"/>
        </w:rPr>
        <w:t>le Cambodge, l</w:t>
      </w:r>
      <w:r w:rsidR="00BD57BF">
        <w:rPr>
          <w:lang w:eastAsia="fr-CA"/>
        </w:rPr>
        <w:t>’</w:t>
      </w:r>
      <w:r w:rsidRPr="008C7808">
        <w:rPr>
          <w:lang w:eastAsia="fr-CA"/>
        </w:rPr>
        <w:t>Égypte, le Royaume-Uni et le Vietnam) ne signifie pas qu</w:t>
      </w:r>
      <w:r w:rsidR="00BD57BF">
        <w:rPr>
          <w:lang w:eastAsia="fr-CA"/>
        </w:rPr>
        <w:t>’</w:t>
      </w:r>
      <w:r w:rsidRPr="008C7808">
        <w:rPr>
          <w:lang w:eastAsia="fr-CA"/>
        </w:rPr>
        <w:t>il y a</w:t>
      </w:r>
      <w:r w:rsidR="0055014A">
        <w:rPr>
          <w:lang w:eastAsia="fr-CA"/>
        </w:rPr>
        <w:t xml:space="preserve"> </w:t>
      </w:r>
      <w:r w:rsidRPr="008C7808">
        <w:rPr>
          <w:lang w:eastAsia="fr-CA"/>
        </w:rPr>
        <w:t>nécessairement une forte probabilité que cet étudiant atteigne le niveau 5 de</w:t>
      </w:r>
      <w:r w:rsidR="0055014A">
        <w:rPr>
          <w:lang w:eastAsia="fr-CA"/>
        </w:rPr>
        <w:t xml:space="preserve"> </w:t>
      </w:r>
      <w:r w:rsidRPr="008C7808">
        <w:rPr>
          <w:lang w:eastAsia="fr-CA"/>
        </w:rPr>
        <w:t>compétence orale en français sur l</w:t>
      </w:r>
      <w:r w:rsidR="00BD57BF">
        <w:rPr>
          <w:lang w:eastAsia="fr-CA"/>
        </w:rPr>
        <w:t>’</w:t>
      </w:r>
      <w:r w:rsidRPr="008C7808">
        <w:rPr>
          <w:lang w:eastAsia="fr-CA"/>
        </w:rPr>
        <w:t>Échelle québécoise à la fin de son parcours universitaire.</w:t>
      </w:r>
      <w:r w:rsidR="005F75F1">
        <w:rPr>
          <w:rStyle w:val="Appelnotedebasdep"/>
          <w:lang w:eastAsia="fr-CA"/>
        </w:rPr>
        <w:footnoteReference w:id="146"/>
      </w:r>
    </w:p>
    <w:p w14:paraId="631FD6E7" w14:textId="0AA4D380" w:rsidR="002376EC" w:rsidRPr="009A0C6A" w:rsidRDefault="00FC0A99" w:rsidP="0082018A">
      <w:pPr>
        <w:pStyle w:val="Paragraphe"/>
        <w:tabs>
          <w:tab w:val="num" w:pos="720"/>
        </w:tabs>
        <w:spacing w:line="240" w:lineRule="auto"/>
        <w:ind w:left="0"/>
        <w:rPr>
          <w:rFonts w:cs="Arial"/>
        </w:rPr>
      </w:pPr>
      <w:r>
        <w:rPr>
          <w:rFonts w:cs="Arial"/>
        </w:rPr>
        <w:t xml:space="preserve">La </w:t>
      </w:r>
      <w:r w:rsidR="00306389">
        <w:rPr>
          <w:rFonts w:cs="Arial"/>
        </w:rPr>
        <w:t>prémisse</w:t>
      </w:r>
      <w:r w:rsidR="00D430D6" w:rsidRPr="009A0C6A">
        <w:rPr>
          <w:rFonts w:cs="Arial"/>
        </w:rPr>
        <w:t xml:space="preserve"> que </w:t>
      </w:r>
      <w:r w:rsidR="002376EC" w:rsidRPr="009A0C6A">
        <w:rPr>
          <w:rFonts w:cs="Arial"/>
        </w:rPr>
        <w:t xml:space="preserve">les étudiants provenant </w:t>
      </w:r>
      <w:r w:rsidR="00472733">
        <w:rPr>
          <w:rFonts w:cs="Arial"/>
        </w:rPr>
        <w:t>de l’extérieur</w:t>
      </w:r>
      <w:r w:rsidR="002376EC" w:rsidRPr="009A0C6A">
        <w:rPr>
          <w:rFonts w:cs="Arial"/>
        </w:rPr>
        <w:t xml:space="preserve"> du Québec</w:t>
      </w:r>
      <w:r w:rsidR="00D430D6" w:rsidRPr="009A0C6A">
        <w:rPr>
          <w:rFonts w:cs="Arial"/>
        </w:rPr>
        <w:t xml:space="preserve"> représentent une menace</w:t>
      </w:r>
      <w:r w:rsidR="002376EC" w:rsidRPr="009A0C6A">
        <w:rPr>
          <w:rFonts w:cs="Arial"/>
        </w:rPr>
        <w:t xml:space="preserve"> à la langue française</w:t>
      </w:r>
      <w:r w:rsidR="00306389">
        <w:rPr>
          <w:rFonts w:cs="Arial"/>
        </w:rPr>
        <w:t xml:space="preserve"> est reprise par</w:t>
      </w:r>
      <w:r w:rsidR="002376EC" w:rsidRPr="009A0C6A">
        <w:rPr>
          <w:rFonts w:cs="Arial"/>
        </w:rPr>
        <w:t xml:space="preserve"> le ministre responsable de la langue française alors qu’</w:t>
      </w:r>
      <w:r w:rsidR="008F79C5" w:rsidRPr="009A0C6A">
        <w:rPr>
          <w:rFonts w:cs="Arial"/>
        </w:rPr>
        <w:t xml:space="preserve">en conférence de presse </w:t>
      </w:r>
      <w:r w:rsidR="002376EC" w:rsidRPr="009A0C6A">
        <w:rPr>
          <w:rFonts w:cs="Arial"/>
        </w:rPr>
        <w:t xml:space="preserve">il </w:t>
      </w:r>
      <w:r w:rsidR="008F79C5" w:rsidRPr="009A0C6A">
        <w:rPr>
          <w:rFonts w:cs="Arial"/>
        </w:rPr>
        <w:t>déclare :</w:t>
      </w:r>
    </w:p>
    <w:p w14:paraId="732A3007" w14:textId="79483367" w:rsidR="008F79C5" w:rsidRPr="008F79C5" w:rsidRDefault="008F79C5" w:rsidP="008F79C5">
      <w:pPr>
        <w:pStyle w:val="Paragraphe"/>
        <w:numPr>
          <w:ilvl w:val="0"/>
          <w:numId w:val="0"/>
        </w:numPr>
        <w:spacing w:line="240" w:lineRule="auto"/>
        <w:ind w:left="734"/>
        <w:rPr>
          <w:rFonts w:cs="Arial"/>
          <w:sz w:val="22"/>
          <w:szCs w:val="22"/>
        </w:rPr>
      </w:pPr>
      <w:r w:rsidRPr="008F79C5">
        <w:rPr>
          <w:rFonts w:cs="Arial"/>
          <w:sz w:val="22"/>
          <w:szCs w:val="22"/>
        </w:rPr>
        <w:t>Lorsque des dizaines de milliers de personnes arrivent sur l’île de Montréal sans maitrise</w:t>
      </w:r>
      <w:r w:rsidR="00AD2C63">
        <w:rPr>
          <w:rFonts w:cs="Arial"/>
          <w:sz w:val="22"/>
          <w:szCs w:val="22"/>
        </w:rPr>
        <w:t>r</w:t>
      </w:r>
      <w:r w:rsidR="00242A87">
        <w:rPr>
          <w:rFonts w:cs="Arial"/>
          <w:sz w:val="22"/>
          <w:szCs w:val="22"/>
        </w:rPr>
        <w:t xml:space="preserve"> </w:t>
      </w:r>
      <w:r w:rsidRPr="008F79C5">
        <w:rPr>
          <w:rFonts w:cs="Arial"/>
          <w:sz w:val="22"/>
          <w:szCs w:val="22"/>
        </w:rPr>
        <w:t>le français, c’est évident que ça peut avoir un effet anglicisant sur la métropole</w:t>
      </w:r>
      <w:r>
        <w:rPr>
          <w:rStyle w:val="Appelnotedebasdep"/>
          <w:rFonts w:cs="Arial"/>
          <w:sz w:val="22"/>
          <w:szCs w:val="22"/>
        </w:rPr>
        <w:footnoteReference w:id="147"/>
      </w:r>
      <w:r w:rsidRPr="008F79C5">
        <w:rPr>
          <w:rFonts w:cs="Arial"/>
          <w:sz w:val="22"/>
          <w:szCs w:val="22"/>
        </w:rPr>
        <w:t>.</w:t>
      </w:r>
    </w:p>
    <w:p w14:paraId="71825089" w14:textId="50D5E2A9" w:rsidR="008F79C5" w:rsidRDefault="008F79C5" w:rsidP="0082018A">
      <w:pPr>
        <w:pStyle w:val="Paragraphe"/>
        <w:tabs>
          <w:tab w:val="num" w:pos="720"/>
        </w:tabs>
        <w:spacing w:line="240" w:lineRule="auto"/>
        <w:ind w:left="0"/>
        <w:rPr>
          <w:rFonts w:cs="Arial"/>
        </w:rPr>
      </w:pPr>
      <w:r>
        <w:rPr>
          <w:rFonts w:cs="Arial"/>
        </w:rPr>
        <w:t xml:space="preserve">Prenant appui sur des déclarations </w:t>
      </w:r>
      <w:r w:rsidR="00492F6D">
        <w:rPr>
          <w:rFonts w:cs="Arial"/>
        </w:rPr>
        <w:t xml:space="preserve">similaires </w:t>
      </w:r>
      <w:r>
        <w:rPr>
          <w:rFonts w:cs="Arial"/>
        </w:rPr>
        <w:t>d</w:t>
      </w:r>
      <w:r w:rsidR="00DF0303">
        <w:rPr>
          <w:rFonts w:cs="Arial"/>
        </w:rPr>
        <w:t xml:space="preserve">u même </w:t>
      </w:r>
      <w:r>
        <w:rPr>
          <w:rFonts w:cs="Arial"/>
        </w:rPr>
        <w:t>ministre</w:t>
      </w:r>
      <w:r w:rsidR="00DF0303">
        <w:rPr>
          <w:rFonts w:cs="Arial"/>
        </w:rPr>
        <w:t xml:space="preserve"> du gouvernement</w:t>
      </w:r>
      <w:r>
        <w:rPr>
          <w:rFonts w:cs="Arial"/>
        </w:rPr>
        <w:t>, voire du Premier ministre</w:t>
      </w:r>
      <w:r w:rsidR="001F55A1">
        <w:rPr>
          <w:rStyle w:val="Appelnotedebasdep"/>
          <w:rFonts w:cs="Arial"/>
        </w:rPr>
        <w:footnoteReference w:id="148"/>
      </w:r>
      <w:r>
        <w:rPr>
          <w:rFonts w:cs="Arial"/>
        </w:rPr>
        <w:t xml:space="preserve">, l’avocat principal de McGill plaide </w:t>
      </w:r>
      <w:r w:rsidR="00242A87">
        <w:rPr>
          <w:rFonts w:cs="Arial"/>
        </w:rPr>
        <w:t xml:space="preserve">avec </w:t>
      </w:r>
      <w:r w:rsidR="004F2245">
        <w:rPr>
          <w:rFonts w:cs="Arial"/>
        </w:rPr>
        <w:t>verve</w:t>
      </w:r>
      <w:r>
        <w:rPr>
          <w:rFonts w:cs="Arial"/>
        </w:rPr>
        <w:t xml:space="preserve">, à peu de mots près, que : </w:t>
      </w:r>
      <w:r w:rsidRPr="008F79C5">
        <w:rPr>
          <w:rFonts w:cs="Arial"/>
          <w:i/>
          <w:iCs/>
        </w:rPr>
        <w:t>le gouvernement n</w:t>
      </w:r>
      <w:r w:rsidR="00492F6D">
        <w:rPr>
          <w:rFonts w:cs="Arial"/>
          <w:i/>
          <w:iCs/>
        </w:rPr>
        <w:t>’</w:t>
      </w:r>
      <w:r w:rsidRPr="008F79C5">
        <w:rPr>
          <w:rFonts w:cs="Arial"/>
          <w:i/>
          <w:iCs/>
        </w:rPr>
        <w:t>e</w:t>
      </w:r>
      <w:r w:rsidR="00492F6D">
        <w:rPr>
          <w:rFonts w:cs="Arial"/>
          <w:i/>
          <w:iCs/>
        </w:rPr>
        <w:t>n</w:t>
      </w:r>
      <w:r w:rsidRPr="008F79C5">
        <w:rPr>
          <w:rFonts w:cs="Arial"/>
          <w:i/>
          <w:iCs/>
        </w:rPr>
        <w:t xml:space="preserve"> veut plus</w:t>
      </w:r>
      <w:r w:rsidR="00492F6D">
        <w:rPr>
          <w:rFonts w:cs="Arial"/>
          <w:i/>
          <w:iCs/>
        </w:rPr>
        <w:t xml:space="preserve">, </w:t>
      </w:r>
      <w:r w:rsidRPr="008F79C5">
        <w:rPr>
          <w:rFonts w:cs="Arial"/>
          <w:i/>
          <w:iCs/>
        </w:rPr>
        <w:t>d</w:t>
      </w:r>
      <w:r w:rsidR="00492F6D">
        <w:rPr>
          <w:rFonts w:cs="Arial"/>
          <w:i/>
          <w:iCs/>
        </w:rPr>
        <w:t xml:space="preserve">es </w:t>
      </w:r>
      <w:r w:rsidRPr="008F79C5">
        <w:rPr>
          <w:rFonts w:cs="Arial"/>
          <w:i/>
          <w:iCs/>
        </w:rPr>
        <w:t>étudiants anglophones au centre-ville de Montréal</w:t>
      </w:r>
      <w:r>
        <w:rPr>
          <w:rFonts w:cs="Arial"/>
          <w:i/>
          <w:iCs/>
        </w:rPr>
        <w:t>!</w:t>
      </w:r>
    </w:p>
    <w:p w14:paraId="3DEA972A" w14:textId="39A1F426" w:rsidR="00AC3E10" w:rsidRDefault="00492F6D" w:rsidP="0082018A">
      <w:pPr>
        <w:pStyle w:val="Paragraphe"/>
        <w:tabs>
          <w:tab w:val="num" w:pos="720"/>
        </w:tabs>
        <w:spacing w:line="240" w:lineRule="auto"/>
        <w:ind w:left="0"/>
        <w:rPr>
          <w:rFonts w:cs="Arial"/>
        </w:rPr>
      </w:pPr>
      <w:r>
        <w:rPr>
          <w:rFonts w:cs="Arial"/>
        </w:rPr>
        <w:t xml:space="preserve">Il semble </w:t>
      </w:r>
      <w:r w:rsidR="007E029C">
        <w:rPr>
          <w:rFonts w:cs="Arial"/>
        </w:rPr>
        <w:t>p</w:t>
      </w:r>
      <w:r w:rsidR="00C12D59">
        <w:rPr>
          <w:rFonts w:cs="Arial"/>
        </w:rPr>
        <w:t>ourtant</w:t>
      </w:r>
      <w:r w:rsidR="007E029C">
        <w:rPr>
          <w:rFonts w:cs="Arial"/>
        </w:rPr>
        <w:t xml:space="preserve"> q</w:t>
      </w:r>
      <w:r>
        <w:rPr>
          <w:rFonts w:cs="Arial"/>
        </w:rPr>
        <w:t xml:space="preserve">ue </w:t>
      </w:r>
      <w:r w:rsidR="00F417B8">
        <w:rPr>
          <w:rFonts w:cs="Arial"/>
        </w:rPr>
        <w:t xml:space="preserve">la crainte du gouvernement que les étudiants CNRQ et Internationaux ne s’intègrent pas, ou moins bien que d’autres, à la société québécoise du fait de leur niveau </w:t>
      </w:r>
      <w:r w:rsidR="000D3DE5" w:rsidRPr="00242A87">
        <w:rPr>
          <w:rFonts w:cs="Arial"/>
        </w:rPr>
        <w:t>de</w:t>
      </w:r>
      <w:r w:rsidR="000D3DE5">
        <w:rPr>
          <w:rFonts w:cs="Arial"/>
        </w:rPr>
        <w:t xml:space="preserve"> </w:t>
      </w:r>
      <w:r w:rsidR="00AC3E10">
        <w:rPr>
          <w:rFonts w:cs="Arial"/>
        </w:rPr>
        <w:t>maîtrise</w:t>
      </w:r>
      <w:r w:rsidR="00F417B8">
        <w:rPr>
          <w:rFonts w:cs="Arial"/>
        </w:rPr>
        <w:t xml:space="preserve"> du français</w:t>
      </w:r>
      <w:r>
        <w:rPr>
          <w:rFonts w:cs="Arial"/>
        </w:rPr>
        <w:t>,</w:t>
      </w:r>
      <w:r w:rsidR="00F417B8">
        <w:rPr>
          <w:rFonts w:cs="Arial"/>
        </w:rPr>
        <w:t xml:space="preserve"> </w:t>
      </w:r>
      <w:r w:rsidR="00AC3E10">
        <w:rPr>
          <w:rFonts w:cs="Arial"/>
        </w:rPr>
        <w:t>se dissipe à l’égard des étudiants CNRQ inscrits, ou qui le seront, à l’Université Bishop</w:t>
      </w:r>
      <w:r w:rsidR="00D578EF">
        <w:rPr>
          <w:rFonts w:cs="Arial"/>
        </w:rPr>
        <w:t>’s</w:t>
      </w:r>
      <w:r w:rsidR="00AC3E10">
        <w:rPr>
          <w:rFonts w:cs="Arial"/>
        </w:rPr>
        <w:t>. Le gouvernement dispense</w:t>
      </w:r>
      <w:r w:rsidR="00AF7F4F">
        <w:rPr>
          <w:rFonts w:cs="Arial"/>
        </w:rPr>
        <w:t xml:space="preserve"> en effet </w:t>
      </w:r>
      <w:r w:rsidR="00AC3E10">
        <w:rPr>
          <w:rFonts w:cs="Arial"/>
        </w:rPr>
        <w:t>cette université anglophone de la rigueur des modifications au</w:t>
      </w:r>
      <w:r>
        <w:rPr>
          <w:rFonts w:cs="Arial"/>
        </w:rPr>
        <w:t>x</w:t>
      </w:r>
      <w:r w:rsidR="00AC3E10">
        <w:rPr>
          <w:rFonts w:cs="Arial"/>
        </w:rPr>
        <w:t xml:space="preserve"> Règles budgétaires. Dans la lettre du 14 décembre que le sous-ministre Leclerc écrit au Principal et Vice-Chancelier de </w:t>
      </w:r>
      <w:r>
        <w:rPr>
          <w:rFonts w:cs="Arial"/>
        </w:rPr>
        <w:t>Bishop’s</w:t>
      </w:r>
      <w:r w:rsidR="00AC3E10">
        <w:rPr>
          <w:rFonts w:cs="Arial"/>
        </w:rPr>
        <w:t>,</w:t>
      </w:r>
      <w:r>
        <w:rPr>
          <w:rFonts w:cs="Arial"/>
        </w:rPr>
        <w:t xml:space="preserve"> </w:t>
      </w:r>
      <w:r w:rsidR="00AC3E10">
        <w:rPr>
          <w:rFonts w:cs="Arial"/>
        </w:rPr>
        <w:t>on peut lire :</w:t>
      </w:r>
    </w:p>
    <w:p w14:paraId="68639223" w14:textId="1AD02D3B" w:rsidR="00E03C7D" w:rsidRPr="00E03C7D" w:rsidRDefault="00E03C7D" w:rsidP="00E03C7D">
      <w:pPr>
        <w:pStyle w:val="Citationenretrait"/>
      </w:pPr>
      <w:r w:rsidRPr="00E03C7D">
        <w:t>Cependant, le Conseil des ministres a pris la décision de tenir compte des défis</w:t>
      </w:r>
      <w:r>
        <w:t xml:space="preserve"> </w:t>
      </w:r>
      <w:r w:rsidRPr="00E03C7D">
        <w:t>particuliers que peut rencontrer l’Université Bishop’s, notamment sur le plan du</w:t>
      </w:r>
      <w:r>
        <w:t xml:space="preserve"> </w:t>
      </w:r>
      <w:r w:rsidRPr="00E03C7D">
        <w:t>recrutement, à titre d’université de petite taille située en région. Ainsi, sous réserve</w:t>
      </w:r>
      <w:r>
        <w:t xml:space="preserve"> </w:t>
      </w:r>
      <w:r w:rsidRPr="00E03C7D">
        <w:t>d’approbation des règles budgétaires relatives aux nouveaux tarifs par le Secrétariat du</w:t>
      </w:r>
      <w:r>
        <w:t xml:space="preserve"> </w:t>
      </w:r>
      <w:r w:rsidRPr="00E03C7D">
        <w:t>Conseil du trésor, un nombre maximal de 825 étudiants CNRQ pourront être exclus de</w:t>
      </w:r>
      <w:r>
        <w:t xml:space="preserve"> </w:t>
      </w:r>
      <w:r w:rsidRPr="00E03C7D">
        <w:t>la nouvelle tarification à partir du trimestre d’automne 2024. Les personnes</w:t>
      </w:r>
      <w:r>
        <w:t xml:space="preserve"> </w:t>
      </w:r>
      <w:r w:rsidRPr="00E03C7D">
        <w:t>sélectionnées continueront de débourser le tarif actuel de 203,70</w:t>
      </w:r>
      <w:r w:rsidR="00315511">
        <w:rPr>
          <w:rFonts w:cs="Arial"/>
        </w:rPr>
        <w:t> </w:t>
      </w:r>
      <w:r w:rsidRPr="00E03C7D">
        <w:t>$ par unité, majoré</w:t>
      </w:r>
      <w:r>
        <w:t xml:space="preserve"> </w:t>
      </w:r>
      <w:r w:rsidRPr="00E03C7D">
        <w:t>selon l’indexation annuelle déterminée dans le régime budgétaire des universités.</w:t>
      </w:r>
      <w:r>
        <w:t xml:space="preserve"> </w:t>
      </w:r>
      <w:r w:rsidRPr="00E03C7D">
        <w:t>Ces</w:t>
      </w:r>
      <w:r>
        <w:t xml:space="preserve"> </w:t>
      </w:r>
      <w:r w:rsidRPr="00E03C7D">
        <w:t>droits d’exclusion vous seront octroyés graduellement, selon les paliers suivants</w:t>
      </w:r>
      <w:r w:rsidR="008F00B0">
        <w:rPr>
          <w:rFonts w:cs="Arial"/>
        </w:rPr>
        <w:t> </w:t>
      </w:r>
      <w:r w:rsidRPr="00E03C7D">
        <w:t>:</w:t>
      </w:r>
    </w:p>
    <w:p w14:paraId="4EEA43BF" w14:textId="05F518AE" w:rsidR="00E03C7D" w:rsidRPr="00E03C7D" w:rsidRDefault="00E03C7D" w:rsidP="00E03C7D">
      <w:pPr>
        <w:pStyle w:val="Citationenretrait"/>
        <w:ind w:left="1468"/>
      </w:pPr>
      <w:r w:rsidRPr="00E03C7D">
        <w:t>• 2024-2025</w:t>
      </w:r>
      <w:r w:rsidR="008F00B0">
        <w:rPr>
          <w:rFonts w:cs="Arial"/>
        </w:rPr>
        <w:t> </w:t>
      </w:r>
      <w:r w:rsidRPr="00E03C7D">
        <w:t>: 205 nouvelles exclusions;</w:t>
      </w:r>
    </w:p>
    <w:p w14:paraId="0C35D9F8" w14:textId="446269AC" w:rsidR="00E03C7D" w:rsidRPr="00E03C7D" w:rsidRDefault="00E03C7D" w:rsidP="00E03C7D">
      <w:pPr>
        <w:pStyle w:val="Citationenretrait"/>
        <w:ind w:left="1468"/>
      </w:pPr>
      <w:r w:rsidRPr="00E03C7D">
        <w:t>• 2025-2026</w:t>
      </w:r>
      <w:r w:rsidR="008F00B0">
        <w:rPr>
          <w:rFonts w:cs="Arial"/>
        </w:rPr>
        <w:t> </w:t>
      </w:r>
      <w:r w:rsidRPr="00E03C7D">
        <w:t>: 205 nouvelles exclusions additionnelles;</w:t>
      </w:r>
    </w:p>
    <w:p w14:paraId="08F7C1EF" w14:textId="617BBC04" w:rsidR="00E03C7D" w:rsidRPr="00E03C7D" w:rsidRDefault="00E03C7D" w:rsidP="00E03C7D">
      <w:pPr>
        <w:pStyle w:val="Citationenretrait"/>
        <w:ind w:left="1468"/>
      </w:pPr>
      <w:r w:rsidRPr="00E03C7D">
        <w:t>• 2026-2027</w:t>
      </w:r>
      <w:r w:rsidR="008F00B0">
        <w:rPr>
          <w:rFonts w:cs="Arial"/>
        </w:rPr>
        <w:t> </w:t>
      </w:r>
      <w:r w:rsidRPr="00E03C7D">
        <w:t>: 205 nouvelles exclusions additionnelles;</w:t>
      </w:r>
    </w:p>
    <w:p w14:paraId="23D7A233" w14:textId="15D733BB" w:rsidR="00E03C7D" w:rsidRPr="00E03C7D" w:rsidRDefault="00E03C7D" w:rsidP="00E03C7D">
      <w:pPr>
        <w:pStyle w:val="Citationenretrait"/>
        <w:ind w:left="1468"/>
      </w:pPr>
      <w:r w:rsidRPr="00E03C7D">
        <w:t>• 2027-2028</w:t>
      </w:r>
      <w:r w:rsidR="008F00B0">
        <w:rPr>
          <w:rFonts w:cs="Arial"/>
        </w:rPr>
        <w:t> </w:t>
      </w:r>
      <w:r w:rsidRPr="00E03C7D">
        <w:t>: 210 nouvelles exclusions additionnelles.</w:t>
      </w:r>
    </w:p>
    <w:p w14:paraId="4CE93AC9" w14:textId="3884B742" w:rsidR="00F417B8" w:rsidRDefault="00E03C7D" w:rsidP="00E03C7D">
      <w:pPr>
        <w:pStyle w:val="Citationenretrait"/>
      </w:pPr>
      <w:r w:rsidRPr="00E03C7D">
        <w:t>Le nombre d’exclusions qui vous est octroyé est supérieur de 10</w:t>
      </w:r>
      <w:r w:rsidR="0023010D">
        <w:rPr>
          <w:rFonts w:cs="Arial"/>
        </w:rPr>
        <w:t> </w:t>
      </w:r>
      <w:r w:rsidRPr="00E03C7D">
        <w:t>% à la clientèle CNRQ</w:t>
      </w:r>
      <w:r>
        <w:t xml:space="preserve"> </w:t>
      </w:r>
      <w:r w:rsidRPr="00E03C7D">
        <w:t>que vous avez accueille, en moyenne, au cours des cinq dernières années. Cette mesure</w:t>
      </w:r>
      <w:r>
        <w:t xml:space="preserve"> </w:t>
      </w:r>
      <w:r w:rsidRPr="00E03C7D">
        <w:t>permettra donc à votre établissement de demeurer une destination de choix pour les</w:t>
      </w:r>
      <w:r>
        <w:t xml:space="preserve"> </w:t>
      </w:r>
      <w:r w:rsidRPr="00E03C7D">
        <w:t>étudiants issus des autres provinces canadiennes.</w:t>
      </w:r>
      <w:r w:rsidR="00E80123">
        <w:rPr>
          <w:rStyle w:val="Appelnotedebasdep"/>
        </w:rPr>
        <w:footnoteReference w:id="149"/>
      </w:r>
    </w:p>
    <w:p w14:paraId="4DD85FBC" w14:textId="536A17BD" w:rsidR="006C5B16" w:rsidRPr="006C5B16" w:rsidRDefault="006C5B16" w:rsidP="006C5B16">
      <w:pPr>
        <w:pStyle w:val="Citationenretrait"/>
        <w:tabs>
          <w:tab w:val="right" w:pos="8640"/>
        </w:tabs>
        <w:rPr>
          <w:rFonts w:cs="Arial"/>
        </w:rPr>
      </w:pPr>
      <w:r>
        <w:rPr>
          <w:rFonts w:cs="Arial"/>
        </w:rPr>
        <w:tab/>
      </w:r>
      <w:r w:rsidRPr="006C5B16">
        <w:rPr>
          <w:rFonts w:cs="Arial"/>
        </w:rPr>
        <w:t>[Reproduction intégrale]</w:t>
      </w:r>
    </w:p>
    <w:p w14:paraId="67711A1F" w14:textId="751DB1AB" w:rsidR="00BD51D8" w:rsidRPr="00242A87" w:rsidRDefault="00AC3E10" w:rsidP="0082018A">
      <w:pPr>
        <w:pStyle w:val="Paragraphe"/>
        <w:tabs>
          <w:tab w:val="num" w:pos="720"/>
        </w:tabs>
        <w:spacing w:line="240" w:lineRule="auto"/>
        <w:ind w:left="0"/>
        <w:rPr>
          <w:rFonts w:cs="Arial"/>
        </w:rPr>
      </w:pPr>
      <w:r w:rsidRPr="00242A87">
        <w:rPr>
          <w:rFonts w:cs="Arial"/>
        </w:rPr>
        <w:t>L</w:t>
      </w:r>
      <w:r w:rsidR="007175DD" w:rsidRPr="00242A87">
        <w:rPr>
          <w:rFonts w:cs="Arial"/>
        </w:rPr>
        <w:t xml:space="preserve">e sous-ministre </w:t>
      </w:r>
      <w:r w:rsidR="00AF7F4F" w:rsidRPr="00242A87">
        <w:rPr>
          <w:rFonts w:cs="Arial"/>
        </w:rPr>
        <w:t xml:space="preserve">base </w:t>
      </w:r>
      <w:r w:rsidR="007175DD" w:rsidRPr="00242A87">
        <w:rPr>
          <w:rFonts w:cs="Arial"/>
        </w:rPr>
        <w:t xml:space="preserve">cette décision </w:t>
      </w:r>
      <w:r w:rsidR="0068127E" w:rsidRPr="00DF51A6">
        <w:rPr>
          <w:rFonts w:cs="Arial"/>
        </w:rPr>
        <w:t>sur</w:t>
      </w:r>
      <w:r w:rsidR="007175DD" w:rsidRPr="00242A87">
        <w:rPr>
          <w:rFonts w:cs="Arial"/>
        </w:rPr>
        <w:t xml:space="preserve"> la </w:t>
      </w:r>
      <w:r w:rsidRPr="00242A87">
        <w:rPr>
          <w:rFonts w:cs="Arial"/>
        </w:rPr>
        <w:t>taille de l’</w:t>
      </w:r>
      <w:r w:rsidR="007175DD" w:rsidRPr="00242A87">
        <w:rPr>
          <w:rFonts w:cs="Arial"/>
        </w:rPr>
        <w:t>U</w:t>
      </w:r>
      <w:r w:rsidRPr="00242A87">
        <w:rPr>
          <w:rFonts w:cs="Arial"/>
        </w:rPr>
        <w:t>niversité</w:t>
      </w:r>
      <w:r w:rsidR="007175DD" w:rsidRPr="00242A87">
        <w:rPr>
          <w:rFonts w:cs="Arial"/>
        </w:rPr>
        <w:t xml:space="preserve"> Bishop’s et sa situation géographique – et sans doute démographique </w:t>
      </w:r>
      <w:r w:rsidR="004017BA" w:rsidRPr="00242A87">
        <w:rPr>
          <w:rFonts w:cs="Arial"/>
        </w:rPr>
        <w:t>–</w:t>
      </w:r>
      <w:r w:rsidRPr="00242A87">
        <w:rPr>
          <w:rFonts w:cs="Arial"/>
        </w:rPr>
        <w:t xml:space="preserve">, </w:t>
      </w:r>
      <w:r w:rsidR="007175DD" w:rsidRPr="00242A87">
        <w:rPr>
          <w:rFonts w:cs="Arial"/>
        </w:rPr>
        <w:t>une</w:t>
      </w:r>
      <w:r w:rsidRPr="00242A87">
        <w:rPr>
          <w:rFonts w:cs="Arial"/>
        </w:rPr>
        <w:t xml:space="preserve"> région </w:t>
      </w:r>
      <w:r w:rsidR="00C12D59" w:rsidRPr="00DF51A6">
        <w:rPr>
          <w:rFonts w:cs="Arial"/>
        </w:rPr>
        <w:t>située à près de 160 kilomètres</w:t>
      </w:r>
      <w:r w:rsidRPr="00242A87">
        <w:rPr>
          <w:rFonts w:cs="Arial"/>
        </w:rPr>
        <w:t xml:space="preserve"> de Montréal</w:t>
      </w:r>
      <w:r w:rsidR="007175DD" w:rsidRPr="00242A87">
        <w:rPr>
          <w:rFonts w:cs="Arial"/>
        </w:rPr>
        <w:t xml:space="preserve">. On devine que la Ministre estime que les étudiants CNRQ qui fréquentent cette université, vivant donc dans un environnement </w:t>
      </w:r>
      <w:r w:rsidR="00492F6D" w:rsidRPr="00242A87">
        <w:rPr>
          <w:rFonts w:cs="Arial"/>
        </w:rPr>
        <w:t xml:space="preserve">majoritairement </w:t>
      </w:r>
      <w:r w:rsidR="007175DD" w:rsidRPr="00242A87">
        <w:rPr>
          <w:rFonts w:cs="Arial"/>
        </w:rPr>
        <w:t xml:space="preserve">francophone, </w:t>
      </w:r>
      <w:r w:rsidR="000D3DE5" w:rsidRPr="00242A87">
        <w:rPr>
          <w:rFonts w:cs="Arial"/>
        </w:rPr>
        <w:t xml:space="preserve">ne représentent pas une menace ou </w:t>
      </w:r>
      <w:r w:rsidR="007175DD" w:rsidRPr="00242A87">
        <w:rPr>
          <w:rFonts w:cs="Arial"/>
        </w:rPr>
        <w:t>s’intègrent plus aisément à la société québécoise</w:t>
      </w:r>
      <w:r w:rsidR="00C12D59" w:rsidRPr="00DF51A6">
        <w:rPr>
          <w:rFonts w:cs="Arial"/>
        </w:rPr>
        <w:t>,</w:t>
      </w:r>
      <w:r w:rsidR="007175DD" w:rsidRPr="00242A87">
        <w:rPr>
          <w:rFonts w:cs="Arial"/>
        </w:rPr>
        <w:t xml:space="preserve"> </w:t>
      </w:r>
      <w:r w:rsidR="00492F6D" w:rsidRPr="00242A87">
        <w:rPr>
          <w:rFonts w:cs="Arial"/>
        </w:rPr>
        <w:t xml:space="preserve">eux qui </w:t>
      </w:r>
      <w:r w:rsidR="007175DD" w:rsidRPr="00242A87">
        <w:rPr>
          <w:rFonts w:cs="Arial"/>
        </w:rPr>
        <w:t xml:space="preserve">baignent davantage dans un </w:t>
      </w:r>
      <w:r w:rsidR="00492F6D" w:rsidRPr="00242A87">
        <w:rPr>
          <w:rFonts w:cs="Arial"/>
        </w:rPr>
        <w:t>milieu</w:t>
      </w:r>
      <w:r w:rsidR="007175DD" w:rsidRPr="00242A87">
        <w:rPr>
          <w:rFonts w:cs="Arial"/>
        </w:rPr>
        <w:t xml:space="preserve"> francophone. C’est probablement le cas, mais la preuve du PGQ ne le démontre pas. Or, le Tribunal ne peut fonder sa décision sur des suppositions</w:t>
      </w:r>
      <w:r w:rsidR="00492F6D" w:rsidRPr="00242A87">
        <w:rPr>
          <w:rFonts w:cs="Arial"/>
        </w:rPr>
        <w:t>,</w:t>
      </w:r>
      <w:r w:rsidR="007175DD" w:rsidRPr="00242A87">
        <w:rPr>
          <w:rFonts w:cs="Arial"/>
        </w:rPr>
        <w:t xml:space="preserve"> mêmes les plus séduisantes.</w:t>
      </w:r>
    </w:p>
    <w:p w14:paraId="75382445" w14:textId="7BAFEC95" w:rsidR="007175DD" w:rsidRDefault="007E029C" w:rsidP="0082018A">
      <w:pPr>
        <w:pStyle w:val="Paragraphe"/>
        <w:tabs>
          <w:tab w:val="num" w:pos="720"/>
        </w:tabs>
        <w:spacing w:line="240" w:lineRule="auto"/>
        <w:ind w:left="0"/>
        <w:rPr>
          <w:rFonts w:cs="Arial"/>
        </w:rPr>
      </w:pPr>
      <w:r>
        <w:rPr>
          <w:rFonts w:cs="Arial"/>
        </w:rPr>
        <w:t>L</w:t>
      </w:r>
      <w:r w:rsidR="007175DD" w:rsidRPr="007175DD">
        <w:rPr>
          <w:rFonts w:cs="Arial"/>
        </w:rPr>
        <w:t>es éléments justificateurs que dévoile le sous-ministre ne convainquent pas que les</w:t>
      </w:r>
      <w:r w:rsidR="007175DD">
        <w:rPr>
          <w:rFonts w:cs="Arial"/>
        </w:rPr>
        <w:t xml:space="preserve"> </w:t>
      </w:r>
      <w:r w:rsidR="007175DD" w:rsidRPr="007175DD">
        <w:rPr>
          <w:rFonts w:cs="Arial"/>
        </w:rPr>
        <w:t xml:space="preserve">universités anglophones </w:t>
      </w:r>
      <w:r w:rsidR="007175DD">
        <w:rPr>
          <w:rFonts w:cs="Arial"/>
        </w:rPr>
        <w:t xml:space="preserve">montréalaises </w:t>
      </w:r>
      <w:r w:rsidR="0005130F">
        <w:rPr>
          <w:rFonts w:cs="Arial"/>
        </w:rPr>
        <w:t xml:space="preserve">devraient </w:t>
      </w:r>
      <w:r w:rsidR="007175DD" w:rsidRPr="007175DD">
        <w:rPr>
          <w:rFonts w:cs="Arial"/>
        </w:rPr>
        <w:t>se voi</w:t>
      </w:r>
      <w:r w:rsidR="0005130F">
        <w:rPr>
          <w:rFonts w:cs="Arial"/>
        </w:rPr>
        <w:t>r</w:t>
      </w:r>
      <w:r w:rsidR="007175DD">
        <w:rPr>
          <w:rFonts w:cs="Arial"/>
        </w:rPr>
        <w:t xml:space="preserve"> </w:t>
      </w:r>
      <w:r w:rsidR="007175DD" w:rsidRPr="007175DD">
        <w:rPr>
          <w:rFonts w:cs="Arial"/>
        </w:rPr>
        <w:t>pénalisées pour le même type de clientèle</w:t>
      </w:r>
      <w:r w:rsidR="0005130F">
        <w:rPr>
          <w:rFonts w:cs="Arial"/>
        </w:rPr>
        <w:t> : les</w:t>
      </w:r>
      <w:r w:rsidR="007175DD">
        <w:rPr>
          <w:rFonts w:cs="Arial"/>
        </w:rPr>
        <w:t xml:space="preserve"> étudiants CNRQ ou Internationaux qui habitent un quartier </w:t>
      </w:r>
      <w:r w:rsidR="0005130F">
        <w:rPr>
          <w:rFonts w:cs="Arial"/>
        </w:rPr>
        <w:t xml:space="preserve">majoritairement </w:t>
      </w:r>
      <w:r w:rsidR="006A7D7E">
        <w:rPr>
          <w:rFonts w:cs="Arial"/>
        </w:rPr>
        <w:t xml:space="preserve">peuplé par des </w:t>
      </w:r>
      <w:r w:rsidR="007175DD">
        <w:rPr>
          <w:rFonts w:cs="Arial"/>
        </w:rPr>
        <w:t>francophone</w:t>
      </w:r>
      <w:r w:rsidR="006A7D7E">
        <w:rPr>
          <w:rFonts w:cs="Arial"/>
        </w:rPr>
        <w:t>s</w:t>
      </w:r>
      <w:r w:rsidR="007175DD">
        <w:rPr>
          <w:rFonts w:cs="Arial"/>
        </w:rPr>
        <w:t xml:space="preserve"> de Montréal</w:t>
      </w:r>
      <w:r w:rsidR="0005130F">
        <w:rPr>
          <w:rFonts w:cs="Arial"/>
        </w:rPr>
        <w:t xml:space="preserve"> ne</w:t>
      </w:r>
      <w:r w:rsidR="007175DD">
        <w:rPr>
          <w:rFonts w:cs="Arial"/>
        </w:rPr>
        <w:t xml:space="preserve"> sont-ils pas autant exposés</w:t>
      </w:r>
      <w:r w:rsidR="00AF7F4F">
        <w:rPr>
          <w:rFonts w:cs="Arial"/>
        </w:rPr>
        <w:t xml:space="preserve"> à la lang</w:t>
      </w:r>
      <w:r w:rsidR="00E620E5">
        <w:rPr>
          <w:rFonts w:cs="Arial"/>
        </w:rPr>
        <w:t>u</w:t>
      </w:r>
      <w:r w:rsidR="00AF7F4F">
        <w:rPr>
          <w:rFonts w:cs="Arial"/>
        </w:rPr>
        <w:t>e française</w:t>
      </w:r>
      <w:r w:rsidR="007175DD">
        <w:rPr>
          <w:rFonts w:cs="Arial"/>
        </w:rPr>
        <w:t xml:space="preserve"> que ceux qui demeurent à Sh</w:t>
      </w:r>
      <w:r w:rsidR="00AF7F4F">
        <w:rPr>
          <w:rFonts w:cs="Arial"/>
        </w:rPr>
        <w:t>e</w:t>
      </w:r>
      <w:r w:rsidR="007175DD">
        <w:rPr>
          <w:rFonts w:cs="Arial"/>
        </w:rPr>
        <w:t>rbrooke?</w:t>
      </w:r>
      <w:r w:rsidR="00AF7F4F">
        <w:rPr>
          <w:rFonts w:cs="Arial"/>
        </w:rPr>
        <w:t xml:space="preserve"> </w:t>
      </w:r>
      <w:r w:rsidR="0005130F">
        <w:rPr>
          <w:rFonts w:cs="Arial"/>
        </w:rPr>
        <w:t>Par opposition, q</w:t>
      </w:r>
      <w:r w:rsidR="00AF7F4F">
        <w:rPr>
          <w:rFonts w:cs="Arial"/>
        </w:rPr>
        <w:t xml:space="preserve">ue dire des étudiants </w:t>
      </w:r>
      <w:r w:rsidR="00242A87">
        <w:rPr>
          <w:rFonts w:cs="Arial"/>
        </w:rPr>
        <w:t xml:space="preserve">anglophones </w:t>
      </w:r>
      <w:r w:rsidR="00AF7F4F">
        <w:rPr>
          <w:rFonts w:cs="Arial"/>
        </w:rPr>
        <w:t xml:space="preserve">CNRQ qui </w:t>
      </w:r>
      <w:r w:rsidR="006A7D7E">
        <w:rPr>
          <w:rFonts w:cs="Arial"/>
        </w:rPr>
        <w:t>habitent</w:t>
      </w:r>
      <w:r w:rsidR="00AF7F4F">
        <w:rPr>
          <w:rFonts w:cs="Arial"/>
        </w:rPr>
        <w:t xml:space="preserve"> le campus de l’Université Bishop’s pour n’en sortir que pour retourner</w:t>
      </w:r>
      <w:r w:rsidR="0005130F">
        <w:rPr>
          <w:rFonts w:cs="Arial"/>
        </w:rPr>
        <w:t xml:space="preserve"> les fins de semaine </w:t>
      </w:r>
      <w:r w:rsidR="00AF7F4F">
        <w:rPr>
          <w:rFonts w:cs="Arial"/>
        </w:rPr>
        <w:t xml:space="preserve">de l’autre côté de la frontière </w:t>
      </w:r>
      <w:r w:rsidR="00242A87">
        <w:rPr>
          <w:rFonts w:cs="Arial"/>
        </w:rPr>
        <w:t>québécoise</w:t>
      </w:r>
      <w:r w:rsidR="00AF7F4F">
        <w:rPr>
          <w:rFonts w:cs="Arial"/>
        </w:rPr>
        <w:t>? Peut-on vraiment affirmer que ceux-</w:t>
      </w:r>
      <w:r w:rsidR="00C12D59">
        <w:rPr>
          <w:rFonts w:cs="Arial"/>
        </w:rPr>
        <w:t>ci</w:t>
      </w:r>
      <w:r w:rsidR="00AF7F4F">
        <w:rPr>
          <w:rFonts w:cs="Arial"/>
        </w:rPr>
        <w:t xml:space="preserve"> </w:t>
      </w:r>
      <w:r w:rsidR="00C12D59">
        <w:rPr>
          <w:rFonts w:cs="Arial"/>
        </w:rPr>
        <w:t>deviennent</w:t>
      </w:r>
      <w:r w:rsidR="00AF7F4F">
        <w:rPr>
          <w:rFonts w:cs="Arial"/>
        </w:rPr>
        <w:t xml:space="preserve"> </w:t>
      </w:r>
      <w:r w:rsidR="0005130F">
        <w:rPr>
          <w:rFonts w:cs="Arial"/>
        </w:rPr>
        <w:t xml:space="preserve">imbibés du fait français, </w:t>
      </w:r>
      <w:r w:rsidR="00AF7F4F">
        <w:rPr>
          <w:rFonts w:cs="Arial"/>
        </w:rPr>
        <w:t>favorisant</w:t>
      </w:r>
      <w:r w:rsidR="0005130F">
        <w:rPr>
          <w:rFonts w:cs="Arial"/>
        </w:rPr>
        <w:t xml:space="preserve"> ains</w:t>
      </w:r>
      <w:r w:rsidR="00FF5576">
        <w:rPr>
          <w:rFonts w:cs="Arial"/>
        </w:rPr>
        <w:t>i</w:t>
      </w:r>
      <w:r w:rsidR="00AF7F4F">
        <w:rPr>
          <w:rFonts w:cs="Arial"/>
        </w:rPr>
        <w:t xml:space="preserve"> leur apprentissage de la langue française</w:t>
      </w:r>
      <w:r w:rsidR="0005130F">
        <w:rPr>
          <w:rFonts w:cs="Arial"/>
        </w:rPr>
        <w:t>, alors qu’ils passent la presque totalité de leur vie en anglais</w:t>
      </w:r>
      <w:r w:rsidR="00AF7F4F">
        <w:rPr>
          <w:rFonts w:cs="Arial"/>
        </w:rPr>
        <w:t>?</w:t>
      </w:r>
    </w:p>
    <w:p w14:paraId="2F7D8F05" w14:textId="4E27EEBB" w:rsidR="00122A0B" w:rsidRPr="00122A0B" w:rsidRDefault="00BF3772" w:rsidP="00B07C64">
      <w:pPr>
        <w:pStyle w:val="Paragraphe"/>
        <w:tabs>
          <w:tab w:val="num" w:pos="720"/>
        </w:tabs>
        <w:spacing w:line="240" w:lineRule="auto"/>
        <w:ind w:left="0"/>
      </w:pPr>
      <w:r w:rsidRPr="006E58BF">
        <w:t xml:space="preserve">En ce qui concerne la Règle d’acquisition de compétences en français, les </w:t>
      </w:r>
      <w:r w:rsidR="006E58BF" w:rsidRPr="006E58BF">
        <w:t>u</w:t>
      </w:r>
      <w:r w:rsidRPr="006E58BF">
        <w:t>niversités anglophones soulignent la difficulté</w:t>
      </w:r>
      <w:r w:rsidR="007E029C">
        <w:t>, voire l’impossibilité d</w:t>
      </w:r>
      <w:r w:rsidRPr="006E58BF">
        <w:t>’atteindre la cible de 80</w:t>
      </w:r>
      <w:r w:rsidR="00B84010">
        <w:t> </w:t>
      </w:r>
      <w:r w:rsidRPr="006E58BF">
        <w:t xml:space="preserve">%. </w:t>
      </w:r>
      <w:r w:rsidR="006E58BF" w:rsidRPr="006E58BF">
        <w:t>Selon les universités, l</w:t>
      </w:r>
      <w:r w:rsidR="006E58BF" w:rsidRPr="006E58BF">
        <w:rPr>
          <w:rFonts w:cs="Arial"/>
        </w:rPr>
        <w:t xml:space="preserve">es heures nécessaires à l’acquisition des compétences de niveau 5 pour un étudiant anglophone visé </w:t>
      </w:r>
      <w:r w:rsidR="006E58BF" w:rsidRPr="00242A87">
        <w:rPr>
          <w:rFonts w:cs="Arial"/>
        </w:rPr>
        <w:t>équiva</w:t>
      </w:r>
      <w:r w:rsidR="008C566D" w:rsidRPr="00242A87">
        <w:rPr>
          <w:rFonts w:cs="Arial"/>
        </w:rPr>
        <w:t>len</w:t>
      </w:r>
      <w:r w:rsidR="006E58BF" w:rsidRPr="00242A87">
        <w:rPr>
          <w:rFonts w:cs="Arial"/>
        </w:rPr>
        <w:t>t</w:t>
      </w:r>
      <w:r w:rsidR="006E58BF" w:rsidRPr="006E58BF">
        <w:rPr>
          <w:rFonts w:cs="Arial"/>
        </w:rPr>
        <w:t xml:space="preserve"> à une session universitaire complète. </w:t>
      </w:r>
      <w:r w:rsidR="004A712C">
        <w:rPr>
          <w:rFonts w:cs="Arial"/>
        </w:rPr>
        <w:t>Le nombre de semaines requis pour l’atteinte du niveau 5 dans les diverses compétences (production écrite, production orale, compréhension écrite) varie selon le nombre d’heures consacrées hebdomadairement. Il passe de 33 semaines à 99 semaines pour un étudiant qui possède déjà le niveau 3. Les chiffres augmentent, évidem</w:t>
      </w:r>
      <w:r w:rsidR="00FF5576">
        <w:rPr>
          <w:rFonts w:cs="Arial"/>
        </w:rPr>
        <w:t>m</w:t>
      </w:r>
      <w:r w:rsidR="004A712C">
        <w:rPr>
          <w:rFonts w:cs="Arial"/>
        </w:rPr>
        <w:t>ent, à l’égard des étudiants ne possédant qu’un niveau 1</w:t>
      </w:r>
      <w:r w:rsidR="004A712C">
        <w:rPr>
          <w:rStyle w:val="Appelnotedebasdep"/>
          <w:rFonts w:cs="Arial"/>
        </w:rPr>
        <w:footnoteReference w:id="150"/>
      </w:r>
      <w:r w:rsidR="004A712C">
        <w:rPr>
          <w:rFonts w:cs="Arial"/>
        </w:rPr>
        <w:t>.</w:t>
      </w:r>
    </w:p>
    <w:p w14:paraId="71B2304B" w14:textId="51D7700C" w:rsidR="00BF3772" w:rsidRDefault="006E58BF" w:rsidP="00B07C64">
      <w:pPr>
        <w:pStyle w:val="Paragraphe"/>
        <w:tabs>
          <w:tab w:val="num" w:pos="720"/>
        </w:tabs>
        <w:spacing w:line="240" w:lineRule="auto"/>
        <w:ind w:left="0"/>
      </w:pPr>
      <w:r w:rsidRPr="006E58BF">
        <w:rPr>
          <w:rFonts w:cs="Arial"/>
        </w:rPr>
        <w:t>Les universités</w:t>
      </w:r>
      <w:r w:rsidR="00BF3772" w:rsidRPr="006E58BF">
        <w:t xml:space="preserve"> ont proposé à la Ministre des objectifs moins ambitieux et davantage réalisables, par exemple 40</w:t>
      </w:r>
      <w:r w:rsidR="002E2155">
        <w:t> </w:t>
      </w:r>
      <w:r w:rsidR="00BF3772" w:rsidRPr="006E58BF">
        <w:t>% des membres de leurs cohortes anglophones CNRQ et Internationaux étudiants dans un programme en anglais.</w:t>
      </w:r>
      <w:r w:rsidR="00D6354E">
        <w:t xml:space="preserve"> Comme la Cour le mentionne dans le jugement rendu sur la demande de sursis :</w:t>
      </w:r>
    </w:p>
    <w:p w14:paraId="7722D94E" w14:textId="06E398FA" w:rsidR="00D6354E" w:rsidRPr="00B7220F" w:rsidRDefault="00D6354E" w:rsidP="00B7220F">
      <w:pPr>
        <w:pStyle w:val="Citationenretrait"/>
        <w:rPr>
          <w:rFonts w:cs="Arial"/>
          <w:lang w:eastAsia="fr-CA"/>
        </w:rPr>
      </w:pPr>
      <w:r w:rsidRPr="00B7220F">
        <w:rPr>
          <w:rFonts w:cs="Arial"/>
        </w:rPr>
        <w:t>[52]</w:t>
      </w:r>
      <w:r w:rsidRPr="00B7220F">
        <w:rPr>
          <w:rFonts w:cs="Arial"/>
        </w:rPr>
        <w:tab/>
        <w:t>Selon Concordia, l’objectif de protection et promotion de la langue française</w:t>
      </w:r>
      <w:r w:rsidR="00B7220F">
        <w:rPr>
          <w:rFonts w:cs="Arial"/>
        </w:rPr>
        <w:t xml:space="preserve"> </w:t>
      </w:r>
      <w:r w:rsidRPr="00B7220F">
        <w:rPr>
          <w:rFonts w:cs="Arial"/>
        </w:rPr>
        <w:t>qu’énonce</w:t>
      </w:r>
      <w:r w:rsidR="00B7220F">
        <w:rPr>
          <w:rFonts w:cs="Arial"/>
        </w:rPr>
        <w:t xml:space="preserve"> </w:t>
      </w:r>
      <w:r w:rsidRPr="00B7220F">
        <w:rPr>
          <w:rFonts w:cs="Arial"/>
        </w:rPr>
        <w:t>la</w:t>
      </w:r>
      <w:r w:rsidR="00B7220F">
        <w:rPr>
          <w:rFonts w:cs="Arial"/>
        </w:rPr>
        <w:t xml:space="preserve"> </w:t>
      </w:r>
      <w:r w:rsidRPr="00B7220F">
        <w:rPr>
          <w:rFonts w:cs="Arial"/>
          <w:i/>
          <w:iCs/>
        </w:rPr>
        <w:t>Charte de la langue française</w:t>
      </w:r>
      <w:r w:rsidR="00B7220F">
        <w:rPr>
          <w:rFonts w:cs="Arial"/>
          <w:i/>
          <w:iCs/>
        </w:rPr>
        <w:t xml:space="preserve"> </w:t>
      </w:r>
      <w:r w:rsidRPr="00B7220F">
        <w:rPr>
          <w:rFonts w:cs="Arial"/>
        </w:rPr>
        <w:t>serait atteignable sans miner son autonomie institutionnelle et financière. En ce sens, elle considère le plan de francisation de 40% des étudiants non francophones présenté par les universités anglophones à la Ministre comme étant ambitieux, réaliste, conforme aux valeurs et à la culture d’accueil des étudiants de diverses origines, et surtout non préjudiciable au niveau du nombre d’inscriptions dans ses programmes.</w:t>
      </w:r>
    </w:p>
    <w:p w14:paraId="0EF77EDF" w14:textId="72709D88" w:rsidR="00D6354E" w:rsidRPr="00B7220F" w:rsidRDefault="00D6354E" w:rsidP="00B7220F">
      <w:pPr>
        <w:pStyle w:val="Citationenretrait"/>
        <w:rPr>
          <w:rFonts w:cs="Arial"/>
        </w:rPr>
      </w:pPr>
      <w:r w:rsidRPr="00B7220F">
        <w:rPr>
          <w:rFonts w:cs="Arial"/>
          <w:color w:val="0D0D0D"/>
        </w:rPr>
        <w:t>[53]</w:t>
      </w:r>
      <w:r w:rsidR="00B7220F">
        <w:rPr>
          <w:rFonts w:cs="Arial"/>
        </w:rPr>
        <w:tab/>
      </w:r>
      <w:r w:rsidRPr="00B7220F">
        <w:rPr>
          <w:rFonts w:cs="Arial"/>
        </w:rPr>
        <w:t>Concordia</w:t>
      </w:r>
      <w:r w:rsidR="00B7220F">
        <w:rPr>
          <w:rFonts w:cs="Arial"/>
        </w:rPr>
        <w:t xml:space="preserve"> </w:t>
      </w:r>
      <w:r w:rsidRPr="00B7220F">
        <w:rPr>
          <w:rFonts w:cs="Arial"/>
        </w:rPr>
        <w:t>révèle aussi avoir</w:t>
      </w:r>
      <w:r w:rsidR="00B7220F">
        <w:rPr>
          <w:rFonts w:cs="Arial"/>
        </w:rPr>
        <w:t xml:space="preserve"> </w:t>
      </w:r>
      <w:r w:rsidRPr="00B7220F">
        <w:rPr>
          <w:rFonts w:cs="Arial"/>
        </w:rPr>
        <w:t>proposé à la Ministre un plan selon lequel les frais de scolarité des étudiants CNRQ seraient établis selon les programmes d’études suivis par ces derniers afin de préserver sa capacité d’attraction en rapport avec les autres universités canadiennes.</w:t>
      </w:r>
      <w:r w:rsidR="00B7220F">
        <w:rPr>
          <w:rFonts w:cs="Arial"/>
        </w:rPr>
        <w:t xml:space="preserve"> </w:t>
      </w:r>
      <w:r w:rsidRPr="00B7220F">
        <w:rPr>
          <w:rFonts w:cs="Arial"/>
        </w:rPr>
        <w:t>Le refus de la Ministre d’accepter le taux de francisation de 40 % et de prendre en considération le calcul des frais de scolarité selon le programme d’études</w:t>
      </w:r>
      <w:r w:rsidR="00B7220F">
        <w:rPr>
          <w:rFonts w:cs="Arial"/>
        </w:rPr>
        <w:t xml:space="preserve"> </w:t>
      </w:r>
      <w:r w:rsidRPr="00B7220F">
        <w:rPr>
          <w:rFonts w:cs="Arial"/>
        </w:rPr>
        <w:t>ajoute</w:t>
      </w:r>
      <w:r w:rsidR="00B7220F">
        <w:rPr>
          <w:rFonts w:cs="Arial"/>
        </w:rPr>
        <w:t xml:space="preserve"> </w:t>
      </w:r>
      <w:r w:rsidRPr="00B7220F">
        <w:rPr>
          <w:rFonts w:cs="Arial"/>
        </w:rPr>
        <w:t>au caractère déraisonnable de sa décision.</w:t>
      </w:r>
    </w:p>
    <w:p w14:paraId="24D49F1A" w14:textId="19C58C5C" w:rsidR="004B1B56" w:rsidRPr="00B7220F" w:rsidRDefault="00C12D59" w:rsidP="00B7220F">
      <w:pPr>
        <w:pStyle w:val="Paragraphe"/>
        <w:tabs>
          <w:tab w:val="num" w:pos="720"/>
        </w:tabs>
        <w:spacing w:line="240" w:lineRule="auto"/>
        <w:ind w:left="0"/>
        <w:rPr>
          <w:rFonts w:cs="Arial"/>
        </w:rPr>
      </w:pPr>
      <w:r>
        <w:rPr>
          <w:rFonts w:cs="Arial"/>
        </w:rPr>
        <w:t xml:space="preserve">Fort de ce qui précède, il s’agit maintenant de déterminer si les Règles contestées résultent d’une décision raisonnable de la </w:t>
      </w:r>
      <w:r w:rsidR="007049A3">
        <w:rPr>
          <w:rFonts w:cs="Arial"/>
        </w:rPr>
        <w:t>M</w:t>
      </w:r>
      <w:r>
        <w:rPr>
          <w:rFonts w:cs="Arial"/>
        </w:rPr>
        <w:t>inistre et si elles s’avèrent elles-mêmes raisonnables.</w:t>
      </w:r>
    </w:p>
    <w:p w14:paraId="41C93F02" w14:textId="3926E2AF" w:rsidR="000465D9" w:rsidRPr="00512CF1" w:rsidRDefault="004E784D" w:rsidP="009E6F9A">
      <w:pPr>
        <w:pStyle w:val="Paragraphe"/>
        <w:numPr>
          <w:ilvl w:val="0"/>
          <w:numId w:val="6"/>
        </w:numPr>
        <w:spacing w:line="240" w:lineRule="auto"/>
        <w:ind w:left="1800"/>
        <w:rPr>
          <w:sz w:val="22"/>
        </w:rPr>
      </w:pPr>
      <w:r w:rsidRPr="000E2F97">
        <w:rPr>
          <w:rFonts w:cs="Arial"/>
          <w:sz w:val="22"/>
          <w:szCs w:val="22"/>
        </w:rPr>
        <w:t>L</w:t>
      </w:r>
      <w:r w:rsidR="00534145" w:rsidRPr="000E2F97">
        <w:rPr>
          <w:rFonts w:cs="Arial"/>
          <w:sz w:val="22"/>
          <w:szCs w:val="22"/>
        </w:rPr>
        <w:t xml:space="preserve">ES BASES FACTUELLES DE </w:t>
      </w:r>
      <w:r w:rsidR="00BD51D8" w:rsidRPr="00512CF1">
        <w:rPr>
          <w:sz w:val="22"/>
        </w:rPr>
        <w:t>LA DÉCISION DE LA MINISTRE</w:t>
      </w:r>
    </w:p>
    <w:p w14:paraId="27E43044" w14:textId="4899D51F" w:rsidR="00A32D3A" w:rsidRDefault="00F407E9" w:rsidP="00EC6BB4">
      <w:pPr>
        <w:pStyle w:val="Paragraphe"/>
        <w:tabs>
          <w:tab w:val="clear" w:pos="2204"/>
        </w:tabs>
        <w:spacing w:line="240" w:lineRule="auto"/>
        <w:ind w:left="0"/>
        <w:rPr>
          <w:rFonts w:cs="Arial"/>
        </w:rPr>
      </w:pPr>
      <w:r>
        <w:rPr>
          <w:rFonts w:cs="Arial"/>
        </w:rPr>
        <w:t>Le petit bassin dans lequel baigne le Québec</w:t>
      </w:r>
      <w:r w:rsidR="0005130F">
        <w:rPr>
          <w:rFonts w:cs="Arial"/>
        </w:rPr>
        <w:t xml:space="preserve"> </w:t>
      </w:r>
      <w:r>
        <w:rPr>
          <w:rFonts w:cs="Arial"/>
        </w:rPr>
        <w:t>à l’intérieur d’une mer anglophone qui s’étend sur tout un continent n’est pas sans risque</w:t>
      </w:r>
      <w:r w:rsidR="0005130F">
        <w:rPr>
          <w:rFonts w:cs="Arial"/>
        </w:rPr>
        <w:t xml:space="preserve"> de noyade</w:t>
      </w:r>
      <w:r w:rsidR="00945AFA">
        <w:rPr>
          <w:rFonts w:cs="Arial"/>
        </w:rPr>
        <w:t xml:space="preserve"> pour le fait français</w:t>
      </w:r>
      <w:r>
        <w:rPr>
          <w:rFonts w:cs="Arial"/>
        </w:rPr>
        <w:t xml:space="preserve">. </w:t>
      </w:r>
      <w:r w:rsidR="0005130F">
        <w:rPr>
          <w:rFonts w:cs="Arial"/>
        </w:rPr>
        <w:t>C’est</w:t>
      </w:r>
      <w:r w:rsidR="00813BF7">
        <w:rPr>
          <w:rFonts w:cs="Arial"/>
        </w:rPr>
        <w:t xml:space="preserve"> </w:t>
      </w:r>
      <w:r w:rsidR="0005130F">
        <w:rPr>
          <w:rFonts w:cs="Arial"/>
        </w:rPr>
        <w:t xml:space="preserve">ce qui inquiète le gouvernement, non sans raison. La protection de la langue française au Québec, plus particulièrement à Montréal, doit demeurer une préoccupation </w:t>
      </w:r>
      <w:r w:rsidR="00A32D3A">
        <w:rPr>
          <w:rFonts w:cs="Arial"/>
        </w:rPr>
        <w:t xml:space="preserve">de tout instant </w:t>
      </w:r>
      <w:r w:rsidR="0005130F">
        <w:rPr>
          <w:rFonts w:cs="Arial"/>
        </w:rPr>
        <w:t xml:space="preserve">du </w:t>
      </w:r>
      <w:r w:rsidR="00B955DC">
        <w:rPr>
          <w:rFonts w:cs="Arial"/>
        </w:rPr>
        <w:t>G</w:t>
      </w:r>
      <w:r w:rsidR="0005130F">
        <w:rPr>
          <w:rFonts w:cs="Arial"/>
        </w:rPr>
        <w:t>ouvernement</w:t>
      </w:r>
      <w:r w:rsidR="00B955DC">
        <w:rPr>
          <w:rFonts w:cs="Arial"/>
        </w:rPr>
        <w:t xml:space="preserve"> et</w:t>
      </w:r>
      <w:r w:rsidR="0005130F">
        <w:rPr>
          <w:rFonts w:cs="Arial"/>
        </w:rPr>
        <w:t xml:space="preserve"> des Québécois eux-mêmes,</w:t>
      </w:r>
      <w:r w:rsidR="00A32D3A" w:rsidRPr="00A32D3A">
        <w:rPr>
          <w:rFonts w:cs="Arial"/>
        </w:rPr>
        <w:t xml:space="preserve"> </w:t>
      </w:r>
      <w:r w:rsidR="00B955DC">
        <w:rPr>
          <w:rFonts w:cs="Arial"/>
        </w:rPr>
        <w:t>quelle que soit leur langue.</w:t>
      </w:r>
    </w:p>
    <w:p w14:paraId="3C031C77" w14:textId="6BC57490" w:rsidR="004E784D" w:rsidRPr="00A32D3A" w:rsidRDefault="00F407E9" w:rsidP="00EC6BB4">
      <w:pPr>
        <w:pStyle w:val="Paragraphe"/>
        <w:tabs>
          <w:tab w:val="clear" w:pos="2204"/>
        </w:tabs>
        <w:spacing w:line="240" w:lineRule="auto"/>
        <w:ind w:left="0"/>
        <w:rPr>
          <w:rFonts w:cs="Arial"/>
        </w:rPr>
      </w:pPr>
      <w:r w:rsidRPr="00A32D3A">
        <w:rPr>
          <w:rFonts w:cs="Arial"/>
        </w:rPr>
        <w:t xml:space="preserve">C’est </w:t>
      </w:r>
      <w:r w:rsidR="00EC071B">
        <w:rPr>
          <w:rFonts w:cs="Arial"/>
        </w:rPr>
        <w:t xml:space="preserve">notamment </w:t>
      </w:r>
      <w:r w:rsidRPr="00A32D3A">
        <w:rPr>
          <w:rFonts w:cs="Arial"/>
        </w:rPr>
        <w:t>en raison de mesures législatives fortes que le Québec maintient la vitalité du français</w:t>
      </w:r>
      <w:r w:rsidR="00945AFA">
        <w:rPr>
          <w:rFonts w:cs="Arial"/>
        </w:rPr>
        <w:t xml:space="preserve">; </w:t>
      </w:r>
      <w:r w:rsidR="00B955DC">
        <w:rPr>
          <w:rFonts w:cs="Arial"/>
        </w:rPr>
        <w:t>cel</w:t>
      </w:r>
      <w:r w:rsidRPr="00A32D3A">
        <w:rPr>
          <w:rFonts w:cs="Arial"/>
        </w:rPr>
        <w:t>le</w:t>
      </w:r>
      <w:r w:rsidR="00945AFA">
        <w:rPr>
          <w:rFonts w:cs="Arial"/>
        </w:rPr>
        <w:t xml:space="preserve">s </w:t>
      </w:r>
      <w:r w:rsidRPr="00A32D3A">
        <w:rPr>
          <w:rFonts w:cs="Arial"/>
        </w:rPr>
        <w:t>en matière de langue d’affichage</w:t>
      </w:r>
      <w:r w:rsidR="00945AFA">
        <w:rPr>
          <w:rFonts w:cs="Arial"/>
        </w:rPr>
        <w:t xml:space="preserve"> </w:t>
      </w:r>
      <w:r w:rsidR="00DF51A6">
        <w:rPr>
          <w:rFonts w:cs="Arial"/>
        </w:rPr>
        <w:t>y participent</w:t>
      </w:r>
      <w:r w:rsidRPr="00A32D3A">
        <w:rPr>
          <w:rFonts w:cs="Arial"/>
        </w:rPr>
        <w:t xml:space="preserve">. Dans l’arrêt </w:t>
      </w:r>
      <w:r w:rsidR="004B03E1" w:rsidRPr="00A32D3A">
        <w:rPr>
          <w:rFonts w:cs="Arial"/>
          <w:i/>
          <w:iCs/>
        </w:rPr>
        <w:t>Québec (Procureur</w:t>
      </w:r>
      <w:r w:rsidR="00372764">
        <w:rPr>
          <w:rFonts w:cs="Arial"/>
          <w:i/>
          <w:iCs/>
        </w:rPr>
        <w:t>e</w:t>
      </w:r>
      <w:r w:rsidR="004B03E1" w:rsidRPr="00A32D3A">
        <w:rPr>
          <w:rFonts w:cs="Arial"/>
          <w:i/>
          <w:iCs/>
        </w:rPr>
        <w:t xml:space="preserve"> général)</w:t>
      </w:r>
      <w:r w:rsidR="004B03E1" w:rsidRPr="00A32D3A">
        <w:rPr>
          <w:rFonts w:cs="Arial"/>
        </w:rPr>
        <w:t xml:space="preserve"> c. </w:t>
      </w:r>
      <w:r w:rsidR="004B03E1" w:rsidRPr="00A32D3A">
        <w:rPr>
          <w:rFonts w:cs="Arial"/>
          <w:i/>
          <w:iCs/>
        </w:rPr>
        <w:t xml:space="preserve">Magasins Best Buy </w:t>
      </w:r>
      <w:r w:rsidR="00372764">
        <w:rPr>
          <w:rFonts w:cs="Arial"/>
          <w:i/>
          <w:iCs/>
        </w:rPr>
        <w:t>l</w:t>
      </w:r>
      <w:r w:rsidR="004B03E1" w:rsidRPr="00A32D3A">
        <w:rPr>
          <w:rFonts w:cs="Arial"/>
          <w:i/>
          <w:iCs/>
        </w:rPr>
        <w:t>tée</w:t>
      </w:r>
      <w:r w:rsidR="004B03E1" w:rsidRPr="00A32D3A">
        <w:rPr>
          <w:rStyle w:val="Appelnotedebasdep"/>
          <w:rFonts w:cs="Arial"/>
        </w:rPr>
        <w:footnoteReference w:id="151"/>
      </w:r>
      <w:r w:rsidR="004B03E1" w:rsidRPr="00A32D3A">
        <w:rPr>
          <w:rFonts w:cs="Arial"/>
        </w:rPr>
        <w:t>,</w:t>
      </w:r>
      <w:r w:rsidRPr="00A32D3A">
        <w:rPr>
          <w:rFonts w:cs="Arial"/>
        </w:rPr>
        <w:t xml:space="preserve"> la Cour </w:t>
      </w:r>
      <w:r w:rsidR="004B03E1" w:rsidRPr="00A32D3A">
        <w:rPr>
          <w:rFonts w:cs="Arial"/>
        </w:rPr>
        <w:t xml:space="preserve">d’appel </w:t>
      </w:r>
      <w:r w:rsidRPr="00A32D3A">
        <w:rPr>
          <w:rFonts w:cs="Arial"/>
        </w:rPr>
        <w:t>écrit :</w:t>
      </w:r>
    </w:p>
    <w:p w14:paraId="5C2F8A55" w14:textId="2073D9DE" w:rsidR="00557C64" w:rsidRDefault="004B03E1" w:rsidP="00557C64">
      <w:pPr>
        <w:pStyle w:val="Citationenretrait"/>
      </w:pPr>
      <w:r w:rsidRPr="004B03E1">
        <w:t>[</w:t>
      </w:r>
      <w:bookmarkStart w:id="53" w:name="par7"/>
      <w:r w:rsidRPr="004B03E1">
        <w:t>7</w:t>
      </w:r>
      <w:bookmarkEnd w:id="53"/>
      <w:r w:rsidRPr="004B03E1">
        <w:t>]</w:t>
      </w:r>
      <w:r w:rsidR="00557C64">
        <w:tab/>
      </w:r>
      <w:r w:rsidRPr="004B03E1">
        <w:t>Pour les raisons que l'on connaît et que l'on ne peut plus guère contester, la promotion et la protection de la langue française constituent, au Québec, un impératif reconnu, obéissant à un besoin réel et rémanent. L'usage du français sur la place publique s'affirme comme l'un des pivots de cette politique : « L'affichage</w:t>
      </w:r>
      <w:r w:rsidR="00557C64">
        <w:t xml:space="preserve"> </w:t>
      </w:r>
      <w:r w:rsidRPr="004B03E1">
        <w:t>public et la publicité commerciale doivent se faire en français » ou d'une manière qui assure la prédominance nette du français, édicte l'</w:t>
      </w:r>
      <w:r w:rsidR="00A32D3A">
        <w:t>article 58</w:t>
      </w:r>
      <w:r w:rsidR="008E172D">
        <w:t xml:space="preserve"> </w:t>
      </w:r>
      <w:r w:rsidRPr="004B03E1">
        <w:t>de la</w:t>
      </w:r>
      <w:r w:rsidR="00557C64">
        <w:t xml:space="preserve"> </w:t>
      </w:r>
      <w:r w:rsidR="00A32D3A" w:rsidRPr="00A32D3A">
        <w:rPr>
          <w:i/>
          <w:iCs/>
        </w:rPr>
        <w:t>Charte</w:t>
      </w:r>
      <w:r w:rsidRPr="004B03E1">
        <w:t xml:space="preserve">, qui énonce là un principe permettant, pour paraphraser la Cour suprême, d'assurer que la réalité de la société québécoise se reflète dans son « visage linguistique ». </w:t>
      </w:r>
    </w:p>
    <w:p w14:paraId="49CC5655" w14:textId="4EE04E03" w:rsidR="004B03E1" w:rsidRPr="004B03E1" w:rsidRDefault="00557C64" w:rsidP="00557C64">
      <w:pPr>
        <w:pStyle w:val="Citationenretrait"/>
        <w:tabs>
          <w:tab w:val="right" w:pos="8640"/>
        </w:tabs>
      </w:pPr>
      <w:r>
        <w:tab/>
      </w:r>
      <w:r w:rsidR="004B03E1" w:rsidRPr="004B03E1">
        <w:t>[</w:t>
      </w:r>
      <w:r>
        <w:t>R</w:t>
      </w:r>
      <w:r w:rsidR="004B03E1" w:rsidRPr="004B03E1">
        <w:t>éférences omises]</w:t>
      </w:r>
    </w:p>
    <w:p w14:paraId="4C91D336" w14:textId="2DE63376" w:rsidR="00BF49BD" w:rsidRPr="00945AFA" w:rsidRDefault="003039B1" w:rsidP="00A5151E">
      <w:pPr>
        <w:pStyle w:val="Paragraphe"/>
        <w:tabs>
          <w:tab w:val="clear" w:pos="2204"/>
        </w:tabs>
        <w:spacing w:line="240" w:lineRule="auto"/>
        <w:ind w:left="0"/>
        <w:rPr>
          <w:rFonts w:cs="Arial"/>
        </w:rPr>
      </w:pPr>
      <w:r w:rsidRPr="00945AFA">
        <w:rPr>
          <w:rFonts w:cs="Arial"/>
        </w:rPr>
        <w:t>L</w:t>
      </w:r>
      <w:r w:rsidR="00BF49BD" w:rsidRPr="00945AFA">
        <w:rPr>
          <w:rFonts w:cs="Arial"/>
        </w:rPr>
        <w:t>a Ministre et son collègue responsable de la langue française défend</w:t>
      </w:r>
      <w:r w:rsidR="00944E4B" w:rsidRPr="00945AFA">
        <w:rPr>
          <w:rFonts w:cs="Arial"/>
        </w:rPr>
        <w:t xml:space="preserve">ent </w:t>
      </w:r>
      <w:r w:rsidR="00BF49BD" w:rsidRPr="00945AFA">
        <w:rPr>
          <w:rFonts w:cs="Arial"/>
        </w:rPr>
        <w:t>le français</w:t>
      </w:r>
      <w:r w:rsidR="00944E4B" w:rsidRPr="00945AFA">
        <w:rPr>
          <w:rFonts w:cs="Arial"/>
        </w:rPr>
        <w:t xml:space="preserve">, </w:t>
      </w:r>
      <w:r w:rsidR="00B955DC">
        <w:rPr>
          <w:rFonts w:cs="Arial"/>
        </w:rPr>
        <w:t>en vertu de</w:t>
      </w:r>
      <w:r w:rsidR="00944E4B" w:rsidRPr="00945AFA">
        <w:rPr>
          <w:rFonts w:cs="Arial"/>
        </w:rPr>
        <w:t xml:space="preserve"> </w:t>
      </w:r>
      <w:r w:rsidR="00BF49BD" w:rsidRPr="00945AFA">
        <w:rPr>
          <w:rFonts w:cs="Arial"/>
        </w:rPr>
        <w:t>leurs responsabilités ministérielles</w:t>
      </w:r>
      <w:r w:rsidR="00944E4B" w:rsidRPr="00945AFA">
        <w:rPr>
          <w:rFonts w:cs="Arial"/>
        </w:rPr>
        <w:t xml:space="preserve"> législatives</w:t>
      </w:r>
      <w:r w:rsidR="00BF49BD" w:rsidRPr="00945AFA">
        <w:rPr>
          <w:rFonts w:cs="Arial"/>
        </w:rPr>
        <w:t xml:space="preserve">. Mais </w:t>
      </w:r>
      <w:r w:rsidR="00801FEA" w:rsidRPr="00945AFA">
        <w:rPr>
          <w:rFonts w:cs="Arial"/>
        </w:rPr>
        <w:t>l</w:t>
      </w:r>
      <w:r w:rsidR="00BF49BD" w:rsidRPr="00945AFA">
        <w:rPr>
          <w:rFonts w:cs="Arial"/>
        </w:rPr>
        <w:t>e</w:t>
      </w:r>
      <w:r w:rsidR="00EC071B" w:rsidRPr="00945AFA">
        <w:rPr>
          <w:rFonts w:cs="Arial"/>
        </w:rPr>
        <w:t>ur</w:t>
      </w:r>
      <w:r w:rsidR="00BF49BD" w:rsidRPr="00945AFA">
        <w:rPr>
          <w:rFonts w:cs="Arial"/>
        </w:rPr>
        <w:t xml:space="preserve">s </w:t>
      </w:r>
      <w:r w:rsidR="00801FEA" w:rsidRPr="00945AFA">
        <w:rPr>
          <w:rFonts w:cs="Arial"/>
        </w:rPr>
        <w:t xml:space="preserve">décisions </w:t>
      </w:r>
      <w:r w:rsidR="00BF49BD" w:rsidRPr="00945AFA">
        <w:rPr>
          <w:rFonts w:cs="Arial"/>
        </w:rPr>
        <w:t>ne sauraient prendre appui sur de fausses prémisses, comme c’est le cas en ce qui concerne les modifications des Règles budgétaires</w:t>
      </w:r>
      <w:r w:rsidR="00C12D59">
        <w:rPr>
          <w:rFonts w:cs="Arial"/>
        </w:rPr>
        <w:t xml:space="preserve"> à l’égard des étudiants CN</w:t>
      </w:r>
      <w:r w:rsidR="00475D72">
        <w:rPr>
          <w:rFonts w:cs="Arial"/>
        </w:rPr>
        <w:t>R</w:t>
      </w:r>
      <w:r w:rsidR="00C12D59">
        <w:rPr>
          <w:rFonts w:cs="Arial"/>
        </w:rPr>
        <w:t>Q et la Règle d’acquisition des compétences en français</w:t>
      </w:r>
      <w:r w:rsidRPr="00945AFA">
        <w:rPr>
          <w:rFonts w:cs="Arial"/>
        </w:rPr>
        <w:t xml:space="preserve">, dont </w:t>
      </w:r>
      <w:r w:rsidR="000F483E" w:rsidRPr="00945AFA">
        <w:rPr>
          <w:rFonts w:cs="Arial"/>
        </w:rPr>
        <w:t xml:space="preserve">la plupart </w:t>
      </w:r>
      <w:r w:rsidR="00BF49BD" w:rsidRPr="00945AFA">
        <w:rPr>
          <w:rFonts w:cs="Arial"/>
        </w:rPr>
        <w:t xml:space="preserve">des motifs </w:t>
      </w:r>
      <w:r w:rsidRPr="00945AFA">
        <w:rPr>
          <w:rFonts w:cs="Arial"/>
        </w:rPr>
        <w:t xml:space="preserve">mis de l’avant par </w:t>
      </w:r>
      <w:r w:rsidR="00BF49BD" w:rsidRPr="00945AFA">
        <w:rPr>
          <w:rFonts w:cs="Arial"/>
        </w:rPr>
        <w:t>la Ministre ne trouve</w:t>
      </w:r>
      <w:r w:rsidR="000F483E" w:rsidRPr="00945AFA">
        <w:rPr>
          <w:rFonts w:cs="Arial"/>
        </w:rPr>
        <w:t>nt</w:t>
      </w:r>
      <w:r w:rsidR="00BF49BD" w:rsidRPr="00945AFA">
        <w:rPr>
          <w:rFonts w:cs="Arial"/>
        </w:rPr>
        <w:t xml:space="preserve"> </w:t>
      </w:r>
      <w:r w:rsidR="00DE71E1">
        <w:rPr>
          <w:rFonts w:cs="Arial"/>
        </w:rPr>
        <w:t xml:space="preserve">aucun </w:t>
      </w:r>
      <w:r w:rsidR="00BF49BD" w:rsidRPr="00945AFA">
        <w:rPr>
          <w:rFonts w:cs="Arial"/>
        </w:rPr>
        <w:t>appui</w:t>
      </w:r>
      <w:r w:rsidR="009E7EC3" w:rsidRPr="00945AFA">
        <w:rPr>
          <w:rFonts w:cs="Arial"/>
        </w:rPr>
        <w:t xml:space="preserve"> </w:t>
      </w:r>
      <w:r w:rsidR="00944E4B" w:rsidRPr="00945AFA">
        <w:rPr>
          <w:rFonts w:cs="Arial"/>
        </w:rPr>
        <w:t>dans</w:t>
      </w:r>
      <w:r w:rsidR="00BF49BD" w:rsidRPr="00945AFA">
        <w:rPr>
          <w:rFonts w:cs="Arial"/>
        </w:rPr>
        <w:t xml:space="preserve"> la preuve.</w:t>
      </w:r>
    </w:p>
    <w:p w14:paraId="1737E1EF" w14:textId="3DED0D5E" w:rsidR="00C06D26" w:rsidRDefault="003039B1" w:rsidP="00A5151E">
      <w:pPr>
        <w:pStyle w:val="Paragraphe"/>
        <w:tabs>
          <w:tab w:val="clear" w:pos="2204"/>
        </w:tabs>
        <w:spacing w:line="240" w:lineRule="auto"/>
        <w:ind w:left="0"/>
      </w:pPr>
      <w:r w:rsidRPr="00C8520B">
        <w:t xml:space="preserve">Les universités anglophones ne contestent pas que le français doive conserver sa </w:t>
      </w:r>
      <w:r>
        <w:t xml:space="preserve">prédominance en tant que </w:t>
      </w:r>
      <w:r w:rsidRPr="00C8520B">
        <w:t>langue d’usage.</w:t>
      </w:r>
      <w:r w:rsidR="00C06D26">
        <w:t xml:space="preserve"> Dans le mémoire que dépose McGill à la Ministre le 20</w:t>
      </w:r>
      <w:r w:rsidR="009A352E">
        <w:t> </w:t>
      </w:r>
      <w:r w:rsidR="00C06D26">
        <w:t>juin</w:t>
      </w:r>
      <w:r w:rsidR="009A352E">
        <w:t> </w:t>
      </w:r>
      <w:r w:rsidR="00C06D26">
        <w:t>2023, elle écrit</w:t>
      </w:r>
      <w:r w:rsidR="00991645">
        <w:t xml:space="preserve"> </w:t>
      </w:r>
      <w:r w:rsidR="00C06D26">
        <w:t>même :</w:t>
      </w:r>
    </w:p>
    <w:p w14:paraId="64D660C7" w14:textId="27FA693A" w:rsidR="00C06D26" w:rsidRPr="00C06D26" w:rsidRDefault="00C06D26" w:rsidP="00991645">
      <w:pPr>
        <w:pStyle w:val="Citationenretrait"/>
      </w:pPr>
      <w:r w:rsidRPr="00C06D26">
        <w:t>Dans le contexte nord-américain, la langue français</w:t>
      </w:r>
      <w:r w:rsidR="00FF5576">
        <w:t>e</w:t>
      </w:r>
      <w:r w:rsidRPr="00C06D26">
        <w:t xml:space="preserve"> au Québec demeurera toujours fragile. Nous comprenons que le gouverne</w:t>
      </w:r>
      <w:r w:rsidR="00945AFA">
        <w:t>me</w:t>
      </w:r>
      <w:r w:rsidRPr="00C06D26">
        <w:t xml:space="preserve">nt du Québec souhaite voir les universités anglophones jouer un rôle plus important dans la francisation des étudiants canadiens (hors Québec) et internationaux qui </w:t>
      </w:r>
      <w:r w:rsidR="00FF5576">
        <w:t>fréquentent</w:t>
      </w:r>
      <w:r w:rsidRPr="00C06D26">
        <w:t xml:space="preserve"> leur établissement, ce dans l’espoir qu’ils choisissent de rester dans la province</w:t>
      </w:r>
      <w:r>
        <w:rPr>
          <w:rStyle w:val="Appelnotedebasdep"/>
          <w:szCs w:val="22"/>
        </w:rPr>
        <w:footnoteReference w:id="152"/>
      </w:r>
      <w:r w:rsidRPr="00C06D26">
        <w:t>.</w:t>
      </w:r>
    </w:p>
    <w:p w14:paraId="06931207" w14:textId="412E29AC" w:rsidR="003039B1" w:rsidRDefault="003039B1" w:rsidP="00A5151E">
      <w:pPr>
        <w:pStyle w:val="Paragraphe"/>
        <w:tabs>
          <w:tab w:val="clear" w:pos="2204"/>
        </w:tabs>
        <w:spacing w:line="240" w:lineRule="auto"/>
        <w:ind w:left="0"/>
      </w:pPr>
      <w:r w:rsidRPr="00C8520B">
        <w:t xml:space="preserve">En revanche, </w:t>
      </w:r>
      <w:r>
        <w:t xml:space="preserve">elles plaident que </w:t>
      </w:r>
      <w:r w:rsidRPr="00C8520B">
        <w:t xml:space="preserve">les mesures gouvernementales à cet effet doivent s’appuyer sur davantage que des généralités, des </w:t>
      </w:r>
      <w:r w:rsidRPr="00C8520B">
        <w:rPr>
          <w:i/>
          <w:iCs/>
        </w:rPr>
        <w:t>a priori</w:t>
      </w:r>
      <w:r w:rsidRPr="00C8520B">
        <w:t>, des spéculations ou des idées préconçues issues de raccourcis factuels.</w:t>
      </w:r>
    </w:p>
    <w:p w14:paraId="53275D80" w14:textId="3A877791" w:rsidR="003039B1" w:rsidRPr="00C8520B" w:rsidRDefault="003039B1" w:rsidP="00A5151E">
      <w:pPr>
        <w:pStyle w:val="Paragraphe"/>
        <w:tabs>
          <w:tab w:val="clear" w:pos="2204"/>
        </w:tabs>
        <w:spacing w:line="240" w:lineRule="auto"/>
        <w:ind w:left="0"/>
        <w:rPr>
          <w:rFonts w:cs="Arial"/>
        </w:rPr>
      </w:pPr>
      <w:r>
        <w:rPr>
          <w:rFonts w:cs="Arial"/>
        </w:rPr>
        <w:t>Elles ont raison</w:t>
      </w:r>
      <w:r w:rsidR="00801FEA">
        <w:rPr>
          <w:rFonts w:cs="Arial"/>
        </w:rPr>
        <w:t xml:space="preserve"> </w:t>
      </w:r>
      <w:r w:rsidR="000F483E" w:rsidRPr="00945AFA">
        <w:rPr>
          <w:rFonts w:cs="Arial"/>
        </w:rPr>
        <w:t>en partie</w:t>
      </w:r>
      <w:r w:rsidR="000F483E">
        <w:rPr>
          <w:rFonts w:cs="Arial"/>
        </w:rPr>
        <w:t xml:space="preserve"> </w:t>
      </w:r>
      <w:r w:rsidR="00801FEA">
        <w:rPr>
          <w:rFonts w:cs="Arial"/>
        </w:rPr>
        <w:t xml:space="preserve">au vu des faits des deux </w:t>
      </w:r>
      <w:r w:rsidR="00475D72">
        <w:rPr>
          <w:rFonts w:cs="Arial"/>
        </w:rPr>
        <w:t>p</w:t>
      </w:r>
      <w:r w:rsidR="00801FEA">
        <w:rPr>
          <w:rFonts w:cs="Arial"/>
        </w:rPr>
        <w:t>ourvois</w:t>
      </w:r>
      <w:r>
        <w:rPr>
          <w:rFonts w:cs="Arial"/>
        </w:rPr>
        <w:t>.</w:t>
      </w:r>
    </w:p>
    <w:p w14:paraId="067C8B54" w14:textId="4151EB69" w:rsidR="00BF49BD" w:rsidRDefault="00BF49BD" w:rsidP="00A5151E">
      <w:pPr>
        <w:pStyle w:val="Paragraphe"/>
        <w:tabs>
          <w:tab w:val="clear" w:pos="2204"/>
        </w:tabs>
        <w:spacing w:line="240" w:lineRule="auto"/>
        <w:ind w:left="0"/>
        <w:rPr>
          <w:rFonts w:cs="Arial"/>
        </w:rPr>
      </w:pPr>
      <w:r>
        <w:rPr>
          <w:rFonts w:cs="Arial"/>
        </w:rPr>
        <w:t>Il est vrai que l’exercice d’un pouvoir discrétionnaire suppose une grande marge de manœuvre et que le Tribunal doi</w:t>
      </w:r>
      <w:r w:rsidR="00944E4B">
        <w:rPr>
          <w:rFonts w:cs="Arial"/>
        </w:rPr>
        <w:t>ve</w:t>
      </w:r>
      <w:r>
        <w:rPr>
          <w:rFonts w:cs="Arial"/>
        </w:rPr>
        <w:t xml:space="preserve"> accorder à la Ministre toute la latitude pour agir.</w:t>
      </w:r>
      <w:r w:rsidR="00EC071B">
        <w:rPr>
          <w:rFonts w:cs="Arial"/>
        </w:rPr>
        <w:t xml:space="preserve"> La retenue s’impose en matière de décision reposant sur des choix politiques.</w:t>
      </w:r>
      <w:r>
        <w:rPr>
          <w:rFonts w:cs="Arial"/>
        </w:rPr>
        <w:t xml:space="preserve"> Mais aussi importante que soit sa discrétion, la Ministre doit tout de même démontrer qu’elle l’exerce de manière raisonnable, c’est-à-dire</w:t>
      </w:r>
      <w:r w:rsidR="003039B1">
        <w:rPr>
          <w:rFonts w:cs="Arial"/>
        </w:rPr>
        <w:t xml:space="preserve">, en l’occurrence, </w:t>
      </w:r>
      <w:r>
        <w:rPr>
          <w:rFonts w:cs="Arial"/>
        </w:rPr>
        <w:t>en fonction de données existantes</w:t>
      </w:r>
      <w:r w:rsidR="00944E4B">
        <w:rPr>
          <w:rFonts w:cs="Arial"/>
        </w:rPr>
        <w:t xml:space="preserve"> et fondées</w:t>
      </w:r>
      <w:r>
        <w:rPr>
          <w:rFonts w:cs="Arial"/>
        </w:rPr>
        <w:t xml:space="preserve">. Autrement, la Ministre pourrait hypothétiquement se réfugier derrière </w:t>
      </w:r>
      <w:r w:rsidR="003039B1">
        <w:rPr>
          <w:rFonts w:cs="Arial"/>
        </w:rPr>
        <w:t>un</w:t>
      </w:r>
      <w:r>
        <w:rPr>
          <w:rFonts w:cs="Arial"/>
        </w:rPr>
        <w:t xml:space="preserve"> pouvoir discrétionnaire </w:t>
      </w:r>
      <w:r w:rsidR="003039B1">
        <w:rPr>
          <w:rFonts w:cs="Arial"/>
        </w:rPr>
        <w:t>quasi</w:t>
      </w:r>
      <w:r w:rsidR="00FF5576">
        <w:rPr>
          <w:rFonts w:cs="Arial"/>
        </w:rPr>
        <w:t xml:space="preserve"> </w:t>
      </w:r>
      <w:r w:rsidR="003039B1">
        <w:rPr>
          <w:rFonts w:cs="Arial"/>
        </w:rPr>
        <w:t xml:space="preserve">illimité </w:t>
      </w:r>
      <w:r>
        <w:rPr>
          <w:rFonts w:cs="Arial"/>
        </w:rPr>
        <w:t xml:space="preserve">pour se mettre hors d’atteinte de toute intervention judiciaire. </w:t>
      </w:r>
      <w:r w:rsidR="00475D72">
        <w:rPr>
          <w:rFonts w:cs="Arial"/>
        </w:rPr>
        <w:t>Or, c</w:t>
      </w:r>
      <w:r>
        <w:rPr>
          <w:rFonts w:cs="Arial"/>
        </w:rPr>
        <w:t xml:space="preserve">omme le souligne la Cour d’appel dans l’arrêt </w:t>
      </w:r>
      <w:r w:rsidRPr="003039B1">
        <w:rPr>
          <w:rFonts w:cs="Arial"/>
          <w:i/>
          <w:iCs/>
        </w:rPr>
        <w:t>Bellefleur</w:t>
      </w:r>
      <w:r>
        <w:rPr>
          <w:rFonts w:cs="Arial"/>
        </w:rPr>
        <w:t xml:space="preserve"> c. </w:t>
      </w:r>
      <w:r w:rsidR="004316E0" w:rsidRPr="004316E0">
        <w:rPr>
          <w:rFonts w:cs="Arial"/>
          <w:i/>
          <w:iCs/>
        </w:rPr>
        <w:t>Québec (Procureur général)</w:t>
      </w:r>
      <w:r w:rsidR="004316E0" w:rsidRPr="004316E0">
        <w:rPr>
          <w:rStyle w:val="Appelnotedebasdep"/>
          <w:rFonts w:cs="Arial"/>
        </w:rPr>
        <w:footnoteReference w:id="153"/>
      </w:r>
      <w:r w:rsidR="00713842" w:rsidRPr="004316E0">
        <w:rPr>
          <w:rFonts w:cs="Arial"/>
        </w:rPr>
        <w:t> </w:t>
      </w:r>
      <w:r>
        <w:rPr>
          <w:rFonts w:cs="Arial"/>
        </w:rPr>
        <w:t>:</w:t>
      </w:r>
    </w:p>
    <w:p w14:paraId="6F1F537E" w14:textId="1B238419" w:rsidR="00DE0F7F" w:rsidRPr="00DE0F7F" w:rsidRDefault="00DE0F7F" w:rsidP="00713842">
      <w:pPr>
        <w:pStyle w:val="Citationenretrait"/>
        <w:rPr>
          <w:lang w:eastAsia="fr-CA"/>
        </w:rPr>
      </w:pPr>
      <w:r w:rsidRPr="00DE0F7F">
        <w:rPr>
          <w:lang w:eastAsia="fr-CA"/>
        </w:rPr>
        <w:t>Évaluer le caractère raisonnable d'une décision administrative est une opération particulièrement délicate et qui comporte un piège évident pour le pouvoir judiciaire.</w:t>
      </w:r>
      <w:r w:rsidR="00E22B78">
        <w:rPr>
          <w:lang w:eastAsia="fr-CA"/>
        </w:rPr>
        <w:t xml:space="preserve"> </w:t>
      </w:r>
      <w:r w:rsidR="004316E0">
        <w:rPr>
          <w:lang w:eastAsia="fr-CA"/>
        </w:rPr>
        <w:t>[…]</w:t>
      </w:r>
      <w:r w:rsidRPr="00DE0F7F">
        <w:rPr>
          <w:lang w:eastAsia="fr-CA"/>
        </w:rPr>
        <w:t xml:space="preserve"> Il faut donc s'en tenir à des critères d'évaluation stricts de contrôle de la légalité. </w:t>
      </w:r>
      <w:r w:rsidR="004316E0">
        <w:rPr>
          <w:lang w:eastAsia="fr-CA"/>
        </w:rPr>
        <w:t xml:space="preserve">[…] </w:t>
      </w:r>
    </w:p>
    <w:p w14:paraId="7F4C33D9" w14:textId="3C8F6489" w:rsidR="00E73C5C" w:rsidRDefault="00DE0F7F" w:rsidP="00713842">
      <w:pPr>
        <w:pStyle w:val="Citationenretrait"/>
        <w:rPr>
          <w:lang w:eastAsia="fr-CA"/>
        </w:rPr>
      </w:pPr>
      <w:r w:rsidRPr="00DE0F7F">
        <w:rPr>
          <w:lang w:eastAsia="fr-CA"/>
        </w:rPr>
        <w:t xml:space="preserve">En second lieu, </w:t>
      </w:r>
      <w:r w:rsidRPr="00801FEA">
        <w:rPr>
          <w:u w:val="single"/>
          <w:lang w:eastAsia="fr-CA"/>
        </w:rPr>
        <w:t>il faut considérer les bases sur lesquelles la décision a pu être prise et ses sources, puisque c'est en définitive ce qui sépare une décision discrétionnaire mais légale, d'une décision arbitraire et donc illégale</w:t>
      </w:r>
      <w:r w:rsidRPr="00DE0F7F">
        <w:rPr>
          <w:lang w:eastAsia="fr-CA"/>
        </w:rPr>
        <w:t xml:space="preserve">. </w:t>
      </w:r>
      <w:r w:rsidRPr="00801FEA">
        <w:rPr>
          <w:u w:val="single"/>
          <w:lang w:eastAsia="fr-CA"/>
        </w:rPr>
        <w:t>La première est fondée sur certaines données objectives, même incomplètes, ou sur certains éléments ou normes existants</w:t>
      </w:r>
      <w:r w:rsidRPr="00DE0F7F">
        <w:rPr>
          <w:lang w:eastAsia="fr-CA"/>
        </w:rPr>
        <w:t>, alors que la seconde rel</w:t>
      </w:r>
      <w:r w:rsidR="004316E0">
        <w:rPr>
          <w:lang w:eastAsia="fr-CA"/>
        </w:rPr>
        <w:t>è</w:t>
      </w:r>
      <w:r w:rsidRPr="00DE0F7F">
        <w:rPr>
          <w:lang w:eastAsia="fr-CA"/>
        </w:rPr>
        <w:t>ve de la fantaisie, du caprice, de l'ignorance volontaire, du bon plaisir ou de la négligence.</w:t>
      </w:r>
      <w:r w:rsidR="00801FEA">
        <w:rPr>
          <w:lang w:eastAsia="fr-CA"/>
        </w:rPr>
        <w:t xml:space="preserve"> </w:t>
      </w:r>
    </w:p>
    <w:p w14:paraId="1FD3011C" w14:textId="3255643B" w:rsidR="00DE0F7F" w:rsidRPr="00DE0F7F" w:rsidRDefault="00E73C5C" w:rsidP="00E73C5C">
      <w:pPr>
        <w:pStyle w:val="Citationenretrait"/>
        <w:tabs>
          <w:tab w:val="right" w:pos="8640"/>
        </w:tabs>
        <w:rPr>
          <w:lang w:eastAsia="fr-CA"/>
        </w:rPr>
      </w:pPr>
      <w:r>
        <w:rPr>
          <w:lang w:eastAsia="fr-CA"/>
        </w:rPr>
        <w:tab/>
      </w:r>
      <w:r w:rsidR="00801FEA">
        <w:rPr>
          <w:lang w:eastAsia="fr-CA"/>
        </w:rPr>
        <w:t>[</w:t>
      </w:r>
      <w:r>
        <w:rPr>
          <w:lang w:eastAsia="fr-CA"/>
        </w:rPr>
        <w:t>S</w:t>
      </w:r>
      <w:r w:rsidR="00801FEA">
        <w:rPr>
          <w:lang w:eastAsia="fr-CA"/>
        </w:rPr>
        <w:t>oulignement ajouté]</w:t>
      </w:r>
    </w:p>
    <w:p w14:paraId="361B96A2" w14:textId="02F682C0" w:rsidR="00E67975" w:rsidRDefault="00E67975" w:rsidP="001049E4">
      <w:pPr>
        <w:pStyle w:val="Paragraphe"/>
        <w:keepNext/>
        <w:tabs>
          <w:tab w:val="clear" w:pos="2204"/>
        </w:tabs>
        <w:spacing w:line="240" w:lineRule="auto"/>
        <w:ind w:left="0"/>
        <w:rPr>
          <w:rFonts w:cs="Arial"/>
        </w:rPr>
      </w:pPr>
      <w:r>
        <w:rPr>
          <w:rFonts w:cs="Arial"/>
        </w:rPr>
        <w:t xml:space="preserve">Dans </w:t>
      </w:r>
      <w:r w:rsidRPr="00E67975">
        <w:rPr>
          <w:rFonts w:cs="Arial"/>
          <w:i/>
          <w:iCs/>
        </w:rPr>
        <w:t>TransAlta</w:t>
      </w:r>
      <w:r>
        <w:rPr>
          <w:rFonts w:cs="Arial"/>
        </w:rPr>
        <w:t>, la Cour suprême rappelle ce principe en ces termes :</w:t>
      </w:r>
    </w:p>
    <w:p w14:paraId="2CFF17C7" w14:textId="177CB76B" w:rsidR="00E67975" w:rsidRPr="00E67975" w:rsidRDefault="00E67975" w:rsidP="001049E4">
      <w:pPr>
        <w:pStyle w:val="Citationenretrait"/>
        <w:keepNext/>
      </w:pPr>
      <w:r w:rsidRPr="00E67975">
        <w:t>[15]</w:t>
      </w:r>
      <w:r w:rsidRPr="00E67975">
        <w:tab/>
        <w:t>Comme il est expliqué dans</w:t>
      </w:r>
      <w:r w:rsidR="00E73C5C">
        <w:t xml:space="preserve"> </w:t>
      </w:r>
      <w:r w:rsidRPr="00E67975">
        <w:rPr>
          <w:i/>
          <w:iCs/>
        </w:rPr>
        <w:t>Auer</w:t>
      </w:r>
      <w:r w:rsidRPr="00E67975">
        <w:t>, l’arrêt</w:t>
      </w:r>
      <w:r w:rsidR="00E73C5C">
        <w:t xml:space="preserve"> </w:t>
      </w:r>
      <w:r w:rsidRPr="00E67975">
        <w:rPr>
          <w:i/>
          <w:iCs/>
        </w:rPr>
        <w:t>Katz Group</w:t>
      </w:r>
      <w:r w:rsidR="00E73C5C">
        <w:t xml:space="preserve"> </w:t>
      </w:r>
      <w:r w:rsidRPr="00E67975">
        <w:t>continue de fournir des indications utiles et guide le contrôle selon la norme de la décision raisonnable. En particulier, les principes suivants de</w:t>
      </w:r>
      <w:r w:rsidR="00E73C5C">
        <w:t xml:space="preserve"> </w:t>
      </w:r>
      <w:r w:rsidRPr="00E67975">
        <w:rPr>
          <w:i/>
          <w:iCs/>
        </w:rPr>
        <w:t>Katz Group</w:t>
      </w:r>
      <w:r w:rsidR="00E73C5C">
        <w:rPr>
          <w:i/>
          <w:iCs/>
        </w:rPr>
        <w:t xml:space="preserve"> </w:t>
      </w:r>
      <w:r w:rsidRPr="00E67975">
        <w:t>continuent de s’appliquer :</w:t>
      </w:r>
    </w:p>
    <w:p w14:paraId="68BE1A2A" w14:textId="2B851EE6" w:rsidR="00E67975" w:rsidRPr="00E67975" w:rsidRDefault="00E67975" w:rsidP="00E73C5C">
      <w:pPr>
        <w:pStyle w:val="Citationenretrait"/>
        <w:rPr>
          <w:rFonts w:ascii="Times New Roman" w:hAnsi="Times New Roman"/>
          <w:lang w:eastAsia="fr-CA"/>
        </w:rPr>
      </w:pPr>
      <w:r w:rsidRPr="00E67975">
        <w:t>(…)</w:t>
      </w:r>
    </w:p>
    <w:p w14:paraId="7262F591" w14:textId="0EC9E77B" w:rsidR="00E67975" w:rsidRPr="00E73C5C" w:rsidRDefault="00E67975" w:rsidP="00E73C5C">
      <w:pPr>
        <w:pStyle w:val="Citationenretrait"/>
        <w:ind w:left="1468"/>
        <w:rPr>
          <w:sz w:val="20"/>
        </w:rPr>
      </w:pPr>
      <w:r w:rsidRPr="00E73C5C">
        <w:rPr>
          <w:sz w:val="20"/>
        </w:rPr>
        <w:t>•</w:t>
      </w:r>
      <w:r w:rsidR="00E73C5C">
        <w:rPr>
          <w:sz w:val="20"/>
        </w:rPr>
        <w:t xml:space="preserve"> </w:t>
      </w:r>
      <w:r w:rsidRPr="00E73C5C">
        <w:rPr>
          <w:sz w:val="20"/>
        </w:rPr>
        <w:t>Le contrôle de la validité d’un texte législatif subordonné n’implique pas l’appréciation du bien</w:t>
      </w:r>
      <w:r w:rsidRPr="00E73C5C">
        <w:rPr>
          <w:sz w:val="20"/>
        </w:rPr>
        <w:noBreakHyphen/>
        <w:t>fondé des considérations d’intérêt général. Les tribunaux doivent contrôler uniquement la légalité ou la validité du texte législatif subordonné (</w:t>
      </w:r>
      <w:r w:rsidRPr="00E73C5C">
        <w:rPr>
          <w:i/>
          <w:iCs/>
          <w:sz w:val="20"/>
        </w:rPr>
        <w:t>West Fraser Mills</w:t>
      </w:r>
      <w:r w:rsidRPr="00E73C5C">
        <w:rPr>
          <w:sz w:val="20"/>
        </w:rPr>
        <w:t>, par.</w:t>
      </w:r>
      <w:r w:rsidR="00E73C5C">
        <w:rPr>
          <w:sz w:val="20"/>
        </w:rPr>
        <w:t xml:space="preserve"> </w:t>
      </w:r>
      <w:r w:rsidRPr="00E73C5C">
        <w:rPr>
          <w:sz w:val="20"/>
        </w:rPr>
        <w:t>59, la juge Côté, dissidente, mais non sur ce point;</w:t>
      </w:r>
      <w:r w:rsidR="00E73C5C">
        <w:rPr>
          <w:sz w:val="20"/>
        </w:rPr>
        <w:t xml:space="preserve"> </w:t>
      </w:r>
      <w:r w:rsidRPr="00E73C5C">
        <w:rPr>
          <w:i/>
          <w:iCs/>
          <w:sz w:val="20"/>
        </w:rPr>
        <w:t>La Rose c. Canada</w:t>
      </w:r>
      <w:r w:rsidRPr="00E73C5C">
        <w:rPr>
          <w:sz w:val="20"/>
        </w:rPr>
        <w:t>, 2023 CAF 241, par.</w:t>
      </w:r>
      <w:r w:rsidR="00E73C5C">
        <w:rPr>
          <w:sz w:val="20"/>
        </w:rPr>
        <w:t xml:space="preserve"> </w:t>
      </w:r>
      <w:r w:rsidRPr="00E73C5C">
        <w:rPr>
          <w:sz w:val="20"/>
        </w:rPr>
        <w:t>28).</w:t>
      </w:r>
    </w:p>
    <w:p w14:paraId="2720FCD0" w14:textId="755AD9E3" w:rsidR="00C93813" w:rsidRDefault="00974A3B" w:rsidP="00A5151E">
      <w:pPr>
        <w:pStyle w:val="Paragraphe"/>
        <w:tabs>
          <w:tab w:val="clear" w:pos="2204"/>
        </w:tabs>
        <w:spacing w:line="240" w:lineRule="auto"/>
        <w:ind w:left="0"/>
        <w:rPr>
          <w:rFonts w:cs="Arial"/>
        </w:rPr>
      </w:pPr>
      <w:r>
        <w:rPr>
          <w:rFonts w:cs="Arial"/>
        </w:rPr>
        <w:t xml:space="preserve">Revenant à </w:t>
      </w:r>
      <w:r w:rsidRPr="00974A3B">
        <w:rPr>
          <w:rFonts w:cs="Arial"/>
          <w:i/>
          <w:iCs/>
        </w:rPr>
        <w:t>Vavilov</w:t>
      </w:r>
      <w:r>
        <w:rPr>
          <w:rFonts w:cs="Arial"/>
        </w:rPr>
        <w:t xml:space="preserve">, </w:t>
      </w:r>
      <w:r w:rsidR="007F5E7F">
        <w:rPr>
          <w:rFonts w:cs="Arial"/>
        </w:rPr>
        <w:t>relisons le paragraphe</w:t>
      </w:r>
      <w:r>
        <w:rPr>
          <w:rFonts w:cs="Arial"/>
        </w:rPr>
        <w:t xml:space="preserve"> qui suit :</w:t>
      </w:r>
    </w:p>
    <w:p w14:paraId="54EC7F2F" w14:textId="30F34169" w:rsidR="00DB583C" w:rsidRDefault="00974A3B" w:rsidP="00713842">
      <w:pPr>
        <w:pStyle w:val="Citationenretrait"/>
      </w:pPr>
      <w:r w:rsidRPr="00974A3B">
        <w:t>[</w:t>
      </w:r>
      <w:bookmarkStart w:id="54" w:name="par86"/>
      <w:r w:rsidRPr="00974A3B">
        <w:t>86</w:t>
      </w:r>
      <w:bookmarkEnd w:id="54"/>
      <w:r w:rsidRPr="00974A3B">
        <w:t>]</w:t>
      </w:r>
      <w:r w:rsidR="00713842">
        <w:tab/>
      </w:r>
      <w:r w:rsidRPr="00974A3B">
        <w:t>L’attention accordée aux motifs formulés par le décideur est une manifestation de l’attitude de respect dont font preuve les cours de justice envers le processus décisionnel : voir</w:t>
      </w:r>
      <w:r w:rsidR="00E73C5C">
        <w:t xml:space="preserve"> </w:t>
      </w:r>
      <w:r w:rsidRPr="00974A3B">
        <w:rPr>
          <w:i/>
          <w:iCs/>
        </w:rPr>
        <w:t>Dunsmuir</w:t>
      </w:r>
      <w:r w:rsidRPr="00974A3B">
        <w:t>, par.</w:t>
      </w:r>
      <w:r w:rsidR="00E73C5C">
        <w:t xml:space="preserve"> </w:t>
      </w:r>
      <w:r w:rsidRPr="00974A3B">
        <w:t>47</w:t>
      </w:r>
      <w:r w:rsidRPr="00974A3B">
        <w:noBreakHyphen/>
        <w:t>49. Il ressort explicitement de l’arrêt</w:t>
      </w:r>
      <w:r w:rsidR="00E73C5C">
        <w:t xml:space="preserve"> </w:t>
      </w:r>
      <w:r w:rsidRPr="00974A3B">
        <w:rPr>
          <w:i/>
          <w:iCs/>
        </w:rPr>
        <w:t>Dunsmuir</w:t>
      </w:r>
      <w:r w:rsidR="00E73C5C">
        <w:t xml:space="preserve"> </w:t>
      </w:r>
      <w:r w:rsidRPr="00974A3B">
        <w:t>que la cour de justice qui procède à un contrôle selon la norme de la décision raisonnable « se demande dès lors si la décision et sa justification possèdent les attributs de la raisonnabilité » : par.</w:t>
      </w:r>
      <w:r w:rsidR="00E73C5C">
        <w:t xml:space="preserve"> </w:t>
      </w:r>
      <w:r w:rsidRPr="00974A3B">
        <w:t>47. Selon l’arrêt</w:t>
      </w:r>
      <w:r w:rsidR="00E73C5C">
        <w:t xml:space="preserve"> </w:t>
      </w:r>
      <w:r w:rsidRPr="00974A3B">
        <w:rPr>
          <w:i/>
          <w:iCs/>
        </w:rPr>
        <w:t>Dunsmuir</w:t>
      </w:r>
      <w:r w:rsidRPr="00974A3B">
        <w:t>, le caractère raisonnable « tient principalement à la justification de la décision, à la transparence et à l’intelligibilité du processus décisionnel, ainsi qu’à l’appartenance de la décision aux issues possibles acceptables pouvant se justifier au regard des faits et du droit » :</w:t>
      </w:r>
      <w:r w:rsidR="00E73C5C">
        <w:t xml:space="preserve"> </w:t>
      </w:r>
      <w:r w:rsidRPr="00974A3B">
        <w:rPr>
          <w:i/>
          <w:iCs/>
        </w:rPr>
        <w:t>ibid</w:t>
      </w:r>
      <w:r w:rsidRPr="00974A3B">
        <w:t>. En somme, il ne suffit pas que la décision soit</w:t>
      </w:r>
      <w:r w:rsidR="00E73C5C">
        <w:t xml:space="preserve"> </w:t>
      </w:r>
      <w:r w:rsidRPr="00974A3B">
        <w:rPr>
          <w:i/>
          <w:iCs/>
        </w:rPr>
        <w:t>justifiable</w:t>
      </w:r>
      <w:r w:rsidRPr="00974A3B">
        <w:t>. Dans les cas où des motifs s’imposent, le décideur doit également, au moyen de ceux</w:t>
      </w:r>
      <w:r w:rsidRPr="00974A3B">
        <w:noBreakHyphen/>
        <w:t>ci,</w:t>
      </w:r>
      <w:r w:rsidR="00E73C5C">
        <w:t xml:space="preserve"> </w:t>
      </w:r>
      <w:r w:rsidRPr="00974A3B">
        <w:rPr>
          <w:i/>
          <w:iCs/>
        </w:rPr>
        <w:t>justifier</w:t>
      </w:r>
      <w:r w:rsidR="00E73C5C">
        <w:t xml:space="preserve"> </w:t>
      </w:r>
      <w:r w:rsidRPr="00974A3B">
        <w:t xml:space="preserve">sa décision auprès des personnes auxquelles elle s’applique. Si certains résultats peuvent se détacher du contexte juridique et factuel au point de ne jamais s’appuyer sur un raisonnement intelligible et rationnel, </w:t>
      </w:r>
      <w:r w:rsidRPr="00974A3B">
        <w:rPr>
          <w:u w:val="single"/>
        </w:rPr>
        <w:t>un résultat par ailleurs raisonnable ne saurait être non plus tenu pour valide s’il repose sur un fondement erroné</w:t>
      </w:r>
      <w:r w:rsidRPr="00974A3B">
        <w:t>.</w:t>
      </w:r>
    </w:p>
    <w:p w14:paraId="5583B73D" w14:textId="6DD2BC82" w:rsidR="00974A3B" w:rsidRPr="00974A3B" w:rsidRDefault="00DB583C" w:rsidP="00DB583C">
      <w:pPr>
        <w:pStyle w:val="Citationenretrait"/>
        <w:tabs>
          <w:tab w:val="right" w:pos="8640"/>
        </w:tabs>
        <w:rPr>
          <w:rFonts w:ascii="Times New Roman" w:hAnsi="Times New Roman"/>
          <w:lang w:eastAsia="fr-CA"/>
        </w:rPr>
      </w:pPr>
      <w:r>
        <w:tab/>
      </w:r>
      <w:r w:rsidR="00974A3B">
        <w:t>[</w:t>
      </w:r>
      <w:r>
        <w:t>S</w:t>
      </w:r>
      <w:r w:rsidR="00974A3B">
        <w:t>oulignement ajouté]</w:t>
      </w:r>
    </w:p>
    <w:p w14:paraId="664C64B1" w14:textId="2882ECA5" w:rsidR="00974A3B" w:rsidRDefault="00475D72" w:rsidP="00A5151E">
      <w:pPr>
        <w:pStyle w:val="Paragraphe"/>
        <w:tabs>
          <w:tab w:val="clear" w:pos="2204"/>
        </w:tabs>
        <w:spacing w:line="240" w:lineRule="auto"/>
        <w:ind w:left="0"/>
        <w:rPr>
          <w:rFonts w:cs="Arial"/>
        </w:rPr>
      </w:pPr>
      <w:r>
        <w:rPr>
          <w:rFonts w:cs="Arial"/>
        </w:rPr>
        <w:t>Le</w:t>
      </w:r>
      <w:r w:rsidR="00974A3B">
        <w:rPr>
          <w:rFonts w:cs="Arial"/>
        </w:rPr>
        <w:t xml:space="preserve"> contexte décrit plus haut</w:t>
      </w:r>
      <w:r>
        <w:rPr>
          <w:rFonts w:cs="Arial"/>
        </w:rPr>
        <w:t xml:space="preserve"> ne justifie pas la prise d’une décision à partir d’un fondement erroné.</w:t>
      </w:r>
      <w:r w:rsidR="00974A3B">
        <w:rPr>
          <w:rFonts w:cs="Arial"/>
        </w:rPr>
        <w:t xml:space="preserve"> </w:t>
      </w:r>
      <w:r w:rsidR="00801FEA">
        <w:rPr>
          <w:rFonts w:cs="Arial"/>
        </w:rPr>
        <w:t>Toujours</w:t>
      </w:r>
      <w:r w:rsidR="00974A3B">
        <w:rPr>
          <w:rFonts w:cs="Arial"/>
        </w:rPr>
        <w:t xml:space="preserve"> dans </w:t>
      </w:r>
      <w:r w:rsidR="00974A3B" w:rsidRPr="00C8520B">
        <w:rPr>
          <w:rFonts w:cs="Arial"/>
          <w:i/>
          <w:iCs/>
        </w:rPr>
        <w:t>Vavilov</w:t>
      </w:r>
      <w:r w:rsidR="00974A3B">
        <w:rPr>
          <w:rFonts w:cs="Arial"/>
        </w:rPr>
        <w:t>, la Cour suprême écrit :</w:t>
      </w:r>
    </w:p>
    <w:p w14:paraId="3A15D184" w14:textId="283EEE6D" w:rsidR="00DB583C" w:rsidRDefault="00974A3B" w:rsidP="00512CF1">
      <w:pPr>
        <w:pStyle w:val="Citationenretrait"/>
        <w:spacing w:after="0"/>
      </w:pPr>
      <w:r w:rsidRPr="00974A3B">
        <w:t>[</w:t>
      </w:r>
      <w:bookmarkStart w:id="55" w:name="par96"/>
      <w:r w:rsidRPr="00974A3B">
        <w:t>96</w:t>
      </w:r>
      <w:bookmarkEnd w:id="55"/>
      <w:r w:rsidRPr="00974A3B">
        <w:t>]</w:t>
      </w:r>
      <w:r w:rsidR="00434714">
        <w:tab/>
      </w:r>
      <w:r w:rsidRPr="00974A3B">
        <w:t xml:space="preserve">Lorsque, même s’ils sont interprétés en tenant compte du contexte institutionnel et à la lumière du dossier, les motifs fournis par l’organisme administratif pour justifier sa décision comportent une lacune fondamentale ou révèlent une analyse déraisonnable, il ne convient habituellement pas que la cour de révision élabore ses propres motifs pour appuyer la décision administrative. </w:t>
      </w:r>
      <w:r w:rsidRPr="00974A3B">
        <w:rPr>
          <w:u w:val="single"/>
        </w:rPr>
        <w:t>Même si le résultat de la décision pourrait sembler raisonnable dans des circonstances différentes, il n’est pas loisible à la cour de révision de faire abstraction du fondement erroné de la décision et d’y substituer sa propre justification du résultat</w:t>
      </w:r>
      <w:r w:rsidRPr="00974A3B">
        <w:t> :</w:t>
      </w:r>
      <w:r w:rsidR="00E73C5C">
        <w:rPr>
          <w:i/>
          <w:iCs/>
        </w:rPr>
        <w:t xml:space="preserve"> </w:t>
      </w:r>
      <w:r w:rsidRPr="00974A3B">
        <w:rPr>
          <w:i/>
          <w:iCs/>
        </w:rPr>
        <w:t>Delta Air Lines</w:t>
      </w:r>
      <w:r w:rsidRPr="00974A3B">
        <w:t>, par.</w:t>
      </w:r>
      <w:r w:rsidR="00E73C5C">
        <w:t xml:space="preserve"> </w:t>
      </w:r>
      <w:r w:rsidRPr="00974A3B">
        <w:t>26</w:t>
      </w:r>
      <w:r w:rsidRPr="00974A3B">
        <w:noBreakHyphen/>
        <w:t>28. Autoriser une cour de révision à agir ainsi reviendrait à permettre à un décideur de se dérober à son obligation de justifier, de manière transparente et intelligible pour la personne visée, le fondement pour lequel il est parvenu à une conclusion donnée. Cela reviendrait également à adopter une méthode de contrôle selon la norme de la décision raisonnable qui serait axée uniquement sur le résultat de la décision, à l’exclusion de la justification de cette décision. Dans la mesure où des arrêts comme</w:t>
      </w:r>
      <w:r w:rsidR="00DB583C">
        <w:t xml:space="preserve"> </w:t>
      </w:r>
      <w:r w:rsidRPr="00974A3B">
        <w:rPr>
          <w:i/>
          <w:iCs/>
        </w:rPr>
        <w:t>Newfoundland Nurses</w:t>
      </w:r>
      <w:r w:rsidR="00DB583C">
        <w:t xml:space="preserve"> </w:t>
      </w:r>
      <w:r w:rsidRPr="00974A3B">
        <w:t>et</w:t>
      </w:r>
      <w:r w:rsidR="00DB583C">
        <w:t xml:space="preserve"> </w:t>
      </w:r>
      <w:r w:rsidRPr="00974A3B">
        <w:rPr>
          <w:i/>
          <w:iCs/>
        </w:rPr>
        <w:t>Alberta</w:t>
      </w:r>
      <w:r w:rsidR="00DB583C">
        <w:t xml:space="preserve"> </w:t>
      </w:r>
      <w:r w:rsidRPr="00974A3B">
        <w:rPr>
          <w:i/>
          <w:iCs/>
        </w:rPr>
        <w:t>Teachers</w:t>
      </w:r>
      <w:r w:rsidR="00DB583C">
        <w:t xml:space="preserve"> </w:t>
      </w:r>
      <w:r w:rsidRPr="00974A3B">
        <w:t>ont été compris comme appuyant une telle conception, cette compréhension est erronée.</w:t>
      </w:r>
    </w:p>
    <w:p w14:paraId="7D984362" w14:textId="1B24A4AD" w:rsidR="00974A3B" w:rsidRPr="00974A3B" w:rsidRDefault="00DB583C" w:rsidP="00DB583C">
      <w:pPr>
        <w:pStyle w:val="Citationenretrait"/>
        <w:tabs>
          <w:tab w:val="right" w:pos="8640"/>
        </w:tabs>
      </w:pPr>
      <w:r>
        <w:tab/>
      </w:r>
      <w:r w:rsidR="00974A3B">
        <w:t>[</w:t>
      </w:r>
      <w:r>
        <w:t>S</w:t>
      </w:r>
      <w:r w:rsidR="00974A3B">
        <w:t>oulignement ajouté]</w:t>
      </w:r>
    </w:p>
    <w:p w14:paraId="1F50E533" w14:textId="74A81B51" w:rsidR="00B959C8" w:rsidRPr="00512CF1" w:rsidRDefault="00B959C8" w:rsidP="00095B1B">
      <w:pPr>
        <w:pStyle w:val="Paragraphe"/>
        <w:numPr>
          <w:ilvl w:val="0"/>
          <w:numId w:val="15"/>
        </w:numPr>
        <w:spacing w:line="240" w:lineRule="auto"/>
        <w:ind w:left="1080"/>
        <w:rPr>
          <w:b/>
        </w:rPr>
      </w:pPr>
      <w:r w:rsidRPr="00512CF1">
        <w:rPr>
          <w:b/>
        </w:rPr>
        <w:t xml:space="preserve">Les règles 3.4 </w:t>
      </w:r>
      <w:r w:rsidR="00F3075C" w:rsidRPr="00F3075C">
        <w:rPr>
          <w:rFonts w:cs="Arial"/>
          <w:b/>
          <w:bCs/>
        </w:rPr>
        <w:t>des Règles 2023</w:t>
      </w:r>
      <w:r w:rsidR="00C90483">
        <w:rPr>
          <w:rFonts w:cs="Arial"/>
          <w:b/>
          <w:bCs/>
        </w:rPr>
        <w:t>-</w:t>
      </w:r>
      <w:r w:rsidR="00F3075C" w:rsidRPr="00F3075C">
        <w:rPr>
          <w:rFonts w:cs="Arial"/>
          <w:b/>
          <w:bCs/>
        </w:rPr>
        <w:t xml:space="preserve">2024 </w:t>
      </w:r>
      <w:r w:rsidRPr="00512CF1">
        <w:rPr>
          <w:b/>
        </w:rPr>
        <w:t xml:space="preserve">et 2.5.2 </w:t>
      </w:r>
      <w:r w:rsidR="00F3075C" w:rsidRPr="00F3075C">
        <w:rPr>
          <w:rFonts w:cs="Arial"/>
          <w:b/>
          <w:bCs/>
        </w:rPr>
        <w:t>des Règles 2024</w:t>
      </w:r>
      <w:r w:rsidR="00C90483">
        <w:rPr>
          <w:rFonts w:cs="Arial"/>
          <w:b/>
          <w:bCs/>
        </w:rPr>
        <w:t>-</w:t>
      </w:r>
      <w:r w:rsidR="00F3075C" w:rsidRPr="00F3075C">
        <w:rPr>
          <w:rFonts w:cs="Arial"/>
          <w:b/>
          <w:bCs/>
        </w:rPr>
        <w:t>2025</w:t>
      </w:r>
      <w:r w:rsidRPr="00F3075C">
        <w:rPr>
          <w:rFonts w:cs="Arial"/>
          <w:b/>
          <w:bCs/>
        </w:rPr>
        <w:t xml:space="preserve"> </w:t>
      </w:r>
      <w:r w:rsidRPr="00512CF1">
        <w:rPr>
          <w:b/>
        </w:rPr>
        <w:t xml:space="preserve">sont les fruits </w:t>
      </w:r>
      <w:r w:rsidRPr="00F3075C">
        <w:rPr>
          <w:rFonts w:cs="Arial"/>
          <w:b/>
          <w:bCs/>
        </w:rPr>
        <w:t>de décision</w:t>
      </w:r>
      <w:r w:rsidR="000E2F97">
        <w:rPr>
          <w:rFonts w:cs="Arial"/>
          <w:b/>
          <w:bCs/>
        </w:rPr>
        <w:t>s</w:t>
      </w:r>
      <w:r w:rsidRPr="00F3075C">
        <w:rPr>
          <w:rFonts w:cs="Arial"/>
          <w:b/>
          <w:bCs/>
        </w:rPr>
        <w:t xml:space="preserve"> déraisonnable</w:t>
      </w:r>
      <w:r w:rsidR="000E2F97">
        <w:rPr>
          <w:rFonts w:cs="Arial"/>
          <w:b/>
          <w:bCs/>
        </w:rPr>
        <w:t>s</w:t>
      </w:r>
    </w:p>
    <w:p w14:paraId="52CB762A" w14:textId="07710F11" w:rsidR="002F38DF" w:rsidRPr="00535145" w:rsidRDefault="002F38DF" w:rsidP="00A5151E">
      <w:pPr>
        <w:pStyle w:val="Paragraphe"/>
        <w:tabs>
          <w:tab w:val="clear" w:pos="2204"/>
          <w:tab w:val="num" w:pos="0"/>
        </w:tabs>
        <w:spacing w:line="240" w:lineRule="auto"/>
        <w:ind w:left="0"/>
        <w:rPr>
          <w:rFonts w:cs="Arial"/>
        </w:rPr>
      </w:pPr>
      <w:r w:rsidRPr="00535145">
        <w:rPr>
          <w:rFonts w:cs="Arial"/>
        </w:rPr>
        <w:t xml:space="preserve">Compte tenu de ces enseignements, il appert manifeste que la décision de la Ministre et les modifications aux Règles budgétaires qui en découlent </w:t>
      </w:r>
      <w:r w:rsidR="00475D72">
        <w:rPr>
          <w:rFonts w:cs="Arial"/>
        </w:rPr>
        <w:t xml:space="preserve">de la règle 3.4 et de l’avènement </w:t>
      </w:r>
      <w:r w:rsidR="00122A0B">
        <w:rPr>
          <w:rFonts w:cs="Arial"/>
        </w:rPr>
        <w:t>du taux de 80</w:t>
      </w:r>
      <w:r w:rsidR="00447203">
        <w:rPr>
          <w:rFonts w:cs="Arial"/>
        </w:rPr>
        <w:t> </w:t>
      </w:r>
      <w:r w:rsidR="00122A0B">
        <w:rPr>
          <w:rFonts w:cs="Arial"/>
        </w:rPr>
        <w:t xml:space="preserve">% </w:t>
      </w:r>
      <w:r w:rsidR="00475D72">
        <w:rPr>
          <w:rFonts w:cs="Arial"/>
        </w:rPr>
        <w:t xml:space="preserve">de la Règle 2.5.2 </w:t>
      </w:r>
      <w:r w:rsidRPr="00535145">
        <w:rPr>
          <w:rFonts w:cs="Arial"/>
        </w:rPr>
        <w:t>ne résistent pas à l’analyse de la raisonnabilité.</w:t>
      </w:r>
    </w:p>
    <w:p w14:paraId="2D0F1FE4" w14:textId="096EF813" w:rsidR="0078301F" w:rsidRPr="00535145" w:rsidRDefault="00822D0E" w:rsidP="00A5151E">
      <w:pPr>
        <w:pStyle w:val="Paragraphe"/>
        <w:tabs>
          <w:tab w:val="clear" w:pos="2204"/>
          <w:tab w:val="num" w:pos="0"/>
        </w:tabs>
        <w:spacing w:line="240" w:lineRule="auto"/>
        <w:ind w:left="0"/>
        <w:rPr>
          <w:rFonts w:cs="Arial"/>
        </w:rPr>
      </w:pPr>
      <w:r w:rsidRPr="00535145">
        <w:rPr>
          <w:rFonts w:cs="Arial"/>
        </w:rPr>
        <w:t>L</w:t>
      </w:r>
      <w:r w:rsidR="00FC7D53" w:rsidRPr="00535145">
        <w:rPr>
          <w:rFonts w:cs="Arial"/>
        </w:rPr>
        <w:t>a Ministre</w:t>
      </w:r>
      <w:r w:rsidR="00535145" w:rsidRPr="00535145">
        <w:rPr>
          <w:rFonts w:cs="Arial"/>
        </w:rPr>
        <w:t xml:space="preserve"> dit</w:t>
      </w:r>
      <w:r w:rsidR="00FC7D53" w:rsidRPr="00535145">
        <w:rPr>
          <w:rFonts w:cs="Arial"/>
        </w:rPr>
        <w:t xml:space="preserve"> justifie</w:t>
      </w:r>
      <w:r w:rsidR="00535145" w:rsidRPr="00535145">
        <w:rPr>
          <w:rFonts w:cs="Arial"/>
        </w:rPr>
        <w:t>r</w:t>
      </w:r>
      <w:r w:rsidR="00FC7D53" w:rsidRPr="00535145">
        <w:rPr>
          <w:rFonts w:cs="Arial"/>
        </w:rPr>
        <w:t xml:space="preserve"> l</w:t>
      </w:r>
      <w:r w:rsidRPr="00535145">
        <w:rPr>
          <w:rFonts w:cs="Arial"/>
        </w:rPr>
        <w:t xml:space="preserve">’augmentation du montant forfaitaire payable par les étudiants CNRQ </w:t>
      </w:r>
      <w:r w:rsidR="00475D72">
        <w:rPr>
          <w:rFonts w:cs="Arial"/>
        </w:rPr>
        <w:t>et</w:t>
      </w:r>
      <w:r w:rsidR="00FC7D53" w:rsidRPr="00535145">
        <w:rPr>
          <w:rFonts w:cs="Arial"/>
        </w:rPr>
        <w:t xml:space="preserve"> l’intention de mettre fin à un financement généreux de leurs études au Québec, par le fait qu’ils quittent la province à la fin de leurs études et par leur participation au déclin du français. </w:t>
      </w:r>
      <w:r w:rsidR="00FA4585" w:rsidRPr="00535145">
        <w:rPr>
          <w:rFonts w:cs="Arial"/>
        </w:rPr>
        <w:t>C</w:t>
      </w:r>
      <w:r w:rsidR="00FC7D53" w:rsidRPr="00535145">
        <w:rPr>
          <w:rFonts w:cs="Arial"/>
        </w:rPr>
        <w:t>es prémisses s’avèrent non fondées</w:t>
      </w:r>
      <w:r w:rsidR="00D0004C" w:rsidRPr="00535145">
        <w:rPr>
          <w:rFonts w:cs="Arial"/>
        </w:rPr>
        <w:t>,</w:t>
      </w:r>
      <w:r w:rsidR="00FC7D53" w:rsidRPr="00535145">
        <w:rPr>
          <w:rFonts w:cs="Arial"/>
        </w:rPr>
        <w:t xml:space="preserve"> comme illustré plus haut.</w:t>
      </w:r>
      <w:r w:rsidR="00FA4585" w:rsidRPr="00535145">
        <w:rPr>
          <w:rFonts w:cs="Arial"/>
        </w:rPr>
        <w:t xml:space="preserve"> De plus, leur interrelation soulève des incohérences.</w:t>
      </w:r>
    </w:p>
    <w:p w14:paraId="034409FB" w14:textId="78F606D8" w:rsidR="00A11B29" w:rsidRPr="00512CF1" w:rsidRDefault="00C8520B" w:rsidP="00A5151E">
      <w:pPr>
        <w:pStyle w:val="Paragraphe"/>
        <w:tabs>
          <w:tab w:val="clear" w:pos="2204"/>
        </w:tabs>
        <w:spacing w:line="240" w:lineRule="auto"/>
        <w:ind w:left="0"/>
      </w:pPr>
      <w:r w:rsidRPr="00512CF1">
        <w:t>Si, comme l’avance l</w:t>
      </w:r>
      <w:r w:rsidR="00801FEA" w:rsidRPr="00512CF1">
        <w:t xml:space="preserve">a Ministre </w:t>
      </w:r>
      <w:r w:rsidRPr="00512CF1">
        <w:t xml:space="preserve">sans </w:t>
      </w:r>
      <w:r w:rsidR="00801FEA" w:rsidRPr="00512CF1">
        <w:t xml:space="preserve">données objectives </w:t>
      </w:r>
      <w:r w:rsidRPr="00512CF1">
        <w:t xml:space="preserve">à l’appui, la présence d’étudiants provenant </w:t>
      </w:r>
      <w:r w:rsidR="00FC7D53" w:rsidRPr="00512CF1">
        <w:t xml:space="preserve">du reste du Canada </w:t>
      </w:r>
      <w:r w:rsidRPr="00512CF1">
        <w:t xml:space="preserve">constitue une menace à la survie du français du fait de leur absence d’intégration à la société québécoise, pourquoi </w:t>
      </w:r>
      <w:r w:rsidR="003617DC" w:rsidRPr="00512CF1">
        <w:t xml:space="preserve">alors, du même souffle, </w:t>
      </w:r>
      <w:r w:rsidR="00FC7D53" w:rsidRPr="00512CF1">
        <w:t>conditionne-t</w:t>
      </w:r>
      <w:r w:rsidR="003617DC" w:rsidRPr="00512CF1">
        <w:t>-</w:t>
      </w:r>
      <w:r w:rsidR="00801FEA" w:rsidRPr="00512CF1">
        <w:t>el</w:t>
      </w:r>
      <w:r w:rsidR="003617DC" w:rsidRPr="00512CF1">
        <w:t>l</w:t>
      </w:r>
      <w:r w:rsidR="00801FEA" w:rsidRPr="00512CF1">
        <w:t>e</w:t>
      </w:r>
      <w:r w:rsidRPr="00512CF1">
        <w:t xml:space="preserve"> le financement des universités anglophones </w:t>
      </w:r>
      <w:r w:rsidR="00537BC1" w:rsidRPr="00512CF1">
        <w:t>à l’obligation d’acquisition de compétences en français</w:t>
      </w:r>
      <w:r w:rsidR="00FC7D53" w:rsidRPr="00512CF1">
        <w:t xml:space="preserve"> </w:t>
      </w:r>
      <w:r w:rsidRPr="00512CF1">
        <w:t>pour des étudiants qui ne restent pas au Québec après l’obtention de leurs diplômes?</w:t>
      </w:r>
    </w:p>
    <w:p w14:paraId="5DA79D4C" w14:textId="6A9AFA18" w:rsidR="009D57B3" w:rsidRPr="00535145" w:rsidRDefault="00537BC1" w:rsidP="00A5151E">
      <w:pPr>
        <w:pStyle w:val="Paragraphe"/>
        <w:tabs>
          <w:tab w:val="clear" w:pos="2204"/>
        </w:tabs>
        <w:spacing w:line="240" w:lineRule="auto"/>
        <w:ind w:left="0"/>
        <w:rPr>
          <w:rFonts w:cs="Arial"/>
        </w:rPr>
      </w:pPr>
      <w:r w:rsidRPr="00535145">
        <w:rPr>
          <w:rFonts w:cs="Arial"/>
        </w:rPr>
        <w:t xml:space="preserve">S’y ajoute une autre contradiction </w:t>
      </w:r>
      <w:r w:rsidR="001E6265" w:rsidRPr="00535145">
        <w:rPr>
          <w:rFonts w:cs="Arial"/>
        </w:rPr>
        <w:t xml:space="preserve">interne </w:t>
      </w:r>
      <w:r w:rsidRPr="00535145">
        <w:rPr>
          <w:rFonts w:cs="Arial"/>
        </w:rPr>
        <w:t xml:space="preserve">avec le principe prévu </w:t>
      </w:r>
      <w:r w:rsidR="001E6265" w:rsidRPr="00535145">
        <w:rPr>
          <w:rFonts w:cs="Arial"/>
        </w:rPr>
        <w:t>à</w:t>
      </w:r>
      <w:r w:rsidRPr="00535145">
        <w:rPr>
          <w:rFonts w:cs="Arial"/>
        </w:rPr>
        <w:t xml:space="preserve"> la même règle 3.4 des Règles budgétaires</w:t>
      </w:r>
      <w:r w:rsidR="001E6265" w:rsidRPr="00535145">
        <w:rPr>
          <w:rFonts w:cs="Arial"/>
        </w:rPr>
        <w:t>,</w:t>
      </w:r>
      <w:r w:rsidRPr="00535145">
        <w:rPr>
          <w:rFonts w:cs="Arial"/>
        </w:rPr>
        <w:t xml:space="preserve"> voulant que les étudiants CNRQ </w:t>
      </w:r>
      <w:r w:rsidRPr="00512CF1">
        <w:rPr>
          <w:i/>
        </w:rPr>
        <w:t>paient des droits de scolarité globalement comparables à ceux en vigueur dans les universités ailleurs au Canada</w:t>
      </w:r>
      <w:r w:rsidRPr="00535145">
        <w:rPr>
          <w:rStyle w:val="Appelnotedebasdep"/>
        </w:rPr>
        <w:footnoteReference w:id="154"/>
      </w:r>
      <w:r w:rsidRPr="00535145">
        <w:t>.</w:t>
      </w:r>
      <w:r w:rsidR="00535145" w:rsidRPr="00535145">
        <w:t xml:space="preserve"> </w:t>
      </w:r>
      <w:r w:rsidR="00F113A5" w:rsidRPr="00535145">
        <w:rPr>
          <w:rFonts w:cs="Arial"/>
        </w:rPr>
        <w:t xml:space="preserve">S’il est loisible à la Ministre d’établir pour les étudiants CNRQ les mêmes droits de scolarité </w:t>
      </w:r>
      <w:r w:rsidR="00CD55F1" w:rsidRPr="00535145">
        <w:rPr>
          <w:rFonts w:cs="Arial"/>
        </w:rPr>
        <w:t>indistinctement du</w:t>
      </w:r>
      <w:r w:rsidR="00F113A5" w:rsidRPr="00535145">
        <w:rPr>
          <w:rFonts w:cs="Arial"/>
        </w:rPr>
        <w:t xml:space="preserve"> programme offert au Québec</w:t>
      </w:r>
      <w:r w:rsidR="00F113A5" w:rsidRPr="00535145">
        <w:rPr>
          <w:rStyle w:val="Appelnotedebasdep"/>
          <w:rFonts w:cs="Arial"/>
        </w:rPr>
        <w:footnoteReference w:id="155"/>
      </w:r>
      <w:r w:rsidR="00F113A5" w:rsidRPr="00535145">
        <w:rPr>
          <w:rFonts w:cs="Arial"/>
        </w:rPr>
        <w:t xml:space="preserve"> et de rejeter la proposition des universités anglophones de </w:t>
      </w:r>
      <w:r w:rsidR="00CD55F1" w:rsidRPr="00535145">
        <w:rPr>
          <w:rFonts w:cs="Arial"/>
        </w:rPr>
        <w:t xml:space="preserve">les </w:t>
      </w:r>
      <w:r w:rsidR="00F113A5" w:rsidRPr="00535145">
        <w:rPr>
          <w:rFonts w:cs="Arial"/>
        </w:rPr>
        <w:t>moduler</w:t>
      </w:r>
      <w:r w:rsidR="00CD55F1" w:rsidRPr="00535145">
        <w:rPr>
          <w:rFonts w:cs="Arial"/>
        </w:rPr>
        <w:t xml:space="preserve"> en fonction de la nature du programme à l’instar des autres universités canadiennes, il n’en demeure pas moins que selon la nouvelle tarification, les droits de scolarité pour certains programmes, dont plusieurs de Concordia</w:t>
      </w:r>
      <w:r w:rsidR="00CD55F1" w:rsidRPr="00535145">
        <w:rPr>
          <w:rStyle w:val="Appelnotedebasdep"/>
          <w:rFonts w:cs="Arial"/>
        </w:rPr>
        <w:footnoteReference w:id="156"/>
      </w:r>
      <w:r w:rsidR="00CD55F1" w:rsidRPr="00535145">
        <w:rPr>
          <w:rFonts w:cs="Arial"/>
        </w:rPr>
        <w:t xml:space="preserve">, </w:t>
      </w:r>
      <w:r w:rsidR="00D954CF" w:rsidRPr="00535145">
        <w:rPr>
          <w:rFonts w:cs="Arial"/>
        </w:rPr>
        <w:t>sont nettement supérieurs</w:t>
      </w:r>
      <w:r w:rsidR="004F5FE0" w:rsidRPr="00535145">
        <w:rPr>
          <w:rFonts w:cs="Arial"/>
        </w:rPr>
        <w:t xml:space="preserve"> à ceux exigés par les universités canadiennes pour les mêmes programmes d’études, </w:t>
      </w:r>
      <w:r w:rsidR="00D954CF" w:rsidRPr="00535145">
        <w:rPr>
          <w:rFonts w:cs="Arial"/>
        </w:rPr>
        <w:t xml:space="preserve">et rendent les universités anglophones </w:t>
      </w:r>
      <w:r w:rsidR="004F5FE0" w:rsidRPr="00535145">
        <w:rPr>
          <w:rFonts w:cs="Arial"/>
        </w:rPr>
        <w:t xml:space="preserve">du Québec </w:t>
      </w:r>
      <w:r w:rsidR="00D954CF" w:rsidRPr="00535145">
        <w:rPr>
          <w:rFonts w:cs="Arial"/>
        </w:rPr>
        <w:t>moins accessible</w:t>
      </w:r>
      <w:r w:rsidR="004F5FE0" w:rsidRPr="00535145">
        <w:rPr>
          <w:rFonts w:cs="Arial"/>
        </w:rPr>
        <w:t>s</w:t>
      </w:r>
      <w:r w:rsidR="00D954CF" w:rsidRPr="00535145">
        <w:rPr>
          <w:rFonts w:cs="Arial"/>
        </w:rPr>
        <w:t xml:space="preserve">. C’est d’ailleurs la raison pour laquelle le CCAFÉ </w:t>
      </w:r>
      <w:r w:rsidR="002A4B12" w:rsidRPr="00535145">
        <w:rPr>
          <w:rFonts w:cs="Arial"/>
        </w:rPr>
        <w:t xml:space="preserve">émet </w:t>
      </w:r>
      <w:r w:rsidR="00D954CF" w:rsidRPr="00535145">
        <w:rPr>
          <w:rFonts w:cs="Arial"/>
        </w:rPr>
        <w:t xml:space="preserve">un avis défavorable </w:t>
      </w:r>
      <w:r w:rsidR="002A4B12" w:rsidRPr="00535145">
        <w:rPr>
          <w:rFonts w:cs="Arial"/>
        </w:rPr>
        <w:t>à cet égard :</w:t>
      </w:r>
    </w:p>
    <w:p w14:paraId="73C37237" w14:textId="633D9CE9" w:rsidR="0015560E" w:rsidRPr="00535145" w:rsidRDefault="0015560E" w:rsidP="0015560E">
      <w:pPr>
        <w:pStyle w:val="Citationenretrait"/>
      </w:pPr>
      <w:r w:rsidRPr="00535145">
        <w:t>Dorénavant, avec les modifications proposées dans l’avis, les droits de scolarité pour les étudiantes et étudiants CNRQ passeront de 8</w:t>
      </w:r>
      <w:r w:rsidR="00183D2B">
        <w:t> </w:t>
      </w:r>
      <w:r w:rsidRPr="00535145">
        <w:t>992</w:t>
      </w:r>
      <w:r w:rsidR="00183D2B">
        <w:t> </w:t>
      </w:r>
      <w:r w:rsidRPr="00535145">
        <w:t>$ à 12</w:t>
      </w:r>
      <w:r w:rsidR="00183D2B">
        <w:t> </w:t>
      </w:r>
      <w:r w:rsidRPr="00535145">
        <w:t>000</w:t>
      </w:r>
      <w:r w:rsidR="00183D2B">
        <w:t> </w:t>
      </w:r>
      <w:r w:rsidRPr="00535145">
        <w:t>$ minimum + indexation dès l’automne 2024, soit une hausse de 33</w:t>
      </w:r>
      <w:r w:rsidR="00183D2B">
        <w:t> </w:t>
      </w:r>
      <w:r w:rsidRPr="00535145">
        <w:t>%. Le Comité s’interroge sur l’établissement de ce montant. Il aurait souhaité avoir plus de détails concernant le rationnel sur lequel repose l’établissement de ce nouveau tarif.</w:t>
      </w:r>
    </w:p>
    <w:p w14:paraId="7318E3EE" w14:textId="49FC4117" w:rsidR="0015560E" w:rsidRPr="00535145" w:rsidRDefault="0015560E" w:rsidP="0015560E">
      <w:pPr>
        <w:pStyle w:val="Citationenretrait"/>
      </w:pPr>
      <w:r w:rsidRPr="00535145">
        <w:t>Dans des avis passés, le Comité encourageait le Ministère à renouer avec la méthode qu’il utilisait avant 2020 pour fixer les droits des étudiants canadiens non-résidents du Québec (CNRQ). Cette méthode apparaissait plus adéquate puisque, dans l’ensemble, elle permettait de déterminer des droits totaux se rapprochant de ceux observés en moyenne dans les autres provinces canadiennes. Au cours des dernières années, le Comité avait malheureusement observé un écart grandissant. Cette nouvelle politique de tarification va augmenter encore davantage les écarts entre les provinces du Canada et le Québec.</w:t>
      </w:r>
    </w:p>
    <w:p w14:paraId="2C7F3E68" w14:textId="25E02FD5" w:rsidR="0015560E" w:rsidRPr="00535145" w:rsidRDefault="0015560E" w:rsidP="0015560E">
      <w:pPr>
        <w:pStyle w:val="Citationenretrait"/>
      </w:pPr>
      <w:r w:rsidRPr="00535145">
        <w:t>[…]</w:t>
      </w:r>
    </w:p>
    <w:p w14:paraId="0895F112" w14:textId="7E1B1DA3" w:rsidR="00175E01" w:rsidRPr="00535145" w:rsidRDefault="00175E01" w:rsidP="0015560E">
      <w:pPr>
        <w:pStyle w:val="Citationenretrait"/>
      </w:pPr>
      <w:r w:rsidRPr="00535145">
        <w:t>Selon le Comité, cette décision d'augmenter les droits de scolarité pour les Canadiens non-résidents du Québec semble peu justifiée et risque de compromettre l'accès à une éducation de qualité et de priver la société de talents potentiels. Le Comité invite à réévaluer cette tarification pour préserver l'égalité des chances et favoriser un environnement éducatif inclusif et diversifié.</w:t>
      </w:r>
    </w:p>
    <w:p w14:paraId="2F20896E" w14:textId="03C96D34" w:rsidR="00175E01" w:rsidRPr="00535145" w:rsidRDefault="00175E01" w:rsidP="0015560E">
      <w:pPr>
        <w:pStyle w:val="Citationenretrait"/>
      </w:pPr>
      <w:r w:rsidRPr="00535145">
        <w:t>Bien que la nécessité de financer l'éducation soit indiscutable, il est impératif de trouver des solutions qui n'affectent pas négativement l'accessibilité, la diversité et l'attrait des institutions éducatives québécoises.</w:t>
      </w:r>
    </w:p>
    <w:p w14:paraId="19DB2F20" w14:textId="1CCCB188" w:rsidR="00D954CF" w:rsidRPr="00535145" w:rsidRDefault="00D954CF" w:rsidP="00D954CF">
      <w:pPr>
        <w:pStyle w:val="Citationenretrait"/>
      </w:pPr>
      <w:r w:rsidRPr="00535145">
        <w:t xml:space="preserve">Par conséquent, le Comité émet un </w:t>
      </w:r>
      <w:r w:rsidRPr="00535145">
        <w:rPr>
          <w:b/>
          <w:bCs/>
        </w:rPr>
        <w:t xml:space="preserve">avis défavorable </w:t>
      </w:r>
      <w:r w:rsidRPr="00535145">
        <w:t>par rapport à la nouvelle tarification pour les CNRQ parce qu’il estime que le principe qui prévalait avant le recours à l'indexation de fixer les droits en fonction de la moyenne des droits au Canada n’est pas respecté et que l’augmentation prévue aura un impact sur l’accessibilité financière.</w:t>
      </w:r>
      <w:r w:rsidR="002A4B12" w:rsidRPr="00535145">
        <w:t xml:space="preserve"> […]</w:t>
      </w:r>
      <w:r w:rsidRPr="00535145">
        <w:rPr>
          <w:rStyle w:val="Appelnotedebasdep"/>
        </w:rPr>
        <w:footnoteReference w:id="157"/>
      </w:r>
    </w:p>
    <w:p w14:paraId="0C4BA0AA" w14:textId="2EE41A9C" w:rsidR="00C8520B" w:rsidRPr="00535145" w:rsidRDefault="009513A8" w:rsidP="00A5151E">
      <w:pPr>
        <w:pStyle w:val="Paragraphe"/>
        <w:tabs>
          <w:tab w:val="clear" w:pos="2204"/>
        </w:tabs>
        <w:spacing w:line="240" w:lineRule="auto"/>
        <w:ind w:left="0"/>
        <w:rPr>
          <w:rFonts w:cs="Arial"/>
        </w:rPr>
      </w:pPr>
      <w:r w:rsidRPr="00535145">
        <w:rPr>
          <w:rFonts w:cs="Arial"/>
        </w:rPr>
        <w:t xml:space="preserve">De même, </w:t>
      </w:r>
      <w:r w:rsidR="00535145">
        <w:rPr>
          <w:rFonts w:cs="Arial"/>
        </w:rPr>
        <w:t xml:space="preserve">la Ministre explique </w:t>
      </w:r>
      <w:r w:rsidRPr="00535145">
        <w:rPr>
          <w:rFonts w:cs="Arial"/>
        </w:rPr>
        <w:t xml:space="preserve">la règle de l’obligation de l’acquisition de compétences en français </w:t>
      </w:r>
      <w:r w:rsidR="00122A0B">
        <w:rPr>
          <w:rFonts w:cs="Arial"/>
        </w:rPr>
        <w:t>à hauteur de 80</w:t>
      </w:r>
      <w:r w:rsidR="00512CF1">
        <w:rPr>
          <w:rFonts w:cs="Arial"/>
        </w:rPr>
        <w:t> </w:t>
      </w:r>
      <w:r w:rsidR="00122A0B">
        <w:rPr>
          <w:rFonts w:cs="Arial"/>
        </w:rPr>
        <w:t xml:space="preserve">% de chaque cohorte universitaire </w:t>
      </w:r>
      <w:r w:rsidRPr="00535145">
        <w:rPr>
          <w:rFonts w:cs="Arial"/>
        </w:rPr>
        <w:t>par la nécessité de mieux intégrer les étudiants non québécois</w:t>
      </w:r>
      <w:r w:rsidR="00DC29DE" w:rsidRPr="00535145">
        <w:rPr>
          <w:rFonts w:cs="Arial"/>
        </w:rPr>
        <w:t xml:space="preserve"> de </w:t>
      </w:r>
      <w:r w:rsidR="00DD515E">
        <w:rPr>
          <w:rFonts w:cs="Arial"/>
        </w:rPr>
        <w:t>1</w:t>
      </w:r>
      <w:r w:rsidR="00DD515E" w:rsidRPr="00DD515E">
        <w:rPr>
          <w:rFonts w:cs="Arial"/>
          <w:vertAlign w:val="superscript"/>
        </w:rPr>
        <w:t>er</w:t>
      </w:r>
      <w:r w:rsidR="00DD515E">
        <w:rPr>
          <w:rFonts w:cs="Arial"/>
        </w:rPr>
        <w:t xml:space="preserve"> </w:t>
      </w:r>
      <w:r w:rsidR="00DC29DE" w:rsidRPr="00535145">
        <w:rPr>
          <w:rFonts w:cs="Arial"/>
        </w:rPr>
        <w:t>cycle</w:t>
      </w:r>
      <w:r w:rsidRPr="00535145">
        <w:rPr>
          <w:rFonts w:cs="Arial"/>
        </w:rPr>
        <w:t xml:space="preserve"> </w:t>
      </w:r>
      <w:r w:rsidR="00CF3332" w:rsidRPr="00535145">
        <w:rPr>
          <w:rFonts w:cs="Arial"/>
        </w:rPr>
        <w:t>à notre société et freiner l’érosion du français</w:t>
      </w:r>
      <w:r w:rsidRPr="00535145">
        <w:rPr>
          <w:rFonts w:cs="Arial"/>
        </w:rPr>
        <w:t xml:space="preserve">. </w:t>
      </w:r>
      <w:r w:rsidR="003617DC" w:rsidRPr="00535145">
        <w:rPr>
          <w:rFonts w:cs="Arial"/>
        </w:rPr>
        <w:t>Ici encore, la pauvreté de la preuve, pour ne pas dire son absence, ne permet pas de donner raison au PGQ sur ce point.</w:t>
      </w:r>
    </w:p>
    <w:p w14:paraId="127A14E8" w14:textId="77777777" w:rsidR="00F03E44" w:rsidRPr="006B6FBB" w:rsidRDefault="00F03E44" w:rsidP="00DD515E">
      <w:pPr>
        <w:pStyle w:val="Paragraphe"/>
        <w:keepNext/>
        <w:numPr>
          <w:ilvl w:val="0"/>
          <w:numId w:val="6"/>
        </w:numPr>
        <w:spacing w:line="240" w:lineRule="auto"/>
        <w:ind w:left="1800"/>
        <w:rPr>
          <w:u w:val="single"/>
        </w:rPr>
      </w:pPr>
      <w:r w:rsidRPr="006B6FBB">
        <w:rPr>
          <w:u w:val="single"/>
        </w:rPr>
        <w:t xml:space="preserve">La charte constitutive de </w:t>
      </w:r>
      <w:r w:rsidR="003131E2" w:rsidRPr="006B6FBB">
        <w:rPr>
          <w:u w:val="single"/>
        </w:rPr>
        <w:t>McGill</w:t>
      </w:r>
      <w:r w:rsidR="006E58BF" w:rsidRPr="006B6FBB">
        <w:rPr>
          <w:u w:val="single"/>
        </w:rPr>
        <w:t xml:space="preserve"> et son autonomie académique</w:t>
      </w:r>
    </w:p>
    <w:p w14:paraId="7080CF63" w14:textId="4C0B8692" w:rsidR="00F03E44" w:rsidRPr="00725EC2" w:rsidRDefault="00F03E44" w:rsidP="002D7B24">
      <w:pPr>
        <w:pStyle w:val="Paragraphe"/>
        <w:keepNext/>
        <w:tabs>
          <w:tab w:val="clear" w:pos="2204"/>
        </w:tabs>
        <w:spacing w:line="240" w:lineRule="auto"/>
        <w:ind w:left="0"/>
        <w:rPr>
          <w:bCs/>
          <w:spacing w:val="-4"/>
          <w:szCs w:val="24"/>
        </w:rPr>
      </w:pPr>
      <w:r w:rsidRPr="00725EC2">
        <w:t>McGill fait appel à ses racines. Elle rappelle son origine, elle qui voit le jour par l’avènement de la Charte royale de 1821</w:t>
      </w:r>
      <w:r w:rsidRPr="00725EC2">
        <w:rPr>
          <w:rStyle w:val="Appelnotedebasdep"/>
        </w:rPr>
        <w:footnoteReference w:id="158"/>
      </w:r>
      <w:r w:rsidRPr="00725EC2">
        <w:t xml:space="preserve"> </w:t>
      </w:r>
      <w:r w:rsidR="00944E4B" w:rsidRPr="00725EC2">
        <w:t xml:space="preserve">modifiée par </w:t>
      </w:r>
      <w:r w:rsidRPr="00725EC2">
        <w:t>celle de 1852</w:t>
      </w:r>
      <w:r w:rsidRPr="00725EC2">
        <w:rPr>
          <w:rStyle w:val="Appelnotedebasdep"/>
        </w:rPr>
        <w:footnoteReference w:id="159"/>
      </w:r>
      <w:r w:rsidRPr="00725EC2">
        <w:t xml:space="preserve">. La première comporte des garanties substantielles en matière de liberté académique, que réaffirme </w:t>
      </w:r>
      <w:r w:rsidR="004A1178" w:rsidRPr="00725EC2">
        <w:t xml:space="preserve">la </w:t>
      </w:r>
      <w:r w:rsidRPr="00725EC2">
        <w:t xml:space="preserve">seconde. </w:t>
      </w:r>
      <w:r w:rsidRPr="00725EC2">
        <w:rPr>
          <w:rFonts w:cs="Arial"/>
        </w:rPr>
        <w:t>La</w:t>
      </w:r>
      <w:r w:rsidRPr="00725EC2">
        <w:rPr>
          <w:bCs/>
          <w:spacing w:val="-4"/>
          <w:szCs w:val="24"/>
        </w:rPr>
        <w:t xml:space="preserve"> charte de McGill, comme toutes les chartes royales, découle de l’exercice de la prérogative royale</w:t>
      </w:r>
      <w:r w:rsidRPr="00725EC2">
        <w:rPr>
          <w:rStyle w:val="Appelnotedebasdep"/>
          <w:bCs/>
          <w:spacing w:val="-4"/>
          <w:szCs w:val="24"/>
        </w:rPr>
        <w:footnoteReference w:id="160"/>
      </w:r>
      <w:r w:rsidRPr="00725EC2">
        <w:rPr>
          <w:bCs/>
          <w:spacing w:val="-4"/>
          <w:szCs w:val="24"/>
        </w:rPr>
        <w:t xml:space="preserve">. Or, ni la prérogative royale ni les droits découlant de son exercice n’ont été affectés par la </w:t>
      </w:r>
      <w:r w:rsidR="004A1178" w:rsidRPr="00725EC2">
        <w:rPr>
          <w:bCs/>
          <w:spacing w:val="-4"/>
          <w:szCs w:val="24"/>
        </w:rPr>
        <w:t xml:space="preserve">naissance de la </w:t>
      </w:r>
      <w:r w:rsidRPr="00725EC2">
        <w:rPr>
          <w:bCs/>
          <w:spacing w:val="-4"/>
          <w:szCs w:val="24"/>
        </w:rPr>
        <w:t>Confédération</w:t>
      </w:r>
      <w:r w:rsidRPr="00725EC2">
        <w:rPr>
          <w:rStyle w:val="Appelnotedebasdep"/>
          <w:bCs/>
          <w:spacing w:val="-4"/>
          <w:szCs w:val="24"/>
        </w:rPr>
        <w:footnoteReference w:id="161"/>
      </w:r>
      <w:r w:rsidRPr="00725EC2">
        <w:rPr>
          <w:bCs/>
          <w:spacing w:val="-4"/>
          <w:szCs w:val="24"/>
        </w:rPr>
        <w:t xml:space="preserve">. C’est pourquoi les tribunaux reconnaissent la valeur juridique et l’effet contraignant de la </w:t>
      </w:r>
      <w:r w:rsidR="00DD515E">
        <w:rPr>
          <w:bCs/>
          <w:spacing w:val="-4"/>
          <w:szCs w:val="24"/>
        </w:rPr>
        <w:t>C</w:t>
      </w:r>
      <w:r w:rsidRPr="00725EC2">
        <w:rPr>
          <w:bCs/>
          <w:spacing w:val="-4"/>
          <w:szCs w:val="24"/>
        </w:rPr>
        <w:t>harte royale de McGill</w:t>
      </w:r>
      <w:r w:rsidRPr="00725EC2">
        <w:rPr>
          <w:bCs/>
          <w:spacing w:val="-4"/>
          <w:szCs w:val="24"/>
          <w:vertAlign w:val="superscript"/>
        </w:rPr>
        <w:footnoteReference w:id="162"/>
      </w:r>
      <w:r w:rsidRPr="00725EC2">
        <w:rPr>
          <w:bCs/>
          <w:spacing w:val="-4"/>
          <w:szCs w:val="24"/>
        </w:rPr>
        <w:t xml:space="preserve"> comme celles d’autres universités au Canada</w:t>
      </w:r>
      <w:r w:rsidRPr="00725EC2">
        <w:rPr>
          <w:rStyle w:val="Appelnotedebasdep"/>
          <w:bCs/>
          <w:spacing w:val="-4"/>
          <w:szCs w:val="24"/>
        </w:rPr>
        <w:footnoteReference w:id="163"/>
      </w:r>
      <w:r w:rsidRPr="00725EC2">
        <w:rPr>
          <w:bCs/>
          <w:spacing w:val="-4"/>
          <w:szCs w:val="24"/>
        </w:rPr>
        <w:t>.</w:t>
      </w:r>
    </w:p>
    <w:p w14:paraId="18A0F145" w14:textId="77777777" w:rsidR="00F03E44" w:rsidRPr="00725EC2" w:rsidRDefault="00F03E44" w:rsidP="00A5151E">
      <w:pPr>
        <w:pStyle w:val="Paragraphe"/>
        <w:tabs>
          <w:tab w:val="clear" w:pos="2204"/>
        </w:tabs>
        <w:spacing w:line="240" w:lineRule="auto"/>
        <w:ind w:left="0"/>
        <w:rPr>
          <w:b/>
          <w:bCs/>
          <w:caps/>
          <w:spacing w:val="-4"/>
          <w:szCs w:val="24"/>
        </w:rPr>
      </w:pPr>
      <w:r w:rsidRPr="00725EC2">
        <w:t>Ces prémisses établies, McGill affirme que la Règle d</w:t>
      </w:r>
      <w:r w:rsidR="00AD184A" w:rsidRPr="00725EC2">
        <w:t xml:space="preserve">’acquisition de compétences en français </w:t>
      </w:r>
      <w:r w:rsidRPr="00725EC2">
        <w:t>s’avère illégale envers elle et imposée sans droit au moyen d’une décision administrative</w:t>
      </w:r>
      <w:r w:rsidRPr="00725EC2">
        <w:rPr>
          <w:rFonts w:cstheme="minorBidi"/>
          <w:vertAlign w:val="superscript"/>
        </w:rPr>
        <w:footnoteReference w:id="164"/>
      </w:r>
      <w:r w:rsidRPr="00725EC2">
        <w:t xml:space="preserve">, puisque le </w:t>
      </w:r>
      <w:r w:rsidRPr="00725EC2">
        <w:rPr>
          <w:bCs/>
          <w:spacing w:val="-4"/>
          <w:szCs w:val="24"/>
        </w:rPr>
        <w:t>gouvernement ne peut interférer avec sa liberté académique que par l’entremise d’une loi ou d’un règlement</w:t>
      </w:r>
      <w:r w:rsidRPr="00725EC2">
        <w:rPr>
          <w:rStyle w:val="Appelnotedebasdep"/>
          <w:bCs/>
          <w:spacing w:val="-4"/>
          <w:szCs w:val="24"/>
        </w:rPr>
        <w:footnoteReference w:id="165"/>
      </w:r>
      <w:r w:rsidRPr="00725EC2">
        <w:rPr>
          <w:bCs/>
          <w:spacing w:val="-4"/>
          <w:szCs w:val="24"/>
        </w:rPr>
        <w:t>. Or, les Règles budgétaires, de simples directives, ne sont ni un ni l’autre</w:t>
      </w:r>
      <w:r w:rsidRPr="00725EC2">
        <w:rPr>
          <w:rStyle w:val="Appelnotedebasdep"/>
          <w:bCs/>
          <w:spacing w:val="-4"/>
          <w:szCs w:val="24"/>
        </w:rPr>
        <w:footnoteReference w:id="166"/>
      </w:r>
      <w:r w:rsidRPr="00725EC2">
        <w:rPr>
          <w:bCs/>
          <w:spacing w:val="-4"/>
          <w:szCs w:val="24"/>
        </w:rPr>
        <w:t>.</w:t>
      </w:r>
    </w:p>
    <w:p w14:paraId="7154918C" w14:textId="77777777" w:rsidR="00AB4107" w:rsidRPr="0027456B" w:rsidRDefault="00AB4107" w:rsidP="00A5151E">
      <w:pPr>
        <w:pStyle w:val="Paragraphe"/>
        <w:tabs>
          <w:tab w:val="clear" w:pos="2204"/>
        </w:tabs>
        <w:spacing w:line="240" w:lineRule="auto"/>
        <w:ind w:left="0"/>
        <w:rPr>
          <w:rFonts w:eastAsia="Arial"/>
        </w:rPr>
      </w:pPr>
      <w:r w:rsidRPr="0027456B">
        <w:rPr>
          <w:rFonts w:eastAsia="Arial"/>
        </w:rPr>
        <w:t>Le Tribunal rejette ces prétentions.</w:t>
      </w:r>
    </w:p>
    <w:p w14:paraId="42C5D267" w14:textId="77777777" w:rsidR="006E58BF" w:rsidRPr="00725EC2" w:rsidRDefault="001320D2" w:rsidP="00A5151E">
      <w:pPr>
        <w:pStyle w:val="Paragraphe"/>
        <w:tabs>
          <w:tab w:val="clear" w:pos="2204"/>
        </w:tabs>
        <w:spacing w:line="240" w:lineRule="auto"/>
        <w:ind w:left="0"/>
        <w:rPr>
          <w:rFonts w:eastAsia="Arial"/>
        </w:rPr>
      </w:pPr>
      <w:r w:rsidRPr="00725EC2">
        <w:rPr>
          <w:rFonts w:eastAsia="Arial"/>
        </w:rPr>
        <w:t>D’abord, comme le souligne le PGQ, la Règle d’acquisition de</w:t>
      </w:r>
      <w:r w:rsidR="006E58BF" w:rsidRPr="00725EC2">
        <w:rPr>
          <w:rFonts w:eastAsia="Arial"/>
        </w:rPr>
        <w:t xml:space="preserve"> compétences </w:t>
      </w:r>
      <w:r w:rsidR="00801FEA" w:rsidRPr="00725EC2">
        <w:rPr>
          <w:rFonts w:eastAsia="Arial"/>
        </w:rPr>
        <w:t xml:space="preserve">en français </w:t>
      </w:r>
      <w:r w:rsidR="006E58BF" w:rsidRPr="00725EC2">
        <w:rPr>
          <w:rFonts w:eastAsia="Arial"/>
        </w:rPr>
        <w:t xml:space="preserve">ne prévoit pas la </w:t>
      </w:r>
      <w:r w:rsidR="006E58BF" w:rsidRPr="00725EC2">
        <w:rPr>
          <w:rFonts w:eastAsia="Arial"/>
          <w:i/>
          <w:iCs/>
        </w:rPr>
        <w:t>manière</w:t>
      </w:r>
      <w:r w:rsidR="006E58BF" w:rsidRPr="00725EC2">
        <w:rPr>
          <w:rFonts w:eastAsia="Arial"/>
        </w:rPr>
        <w:t xml:space="preserve"> dont la cible de 80</w:t>
      </w:r>
      <w:r w:rsidR="007847AF" w:rsidRPr="00725EC2">
        <w:rPr>
          <w:rFonts w:eastAsia="Arial"/>
        </w:rPr>
        <w:t> </w:t>
      </w:r>
      <w:r w:rsidR="006E58BF" w:rsidRPr="00725EC2">
        <w:rPr>
          <w:rFonts w:eastAsia="Arial"/>
        </w:rPr>
        <w:t xml:space="preserve">% doit être atteinte et </w:t>
      </w:r>
      <w:r w:rsidR="006E58BF" w:rsidRPr="00725EC2">
        <w:rPr>
          <w:rFonts w:eastAsia="Arial"/>
          <w:i/>
          <w:iCs/>
        </w:rPr>
        <w:t>ne constitue pas</w:t>
      </w:r>
      <w:r w:rsidR="006E58BF" w:rsidRPr="00725EC2">
        <w:rPr>
          <w:rFonts w:eastAsia="Arial"/>
        </w:rPr>
        <w:t xml:space="preserve"> une condition de diplomation pour les </w:t>
      </w:r>
      <w:r w:rsidR="006E58BF" w:rsidRPr="00725EC2">
        <w:t>étudiants. Il revient donc aux établissements</w:t>
      </w:r>
      <w:r w:rsidR="002A5039" w:rsidRPr="00725EC2">
        <w:t>, en collaboration avec le Ministère,</w:t>
      </w:r>
      <w:r w:rsidR="006E58BF" w:rsidRPr="00725EC2">
        <w:t xml:space="preserve"> de mettre en place les activités qui</w:t>
      </w:r>
      <w:r w:rsidR="006E58BF" w:rsidRPr="00725EC2">
        <w:rPr>
          <w:rFonts w:eastAsia="Arial"/>
        </w:rPr>
        <w:t xml:space="preserve"> favoriseront l’atteinte de la cible. La mise en œuvre de l’orientation ministérielle par les établissements permet</w:t>
      </w:r>
      <w:r w:rsidR="002A5039" w:rsidRPr="00725EC2">
        <w:rPr>
          <w:rFonts w:eastAsia="Arial"/>
        </w:rPr>
        <w:t>trait en principe</w:t>
      </w:r>
      <w:r w:rsidR="006E58BF" w:rsidRPr="00725EC2">
        <w:rPr>
          <w:rFonts w:eastAsia="Arial"/>
        </w:rPr>
        <w:t xml:space="preserve"> de préserver l</w:t>
      </w:r>
      <w:r w:rsidR="00801FEA" w:rsidRPr="00725EC2">
        <w:rPr>
          <w:rFonts w:eastAsia="Arial"/>
        </w:rPr>
        <w:t>’</w:t>
      </w:r>
      <w:r w:rsidR="006E58BF" w:rsidRPr="00725EC2">
        <w:rPr>
          <w:rFonts w:eastAsia="Arial"/>
        </w:rPr>
        <w:t>autonomie académique</w:t>
      </w:r>
      <w:r w:rsidR="00801FEA" w:rsidRPr="00725EC2">
        <w:rPr>
          <w:rFonts w:eastAsia="Arial"/>
        </w:rPr>
        <w:t xml:space="preserve"> des universités</w:t>
      </w:r>
      <w:r w:rsidR="006E58BF" w:rsidRPr="00725EC2">
        <w:rPr>
          <w:rFonts w:eastAsia="Arial"/>
        </w:rPr>
        <w:t xml:space="preserve"> et </w:t>
      </w:r>
      <w:r w:rsidR="00F05F1F" w:rsidRPr="00725EC2">
        <w:rPr>
          <w:rFonts w:eastAsia="Arial"/>
        </w:rPr>
        <w:t xml:space="preserve">laisse indemnes les </w:t>
      </w:r>
      <w:r w:rsidR="006E58BF" w:rsidRPr="00725EC2">
        <w:rPr>
          <w:rFonts w:eastAsia="Arial"/>
        </w:rPr>
        <w:t>fondements de la Charte royale de McGill.</w:t>
      </w:r>
    </w:p>
    <w:p w14:paraId="3A258924" w14:textId="77777777" w:rsidR="006E58BF" w:rsidRPr="0027456B" w:rsidRDefault="00D03ADA" w:rsidP="00E66367">
      <w:pPr>
        <w:pStyle w:val="Paragraphe"/>
        <w:keepNext/>
        <w:tabs>
          <w:tab w:val="clear" w:pos="2204"/>
        </w:tabs>
        <w:spacing w:line="240" w:lineRule="auto"/>
        <w:ind w:left="0"/>
        <w:rPr>
          <w:rFonts w:eastAsia="Arial"/>
        </w:rPr>
      </w:pPr>
      <w:r>
        <w:rPr>
          <w:rFonts w:eastAsia="Arial"/>
        </w:rPr>
        <w:t>L</w:t>
      </w:r>
      <w:r w:rsidR="006E58BF" w:rsidRPr="0027456B">
        <w:rPr>
          <w:rFonts w:eastAsia="Arial"/>
        </w:rPr>
        <w:t>a définition d</w:t>
      </w:r>
      <w:r w:rsidR="00EC071B">
        <w:rPr>
          <w:rFonts w:eastAsia="Arial"/>
        </w:rPr>
        <w:t xml:space="preserve">e la tâche déterminée </w:t>
      </w:r>
      <w:r w:rsidR="006E58BF" w:rsidRPr="0027456B">
        <w:rPr>
          <w:rFonts w:eastAsia="Arial"/>
        </w:rPr>
        <w:t>par les participants au comité formé en vertu de la règle 2.5.2 en est le reflet :</w:t>
      </w:r>
    </w:p>
    <w:p w14:paraId="4D0B0E1B" w14:textId="77777777" w:rsidR="006E58BF" w:rsidRPr="0027456B" w:rsidRDefault="006E58BF" w:rsidP="00E66367">
      <w:pPr>
        <w:pStyle w:val="Citationenretrait"/>
        <w:keepNext/>
        <w:rPr>
          <w:rFonts w:eastAsia="Arial"/>
          <w:sz w:val="24"/>
          <w:szCs w:val="24"/>
        </w:rPr>
      </w:pPr>
      <w:r w:rsidRPr="0027456B">
        <w:rPr>
          <w:rFonts w:eastAsia="Arial"/>
        </w:rPr>
        <w:t>Il est attendu du groupe de travail que ses membres discutent des conditions et des mesures qui pourraient permettre à chacune des universités anglophones d’atteindre la cible, notamment celles nécessaires au développement et à l’évaluation des compétences en français des étudiants visés. Les discussions seront conduites dans le respect de l’autonomie des universités, notamment en matière d’enseignement, et de manière à favoriser la mise en commun des expertises.</w:t>
      </w:r>
      <w:r w:rsidRPr="0027456B">
        <w:rPr>
          <w:rStyle w:val="Appelnotedebasdep"/>
          <w:rFonts w:eastAsia="Arial" w:cs="Arial"/>
          <w:sz w:val="24"/>
          <w:szCs w:val="24"/>
        </w:rPr>
        <w:footnoteReference w:id="167"/>
      </w:r>
    </w:p>
    <w:p w14:paraId="3C290E75" w14:textId="77777777" w:rsidR="006E58BF" w:rsidRPr="0027456B" w:rsidRDefault="006E58BF" w:rsidP="00A5151E">
      <w:pPr>
        <w:pStyle w:val="Paragraphe"/>
        <w:tabs>
          <w:tab w:val="clear" w:pos="2204"/>
        </w:tabs>
        <w:spacing w:line="240" w:lineRule="auto"/>
        <w:ind w:left="0"/>
        <w:rPr>
          <w:rFonts w:eastAsia="Arial"/>
        </w:rPr>
      </w:pPr>
      <w:r w:rsidRPr="0027456B">
        <w:rPr>
          <w:rFonts w:eastAsia="Arial"/>
        </w:rPr>
        <w:t xml:space="preserve">L’étape de planification prévue </w:t>
      </w:r>
      <w:r w:rsidR="00801FEA">
        <w:rPr>
          <w:rFonts w:eastAsia="Arial"/>
        </w:rPr>
        <w:t>pour l’exercice 2</w:t>
      </w:r>
      <w:r w:rsidRPr="0027456B">
        <w:rPr>
          <w:rFonts w:eastAsia="Arial"/>
        </w:rPr>
        <w:t>024-2025 n’est cependant pas terminée</w:t>
      </w:r>
      <w:r w:rsidR="00801FEA">
        <w:rPr>
          <w:rFonts w:eastAsia="Arial"/>
        </w:rPr>
        <w:t xml:space="preserve">, selon les informations dont dispose le Tribunal, </w:t>
      </w:r>
      <w:r w:rsidRPr="0027456B">
        <w:rPr>
          <w:rFonts w:eastAsia="Arial"/>
        </w:rPr>
        <w:t>et les mesures n’ont toujours pas été établies</w:t>
      </w:r>
      <w:r w:rsidRPr="0027456B">
        <w:rPr>
          <w:rStyle w:val="Appelnotedebasdep"/>
          <w:rFonts w:eastAsia="Arial" w:cs="Arial"/>
          <w:spacing w:val="-6"/>
          <w:szCs w:val="24"/>
        </w:rPr>
        <w:footnoteReference w:id="168"/>
      </w:r>
      <w:r w:rsidRPr="0027456B">
        <w:rPr>
          <w:rFonts w:eastAsia="Arial"/>
        </w:rPr>
        <w:t xml:space="preserve">, de sorte qu’il apparaît prématuré de prétendre que la forme qu’elles prendront portera </w:t>
      </w:r>
      <w:r w:rsidR="00801FEA">
        <w:rPr>
          <w:rFonts w:eastAsia="Arial"/>
        </w:rPr>
        <w:t xml:space="preserve">nécessairement atteinte </w:t>
      </w:r>
      <w:r w:rsidRPr="0027456B">
        <w:rPr>
          <w:rFonts w:eastAsia="Arial"/>
        </w:rPr>
        <w:t xml:space="preserve">à l’autonomie universitaire des établissements </w:t>
      </w:r>
      <w:r w:rsidR="006A7604">
        <w:rPr>
          <w:rFonts w:eastAsia="Arial"/>
        </w:rPr>
        <w:t>anglophones</w:t>
      </w:r>
      <w:r w:rsidRPr="0027456B">
        <w:rPr>
          <w:rFonts w:eastAsia="Arial"/>
        </w:rPr>
        <w:t xml:space="preserve"> ou à la Charte royale de </w:t>
      </w:r>
      <w:r w:rsidRPr="0027456B">
        <w:rPr>
          <w:rFonts w:cs="Arial"/>
        </w:rPr>
        <w:t xml:space="preserve">McGill, surtout </w:t>
      </w:r>
      <w:r w:rsidR="002A5039">
        <w:rPr>
          <w:rFonts w:cs="Arial"/>
        </w:rPr>
        <w:t xml:space="preserve">si </w:t>
      </w:r>
      <w:r w:rsidR="006A7604">
        <w:rPr>
          <w:rFonts w:cs="Arial"/>
        </w:rPr>
        <w:t xml:space="preserve">les activités ou mesures de francisation émaneront </w:t>
      </w:r>
      <w:r w:rsidRPr="0027456B">
        <w:rPr>
          <w:rFonts w:cs="Arial"/>
        </w:rPr>
        <w:t xml:space="preserve">des </w:t>
      </w:r>
      <w:r w:rsidR="006A7604">
        <w:rPr>
          <w:rFonts w:cs="Arial"/>
        </w:rPr>
        <w:t>universités elles-mêmes</w:t>
      </w:r>
      <w:r w:rsidRPr="0027456B">
        <w:rPr>
          <w:rFonts w:eastAsia="Arial"/>
        </w:rPr>
        <w:t>.</w:t>
      </w:r>
    </w:p>
    <w:p w14:paraId="54074EAD" w14:textId="5D042B0D" w:rsidR="006A7604" w:rsidRPr="00725EC2" w:rsidRDefault="006E58BF" w:rsidP="006A7604">
      <w:pPr>
        <w:pStyle w:val="Paragraphe"/>
        <w:tabs>
          <w:tab w:val="num" w:pos="720"/>
        </w:tabs>
        <w:spacing w:line="240" w:lineRule="auto"/>
        <w:ind w:left="0"/>
        <w:rPr>
          <w:rFonts w:eastAsia="Arial"/>
        </w:rPr>
      </w:pPr>
      <w:r w:rsidRPr="00725EC2">
        <w:t>N’empêche, l’irrespect de la règle peut mener à un retrait complet des subventions</w:t>
      </w:r>
      <w:r w:rsidR="00AB4107" w:rsidRPr="00725EC2">
        <w:rPr>
          <w:rStyle w:val="Appelnotedebasdep"/>
        </w:rPr>
        <w:footnoteReference w:id="169"/>
      </w:r>
      <w:r w:rsidR="00AB4107" w:rsidRPr="00725EC2">
        <w:t xml:space="preserve">. </w:t>
      </w:r>
      <w:r w:rsidR="001320D2" w:rsidRPr="00725EC2">
        <w:rPr>
          <w:rFonts w:eastAsia="Arial"/>
        </w:rPr>
        <w:t>Il est vrai que, comme le prétend le PGQ, la Règle d’acquisition de</w:t>
      </w:r>
      <w:r w:rsidR="006A7604" w:rsidRPr="00725EC2">
        <w:rPr>
          <w:rFonts w:eastAsia="Arial"/>
        </w:rPr>
        <w:t xml:space="preserve"> compétences en français présente une </w:t>
      </w:r>
      <w:r w:rsidR="006A7604" w:rsidRPr="00725EC2">
        <w:rPr>
          <w:rFonts w:eastAsia="Arial"/>
          <w:i/>
          <w:iCs/>
        </w:rPr>
        <w:t>orientation</w:t>
      </w:r>
      <w:r w:rsidR="006A7604" w:rsidRPr="00725EC2">
        <w:rPr>
          <w:rFonts w:eastAsia="Arial"/>
        </w:rPr>
        <w:t xml:space="preserve"> du </w:t>
      </w:r>
      <w:r w:rsidR="006276E5" w:rsidRPr="00725EC2">
        <w:rPr>
          <w:rFonts w:eastAsia="Arial"/>
        </w:rPr>
        <w:t>M</w:t>
      </w:r>
      <w:r w:rsidR="006A7604" w:rsidRPr="00725EC2">
        <w:rPr>
          <w:rFonts w:eastAsia="Arial"/>
        </w:rPr>
        <w:t xml:space="preserve">inistère en demandant aux universités anglophones de prendre des mesures pour atteindre la cible que vise la Ministre à l’égard des étudiants non québécois inscrits </w:t>
      </w:r>
      <w:r w:rsidR="001F084E">
        <w:rPr>
          <w:rFonts w:eastAsia="Arial"/>
        </w:rPr>
        <w:t>à</w:t>
      </w:r>
      <w:r w:rsidR="00A75B01">
        <w:rPr>
          <w:rFonts w:eastAsia="Arial"/>
        </w:rPr>
        <w:t xml:space="preserve"> </w:t>
      </w:r>
      <w:r w:rsidR="006A7604" w:rsidRPr="00725EC2">
        <w:rPr>
          <w:rFonts w:eastAsia="Arial"/>
        </w:rPr>
        <w:t>des programmes en anglais.</w:t>
      </w:r>
    </w:p>
    <w:p w14:paraId="66C42791" w14:textId="3FF9CE64" w:rsidR="001320D2" w:rsidRDefault="006A7604" w:rsidP="001320D2">
      <w:pPr>
        <w:pStyle w:val="Paragraphe"/>
        <w:tabs>
          <w:tab w:val="num" w:pos="720"/>
        </w:tabs>
        <w:spacing w:line="240" w:lineRule="auto"/>
        <w:ind w:left="0"/>
        <w:rPr>
          <w:rFonts w:cs="Arial"/>
        </w:rPr>
      </w:pPr>
      <w:r>
        <w:rPr>
          <w:rFonts w:cs="Arial"/>
        </w:rPr>
        <w:t xml:space="preserve">Malgré tout, </w:t>
      </w:r>
      <w:r w:rsidRPr="00AF7F4F">
        <w:rPr>
          <w:rFonts w:cs="Arial"/>
        </w:rPr>
        <w:t>trop d’incertitude persiste à ce sujet et il faudrait une preuve plus élaborée que celle offerte dans ces dossiers pour trancher ce point. Une conclusion s’impose, toutefois, de la preuve disponible : la Ministre n’explique ni ne justifie</w:t>
      </w:r>
      <w:r>
        <w:rPr>
          <w:rFonts w:cs="Arial"/>
        </w:rPr>
        <w:t xml:space="preserve"> </w:t>
      </w:r>
      <w:r w:rsidRPr="00AF7F4F">
        <w:rPr>
          <w:rFonts w:cs="Arial"/>
        </w:rPr>
        <w:t>sa crainte pour la survie du français à l’égard d</w:t>
      </w:r>
      <w:r>
        <w:rPr>
          <w:rFonts w:cs="Arial"/>
        </w:rPr>
        <w:t xml:space="preserve">’un sous-groupe régional, plus particulièrement montréalais, </w:t>
      </w:r>
      <w:r w:rsidRPr="00AF7F4F">
        <w:rPr>
          <w:rFonts w:cs="Arial"/>
        </w:rPr>
        <w:t>d’étudiants CNRQ</w:t>
      </w:r>
      <w:r>
        <w:rPr>
          <w:rFonts w:cs="Arial"/>
        </w:rPr>
        <w:t xml:space="preserve"> ou Internationaux qui inscrits dans une université anglophone dans des programmes en anglais</w:t>
      </w:r>
      <w:r w:rsidRPr="00AF7F4F">
        <w:rPr>
          <w:rFonts w:cs="Arial"/>
        </w:rPr>
        <w:t>.</w:t>
      </w:r>
    </w:p>
    <w:p w14:paraId="2CBCC732" w14:textId="77777777" w:rsidR="006A7604" w:rsidRPr="006A7604" w:rsidRDefault="006A7604" w:rsidP="006A7604">
      <w:pPr>
        <w:pStyle w:val="Paragraphe"/>
        <w:tabs>
          <w:tab w:val="num" w:pos="720"/>
        </w:tabs>
        <w:spacing w:line="240" w:lineRule="auto"/>
        <w:ind w:left="0"/>
        <w:rPr>
          <w:rFonts w:cs="Arial"/>
        </w:rPr>
      </w:pPr>
      <w:r w:rsidRPr="006A7604">
        <w:rPr>
          <w:rFonts w:cs="Arial"/>
        </w:rPr>
        <w:t xml:space="preserve">Surtout, les universités </w:t>
      </w:r>
      <w:r>
        <w:rPr>
          <w:rFonts w:cs="Arial"/>
        </w:rPr>
        <w:t xml:space="preserve">anglophones </w:t>
      </w:r>
      <w:r w:rsidRPr="006A7604">
        <w:rPr>
          <w:rFonts w:cs="Arial"/>
        </w:rPr>
        <w:t>ont raison de redouter l’épée de Damoclès qui pend au-dessus de</w:t>
      </w:r>
      <w:r>
        <w:rPr>
          <w:rFonts w:cs="Arial"/>
        </w:rPr>
        <w:t xml:space="preserve"> leur</w:t>
      </w:r>
      <w:r w:rsidRPr="006A7604">
        <w:rPr>
          <w:rFonts w:cs="Arial"/>
        </w:rPr>
        <w:t>s têtes que constitue la menace de retrait des subventions alors que la mesure elle-même n’est pas encore complète.</w:t>
      </w:r>
    </w:p>
    <w:p w14:paraId="61329092" w14:textId="77777777" w:rsidR="006E58BF" w:rsidRPr="00725EC2" w:rsidRDefault="0027456B" w:rsidP="00432B6B">
      <w:pPr>
        <w:pStyle w:val="Paragraphe"/>
        <w:tabs>
          <w:tab w:val="clear" w:pos="2204"/>
        </w:tabs>
        <w:spacing w:line="240" w:lineRule="auto"/>
        <w:ind w:left="0"/>
      </w:pPr>
      <w:r w:rsidRPr="00725EC2">
        <w:t xml:space="preserve">En somme, </w:t>
      </w:r>
      <w:r w:rsidR="00EC3B67" w:rsidRPr="00725EC2">
        <w:t xml:space="preserve">comme indiqué plus haut, </w:t>
      </w:r>
      <w:r w:rsidR="00AB4107" w:rsidRPr="00725EC2">
        <w:t>en raison de sa grande difficulté à la respecter</w:t>
      </w:r>
      <w:r w:rsidRPr="00725EC2">
        <w:t>, de l’absence de données fiables existantes à cet égard</w:t>
      </w:r>
      <w:r w:rsidR="00AB4107" w:rsidRPr="00725EC2">
        <w:t xml:space="preserve"> et de l’importance de la pénalité potentielle</w:t>
      </w:r>
      <w:r w:rsidR="00EC071B" w:rsidRPr="00725EC2">
        <w:t>,</w:t>
      </w:r>
      <w:r w:rsidR="00AB4107" w:rsidRPr="00725EC2">
        <w:t xml:space="preserve"> </w:t>
      </w:r>
      <w:r w:rsidRPr="00725EC2">
        <w:t xml:space="preserve">la </w:t>
      </w:r>
      <w:r w:rsidR="00EC3B67" w:rsidRPr="00725EC2">
        <w:t>R</w:t>
      </w:r>
      <w:r w:rsidRPr="00725EC2">
        <w:t xml:space="preserve">ègle </w:t>
      </w:r>
      <w:r w:rsidR="00EC3B67" w:rsidRPr="00725EC2">
        <w:t xml:space="preserve">budgétaire 2.5.2 </w:t>
      </w:r>
      <w:r w:rsidRPr="00725EC2">
        <w:t>s’avère déraisonnable.</w:t>
      </w:r>
    </w:p>
    <w:p w14:paraId="280AE475" w14:textId="6B08856F" w:rsidR="00DC29DE" w:rsidRDefault="00CF3332" w:rsidP="00A5151E">
      <w:pPr>
        <w:pStyle w:val="Paragraphe"/>
        <w:tabs>
          <w:tab w:val="clear" w:pos="2204"/>
        </w:tabs>
        <w:spacing w:line="240" w:lineRule="auto"/>
        <w:ind w:left="0"/>
        <w:rPr>
          <w:rFonts w:cs="Arial"/>
        </w:rPr>
      </w:pPr>
      <w:r w:rsidRPr="00535145">
        <w:rPr>
          <w:rFonts w:cs="Arial"/>
        </w:rPr>
        <w:t>En plus d’imposer une cible de 80 % inatteignable, les objectifs mêmes de cette règle ne sont pas définis par la Ministre au moment de son adoption. Ils sont censés être précisés ultérieurement dans le cadre des travaux d’un groupe mixte formé par le Ministère et les universités anglophone</w:t>
      </w:r>
      <w:r w:rsidR="00DC29DE" w:rsidRPr="00535145">
        <w:rPr>
          <w:rFonts w:cs="Arial"/>
        </w:rPr>
        <w:t>s</w:t>
      </w:r>
      <w:r w:rsidR="00082651" w:rsidRPr="00535145">
        <w:rPr>
          <w:rStyle w:val="Appelnotedebasdep"/>
          <w:rFonts w:cs="Arial"/>
        </w:rPr>
        <w:footnoteReference w:id="170"/>
      </w:r>
      <w:r w:rsidR="00DC29DE" w:rsidRPr="00535145">
        <w:rPr>
          <w:rFonts w:cs="Arial"/>
        </w:rPr>
        <w:t xml:space="preserve">. </w:t>
      </w:r>
      <w:r w:rsidR="00082651" w:rsidRPr="00535145">
        <w:rPr>
          <w:rFonts w:cs="Arial"/>
        </w:rPr>
        <w:t>Le manque de précision</w:t>
      </w:r>
      <w:r w:rsidR="00CB5354" w:rsidRPr="00535145">
        <w:rPr>
          <w:rFonts w:cs="Arial"/>
        </w:rPr>
        <w:t xml:space="preserve"> </w:t>
      </w:r>
      <w:r w:rsidR="00082651" w:rsidRPr="00535145">
        <w:rPr>
          <w:rFonts w:cs="Arial"/>
        </w:rPr>
        <w:t xml:space="preserve">de </w:t>
      </w:r>
      <w:r w:rsidR="00CB5354" w:rsidRPr="00535145">
        <w:rPr>
          <w:rFonts w:cs="Arial"/>
        </w:rPr>
        <w:t xml:space="preserve">l’obligation de l’acquisition de compétences en français quant à ses objectifs, conditions et moyens pour atteindre </w:t>
      </w:r>
      <w:r w:rsidR="00082651" w:rsidRPr="00535145">
        <w:rPr>
          <w:rFonts w:cs="Arial"/>
        </w:rPr>
        <w:t>la</w:t>
      </w:r>
      <w:r w:rsidR="00CB5354" w:rsidRPr="00535145">
        <w:rPr>
          <w:rFonts w:cs="Arial"/>
        </w:rPr>
        <w:t xml:space="preserve"> cible </w:t>
      </w:r>
      <w:r w:rsidR="00082651" w:rsidRPr="00535145">
        <w:rPr>
          <w:rFonts w:cs="Arial"/>
        </w:rPr>
        <w:t>prévue participe au caractère déraisonnable de cette règle budgétaire dans la mesure où l</w:t>
      </w:r>
      <w:r w:rsidR="00A12648" w:rsidRPr="00535145">
        <w:rPr>
          <w:rFonts w:cs="Arial"/>
        </w:rPr>
        <w:t>’allocation de</w:t>
      </w:r>
      <w:r w:rsidR="00082651" w:rsidRPr="00535145">
        <w:rPr>
          <w:rFonts w:cs="Arial"/>
        </w:rPr>
        <w:t xml:space="preserve"> subventions</w:t>
      </w:r>
      <w:r w:rsidR="00A12648" w:rsidRPr="00535145">
        <w:rPr>
          <w:rFonts w:cs="Arial"/>
        </w:rPr>
        <w:t xml:space="preserve"> dépend de son respect.</w:t>
      </w:r>
    </w:p>
    <w:p w14:paraId="3561E6B8" w14:textId="77777777" w:rsidR="000E2F97" w:rsidRDefault="00C24410" w:rsidP="00AB192E">
      <w:pPr>
        <w:pStyle w:val="Paragraphe"/>
        <w:keepNext/>
        <w:numPr>
          <w:ilvl w:val="0"/>
          <w:numId w:val="6"/>
        </w:numPr>
        <w:spacing w:line="240" w:lineRule="auto"/>
        <w:ind w:left="1800"/>
        <w:rPr>
          <w:rFonts w:cs="Arial"/>
          <w:u w:val="single"/>
        </w:rPr>
      </w:pPr>
      <w:r w:rsidRPr="000750DD">
        <w:rPr>
          <w:rFonts w:cs="Arial"/>
          <w:u w:val="single"/>
        </w:rPr>
        <w:t xml:space="preserve">Les </w:t>
      </w:r>
      <w:r w:rsidR="000E2F97">
        <w:rPr>
          <w:rFonts w:cs="Arial"/>
          <w:u w:val="single"/>
        </w:rPr>
        <w:t>contraintes juridiques</w:t>
      </w:r>
    </w:p>
    <w:p w14:paraId="2014A26A" w14:textId="4A64D179" w:rsidR="002F38DF" w:rsidRPr="006B6FBB" w:rsidRDefault="000E2F97" w:rsidP="00AB192E">
      <w:pPr>
        <w:pStyle w:val="Paragraphe"/>
        <w:keepNext/>
        <w:numPr>
          <w:ilvl w:val="1"/>
          <w:numId w:val="6"/>
        </w:numPr>
        <w:spacing w:line="240" w:lineRule="auto"/>
        <w:ind w:left="2520"/>
      </w:pPr>
      <w:r>
        <w:rPr>
          <w:rFonts w:cs="Arial"/>
        </w:rPr>
        <w:t xml:space="preserve">Les </w:t>
      </w:r>
      <w:r w:rsidR="00C24410" w:rsidRPr="000E2F97">
        <w:rPr>
          <w:rFonts w:cs="Arial"/>
        </w:rPr>
        <w:t xml:space="preserve">objectifs de la </w:t>
      </w:r>
      <w:r w:rsidR="004708BD" w:rsidRPr="000E2F97">
        <w:rPr>
          <w:rFonts w:cs="Arial"/>
        </w:rPr>
        <w:t>LMES</w:t>
      </w:r>
    </w:p>
    <w:p w14:paraId="70EABC90" w14:textId="18BEDBDF" w:rsidR="00366DCA" w:rsidRDefault="00366DCA" w:rsidP="008A143B">
      <w:pPr>
        <w:pStyle w:val="Paragraphe"/>
        <w:keepNext/>
        <w:tabs>
          <w:tab w:val="clear" w:pos="2204"/>
        </w:tabs>
        <w:spacing w:line="240" w:lineRule="auto"/>
        <w:ind w:left="0"/>
      </w:pPr>
      <w:r>
        <w:t xml:space="preserve">Concordia plaide que la Ministre </w:t>
      </w:r>
      <w:r w:rsidR="00640D53">
        <w:t>dévie</w:t>
      </w:r>
      <w:r>
        <w:t xml:space="preserve"> de sa mission législative alors qu’elle décide de la hausse des droits de scolarité dont il s’agit. </w:t>
      </w:r>
      <w:r w:rsidR="00640D53">
        <w:t>Elle affirme que</w:t>
      </w:r>
      <w:r>
        <w:t xml:space="preserve"> la décision de la Ministre contrecarre plus particulièrement son rôle de promouvoir l’enseignement supérieur, </w:t>
      </w:r>
      <w:r w:rsidR="00FF5576">
        <w:t xml:space="preserve">de </w:t>
      </w:r>
      <w:r>
        <w:t xml:space="preserve">faire rayonner le Québec au Canada et à l’étranger et de développer des établissements d’enseignement supérieur et de veiller à la qualité des services dispensés. En effet, soutient-elle, la décision de la Ministre </w:t>
      </w:r>
      <w:r w:rsidRPr="008A0260">
        <w:rPr>
          <w:i/>
          <w:iCs/>
        </w:rPr>
        <w:t>contredit l’objet de la loi de favoriser le développement des établissements d’enseignement supérieur</w:t>
      </w:r>
      <w:r w:rsidRPr="008A0260">
        <w:rPr>
          <w:rStyle w:val="Appelnotedebasdep"/>
          <w:rFonts w:cs="Arial"/>
        </w:rPr>
        <w:footnoteReference w:id="171"/>
      </w:r>
      <w:r>
        <w:t>.</w:t>
      </w:r>
    </w:p>
    <w:p w14:paraId="06DFBEAB" w14:textId="6429381A" w:rsidR="004A2E00" w:rsidRDefault="008A0260" w:rsidP="00432B6B">
      <w:pPr>
        <w:pStyle w:val="Paragraphe"/>
        <w:tabs>
          <w:tab w:val="clear" w:pos="2204"/>
        </w:tabs>
        <w:spacing w:line="240" w:lineRule="auto"/>
        <w:ind w:left="0"/>
        <w:rPr>
          <w:rFonts w:cs="Arial"/>
        </w:rPr>
      </w:pPr>
      <w:r>
        <w:rPr>
          <w:rFonts w:cs="Arial"/>
        </w:rPr>
        <w:t xml:space="preserve">Cet argument de Concordia néglige l’importance à accorder à la </w:t>
      </w:r>
      <w:r w:rsidR="00640D53" w:rsidRPr="00944E4B">
        <w:rPr>
          <w:rFonts w:cs="Arial"/>
          <w:i/>
          <w:iCs/>
        </w:rPr>
        <w:t>Charte de</w:t>
      </w:r>
      <w:r w:rsidRPr="00944E4B">
        <w:rPr>
          <w:rFonts w:cs="Arial"/>
          <w:i/>
          <w:iCs/>
        </w:rPr>
        <w:t xml:space="preserve"> la langue française</w:t>
      </w:r>
      <w:r w:rsidR="00640D53">
        <w:rPr>
          <w:rStyle w:val="Appelnotedebasdep"/>
          <w:rFonts w:cs="Arial"/>
        </w:rPr>
        <w:footnoteReference w:id="172"/>
      </w:r>
      <w:r w:rsidR="00640D53">
        <w:rPr>
          <w:rFonts w:cs="Arial"/>
        </w:rPr>
        <w:t xml:space="preserve"> (</w:t>
      </w:r>
      <w:r w:rsidR="00640D53" w:rsidRPr="00640D53">
        <w:rPr>
          <w:rFonts w:cs="Arial"/>
          <w:b/>
          <w:bCs/>
        </w:rPr>
        <w:t>CLF</w:t>
      </w:r>
      <w:r w:rsidR="00640D53">
        <w:rPr>
          <w:rFonts w:cs="Arial"/>
        </w:rPr>
        <w:t>)</w:t>
      </w:r>
      <w:r>
        <w:rPr>
          <w:rFonts w:cs="Arial"/>
        </w:rPr>
        <w:t xml:space="preserve">. La Ministre, comme tout autre membre de l’Exécutif, doit respecter la CLF, telle que modifiée par la </w:t>
      </w:r>
      <w:r w:rsidRPr="006B6FBB">
        <w:rPr>
          <w:i/>
        </w:rPr>
        <w:t>Loi sur la langue officielle et commune au Québec, le français</w:t>
      </w:r>
      <w:r>
        <w:rPr>
          <w:rStyle w:val="Appelnotedebasdep"/>
          <w:rFonts w:cs="Arial"/>
        </w:rPr>
        <w:footnoteReference w:id="173"/>
      </w:r>
      <w:r>
        <w:rPr>
          <w:rFonts w:cs="Arial"/>
        </w:rPr>
        <w:t>.</w:t>
      </w:r>
      <w:r w:rsidR="004A2E00">
        <w:rPr>
          <w:rFonts w:cs="Arial"/>
        </w:rPr>
        <w:t xml:space="preserve"> Elle doit donc </w:t>
      </w:r>
      <w:r w:rsidR="00961680">
        <w:rPr>
          <w:rFonts w:cs="Arial"/>
        </w:rPr>
        <w:t>s’assurer d’</w:t>
      </w:r>
      <w:r w:rsidR="008F252E">
        <w:rPr>
          <w:rFonts w:cs="Arial"/>
        </w:rPr>
        <w:t>agir en fonction d</w:t>
      </w:r>
      <w:r w:rsidR="00961680">
        <w:rPr>
          <w:rFonts w:cs="Arial"/>
        </w:rPr>
        <w:t>es</w:t>
      </w:r>
      <w:r w:rsidR="004A2E00">
        <w:rPr>
          <w:rFonts w:cs="Arial"/>
        </w:rPr>
        <w:t xml:space="preserve"> principes directeurs et se soucier de la situation de la langue française dans le cadre de ses fonctions ministérielles et plus particulièrement lors de sa prise de décisions et orientations générales.</w:t>
      </w:r>
      <w:r w:rsidR="00403D3A">
        <w:rPr>
          <w:rFonts w:cs="Arial"/>
        </w:rPr>
        <w:t xml:space="preserve"> Comme le rappelle la Cour (le juge Immer, maintenant à la Cour d’appel) dans </w:t>
      </w:r>
      <w:r w:rsidR="008D2883">
        <w:rPr>
          <w:rFonts w:cs="Arial"/>
        </w:rPr>
        <w:t>l’affaire sur le bilinguisme des juges</w:t>
      </w:r>
      <w:r w:rsidR="00F35182">
        <w:rPr>
          <w:rFonts w:cs="Arial"/>
        </w:rPr>
        <w:t xml:space="preserve"> </w:t>
      </w:r>
      <w:r w:rsidR="00F26E0A">
        <w:rPr>
          <w:rFonts w:cs="Arial"/>
        </w:rPr>
        <w:t>de la Cour du Québec</w:t>
      </w:r>
      <w:r w:rsidR="00F35182">
        <w:rPr>
          <w:rFonts w:cs="Arial"/>
        </w:rPr>
        <w:t> :</w:t>
      </w:r>
    </w:p>
    <w:p w14:paraId="369DE161" w14:textId="4F690103" w:rsidR="00DD011A" w:rsidRPr="00DD011A" w:rsidRDefault="00DD011A" w:rsidP="00DD011A">
      <w:pPr>
        <w:pStyle w:val="Citationenretrait"/>
      </w:pPr>
      <w:r w:rsidRPr="006B6FBB">
        <w:t>[238]</w:t>
      </w:r>
      <w:r w:rsidR="00917A56">
        <w:tab/>
      </w:r>
      <w:r w:rsidRPr="006B6FBB">
        <w:t>Vu l’exposé qui a déjà été fait dans sur le «</w:t>
      </w:r>
      <w:r w:rsidR="006B6FBB">
        <w:t> </w:t>
      </w:r>
      <w:r w:rsidRPr="006B6FBB">
        <w:t>besoin réel et rémanent</w:t>
      </w:r>
      <w:r w:rsidR="006B6FBB">
        <w:t> </w:t>
      </w:r>
      <w:r w:rsidRPr="006B6FBB">
        <w:t>» de protection de la langue française, le Tribunal ne peut voir là, en soi, la considération d’une fin étrangère. Évidemment, l’objectif de protection et de promotion de la langue française ne peut devenir la seule variable lorsque le Ministre prend en considération les besoins exprimés par la Juge en Chef. Néanmoins, elle ne constitue pas, ni dans le contexte de ce dossier, ni en soi, une fin étrangère.</w:t>
      </w:r>
      <w:r w:rsidRPr="00917A56">
        <w:rPr>
          <w:rStyle w:val="Appelnotedebasdep"/>
        </w:rPr>
        <w:footnoteReference w:id="174"/>
      </w:r>
    </w:p>
    <w:p w14:paraId="4FAEDD66" w14:textId="3BDCC1B1" w:rsidR="00C67B23" w:rsidRDefault="008D2883" w:rsidP="00432B6B">
      <w:pPr>
        <w:pStyle w:val="Paragraphe"/>
        <w:tabs>
          <w:tab w:val="clear" w:pos="2204"/>
        </w:tabs>
        <w:spacing w:line="240" w:lineRule="auto"/>
        <w:ind w:left="0"/>
        <w:rPr>
          <w:rFonts w:cs="Arial"/>
        </w:rPr>
      </w:pPr>
      <w:r w:rsidRPr="00A1151A">
        <w:rPr>
          <w:rFonts w:cs="Arial"/>
        </w:rPr>
        <w:t>La Ministre doit donc jouer à l’équilibriste : promouvoir l’enseignement supérieur, la recherche et</w:t>
      </w:r>
      <w:r w:rsidR="00001714">
        <w:rPr>
          <w:rFonts w:cs="Arial"/>
        </w:rPr>
        <w:t xml:space="preserve"> le développement en plus de </w:t>
      </w:r>
      <w:r w:rsidRPr="00A1151A">
        <w:rPr>
          <w:rFonts w:cs="Arial"/>
        </w:rPr>
        <w:t>voir au rayonnement du Québec à l’extérieur tout en s’assurant de demeurer dans le</w:t>
      </w:r>
      <w:r w:rsidR="00001714">
        <w:rPr>
          <w:rFonts w:cs="Arial"/>
        </w:rPr>
        <w:t xml:space="preserve"> cadre </w:t>
      </w:r>
      <w:r w:rsidRPr="00A1151A">
        <w:rPr>
          <w:rFonts w:cs="Arial"/>
        </w:rPr>
        <w:t>de la CLF.</w:t>
      </w:r>
    </w:p>
    <w:p w14:paraId="30C500E3" w14:textId="1EFF7C8B" w:rsidR="00C67B23" w:rsidRDefault="008D2883" w:rsidP="00432B6B">
      <w:pPr>
        <w:pStyle w:val="Paragraphe"/>
        <w:tabs>
          <w:tab w:val="clear" w:pos="2204"/>
        </w:tabs>
        <w:spacing w:line="240" w:lineRule="auto"/>
        <w:ind w:left="0"/>
        <w:rPr>
          <w:rFonts w:cs="Arial"/>
        </w:rPr>
      </w:pPr>
      <w:r w:rsidRPr="00A1151A">
        <w:rPr>
          <w:rFonts w:cs="Arial"/>
        </w:rPr>
        <w:t xml:space="preserve">Mission complexe. </w:t>
      </w:r>
      <w:r w:rsidR="00A1151A" w:rsidRPr="00A1151A">
        <w:rPr>
          <w:rFonts w:cs="Arial"/>
        </w:rPr>
        <w:t xml:space="preserve">Mais pas </w:t>
      </w:r>
      <w:r w:rsidR="00106362">
        <w:rPr>
          <w:rFonts w:cs="Arial"/>
        </w:rPr>
        <w:t xml:space="preserve">mission </w:t>
      </w:r>
      <w:r w:rsidR="00A1151A" w:rsidRPr="00A1151A">
        <w:rPr>
          <w:rFonts w:cs="Arial"/>
        </w:rPr>
        <w:t>impossible.</w:t>
      </w:r>
    </w:p>
    <w:p w14:paraId="68AC2AD2" w14:textId="3271C134" w:rsidR="00FB71E0" w:rsidRDefault="00A1151A" w:rsidP="00432B6B">
      <w:pPr>
        <w:pStyle w:val="Paragraphe"/>
        <w:tabs>
          <w:tab w:val="clear" w:pos="2204"/>
        </w:tabs>
        <w:spacing w:line="240" w:lineRule="auto"/>
        <w:ind w:left="0"/>
        <w:rPr>
          <w:rFonts w:cs="Arial"/>
        </w:rPr>
      </w:pPr>
      <w:r w:rsidRPr="00A1151A">
        <w:rPr>
          <w:rFonts w:cs="Arial"/>
        </w:rPr>
        <w:t>Si la Ministre se voit astreinte à ce que prévoit la CLF, elle doit tout de même d’abord et avant tout</w:t>
      </w:r>
      <w:r w:rsidR="008C650B">
        <w:rPr>
          <w:rFonts w:cs="Arial"/>
        </w:rPr>
        <w:t xml:space="preserve"> </w:t>
      </w:r>
      <w:r w:rsidR="00EC071B">
        <w:rPr>
          <w:rFonts w:cs="Arial"/>
        </w:rPr>
        <w:t xml:space="preserve">assurer que </w:t>
      </w:r>
      <w:r w:rsidRPr="00A1151A">
        <w:rPr>
          <w:rFonts w:cs="Arial"/>
        </w:rPr>
        <w:t xml:space="preserve">sa fonction fondamentale, foncière, </w:t>
      </w:r>
      <w:r w:rsidR="00C67B23">
        <w:rPr>
          <w:rFonts w:cs="Arial"/>
        </w:rPr>
        <w:t xml:space="preserve">pour ainsi dire ontologique, </w:t>
      </w:r>
      <w:r w:rsidRPr="00A1151A">
        <w:rPr>
          <w:rFonts w:cs="Arial"/>
        </w:rPr>
        <w:t>demeure</w:t>
      </w:r>
      <w:r w:rsidR="00B955DC" w:rsidRPr="00B955DC">
        <w:rPr>
          <w:rFonts w:cs="Arial"/>
        </w:rPr>
        <w:t>, celle</w:t>
      </w:r>
      <w:r w:rsidRPr="00A1151A">
        <w:rPr>
          <w:rFonts w:cs="Arial"/>
        </w:rPr>
        <w:t xml:space="preserve"> d</w:t>
      </w:r>
      <w:r w:rsidR="00EC071B">
        <w:rPr>
          <w:rFonts w:cs="Arial"/>
        </w:rPr>
        <w:t xml:space="preserve">e voir </w:t>
      </w:r>
      <w:r w:rsidR="00B955DC" w:rsidRPr="00B955DC">
        <w:rPr>
          <w:rFonts w:cs="Arial"/>
        </w:rPr>
        <w:t>au</w:t>
      </w:r>
      <w:r w:rsidRPr="00A1151A">
        <w:rPr>
          <w:rFonts w:cs="Arial"/>
        </w:rPr>
        <w:t xml:space="preserve"> plus haut niveau de qualité d’enseignement supérieur et de recherche.</w:t>
      </w:r>
    </w:p>
    <w:p w14:paraId="3A7893E9" w14:textId="3558D5EE" w:rsidR="00A1151A" w:rsidRDefault="00A1151A" w:rsidP="00432B6B">
      <w:pPr>
        <w:pStyle w:val="Paragraphe"/>
        <w:tabs>
          <w:tab w:val="clear" w:pos="2204"/>
        </w:tabs>
        <w:spacing w:line="240" w:lineRule="auto"/>
        <w:ind w:left="0"/>
        <w:rPr>
          <w:rFonts w:cs="Arial"/>
        </w:rPr>
      </w:pPr>
      <w:r>
        <w:rPr>
          <w:rFonts w:cs="Arial"/>
        </w:rPr>
        <w:t>Pour reprendre quasi</w:t>
      </w:r>
      <w:r w:rsidR="0049163D">
        <w:rPr>
          <w:rFonts w:cs="Arial"/>
        </w:rPr>
        <w:t xml:space="preserve"> </w:t>
      </w:r>
      <w:r>
        <w:rPr>
          <w:rFonts w:cs="Arial"/>
        </w:rPr>
        <w:t xml:space="preserve">textuellement l’article </w:t>
      </w:r>
      <w:r w:rsidR="00FB71E0">
        <w:rPr>
          <w:rFonts w:cs="Arial"/>
        </w:rPr>
        <w:t>2</w:t>
      </w:r>
      <w:r>
        <w:rPr>
          <w:rFonts w:cs="Arial"/>
        </w:rPr>
        <w:t xml:space="preserve"> LMES, l</w:t>
      </w:r>
      <w:r w:rsidRPr="00A1151A">
        <w:rPr>
          <w:rFonts w:cs="Arial"/>
        </w:rPr>
        <w:t xml:space="preserve">a Ministre doit </w:t>
      </w:r>
      <w:r w:rsidR="00C67B23">
        <w:rPr>
          <w:rFonts w:cs="Arial"/>
        </w:rPr>
        <w:t xml:space="preserve">en effet </w:t>
      </w:r>
      <w:r w:rsidRPr="004708BD">
        <w:rPr>
          <w:rFonts w:cs="Arial"/>
          <w:u w:val="single"/>
        </w:rPr>
        <w:t>soutenir le développement et promouvoir la qualité de</w:t>
      </w:r>
      <w:r w:rsidRPr="004708BD">
        <w:rPr>
          <w:rFonts w:cs="Arial"/>
        </w:rPr>
        <w:t xml:space="preserve"> l’enseignement collégial et de </w:t>
      </w:r>
      <w:r w:rsidRPr="004708BD">
        <w:rPr>
          <w:rFonts w:cs="Arial"/>
          <w:u w:val="single"/>
        </w:rPr>
        <w:t>l’enseignement universitaire</w:t>
      </w:r>
      <w:r w:rsidRPr="004708BD">
        <w:rPr>
          <w:rFonts w:cs="Arial"/>
        </w:rPr>
        <w:t xml:space="preserve"> afin de </w:t>
      </w:r>
      <w:r w:rsidRPr="004708BD">
        <w:rPr>
          <w:rFonts w:cs="Arial"/>
          <w:u w:val="single"/>
        </w:rPr>
        <w:t>favoriser l’accès aux formes les plus élevées du savoir et de la culture</w:t>
      </w:r>
      <w:r w:rsidRPr="004708BD">
        <w:rPr>
          <w:rFonts w:cs="Arial"/>
        </w:rPr>
        <w:t>, notamment par le développement des connaissances et des compétences, à toute personne qui en a la volonté et l’aptitude.</w:t>
      </w:r>
      <w:r w:rsidRPr="00A1151A">
        <w:rPr>
          <w:rFonts w:cs="Arial"/>
        </w:rPr>
        <w:t xml:space="preserve"> Elle doit de même </w:t>
      </w:r>
      <w:r w:rsidRPr="00A1151A">
        <w:rPr>
          <w:rFonts w:cs="Arial"/>
          <w:u w:val="single"/>
        </w:rPr>
        <w:t>contribuer à l’essor de la recherche, notamment fondamentale et appliquée, de la science, de l’innovation et de la technologie, entre autres dans les milieux académiques, industriels et sociaux</w:t>
      </w:r>
      <w:r w:rsidRPr="00A1151A">
        <w:rPr>
          <w:rFonts w:cs="Arial"/>
        </w:rPr>
        <w:t xml:space="preserve">, dans une perspective de développement durable en favorisant particulièrement l’accès au savoir, le développement économique, le progrès social et le respect de l’environnement. Pour ce faire, </w:t>
      </w:r>
      <w:r w:rsidRPr="0019242C">
        <w:rPr>
          <w:rFonts w:cs="Arial"/>
          <w:u w:val="single"/>
        </w:rPr>
        <w:t>elle</w:t>
      </w:r>
      <w:r w:rsidRPr="00A1151A">
        <w:rPr>
          <w:rFonts w:cs="Arial"/>
          <w:u w:val="single"/>
        </w:rPr>
        <w:t xml:space="preserve"> favorise la synergie des actions des différents acteurs concernés</w:t>
      </w:r>
      <w:r w:rsidRPr="00A1151A">
        <w:rPr>
          <w:rFonts w:cs="Arial"/>
        </w:rPr>
        <w:t>.</w:t>
      </w:r>
    </w:p>
    <w:p w14:paraId="7472E3FD" w14:textId="120AA4DA" w:rsidR="00FB71E0" w:rsidRPr="00FB71E0" w:rsidRDefault="00FB71E0" w:rsidP="00432B6B">
      <w:pPr>
        <w:pStyle w:val="Paragraphe"/>
        <w:tabs>
          <w:tab w:val="clear" w:pos="2204"/>
        </w:tabs>
        <w:spacing w:line="240" w:lineRule="auto"/>
        <w:ind w:left="0"/>
        <w:rPr>
          <w:rFonts w:cs="Arial"/>
          <w:color w:val="212529"/>
          <w:szCs w:val="24"/>
          <w:lang w:eastAsia="fr-CA"/>
        </w:rPr>
      </w:pPr>
      <w:r w:rsidRPr="00FB71E0">
        <w:rPr>
          <w:rFonts w:cs="Arial"/>
          <w:szCs w:val="24"/>
        </w:rPr>
        <w:t xml:space="preserve">De même, pour </w:t>
      </w:r>
      <w:r w:rsidR="00C67B23">
        <w:rPr>
          <w:rFonts w:cs="Arial"/>
          <w:szCs w:val="24"/>
        </w:rPr>
        <w:t xml:space="preserve">référer cette fois </w:t>
      </w:r>
      <w:r w:rsidRPr="00FB71E0">
        <w:rPr>
          <w:rFonts w:cs="Arial"/>
          <w:szCs w:val="24"/>
        </w:rPr>
        <w:t xml:space="preserve">à l’article </w:t>
      </w:r>
      <w:r w:rsidR="009B1FD6">
        <w:rPr>
          <w:rFonts w:cs="Arial"/>
          <w:szCs w:val="24"/>
        </w:rPr>
        <w:t>4</w:t>
      </w:r>
      <w:r w:rsidRPr="00FB71E0">
        <w:rPr>
          <w:rFonts w:cs="Arial"/>
          <w:szCs w:val="24"/>
        </w:rPr>
        <w:t xml:space="preserve"> LMES</w:t>
      </w:r>
      <w:r w:rsidR="00944E4B">
        <w:rPr>
          <w:rFonts w:cs="Arial"/>
          <w:szCs w:val="24"/>
        </w:rPr>
        <w:t>,</w:t>
      </w:r>
      <w:r w:rsidRPr="00FB71E0">
        <w:rPr>
          <w:rFonts w:cs="Arial"/>
          <w:szCs w:val="24"/>
        </w:rPr>
        <w:t xml:space="preserve"> la Ministre doit </w:t>
      </w:r>
      <w:r w:rsidRPr="004708BD">
        <w:rPr>
          <w:rFonts w:cs="Arial"/>
          <w:color w:val="212529"/>
          <w:szCs w:val="24"/>
          <w:u w:val="single"/>
          <w:lang w:eastAsia="fr-CA"/>
        </w:rPr>
        <w:t>faire la promotion de l’enseignement supérieur, de la recherche, de la science, de l’innovation et de la technologie</w:t>
      </w:r>
      <w:r w:rsidRPr="004708BD">
        <w:rPr>
          <w:rFonts w:cs="Arial"/>
          <w:color w:val="212529"/>
          <w:szCs w:val="24"/>
          <w:lang w:eastAsia="fr-CA"/>
        </w:rPr>
        <w:t xml:space="preserve"> et favoriser, dans ces domaines, la concertation entre les différents acteurs, la cohérence de l’action gouvernementale</w:t>
      </w:r>
      <w:r w:rsidRPr="00FB71E0">
        <w:rPr>
          <w:rFonts w:cs="Arial"/>
          <w:color w:val="212529"/>
          <w:szCs w:val="24"/>
          <w:lang w:eastAsia="fr-CA"/>
        </w:rPr>
        <w:t xml:space="preserve">. </w:t>
      </w:r>
      <w:r w:rsidRPr="00FB71E0">
        <w:rPr>
          <w:rFonts w:cs="Arial"/>
          <w:color w:val="212529"/>
          <w:szCs w:val="24"/>
          <w:u w:val="single"/>
          <w:lang w:eastAsia="fr-CA"/>
        </w:rPr>
        <w:t>Elle doit en outre favoriser le développement des établissements d’enseignement supérieur et veiller à la qualité des services dispensés</w:t>
      </w:r>
      <w:r w:rsidRPr="00FB71E0">
        <w:rPr>
          <w:rFonts w:cs="Arial"/>
          <w:color w:val="212529"/>
          <w:szCs w:val="24"/>
          <w:lang w:eastAsia="fr-CA"/>
        </w:rPr>
        <w:t>.</w:t>
      </w:r>
    </w:p>
    <w:p w14:paraId="78264D44" w14:textId="6EFA3B4C" w:rsidR="00786393" w:rsidRPr="00453C0F" w:rsidRDefault="00781A8F" w:rsidP="00432B6B">
      <w:pPr>
        <w:pStyle w:val="Paragraphe"/>
        <w:tabs>
          <w:tab w:val="clear" w:pos="2204"/>
        </w:tabs>
        <w:spacing w:line="240" w:lineRule="auto"/>
        <w:ind w:left="0"/>
        <w:rPr>
          <w:sz w:val="22"/>
          <w:szCs w:val="22"/>
          <w:lang w:eastAsia="fr-CA"/>
        </w:rPr>
      </w:pPr>
      <w:r>
        <w:rPr>
          <w:lang w:eastAsia="fr-CA"/>
        </w:rPr>
        <w:t xml:space="preserve">Certes, </w:t>
      </w:r>
      <w:r w:rsidR="00453C0F">
        <w:rPr>
          <w:lang w:eastAsia="fr-CA"/>
        </w:rPr>
        <w:t>toute l</w:t>
      </w:r>
      <w:r w:rsidR="00453C0F" w:rsidRPr="00453C0F">
        <w:rPr>
          <w:lang w:eastAsia="fr-CA"/>
        </w:rPr>
        <w:t>oi doit être interprétée de manière à favoriser l’utilisation et la protection du françai</w:t>
      </w:r>
      <w:r w:rsidR="00453C0F">
        <w:rPr>
          <w:lang w:eastAsia="fr-CA"/>
        </w:rPr>
        <w:t>s, suivant les articles 4</w:t>
      </w:r>
      <w:r w:rsidR="00786393">
        <w:rPr>
          <w:lang w:eastAsia="fr-CA"/>
        </w:rPr>
        <w:t>0</w:t>
      </w:r>
      <w:r w:rsidR="00453C0F">
        <w:rPr>
          <w:lang w:eastAsia="fr-CA"/>
        </w:rPr>
        <w:t xml:space="preserve">.1 et </w:t>
      </w:r>
      <w:r w:rsidR="00786393">
        <w:rPr>
          <w:lang w:eastAsia="fr-CA"/>
        </w:rPr>
        <w:t xml:space="preserve">40.3 de la </w:t>
      </w:r>
      <w:r w:rsidR="00786393" w:rsidRPr="00781A8F">
        <w:rPr>
          <w:i/>
          <w:iCs/>
          <w:lang w:eastAsia="fr-CA"/>
        </w:rPr>
        <w:t>Loi d’interprétation</w:t>
      </w:r>
      <w:r w:rsidR="00786393">
        <w:rPr>
          <w:rStyle w:val="Appelnotedebasdep"/>
          <w:rFonts w:cs="Arial"/>
          <w:color w:val="212529"/>
          <w:szCs w:val="24"/>
          <w:lang w:eastAsia="fr-CA"/>
        </w:rPr>
        <w:footnoteReference w:id="175"/>
      </w:r>
      <w:r w:rsidR="000F31F8">
        <w:rPr>
          <w:lang w:eastAsia="fr-CA"/>
        </w:rPr>
        <w:t>, dispositions déclaratoires</w:t>
      </w:r>
      <w:r w:rsidR="00786393">
        <w:rPr>
          <w:lang w:eastAsia="fr-CA"/>
        </w:rPr>
        <w:t xml:space="preserve">. Toutefois, le degré de détail de la mission que la </w:t>
      </w:r>
      <w:r w:rsidR="000F31F8">
        <w:rPr>
          <w:lang w:eastAsia="fr-CA"/>
        </w:rPr>
        <w:t xml:space="preserve">LMES </w:t>
      </w:r>
      <w:r w:rsidR="00786393">
        <w:rPr>
          <w:lang w:eastAsia="fr-CA"/>
        </w:rPr>
        <w:t xml:space="preserve">confie à la Ministre </w:t>
      </w:r>
      <w:r>
        <w:rPr>
          <w:lang w:eastAsia="fr-CA"/>
        </w:rPr>
        <w:t xml:space="preserve">dissipe tout doute quant à </w:t>
      </w:r>
      <w:r w:rsidR="00786393">
        <w:rPr>
          <w:lang w:eastAsia="fr-CA"/>
        </w:rPr>
        <w:t>la clarté de sa tâche</w:t>
      </w:r>
      <w:r w:rsidR="00EC071B">
        <w:rPr>
          <w:lang w:eastAsia="fr-CA"/>
        </w:rPr>
        <w:t xml:space="preserve"> et</w:t>
      </w:r>
      <w:r w:rsidR="00786393">
        <w:rPr>
          <w:lang w:eastAsia="fr-CA"/>
        </w:rPr>
        <w:t xml:space="preserve"> s’avère tel qu’il ne lui permet pas d’y obvier</w:t>
      </w:r>
      <w:r w:rsidR="000F31F8">
        <w:rPr>
          <w:lang w:eastAsia="fr-CA"/>
        </w:rPr>
        <w:t xml:space="preserve"> en raison de ce qu’elle doive par ailleurs protéger le français</w:t>
      </w:r>
      <w:r w:rsidR="00786393">
        <w:rPr>
          <w:lang w:eastAsia="fr-CA"/>
        </w:rPr>
        <w:t>.</w:t>
      </w:r>
      <w:r w:rsidR="000F31F8">
        <w:rPr>
          <w:lang w:eastAsia="fr-CA"/>
        </w:rPr>
        <w:t xml:space="preserve"> </w:t>
      </w:r>
      <w:r w:rsidR="009B1FD6">
        <w:rPr>
          <w:lang w:eastAsia="fr-CA"/>
        </w:rPr>
        <w:t>Interprétant harmonieusement cet ensemble législatif, cela signifie que la Ministre doit protéger le français dans l’élaboration de ses politiques</w:t>
      </w:r>
      <w:r w:rsidR="00EC071B">
        <w:rPr>
          <w:lang w:eastAsia="fr-CA"/>
        </w:rPr>
        <w:t xml:space="preserve">, telle sa politique sur le financement des universités, </w:t>
      </w:r>
      <w:r w:rsidR="009B1FD6">
        <w:rPr>
          <w:lang w:eastAsia="fr-CA"/>
        </w:rPr>
        <w:t xml:space="preserve">et </w:t>
      </w:r>
      <w:r w:rsidR="00B955DC">
        <w:rPr>
          <w:lang w:eastAsia="fr-CA"/>
        </w:rPr>
        <w:t>dans</w:t>
      </w:r>
      <w:r w:rsidR="009B1FD6">
        <w:rPr>
          <w:lang w:eastAsia="fr-CA"/>
        </w:rPr>
        <w:t xml:space="preserve"> sa prise de décision concernant sa mission législative.</w:t>
      </w:r>
    </w:p>
    <w:p w14:paraId="1CFD7A56" w14:textId="3A3F7E2D" w:rsidR="00FB71E0" w:rsidRPr="00BD51D8" w:rsidRDefault="00FB71E0" w:rsidP="00432B6B">
      <w:pPr>
        <w:pStyle w:val="Paragraphe"/>
        <w:tabs>
          <w:tab w:val="clear" w:pos="2204"/>
        </w:tabs>
        <w:spacing w:line="240" w:lineRule="auto"/>
        <w:ind w:left="0"/>
        <w:rPr>
          <w:rFonts w:cs="Arial"/>
          <w:color w:val="212529"/>
          <w:sz w:val="22"/>
          <w:szCs w:val="22"/>
          <w:lang w:eastAsia="fr-CA"/>
        </w:rPr>
      </w:pPr>
      <w:r>
        <w:rPr>
          <w:rFonts w:cs="Arial"/>
          <w:color w:val="212529"/>
          <w:szCs w:val="24"/>
          <w:lang w:eastAsia="fr-CA"/>
        </w:rPr>
        <w:t xml:space="preserve">Si la Ministre, comme </w:t>
      </w:r>
      <w:r w:rsidR="00C9269C">
        <w:rPr>
          <w:rFonts w:cs="Arial"/>
          <w:color w:val="212529"/>
          <w:szCs w:val="24"/>
          <w:lang w:eastAsia="fr-CA"/>
        </w:rPr>
        <w:t>il se doit,</w:t>
      </w:r>
      <w:r>
        <w:rPr>
          <w:rFonts w:cs="Arial"/>
          <w:color w:val="212529"/>
          <w:szCs w:val="24"/>
          <w:lang w:eastAsia="fr-CA"/>
        </w:rPr>
        <w:t xml:space="preserve"> s’assure de la protection du français </w:t>
      </w:r>
      <w:r w:rsidR="00786393">
        <w:rPr>
          <w:rFonts w:cs="Arial"/>
          <w:color w:val="212529"/>
          <w:szCs w:val="24"/>
          <w:lang w:eastAsia="fr-CA"/>
        </w:rPr>
        <w:t>lorsqu’il s’agit de prendre une décision dans</w:t>
      </w:r>
      <w:r>
        <w:rPr>
          <w:rFonts w:cs="Arial"/>
          <w:color w:val="212529"/>
          <w:szCs w:val="24"/>
          <w:lang w:eastAsia="fr-CA"/>
        </w:rPr>
        <w:t xml:space="preserve"> l’exercice de ses pouvoirs</w:t>
      </w:r>
      <w:r w:rsidR="00175E19">
        <w:rPr>
          <w:rFonts w:cs="Arial"/>
          <w:color w:val="212529"/>
          <w:szCs w:val="24"/>
          <w:lang w:eastAsia="fr-CA"/>
        </w:rPr>
        <w:t xml:space="preserve"> discrétionnaires</w:t>
      </w:r>
      <w:r>
        <w:rPr>
          <w:rFonts w:cs="Arial"/>
          <w:color w:val="212529"/>
          <w:szCs w:val="24"/>
          <w:lang w:eastAsia="fr-CA"/>
        </w:rPr>
        <w:t xml:space="preserve">, ce n’est jamais qu’en veillant à ne pas diluer </w:t>
      </w:r>
      <w:r w:rsidR="00907D4F">
        <w:rPr>
          <w:rFonts w:cs="Arial"/>
          <w:color w:val="212529"/>
          <w:szCs w:val="24"/>
          <w:lang w:eastAsia="fr-CA"/>
        </w:rPr>
        <w:t>la qualité de l’enseignement supérieur, de la recherche et de la science.</w:t>
      </w:r>
      <w:r w:rsidR="00F37469">
        <w:rPr>
          <w:rFonts w:cs="Arial"/>
          <w:color w:val="212529"/>
          <w:szCs w:val="24"/>
          <w:lang w:eastAsia="fr-CA"/>
        </w:rPr>
        <w:t xml:space="preserve"> Cela découle logiquement du principe suivant lequel les lois s’interprètent </w:t>
      </w:r>
      <w:r w:rsidR="00786393">
        <w:rPr>
          <w:rFonts w:cs="Arial"/>
          <w:color w:val="212529"/>
          <w:szCs w:val="24"/>
          <w:lang w:eastAsia="fr-CA"/>
        </w:rPr>
        <w:t xml:space="preserve">aussi </w:t>
      </w:r>
      <w:r w:rsidR="00F37469">
        <w:rPr>
          <w:rFonts w:cs="Arial"/>
          <w:color w:val="212529"/>
          <w:szCs w:val="24"/>
          <w:lang w:eastAsia="fr-CA"/>
        </w:rPr>
        <w:t xml:space="preserve">et s’appliquent les unes en fonction des autres et qu’à moins </w:t>
      </w:r>
      <w:r w:rsidR="00C9269C">
        <w:rPr>
          <w:rFonts w:cs="Arial"/>
          <w:color w:val="212529"/>
          <w:szCs w:val="24"/>
          <w:lang w:eastAsia="fr-CA"/>
        </w:rPr>
        <w:t xml:space="preserve">d’une disposition </w:t>
      </w:r>
      <w:r w:rsidR="00F37469">
        <w:rPr>
          <w:rFonts w:cs="Arial"/>
          <w:color w:val="212529"/>
          <w:szCs w:val="24"/>
          <w:lang w:eastAsia="fr-CA"/>
        </w:rPr>
        <w:t xml:space="preserve">expresse, </w:t>
      </w:r>
      <w:r w:rsidR="00C9269C">
        <w:rPr>
          <w:rFonts w:cs="Arial"/>
          <w:color w:val="212529"/>
          <w:szCs w:val="24"/>
          <w:lang w:eastAsia="fr-CA"/>
        </w:rPr>
        <w:t xml:space="preserve">l’application de l’une ne peut </w:t>
      </w:r>
      <w:r w:rsidR="00F37469">
        <w:rPr>
          <w:rFonts w:cs="Arial"/>
          <w:color w:val="212529"/>
          <w:szCs w:val="24"/>
          <w:lang w:eastAsia="fr-CA"/>
        </w:rPr>
        <w:t>prive</w:t>
      </w:r>
      <w:r w:rsidR="00C9269C">
        <w:rPr>
          <w:rFonts w:cs="Arial"/>
          <w:color w:val="212529"/>
          <w:szCs w:val="24"/>
          <w:lang w:eastAsia="fr-CA"/>
        </w:rPr>
        <w:t xml:space="preserve">r </w:t>
      </w:r>
      <w:r w:rsidR="00F37469">
        <w:rPr>
          <w:rFonts w:cs="Arial"/>
          <w:color w:val="212529"/>
          <w:szCs w:val="24"/>
          <w:lang w:eastAsia="fr-CA"/>
        </w:rPr>
        <w:t>l’autre de sa force exécutoire.</w:t>
      </w:r>
    </w:p>
    <w:p w14:paraId="2619DE8E" w14:textId="184D8352" w:rsidR="00175E19" w:rsidRPr="00175E19" w:rsidRDefault="00BD51D8" w:rsidP="00432B6B">
      <w:pPr>
        <w:pStyle w:val="Paragraphe"/>
        <w:tabs>
          <w:tab w:val="clear" w:pos="2204"/>
        </w:tabs>
        <w:spacing w:line="240" w:lineRule="auto"/>
        <w:ind w:left="0"/>
        <w:rPr>
          <w:b/>
          <w:bCs/>
        </w:rPr>
      </w:pPr>
      <w:r>
        <w:t>La protection accrue de la langue française demeure fondamentale, surtout considérant le contexte linguistique dans lequel se trouve le Québec, un continent peuplé majoritairement d’anglo-saxons. Mais cette protection</w:t>
      </w:r>
      <w:r w:rsidR="00175E19">
        <w:t xml:space="preserve"> </w:t>
      </w:r>
      <w:r w:rsidR="00EC071B">
        <w:t>vigilante</w:t>
      </w:r>
      <w:r>
        <w:t xml:space="preserve"> ne justifie pas la création de politiques </w:t>
      </w:r>
      <w:r w:rsidR="00EC071B">
        <w:t xml:space="preserve">et la prise de décisions </w:t>
      </w:r>
      <w:r>
        <w:t xml:space="preserve">contraires à la mission législative de la Ministre </w:t>
      </w:r>
      <w:r w:rsidR="00D443C7">
        <w:t xml:space="preserve">et </w:t>
      </w:r>
      <w:r>
        <w:t>érigées sur des données erronées</w:t>
      </w:r>
      <w:r w:rsidR="00EC071B">
        <w:t xml:space="preserve"> ou absentes</w:t>
      </w:r>
      <w:r w:rsidR="00175E19">
        <w:t>.</w:t>
      </w:r>
    </w:p>
    <w:p w14:paraId="466DA0AC" w14:textId="6FDAA94F" w:rsidR="00F417B8" w:rsidRPr="00BD37B3" w:rsidRDefault="00F417B8" w:rsidP="00432B6B">
      <w:pPr>
        <w:pStyle w:val="Paragraphe"/>
        <w:tabs>
          <w:tab w:val="clear" w:pos="2204"/>
        </w:tabs>
        <w:spacing w:line="240" w:lineRule="auto"/>
        <w:ind w:left="0"/>
        <w:rPr>
          <w:rFonts w:cs="Arial"/>
          <w:color w:val="212529"/>
          <w:sz w:val="22"/>
          <w:szCs w:val="22"/>
          <w:lang w:eastAsia="fr-CA"/>
        </w:rPr>
      </w:pPr>
      <w:r w:rsidRPr="00BD37B3">
        <w:rPr>
          <w:rFonts w:cs="Arial"/>
          <w:color w:val="212529"/>
          <w:szCs w:val="24"/>
          <w:lang w:eastAsia="fr-CA"/>
        </w:rPr>
        <w:t xml:space="preserve">En l’occurrence, la Ministre s’éloigne tant de sa mission législative que sa décision de modifier les Règles budgétaires devient, pour ce motif supplémentaire, </w:t>
      </w:r>
      <w:r w:rsidR="00E81FCA" w:rsidRPr="00BD37B3">
        <w:rPr>
          <w:rFonts w:cs="Arial"/>
          <w:color w:val="212529"/>
          <w:szCs w:val="24"/>
          <w:lang w:eastAsia="fr-CA"/>
        </w:rPr>
        <w:t xml:space="preserve">en partie </w:t>
      </w:r>
      <w:r w:rsidRPr="00BD37B3">
        <w:rPr>
          <w:rFonts w:cs="Arial"/>
          <w:color w:val="212529"/>
          <w:szCs w:val="24"/>
          <w:lang w:eastAsia="fr-CA"/>
        </w:rPr>
        <w:t>déraisonnable.</w:t>
      </w:r>
    </w:p>
    <w:p w14:paraId="16AC26CB" w14:textId="44B0FB78" w:rsidR="00F417B8" w:rsidRPr="0020700B" w:rsidRDefault="00BD51D8" w:rsidP="00076D2B">
      <w:pPr>
        <w:pStyle w:val="Paragraphe"/>
        <w:numPr>
          <w:ilvl w:val="1"/>
          <w:numId w:val="6"/>
        </w:numPr>
        <w:spacing w:line="240" w:lineRule="auto"/>
        <w:ind w:left="2520"/>
        <w:rPr>
          <w:color w:val="212529"/>
          <w:sz w:val="22"/>
        </w:rPr>
      </w:pPr>
      <w:r w:rsidRPr="000E2F97">
        <w:rPr>
          <w:rFonts w:cs="Arial"/>
          <w:color w:val="212529"/>
          <w:szCs w:val="24"/>
          <w:lang w:eastAsia="fr-CA"/>
        </w:rPr>
        <w:t>L</w:t>
      </w:r>
      <w:r w:rsidR="000E2F97">
        <w:rPr>
          <w:rFonts w:cs="Arial"/>
          <w:color w:val="212529"/>
          <w:szCs w:val="24"/>
          <w:lang w:eastAsia="fr-CA"/>
        </w:rPr>
        <w:t>a consultation inadéquate du CCAFÉ</w:t>
      </w:r>
    </w:p>
    <w:p w14:paraId="6F52EB51" w14:textId="4B24E956" w:rsidR="00BD51D8" w:rsidRDefault="00BD51D8" w:rsidP="00432B6B">
      <w:pPr>
        <w:pStyle w:val="Paragraphe"/>
        <w:tabs>
          <w:tab w:val="clear" w:pos="2204"/>
        </w:tabs>
        <w:spacing w:line="240" w:lineRule="auto"/>
        <w:ind w:left="0"/>
        <w:rPr>
          <w:rFonts w:cs="Arial"/>
        </w:rPr>
      </w:pPr>
      <w:r>
        <w:rPr>
          <w:rFonts w:cs="Arial"/>
        </w:rPr>
        <w:t xml:space="preserve">Parmi les facteurs à considérer dans l’analyse de la raisonnabilité d’une décision se trouve la </w:t>
      </w:r>
      <w:r w:rsidR="00106362">
        <w:rPr>
          <w:rFonts w:cs="Arial"/>
        </w:rPr>
        <w:t>prise</w:t>
      </w:r>
      <w:r>
        <w:rPr>
          <w:rFonts w:cs="Arial"/>
        </w:rPr>
        <w:t xml:space="preserve"> en compte des contraintes factuelles </w:t>
      </w:r>
      <w:r w:rsidR="00E91D56">
        <w:rPr>
          <w:rFonts w:cs="Arial"/>
        </w:rPr>
        <w:t xml:space="preserve">et juridiques </w:t>
      </w:r>
      <w:r>
        <w:rPr>
          <w:rFonts w:cs="Arial"/>
        </w:rPr>
        <w:t>avec lesquelles compose le décideur.</w:t>
      </w:r>
    </w:p>
    <w:p w14:paraId="7F66B227" w14:textId="2A8BC28D" w:rsidR="00BD51D8" w:rsidRDefault="00BD51D8" w:rsidP="00432B6B">
      <w:pPr>
        <w:pStyle w:val="Paragraphe"/>
        <w:tabs>
          <w:tab w:val="clear" w:pos="2204"/>
        </w:tabs>
        <w:spacing w:line="240" w:lineRule="auto"/>
        <w:ind w:left="0"/>
        <w:rPr>
          <w:rFonts w:cs="Arial"/>
        </w:rPr>
      </w:pPr>
      <w:r>
        <w:rPr>
          <w:rFonts w:cs="Arial"/>
        </w:rPr>
        <w:t xml:space="preserve">Ici, la Ministre disposait de divers avis concernant les mesures qu’elle entendait adopter dans la mise en application du cadre budgétaire et des orientations déjà connues </w:t>
      </w:r>
      <w:r w:rsidR="00E91D56">
        <w:rPr>
          <w:rFonts w:cs="Arial"/>
        </w:rPr>
        <w:t>du milieu universitaire.</w:t>
      </w:r>
    </w:p>
    <w:p w14:paraId="5CD6DF59" w14:textId="5ABA0558" w:rsidR="004F0ED0" w:rsidRDefault="004F0ED0" w:rsidP="00432B6B">
      <w:pPr>
        <w:pStyle w:val="Paragraphe"/>
        <w:tabs>
          <w:tab w:val="clear" w:pos="2204"/>
        </w:tabs>
        <w:spacing w:line="240" w:lineRule="auto"/>
        <w:ind w:left="0"/>
      </w:pPr>
      <w:r>
        <w:t xml:space="preserve">Les articles 88 et 90 LMES </w:t>
      </w:r>
      <w:r w:rsidRPr="008C2B0C">
        <w:t>impose</w:t>
      </w:r>
      <w:r w:rsidR="00EC071B">
        <w:t>nt</w:t>
      </w:r>
      <w:r w:rsidRPr="008C2B0C">
        <w:t xml:space="preserve"> à la Ministre l’obligation de consulter le CCAF</w:t>
      </w:r>
      <w:r w:rsidR="00944E4B">
        <w:t>É :</w:t>
      </w:r>
    </w:p>
    <w:p w14:paraId="6B90AAD1" w14:textId="2FA6CA04" w:rsidR="002F34F7" w:rsidRPr="008371AC" w:rsidRDefault="004F0ED0" w:rsidP="008371AC">
      <w:pPr>
        <w:pStyle w:val="Citationenretrait"/>
        <w:rPr>
          <w:shd w:val="clear" w:color="auto" w:fill="FFFFFF"/>
          <w:lang w:eastAsia="fr-CA"/>
        </w:rPr>
      </w:pPr>
      <w:r>
        <w:t>88.</w:t>
      </w:r>
      <w:r w:rsidRPr="008C2B0C">
        <w:t xml:space="preserve"> </w:t>
      </w:r>
      <w:r w:rsidRPr="004F0ED0">
        <w:rPr>
          <w:shd w:val="clear" w:color="auto" w:fill="FFFFFF"/>
          <w:lang w:eastAsia="fr-CA"/>
        </w:rPr>
        <w:t>Le Comité consultatif est chargé de conseiller le ministre et le ministre de l’Éducation, du Loisir et du Sport sur toute question que l’un ou l’autre lui soumet relativement:</w:t>
      </w:r>
    </w:p>
    <w:p w14:paraId="363944B5" w14:textId="266DED5F" w:rsidR="00944E4B" w:rsidRPr="004F0ED0" w:rsidRDefault="004F0ED0" w:rsidP="008371AC">
      <w:pPr>
        <w:pStyle w:val="Citationenretrait"/>
        <w:ind w:left="1468"/>
        <w:rPr>
          <w:lang w:eastAsia="fr-CA"/>
        </w:rPr>
      </w:pPr>
      <w:r w:rsidRPr="004F0ED0">
        <w:rPr>
          <w:lang w:eastAsia="fr-CA"/>
        </w:rPr>
        <w:t>1°</w:t>
      </w:r>
      <w:r w:rsidR="008371AC">
        <w:rPr>
          <w:lang w:eastAsia="fr-CA"/>
        </w:rPr>
        <w:t xml:space="preserve"> </w:t>
      </w:r>
      <w:r w:rsidRPr="004F0ED0">
        <w:rPr>
          <w:lang w:eastAsia="fr-CA"/>
        </w:rPr>
        <w:t xml:space="preserve">aux programmes d’aide financière institués par la Loi sur l’aide financière aux études </w:t>
      </w:r>
      <w:r w:rsidRPr="008371AC">
        <w:t>(chapitre A-13.3);</w:t>
      </w:r>
    </w:p>
    <w:p w14:paraId="7D8A34BB" w14:textId="2C8EF7C9" w:rsidR="00944E4B" w:rsidRPr="004F0ED0" w:rsidRDefault="004F0ED0" w:rsidP="008371AC">
      <w:pPr>
        <w:pStyle w:val="Citationenretrait"/>
        <w:ind w:left="1468"/>
        <w:rPr>
          <w:lang w:eastAsia="fr-CA"/>
        </w:rPr>
      </w:pPr>
      <w:r w:rsidRPr="004F0ED0">
        <w:rPr>
          <w:lang w:eastAsia="fr-CA"/>
        </w:rPr>
        <w:t>2°</w:t>
      </w:r>
      <w:r w:rsidR="008371AC">
        <w:rPr>
          <w:lang w:eastAsia="fr-CA"/>
        </w:rPr>
        <w:t xml:space="preserve"> </w:t>
      </w:r>
      <w:r w:rsidRPr="004F0ED0">
        <w:rPr>
          <w:lang w:eastAsia="fr-CA"/>
        </w:rPr>
        <w:t>aux droits de scolarité, aux droits d’admission ou d’inscription aux services d’enseignement et aux autres droits afférents à de tels services;</w:t>
      </w:r>
    </w:p>
    <w:p w14:paraId="7C6466F6" w14:textId="01AFA50A" w:rsidR="004F0ED0" w:rsidRPr="004F0ED0" w:rsidRDefault="004F0ED0" w:rsidP="008371AC">
      <w:pPr>
        <w:pStyle w:val="Citationenretrait"/>
        <w:ind w:left="1468"/>
        <w:rPr>
          <w:lang w:eastAsia="fr-CA"/>
        </w:rPr>
      </w:pPr>
      <w:r w:rsidRPr="004F0ED0">
        <w:rPr>
          <w:lang w:eastAsia="fr-CA"/>
        </w:rPr>
        <w:t>3°</w:t>
      </w:r>
      <w:r w:rsidR="008371AC">
        <w:rPr>
          <w:lang w:eastAsia="fr-CA"/>
        </w:rPr>
        <w:t xml:space="preserve"> </w:t>
      </w:r>
      <w:r w:rsidRPr="004F0ED0">
        <w:rPr>
          <w:lang w:eastAsia="fr-CA"/>
        </w:rPr>
        <w:t>aux mesures ou p</w:t>
      </w:r>
      <w:bookmarkStart w:id="56" w:name="_Hlk191033569"/>
      <w:r w:rsidRPr="004F0ED0">
        <w:rPr>
          <w:lang w:eastAsia="fr-CA"/>
        </w:rPr>
        <w:t>olitiques pouvant avoir des incidences sur l’accessibilité financière aux étude</w:t>
      </w:r>
      <w:bookmarkEnd w:id="56"/>
      <w:r w:rsidRPr="004F0ED0">
        <w:rPr>
          <w:lang w:eastAsia="fr-CA"/>
        </w:rPr>
        <w:t>s.</w:t>
      </w:r>
    </w:p>
    <w:p w14:paraId="1D1FA830" w14:textId="068F9820" w:rsidR="004F0ED0" w:rsidRDefault="008371AC" w:rsidP="008371AC">
      <w:pPr>
        <w:pStyle w:val="Citationenretrait"/>
      </w:pPr>
      <w:r>
        <w:t>(…)</w:t>
      </w:r>
    </w:p>
    <w:p w14:paraId="3E82E306" w14:textId="08228722" w:rsidR="008D18C8" w:rsidRPr="004F0ED0" w:rsidRDefault="004F0ED0" w:rsidP="008371AC">
      <w:pPr>
        <w:pStyle w:val="Citationenretrait"/>
        <w:rPr>
          <w:lang w:eastAsia="fr-CA"/>
        </w:rPr>
      </w:pPr>
      <w:r>
        <w:rPr>
          <w:lang w:eastAsia="fr-CA"/>
        </w:rPr>
        <w:t xml:space="preserve">90. </w:t>
      </w:r>
      <w:r w:rsidRPr="004F0ED0">
        <w:rPr>
          <w:lang w:eastAsia="fr-CA"/>
        </w:rPr>
        <w:t xml:space="preserve">Le ministre, après consultation du ministre de l’Éducation, du Loisir et du Sport lorsqu’il y a un lien avec un ordre d’enseignement sous sa compétence, </w:t>
      </w:r>
      <w:bookmarkStart w:id="57" w:name="_Hlk191033650"/>
      <w:r w:rsidRPr="004F0ED0">
        <w:rPr>
          <w:lang w:eastAsia="fr-CA"/>
        </w:rPr>
        <w:t>doit soumettre au Comité consultatif pour avis tout projet de règlement relatif aux programmes d’aide financière visés au paragraphe 1° de l’article 88</w:t>
      </w:r>
      <w:bookmarkEnd w:id="57"/>
      <w:r w:rsidRPr="004F0ED0">
        <w:rPr>
          <w:lang w:eastAsia="fr-CA"/>
        </w:rPr>
        <w:t>.</w:t>
      </w:r>
    </w:p>
    <w:p w14:paraId="6FA976CD" w14:textId="198465E8" w:rsidR="008D18C8" w:rsidRPr="004F0ED0" w:rsidRDefault="004F0ED0" w:rsidP="008371AC">
      <w:pPr>
        <w:pStyle w:val="Citationenretrait"/>
        <w:rPr>
          <w:lang w:eastAsia="fr-CA"/>
        </w:rPr>
      </w:pPr>
      <w:r w:rsidRPr="004F0ED0">
        <w:rPr>
          <w:lang w:eastAsia="fr-CA"/>
        </w:rPr>
        <w:t>Le ministre et le ministre de l’Éducation, du Loisir et du Sport doivent pareillement soumettre pour avis toute condition qu’ils se proposent d’inclure dans des règles budgétaires ou dans toute directive qu’ils entendent donner aux établissements d’enseignement relativement aux matières visées au paragraphe 2° de l’article 88.</w:t>
      </w:r>
    </w:p>
    <w:p w14:paraId="46C9BBF2" w14:textId="07463905" w:rsidR="008D18C8" w:rsidRPr="004F0ED0" w:rsidRDefault="004F0ED0" w:rsidP="008371AC">
      <w:pPr>
        <w:pStyle w:val="Citationenretrait"/>
        <w:rPr>
          <w:lang w:eastAsia="fr-CA"/>
        </w:rPr>
      </w:pPr>
      <w:r w:rsidRPr="004F0ED0">
        <w:rPr>
          <w:lang w:eastAsia="fr-CA"/>
        </w:rPr>
        <w:t>Le ministre ou le ministre de l’Éducation, du Loisir et du Sport, selon le cas, indique au Comité consultatif le délai dans lequel l’avis doit lui être transmis. Ce délai ne peut être inférieur à 30 jours.</w:t>
      </w:r>
    </w:p>
    <w:p w14:paraId="1CCF790C" w14:textId="2C063016" w:rsidR="004F0ED0" w:rsidRDefault="004F0ED0" w:rsidP="008371AC">
      <w:pPr>
        <w:pStyle w:val="Citationenretrait"/>
        <w:rPr>
          <w:lang w:eastAsia="fr-CA"/>
        </w:rPr>
      </w:pPr>
      <w:r w:rsidRPr="004F0ED0">
        <w:rPr>
          <w:lang w:eastAsia="fr-CA"/>
        </w:rPr>
        <w:t>À défaut pour le Comité consultatif de transmettre son avis dans le délai indiqué, l’obligation du ministre concerné, dans les cas prévus aux premier et deuxième alinéas, est réputée remplie.</w:t>
      </w:r>
    </w:p>
    <w:p w14:paraId="35BAAAFE" w14:textId="1A2B80A9" w:rsidR="004F0ED0" w:rsidRPr="00BD37B3" w:rsidRDefault="004F0ED0" w:rsidP="00432B6B">
      <w:pPr>
        <w:pStyle w:val="Paragraphe"/>
        <w:tabs>
          <w:tab w:val="clear" w:pos="2204"/>
        </w:tabs>
        <w:spacing w:line="240" w:lineRule="auto"/>
        <w:ind w:left="0"/>
      </w:pPr>
      <w:r w:rsidRPr="00BD37B3">
        <w:t xml:space="preserve">Or, la Ministre </w:t>
      </w:r>
      <w:r w:rsidR="00EC071B" w:rsidRPr="00BD37B3">
        <w:t xml:space="preserve">fait peu de cas de </w:t>
      </w:r>
      <w:r w:rsidRPr="00BD37B3">
        <w:t>cette obligation alors qu’elle enclenche le processus menant à l’adoption de modifications aux Règles budgétaires avant même qu</w:t>
      </w:r>
      <w:r w:rsidR="00106362" w:rsidRPr="00BD37B3">
        <w:t xml:space="preserve">’un </w:t>
      </w:r>
      <w:r w:rsidRPr="00BD37B3">
        <w:t xml:space="preserve">processus de consultation réel et </w:t>
      </w:r>
      <w:r w:rsidR="00106362" w:rsidRPr="00BD37B3">
        <w:t>significatif</w:t>
      </w:r>
      <w:r w:rsidRPr="00BD37B3">
        <w:t xml:space="preserve"> </w:t>
      </w:r>
      <w:r w:rsidR="00106362" w:rsidRPr="00BD37B3">
        <w:t xml:space="preserve">ne </w:t>
      </w:r>
      <w:r w:rsidRPr="00BD37B3">
        <w:t>soit mené.</w:t>
      </w:r>
      <w:r w:rsidR="00227D6C" w:rsidRPr="00BD37B3">
        <w:t xml:space="preserve"> Par ailleurs, lors de la déréglementation des étudiants Internationaux en 2019, le CCAFÉ a</w:t>
      </w:r>
      <w:r w:rsidR="00AB3E38">
        <w:t>vait</w:t>
      </w:r>
      <w:r w:rsidR="00227D6C" w:rsidRPr="00BD37B3">
        <w:t xml:space="preserve"> déjà déploré </w:t>
      </w:r>
      <w:r w:rsidR="00227D6C" w:rsidRPr="00EB3735">
        <w:rPr>
          <w:i/>
          <w:iCs/>
        </w:rPr>
        <w:t>le fait d’être consulté à un moment où tout indique que ses recommandations n’influeront en rien sur le cours des choses</w:t>
      </w:r>
      <w:r w:rsidR="00227D6C" w:rsidRPr="00BD37B3">
        <w:rPr>
          <w:rStyle w:val="Appelnotedebasdep"/>
        </w:rPr>
        <w:footnoteReference w:id="176"/>
      </w:r>
      <w:r w:rsidR="00227D6C" w:rsidRPr="00BD37B3">
        <w:t>.</w:t>
      </w:r>
    </w:p>
    <w:p w14:paraId="6848DC22" w14:textId="395177BD" w:rsidR="00DC5A43" w:rsidRDefault="00DC5A43" w:rsidP="00432B6B">
      <w:pPr>
        <w:pStyle w:val="Paragraphe"/>
        <w:tabs>
          <w:tab w:val="clear" w:pos="2204"/>
        </w:tabs>
        <w:spacing w:line="240" w:lineRule="auto"/>
        <w:ind w:left="0"/>
      </w:pPr>
      <w:r>
        <w:t>Comme le souligne McGill, les modifications</w:t>
      </w:r>
      <w:r w:rsidR="00106362">
        <w:t xml:space="preserve"> que proposait la Ministre</w:t>
      </w:r>
      <w:r>
        <w:t xml:space="preserve"> </w:t>
      </w:r>
      <w:r w:rsidRPr="00DC5A43">
        <w:rPr>
          <w:i/>
          <w:iCs/>
        </w:rPr>
        <w:t>ont été annoncées et transmises au CCAFE pour avis le 14</w:t>
      </w:r>
      <w:r w:rsidR="00227EEE">
        <w:t> </w:t>
      </w:r>
      <w:r w:rsidRPr="00DC5A43">
        <w:rPr>
          <w:i/>
          <w:iCs/>
        </w:rPr>
        <w:t>décembre</w:t>
      </w:r>
      <w:r w:rsidR="00227EEE">
        <w:t> </w:t>
      </w:r>
      <w:r w:rsidRPr="00DC5A43">
        <w:rPr>
          <w:i/>
          <w:iCs/>
        </w:rPr>
        <w:t xml:space="preserve">2023 et la Ministre lui a accordé le délai statutaire minimal de 30 jours </w:t>
      </w:r>
      <w:r>
        <w:t>[…]</w:t>
      </w:r>
      <w:r w:rsidR="00CD2257">
        <w:rPr>
          <w:rStyle w:val="Appelnotedebasdep"/>
        </w:rPr>
        <w:footnoteReference w:id="177"/>
      </w:r>
      <w:r>
        <w:t>.</w:t>
      </w:r>
      <w:r w:rsidRPr="00DC5A43">
        <w:rPr>
          <w:i/>
          <w:iCs/>
        </w:rPr>
        <w:t xml:space="preserve"> Le CCAFE avait donc jusqu’au 15</w:t>
      </w:r>
      <w:r w:rsidR="00227EEE">
        <w:t> </w:t>
      </w:r>
      <w:r w:rsidRPr="00DC5A43">
        <w:rPr>
          <w:i/>
          <w:iCs/>
        </w:rPr>
        <w:t>janvier</w:t>
      </w:r>
      <w:r w:rsidR="00227EEE">
        <w:t> </w:t>
      </w:r>
      <w:r w:rsidRPr="00DC5A43">
        <w:rPr>
          <w:i/>
          <w:iCs/>
        </w:rPr>
        <w:t>2024 pour transmettre son avis. Toutefois, les modifications annoncées aux Règles budgétaires ont été envoyées au Conseil du trésor pour approbation le 15</w:t>
      </w:r>
      <w:r w:rsidR="00227EEE">
        <w:t> </w:t>
      </w:r>
      <w:r w:rsidRPr="00DC5A43">
        <w:rPr>
          <w:i/>
          <w:iCs/>
        </w:rPr>
        <w:t>décembre</w:t>
      </w:r>
      <w:r w:rsidR="00227EEE">
        <w:t> </w:t>
      </w:r>
      <w:r w:rsidRPr="00DC5A43">
        <w:rPr>
          <w:i/>
          <w:iCs/>
        </w:rPr>
        <w:t>2023, soit le lendemain du début de la consultation et nettement avant l’expiration du délai minimal de 30 jours</w:t>
      </w:r>
      <w:r w:rsidRPr="00DC5A43">
        <w:rPr>
          <w:rStyle w:val="Appelnotedebasdep"/>
        </w:rPr>
        <w:footnoteReference w:id="178"/>
      </w:r>
      <w:r>
        <w:t>.</w:t>
      </w:r>
    </w:p>
    <w:p w14:paraId="27BD17FA" w14:textId="0F2D5915" w:rsidR="00DC5A43" w:rsidRDefault="00DC5A43" w:rsidP="00432B6B">
      <w:pPr>
        <w:pStyle w:val="Paragraphe"/>
        <w:tabs>
          <w:tab w:val="clear" w:pos="2204"/>
        </w:tabs>
        <w:spacing w:line="240" w:lineRule="auto"/>
        <w:ind w:left="0"/>
      </w:pPr>
      <w:r>
        <w:t>Toujours le 15</w:t>
      </w:r>
      <w:r w:rsidR="008B0107">
        <w:t> </w:t>
      </w:r>
      <w:r>
        <w:t>décembre</w:t>
      </w:r>
      <w:r w:rsidR="008B0107">
        <w:t> </w:t>
      </w:r>
      <w:r>
        <w:t>2023, la Ministre informe le Conseil du Trésor de son souhait d’approuver les modifications aux Règles budgétaires au plus tard le 16</w:t>
      </w:r>
      <w:r w:rsidR="00A57E29">
        <w:t> </w:t>
      </w:r>
      <w:r>
        <w:t xml:space="preserve">janvier suivant. Elle ignorait pourtant si des changements s’avéreraient nécessaires en raison de commentaires </w:t>
      </w:r>
      <w:r w:rsidR="00E635C1">
        <w:t>éventuels</w:t>
      </w:r>
      <w:r w:rsidR="00EC071B">
        <w:t xml:space="preserve"> qu’elle recevrait</w:t>
      </w:r>
      <w:r w:rsidR="00E635C1">
        <w:t xml:space="preserve"> </w:t>
      </w:r>
      <w:r>
        <w:t>du CCAF</w:t>
      </w:r>
      <w:r w:rsidR="00651A51">
        <w:t>É</w:t>
      </w:r>
      <w:r>
        <w:t xml:space="preserve">. De fait, aucun changement n’est survenu et le Conseil du Trésor a approuvé les </w:t>
      </w:r>
      <w:r w:rsidR="00C63846">
        <w:t>m</w:t>
      </w:r>
      <w:r>
        <w:t>odifications aux Règles budgétaires à la date prévue</w:t>
      </w:r>
      <w:r>
        <w:rPr>
          <w:rStyle w:val="Appelnotedebasdep"/>
        </w:rPr>
        <w:footnoteReference w:id="179"/>
      </w:r>
      <w:r>
        <w:t>.</w:t>
      </w:r>
    </w:p>
    <w:p w14:paraId="68B65061" w14:textId="71944E08" w:rsidR="00D45E40" w:rsidRDefault="00D45E40" w:rsidP="00432B6B">
      <w:pPr>
        <w:pStyle w:val="Paragraphe"/>
        <w:tabs>
          <w:tab w:val="clear" w:pos="2204"/>
        </w:tabs>
        <w:spacing w:line="240" w:lineRule="auto"/>
        <w:ind w:left="0"/>
      </w:pPr>
      <w:r>
        <w:t>Le 16</w:t>
      </w:r>
      <w:r w:rsidR="0002048C">
        <w:t> </w:t>
      </w:r>
      <w:r>
        <w:t>janvier</w:t>
      </w:r>
      <w:r w:rsidR="0002048C">
        <w:t> </w:t>
      </w:r>
      <w:r>
        <w:t>2024, le CCAFÉ demande par lettre à la Ministre de produire son mémoire uniquement le 19</w:t>
      </w:r>
      <w:r w:rsidR="0002048C">
        <w:t> </w:t>
      </w:r>
      <w:r>
        <w:t>janvier – et non le 15 tel que requis – en raison des impératifs administratifs qu’il expose</w:t>
      </w:r>
      <w:r>
        <w:rPr>
          <w:rStyle w:val="Appelnotedebasdep"/>
        </w:rPr>
        <w:footnoteReference w:id="180"/>
      </w:r>
      <w:r>
        <w:t>.</w:t>
      </w:r>
    </w:p>
    <w:p w14:paraId="3C66F758" w14:textId="57429AB4" w:rsidR="00106362" w:rsidRDefault="00106362" w:rsidP="00432B6B">
      <w:pPr>
        <w:pStyle w:val="Paragraphe"/>
        <w:tabs>
          <w:tab w:val="clear" w:pos="2204"/>
        </w:tabs>
        <w:spacing w:line="240" w:lineRule="auto"/>
        <w:ind w:left="0"/>
      </w:pPr>
      <w:r>
        <w:t>L</w:t>
      </w:r>
      <w:r w:rsidR="00AA234C">
        <w:t xml:space="preserve">’approbation </w:t>
      </w:r>
      <w:r>
        <w:t>par le</w:t>
      </w:r>
      <w:r w:rsidR="00AA234C">
        <w:t xml:space="preserve"> Conseil du Trésor survient au </w:t>
      </w:r>
      <w:r w:rsidR="004F0ED0" w:rsidRPr="008C2B0C">
        <w:t xml:space="preserve">lendemain de l’expiration du délai </w:t>
      </w:r>
      <w:r w:rsidR="004F0ED0">
        <w:t xml:space="preserve">statutaire </w:t>
      </w:r>
      <w:r w:rsidR="004F0ED0" w:rsidRPr="008C2B0C">
        <w:t>minimal de</w:t>
      </w:r>
      <w:r>
        <w:t xml:space="preserve"> consultation de</w:t>
      </w:r>
      <w:r w:rsidR="004F0ED0" w:rsidRPr="008C2B0C">
        <w:t xml:space="preserve"> 30 jours</w:t>
      </w:r>
      <w:r w:rsidR="00AA234C">
        <w:t xml:space="preserve">. </w:t>
      </w:r>
      <w:r w:rsidR="00C63846">
        <w:t>Néanmoins, il est difficile de conclure que la Ministre satisfait pour autant à son obligation législative de consultation alors que les modifications qu’elle propose le 14</w:t>
      </w:r>
      <w:r w:rsidR="00D7629D">
        <w:t> </w:t>
      </w:r>
      <w:r w:rsidR="00C63846">
        <w:t>décembre s’avèrent ce</w:t>
      </w:r>
      <w:r w:rsidR="00FF5576">
        <w:t>lles</w:t>
      </w:r>
      <w:r w:rsidR="00C63846">
        <w:t xml:space="preserve"> qu’elle adoptera finalement</w:t>
      </w:r>
      <w:r>
        <w:t xml:space="preserve"> sans changer un iota</w:t>
      </w:r>
      <w:r w:rsidR="00C63846">
        <w:t>.</w:t>
      </w:r>
    </w:p>
    <w:p w14:paraId="2B3BC3A5" w14:textId="2CBF1216" w:rsidR="00B13E66" w:rsidRPr="00BD37B3" w:rsidRDefault="00106362" w:rsidP="00432B6B">
      <w:pPr>
        <w:pStyle w:val="Paragraphe"/>
        <w:tabs>
          <w:tab w:val="clear" w:pos="2204"/>
        </w:tabs>
        <w:spacing w:line="240" w:lineRule="auto"/>
        <w:ind w:left="0"/>
      </w:pPr>
      <w:r w:rsidRPr="00BD37B3">
        <w:t>Le</w:t>
      </w:r>
      <w:r w:rsidR="00C63846" w:rsidRPr="00BD37B3">
        <w:t xml:space="preserve"> CCAF</w:t>
      </w:r>
      <w:r w:rsidRPr="00BD37B3">
        <w:t>É</w:t>
      </w:r>
      <w:r w:rsidR="00C63846" w:rsidRPr="00BD37B3">
        <w:t xml:space="preserve"> </w:t>
      </w:r>
      <w:r w:rsidR="00651A51" w:rsidRPr="00BD37B3">
        <w:t xml:space="preserve">partage </w:t>
      </w:r>
      <w:r w:rsidR="00C63846" w:rsidRPr="00BD37B3">
        <w:t xml:space="preserve">finalement à la Ministre, quoiqu’après </w:t>
      </w:r>
      <w:r w:rsidR="00564F3A" w:rsidRPr="00BD37B3">
        <w:t>l</w:t>
      </w:r>
      <w:r w:rsidR="00C63846" w:rsidRPr="00BD37B3">
        <w:t>e 16</w:t>
      </w:r>
      <w:r w:rsidR="00291C0E" w:rsidRPr="00BD37B3">
        <w:t> </w:t>
      </w:r>
      <w:r w:rsidR="00C63846" w:rsidRPr="00BD37B3">
        <w:t>janvier</w:t>
      </w:r>
      <w:r w:rsidR="00291C0E" w:rsidRPr="00BD37B3">
        <w:t> </w:t>
      </w:r>
      <w:r w:rsidR="00C63846" w:rsidRPr="00BD37B3">
        <w:t>2024, les préoccupations qui l’animai</w:t>
      </w:r>
      <w:r w:rsidR="0047234D">
        <w:t>en</w:t>
      </w:r>
      <w:r w:rsidR="00C63846" w:rsidRPr="00BD37B3">
        <w:t>t. Il émet un avis défavorable au projet de modifications des Règles budgétaires</w:t>
      </w:r>
      <w:r w:rsidR="00B13E66" w:rsidRPr="00BD37B3">
        <w:t xml:space="preserve"> en</w:t>
      </w:r>
      <w:r w:rsidR="003C2004" w:rsidRPr="00BD37B3">
        <w:t xml:space="preserve"> ce qui concerne les étudiants CNRQ</w:t>
      </w:r>
      <w:r w:rsidR="00F11FAC" w:rsidRPr="00BD37B3">
        <w:rPr>
          <w:rStyle w:val="Appelnotedebasdep"/>
        </w:rPr>
        <w:footnoteReference w:id="181"/>
      </w:r>
      <w:r w:rsidR="00B13E66" w:rsidRPr="00BD37B3">
        <w:t> :</w:t>
      </w:r>
    </w:p>
    <w:p w14:paraId="5ADC854E" w14:textId="5D09A49A" w:rsidR="00B13E66" w:rsidRDefault="00564F3A" w:rsidP="00564F3A">
      <w:pPr>
        <w:pStyle w:val="Citationenretrait"/>
      </w:pPr>
      <w:r w:rsidRPr="00564F3A">
        <w:t xml:space="preserve">Par conséquent, le Comité émet un </w:t>
      </w:r>
      <w:r w:rsidRPr="00564F3A">
        <w:rPr>
          <w:b/>
          <w:bCs/>
        </w:rPr>
        <w:t xml:space="preserve">avis défavorable </w:t>
      </w:r>
      <w:r w:rsidRPr="00564F3A">
        <w:t>par rapport à la nouvelle tarification pour les CNRQ parce qu’il estime que le principe qui prévalait avant le recours à l'indexation de fixer les droits en fonction de la moyenne des droits au Canada n’est pas respecté et que l’augmentation prévue aura un impact sur l’accessibilité financière. Par ailleurs, pour les étudiants internationaux, le Comité demeure préoccupé de l'effet sur l'accessibilité financière dans l'éventualité où les universités décideraient d'aller bien au-delà du minimum exigé. À cet effet, comme il l'a déjà écrit dans d'autres avis, le Comité encourage le gouvernement à assurer un financement des universités qui limite leur dépendance aux revenus générés par les étudiants internationaux. Bien que celui-ci comprenne les impératifs financiers auxquels est confronté le système éducatif, il est convaincu que cette décision pourrait entraîner des conséquences significatives sur l’accessibilité financière aux études universitaires au Québec.</w:t>
      </w:r>
    </w:p>
    <w:p w14:paraId="64FC3724" w14:textId="53CAE445" w:rsidR="001B47FF" w:rsidRDefault="00E635C1" w:rsidP="00432B6B">
      <w:pPr>
        <w:pStyle w:val="Paragraphe"/>
        <w:tabs>
          <w:tab w:val="clear" w:pos="2204"/>
        </w:tabs>
        <w:spacing w:line="240" w:lineRule="auto"/>
        <w:ind w:left="0"/>
      </w:pPr>
      <w:r>
        <w:t xml:space="preserve">Pour </w:t>
      </w:r>
      <w:r w:rsidR="00EC071B">
        <w:t>expliquer</w:t>
      </w:r>
      <w:r>
        <w:t xml:space="preserve"> la tardiveté à répondre du CCAFÉ, McGill souligne que la Ministre astreint ce comité au délai minimal de 30 jours prévu par la LMES</w:t>
      </w:r>
      <w:r w:rsidR="00FB6EC4">
        <w:t xml:space="preserve"> </w:t>
      </w:r>
      <w:r w:rsidR="000C3D39">
        <w:t>en dépit de</w:t>
      </w:r>
      <w:r w:rsidR="00FB6EC4">
        <w:t xml:space="preserve"> la complexité de la réforme</w:t>
      </w:r>
      <w:r w:rsidR="00106362">
        <w:t xml:space="preserve"> en chantier</w:t>
      </w:r>
      <w:r w:rsidR="00FB6EC4">
        <w:t xml:space="preserve">, le fait que le CCAFÉ devait rédiger, au cours de la même période, deux autres avis, le fait que la fin de semestre </w:t>
      </w:r>
      <w:r w:rsidR="00106362">
        <w:t xml:space="preserve">densifiait ses </w:t>
      </w:r>
      <w:r w:rsidR="00FB6EC4">
        <w:t>occupation</w:t>
      </w:r>
      <w:r w:rsidR="00106362">
        <w:t>s</w:t>
      </w:r>
      <w:r w:rsidR="00FB6EC4">
        <w:t xml:space="preserve"> en raison de la période d’examens alors que des membres du CCAFÉ enseignent ou étudient dans des universités.</w:t>
      </w:r>
    </w:p>
    <w:p w14:paraId="1427DEED" w14:textId="773DAE79" w:rsidR="00CD2257" w:rsidRDefault="001B47FF" w:rsidP="00432B6B">
      <w:pPr>
        <w:pStyle w:val="Paragraphe"/>
        <w:tabs>
          <w:tab w:val="clear" w:pos="2204"/>
        </w:tabs>
        <w:spacing w:line="240" w:lineRule="auto"/>
        <w:ind w:left="0"/>
      </w:pPr>
      <w:r>
        <w:t xml:space="preserve">Malgré tout, </w:t>
      </w:r>
      <w:r w:rsidR="00CD2257">
        <w:t>la Ministre refus</w:t>
      </w:r>
      <w:r>
        <w:t>e</w:t>
      </w:r>
      <w:r w:rsidR="00CD2257">
        <w:t xml:space="preserve"> de repousser la date de </w:t>
      </w:r>
      <w:r w:rsidR="00106362">
        <w:t>dépôt</w:t>
      </w:r>
      <w:r w:rsidR="00CD2257">
        <w:t xml:space="preserve"> de l’avis du CCAFÉ.</w:t>
      </w:r>
    </w:p>
    <w:p w14:paraId="6656465B" w14:textId="372E8FE3" w:rsidR="004F0ED0" w:rsidRPr="008C2B0C" w:rsidRDefault="001B47FF" w:rsidP="00432B6B">
      <w:pPr>
        <w:pStyle w:val="Paragraphe"/>
        <w:tabs>
          <w:tab w:val="clear" w:pos="2204"/>
        </w:tabs>
        <w:spacing w:line="240" w:lineRule="auto"/>
        <w:ind w:left="0"/>
      </w:pPr>
      <w:r>
        <w:t xml:space="preserve">McGill, sans le dire aussi ouvertement, accuse la Ministre de mauvaise foi. Elle écrit : </w:t>
      </w:r>
      <w:r w:rsidR="00C63846">
        <w:t xml:space="preserve">la </w:t>
      </w:r>
      <w:r w:rsidR="004F0ED0" w:rsidRPr="00C63846">
        <w:rPr>
          <w:i/>
          <w:iCs/>
        </w:rPr>
        <w:t>période et le délai de consultation ont donc été choisis injustement et à dessein par la Ministre, celle-ci sachant pertinemment que le CCAFE ne pourrait pas livrer ses commentaires dans le délai imparti</w:t>
      </w:r>
      <w:r w:rsidR="00C63846">
        <w:rPr>
          <w:i/>
          <w:iCs/>
        </w:rPr>
        <w:t xml:space="preserve"> </w:t>
      </w:r>
      <w:r w:rsidR="00C63846">
        <w:t>[…]</w:t>
      </w:r>
      <w:r w:rsidR="004F0ED0" w:rsidRPr="00C63846">
        <w:rPr>
          <w:i/>
          <w:iCs/>
        </w:rPr>
        <w:t>, ce qui lui permettrait de prétendre que son obligation de consultation était réputée remplie (art. 90 al 4 de la Loi sur le Ministère).</w:t>
      </w:r>
    </w:p>
    <w:p w14:paraId="45F7E5F5" w14:textId="13217921" w:rsidR="008D18C8" w:rsidRPr="009C34F5" w:rsidRDefault="002F34F7" w:rsidP="009C34F5">
      <w:pPr>
        <w:pStyle w:val="Paragraphe"/>
        <w:tabs>
          <w:tab w:val="clear" w:pos="2204"/>
        </w:tabs>
        <w:spacing w:line="240" w:lineRule="auto"/>
        <w:ind w:left="0"/>
        <w:rPr>
          <w:szCs w:val="24"/>
        </w:rPr>
      </w:pPr>
      <w:r w:rsidRPr="008D18C8">
        <w:rPr>
          <w:szCs w:val="24"/>
        </w:rPr>
        <w:t xml:space="preserve">Le PGQ rétorque que la Ministre n’a qu’à </w:t>
      </w:r>
      <w:r w:rsidRPr="008D18C8">
        <w:rPr>
          <w:i/>
          <w:iCs/>
          <w:szCs w:val="24"/>
        </w:rPr>
        <w:t>consulter</w:t>
      </w:r>
      <w:r w:rsidRPr="008D18C8">
        <w:rPr>
          <w:szCs w:val="24"/>
        </w:rPr>
        <w:t xml:space="preserve"> le CCAFÉ</w:t>
      </w:r>
      <w:r w:rsidR="00EC071B">
        <w:rPr>
          <w:szCs w:val="24"/>
        </w:rPr>
        <w:t xml:space="preserve"> pour respecter son devoir législatif</w:t>
      </w:r>
      <w:r w:rsidRPr="008D18C8">
        <w:rPr>
          <w:szCs w:val="24"/>
        </w:rPr>
        <w:t xml:space="preserve">. C’est en effet ce que prévoit l’article 90 LMES. Il faut toutefois remettre cette consultation dans son contexte. </w:t>
      </w:r>
      <w:r w:rsidRPr="009C34F5">
        <w:rPr>
          <w:szCs w:val="24"/>
        </w:rPr>
        <w:t>Le CCAFÉ tire son existence et son rôle de la L</w:t>
      </w:r>
      <w:r w:rsidR="00EC071B" w:rsidRPr="009C34F5">
        <w:rPr>
          <w:szCs w:val="24"/>
        </w:rPr>
        <w:t>M</w:t>
      </w:r>
      <w:r w:rsidR="00D6713F">
        <w:rPr>
          <w:szCs w:val="24"/>
        </w:rPr>
        <w:t>E</w:t>
      </w:r>
      <w:r w:rsidR="00EC071B" w:rsidRPr="009C34F5">
        <w:rPr>
          <w:szCs w:val="24"/>
        </w:rPr>
        <w:t>S elle-m</w:t>
      </w:r>
      <w:r w:rsidRPr="009C34F5">
        <w:rPr>
          <w:szCs w:val="24"/>
        </w:rPr>
        <w:t>ême. Il conseille la Mini</w:t>
      </w:r>
      <w:r w:rsidR="008D18C8" w:rsidRPr="009C34F5">
        <w:rPr>
          <w:szCs w:val="24"/>
        </w:rPr>
        <w:t>stre sur une variété de sujets liés à la mission législative de la Ministre, notamment sur les droits de scolarité, les subventions et les p</w:t>
      </w:r>
      <w:r w:rsidR="008D18C8" w:rsidRPr="009C34F5">
        <w:rPr>
          <w:rFonts w:cs="Arial"/>
          <w:color w:val="212529"/>
          <w:szCs w:val="24"/>
          <w:lang w:eastAsia="fr-CA"/>
        </w:rPr>
        <w:t xml:space="preserve">olitiques pouvant avoir des incidences sur l’accessibilité financière aux études. La Ministre doit soumettre au </w:t>
      </w:r>
      <w:r w:rsidR="002355F8" w:rsidRPr="009C34F5">
        <w:rPr>
          <w:szCs w:val="24"/>
        </w:rPr>
        <w:t>CCAFÉ</w:t>
      </w:r>
      <w:r w:rsidR="00106362" w:rsidRPr="009C34F5">
        <w:rPr>
          <w:rFonts w:cs="Arial"/>
          <w:color w:val="212529"/>
          <w:szCs w:val="24"/>
          <w:lang w:eastAsia="fr-CA"/>
        </w:rPr>
        <w:t>,</w:t>
      </w:r>
      <w:r w:rsidR="008D18C8" w:rsidRPr="009C34F5">
        <w:rPr>
          <w:rFonts w:cs="Arial"/>
          <w:color w:val="212529"/>
          <w:szCs w:val="24"/>
          <w:lang w:eastAsia="fr-CA"/>
        </w:rPr>
        <w:t xml:space="preserve"> pour avis</w:t>
      </w:r>
      <w:r w:rsidR="00106362" w:rsidRPr="009C34F5">
        <w:rPr>
          <w:rFonts w:cs="Arial"/>
          <w:color w:val="212529"/>
          <w:szCs w:val="24"/>
          <w:lang w:eastAsia="fr-CA"/>
        </w:rPr>
        <w:t>,</w:t>
      </w:r>
      <w:r w:rsidR="008D18C8" w:rsidRPr="009C34F5">
        <w:rPr>
          <w:rFonts w:cs="Arial"/>
          <w:color w:val="212529"/>
          <w:szCs w:val="24"/>
          <w:lang w:eastAsia="fr-CA"/>
        </w:rPr>
        <w:t xml:space="preserve"> tout projet de règlement relatif aux programmes d’aide financière visés au paragraphe 1 de l’article</w:t>
      </w:r>
      <w:r w:rsidR="00291C0E" w:rsidRPr="009C34F5">
        <w:rPr>
          <w:rFonts w:cs="Arial"/>
          <w:color w:val="212529"/>
          <w:szCs w:val="24"/>
          <w:lang w:eastAsia="fr-CA"/>
        </w:rPr>
        <w:t xml:space="preserve"> </w:t>
      </w:r>
      <w:r w:rsidR="008D18C8" w:rsidRPr="009C34F5">
        <w:rPr>
          <w:rFonts w:cs="Arial"/>
          <w:color w:val="212529"/>
          <w:szCs w:val="24"/>
          <w:lang w:eastAsia="fr-CA"/>
        </w:rPr>
        <w:t xml:space="preserve">88. Elle doit également </w:t>
      </w:r>
      <w:r w:rsidR="00106362" w:rsidRPr="009C34F5">
        <w:rPr>
          <w:rFonts w:cs="Arial"/>
          <w:color w:val="212529"/>
          <w:szCs w:val="24"/>
          <w:lang w:eastAsia="fr-CA"/>
        </w:rPr>
        <w:t xml:space="preserve">lui </w:t>
      </w:r>
      <w:r w:rsidR="008D18C8" w:rsidRPr="009C34F5">
        <w:rPr>
          <w:rFonts w:cs="Arial"/>
          <w:color w:val="212529"/>
          <w:szCs w:val="24"/>
          <w:lang w:eastAsia="fr-CA"/>
        </w:rPr>
        <w:t>donner un délai minimal de 30 jours pour lui répondre. Cet environnement législatif campe tout le sérieux que le législateur accorde à ce devoir de consultation.</w:t>
      </w:r>
    </w:p>
    <w:p w14:paraId="071530E9" w14:textId="28EC186F" w:rsidR="008D18C8" w:rsidRPr="008D18C8" w:rsidRDefault="008D18C8" w:rsidP="00432B6B">
      <w:pPr>
        <w:pStyle w:val="Paragraphe"/>
        <w:tabs>
          <w:tab w:val="clear" w:pos="2204"/>
        </w:tabs>
        <w:spacing w:line="240" w:lineRule="auto"/>
        <w:ind w:left="0"/>
      </w:pPr>
      <w:r>
        <w:t xml:space="preserve">Sans aller jusqu’où se rend McGill, le Tribunal constate que la Ministre refuse d’accommoder le CCAFÉ et semble faire peu de cas de ses </w:t>
      </w:r>
      <w:r w:rsidR="00B376B8">
        <w:t xml:space="preserve">éventuelles </w:t>
      </w:r>
      <w:r>
        <w:t xml:space="preserve">préoccupations. </w:t>
      </w:r>
      <w:r w:rsidR="00B376B8">
        <w:t xml:space="preserve">Il s’agit pourtant d’un joueur important. </w:t>
      </w:r>
      <w:r>
        <w:t>Les faits pointent vers, sinon un simulacre de consultation, à tout le moins une consultation inadéquat</w:t>
      </w:r>
      <w:r w:rsidR="00B376B8">
        <w:t>e</w:t>
      </w:r>
      <w:r>
        <w:t xml:space="preserve">. Or, cela suffit pour conclure que la Ministre ne respecte pas </w:t>
      </w:r>
      <w:r w:rsidR="004A5DA0">
        <w:t xml:space="preserve">concrètement </w:t>
      </w:r>
      <w:r>
        <w:t>son devoir de consultation.</w:t>
      </w:r>
    </w:p>
    <w:p w14:paraId="546CCD16" w14:textId="1411F3DE" w:rsidR="00435FCD" w:rsidRDefault="008D18C8" w:rsidP="00432B6B">
      <w:pPr>
        <w:pStyle w:val="Paragraphe"/>
        <w:tabs>
          <w:tab w:val="clear" w:pos="2204"/>
        </w:tabs>
        <w:spacing w:line="240" w:lineRule="auto"/>
        <w:ind w:left="0"/>
      </w:pPr>
      <w:r>
        <w:t>D</w:t>
      </w:r>
      <w:r w:rsidR="003B5DC0">
        <w:t xml:space="preserve">ans </w:t>
      </w:r>
      <w:r w:rsidR="00435FCD" w:rsidRPr="00435FCD">
        <w:rPr>
          <w:i/>
          <w:iCs/>
        </w:rPr>
        <w:t>Douillard</w:t>
      </w:r>
      <w:r w:rsidR="00435FCD">
        <w:t xml:space="preserve"> c. </w:t>
      </w:r>
      <w:r w:rsidR="00435FCD" w:rsidRPr="00435FCD">
        <w:rPr>
          <w:i/>
          <w:iCs/>
        </w:rPr>
        <w:t>Procureur</w:t>
      </w:r>
      <w:r w:rsidR="007503D2">
        <w:rPr>
          <w:i/>
          <w:iCs/>
        </w:rPr>
        <w:t>e</w:t>
      </w:r>
      <w:r w:rsidR="00435FCD" w:rsidRPr="00435FCD">
        <w:rPr>
          <w:i/>
          <w:iCs/>
        </w:rPr>
        <w:t xml:space="preserve"> général</w:t>
      </w:r>
      <w:r w:rsidR="00435FCD">
        <w:rPr>
          <w:i/>
          <w:iCs/>
        </w:rPr>
        <w:t xml:space="preserve"> du Québec</w:t>
      </w:r>
      <w:r w:rsidR="00435FCD">
        <w:rPr>
          <w:rStyle w:val="Appelnotedebasdep"/>
        </w:rPr>
        <w:footnoteReference w:id="182"/>
      </w:r>
      <w:r w:rsidR="00435FCD">
        <w:t>, la Cour écrit :</w:t>
      </w:r>
    </w:p>
    <w:p w14:paraId="146018EE" w14:textId="4E463636" w:rsidR="00435FCD" w:rsidRPr="00435FCD" w:rsidRDefault="00435FCD" w:rsidP="00BD6F99">
      <w:pPr>
        <w:pStyle w:val="Citationenretrait"/>
        <w:rPr>
          <w:lang w:eastAsia="fr-CA"/>
        </w:rPr>
      </w:pPr>
      <w:r>
        <w:rPr>
          <w:lang w:eastAsia="fr-CA"/>
        </w:rPr>
        <w:t>[79]</w:t>
      </w:r>
      <w:r>
        <w:rPr>
          <w:lang w:eastAsia="fr-CA"/>
        </w:rPr>
        <w:tab/>
      </w:r>
      <w:r w:rsidRPr="00435FCD">
        <w:rPr>
          <w:lang w:eastAsia="fr-CA"/>
        </w:rPr>
        <w:t>D’emblée, il importe de rappeler que la consultation préalable à l’adoption d’une disposition prévue dans un texte législatif n’est pas un vain mot : son exigence forme l’un des éléments essentiels que la législature impose à l’exercice du pouvoir réglementaire délégué. Lorsque prévue, son inexistence entraîne la nullité de la disposition ou du règlement adopté. La consultation doit être réelle</w:t>
      </w:r>
      <w:r w:rsidR="00AA525F" w:rsidRPr="00435FCD">
        <w:rPr>
          <w:lang w:eastAsia="fr-CA"/>
        </w:rPr>
        <w:t> </w:t>
      </w:r>
      <w:r w:rsidRPr="00435FCD">
        <w:rPr>
          <w:lang w:eastAsia="fr-CA"/>
        </w:rPr>
        <w:t>: elle constitue une règle fondamentale du principe de la justice naturelle et de l’équité procédurale. Celui à qui elle incombe doit procurer à celui qui y a droit suffisamment de renseignements et de temps pour lui permettre de se former une opinion valable de la situation relative à la fin recherchée, autrement la consultation n’est pas suffisante</w:t>
      </w:r>
      <w:bookmarkStart w:id="58" w:name="_Ref37850636"/>
      <w:bookmarkEnd w:id="58"/>
      <w:r w:rsidRPr="00435FCD">
        <w:rPr>
          <w:lang w:eastAsia="fr-CA"/>
        </w:rPr>
        <w:t>.</w:t>
      </w:r>
    </w:p>
    <w:p w14:paraId="45A9230D" w14:textId="39414864" w:rsidR="00435FCD" w:rsidRPr="00435FCD" w:rsidRDefault="00435FCD" w:rsidP="00BD6F99">
      <w:pPr>
        <w:pStyle w:val="Citationenretrait"/>
        <w:rPr>
          <w:lang w:eastAsia="fr-CA"/>
        </w:rPr>
      </w:pPr>
      <w:r w:rsidRPr="00435FCD">
        <w:rPr>
          <w:lang w:eastAsia="fr-CA"/>
        </w:rPr>
        <w:t>[</w:t>
      </w:r>
      <w:bookmarkStart w:id="59" w:name="par80"/>
      <w:r w:rsidRPr="00435FCD">
        <w:rPr>
          <w:lang w:eastAsia="fr-CA"/>
        </w:rPr>
        <w:t>80</w:t>
      </w:r>
      <w:bookmarkEnd w:id="59"/>
      <w:r w:rsidRPr="00435FCD">
        <w:rPr>
          <w:lang w:eastAsia="fr-CA"/>
        </w:rPr>
        <w:t>]</w:t>
      </w:r>
      <w:r w:rsidR="00BD6F99">
        <w:rPr>
          <w:rFonts w:ascii="Times New Roman" w:hAnsi="Times New Roman"/>
          <w:lang w:eastAsia="fr-CA"/>
        </w:rPr>
        <w:tab/>
      </w:r>
      <w:r w:rsidRPr="00435FCD">
        <w:rPr>
          <w:lang w:eastAsia="fr-CA"/>
        </w:rPr>
        <w:t>Dans la présente affaire, la question n’est pas de savoir s’il y a eu consultation, mais plutôt s’il s’agit d’une consultation adéquate. Les demandeurs soumettent qu’il s’agit d’un simulacre de consultation qui équivaut à l’absence de consultation.</w:t>
      </w:r>
    </w:p>
    <w:p w14:paraId="04B2733B" w14:textId="5481A4EA" w:rsidR="00435FCD" w:rsidRPr="00435FCD" w:rsidRDefault="00435FCD" w:rsidP="00BD6F99">
      <w:pPr>
        <w:pStyle w:val="Citationenretrait"/>
        <w:rPr>
          <w:lang w:eastAsia="fr-CA"/>
        </w:rPr>
      </w:pPr>
      <w:bookmarkStart w:id="60" w:name="_2s8eyo1"/>
      <w:bookmarkEnd w:id="60"/>
      <w:r w:rsidRPr="00435FCD">
        <w:rPr>
          <w:lang w:eastAsia="fr-CA"/>
        </w:rPr>
        <w:t>[</w:t>
      </w:r>
      <w:bookmarkStart w:id="61" w:name="par81"/>
      <w:r w:rsidRPr="00435FCD">
        <w:rPr>
          <w:lang w:eastAsia="fr-CA"/>
        </w:rPr>
        <w:t>81</w:t>
      </w:r>
      <w:bookmarkEnd w:id="61"/>
      <w:r w:rsidRPr="00435FCD">
        <w:rPr>
          <w:lang w:eastAsia="fr-CA"/>
        </w:rPr>
        <w:t>]</w:t>
      </w:r>
      <w:r w:rsidR="00BD6F99">
        <w:rPr>
          <w:rFonts w:ascii="Times New Roman" w:hAnsi="Times New Roman"/>
          <w:lang w:eastAsia="fr-CA"/>
        </w:rPr>
        <w:tab/>
      </w:r>
      <w:r w:rsidRPr="00435FCD">
        <w:rPr>
          <w:lang w:eastAsia="fr-CA"/>
        </w:rPr>
        <w:t>En somme, il ne suffit pas qu’il y ait consultation, encore faut-il que les personnes consultées aient eu l’information suffisante sur l’objet de la consultation pour pouvoir donner un avis éclairé et aient une opportunité raisonnable de faire connaître leur point de vue, de souligner les problèmes et difficultés, s’il y a lieu. Toutefois, bien que le</w:t>
      </w:r>
      <w:r w:rsidR="007503D2">
        <w:rPr>
          <w:lang w:eastAsia="fr-CA"/>
        </w:rPr>
        <w:t xml:space="preserve"> </w:t>
      </w:r>
      <w:r w:rsidRPr="00435FCD">
        <w:rPr>
          <w:lang w:eastAsia="fr-CA"/>
        </w:rPr>
        <w:t>Ministre</w:t>
      </w:r>
      <w:r w:rsidR="007503D2">
        <w:rPr>
          <w:lang w:eastAsia="fr-CA"/>
        </w:rPr>
        <w:t xml:space="preserve"> </w:t>
      </w:r>
      <w:r w:rsidRPr="00435FCD">
        <w:rPr>
          <w:lang w:eastAsia="fr-CA"/>
        </w:rPr>
        <w:t>se doit</w:t>
      </w:r>
      <w:r w:rsidR="007503D2">
        <w:rPr>
          <w:lang w:eastAsia="fr-CA"/>
        </w:rPr>
        <w:t xml:space="preserve"> </w:t>
      </w:r>
      <w:r w:rsidRPr="00435FCD">
        <w:rPr>
          <w:lang w:eastAsia="fr-CA"/>
        </w:rPr>
        <w:t>de prendre l’avis de ces personnes, il n’est nullement obligé de le suivre. Cependant, une consultation adéquate est une condition de validité d’un acte administratif lorsque la consultation est obligatoire. En effet, si les exigences de la Loi en matière de consultation n’ont été respectées qu’en apparence par un processus marqué par un manque de fournir toutes les informations et sans possibilité d’influer sur le décideur, on ne saurait parler d’une consultation adéquate. Un tel processus équivaudrait à une absence de consultation.</w:t>
      </w:r>
    </w:p>
    <w:p w14:paraId="4CFB592D" w14:textId="3BB2958C" w:rsidR="00435FCD" w:rsidRPr="00435FCD" w:rsidRDefault="00435FCD" w:rsidP="00BD6F99">
      <w:pPr>
        <w:pStyle w:val="Citationenretrait"/>
        <w:rPr>
          <w:lang w:eastAsia="fr-CA"/>
        </w:rPr>
      </w:pPr>
      <w:bookmarkStart w:id="62" w:name="_17dp8vu"/>
      <w:bookmarkEnd w:id="62"/>
      <w:r w:rsidRPr="00435FCD">
        <w:rPr>
          <w:lang w:eastAsia="fr-CA"/>
        </w:rPr>
        <w:t>[</w:t>
      </w:r>
      <w:bookmarkStart w:id="63" w:name="par82"/>
      <w:r w:rsidRPr="00435FCD">
        <w:rPr>
          <w:lang w:eastAsia="fr-CA"/>
        </w:rPr>
        <w:t>82</w:t>
      </w:r>
      <w:bookmarkEnd w:id="63"/>
      <w:r w:rsidRPr="00435FCD">
        <w:rPr>
          <w:lang w:eastAsia="fr-CA"/>
        </w:rPr>
        <w:t>]</w:t>
      </w:r>
      <w:r w:rsidR="00BD6F99">
        <w:rPr>
          <w:rFonts w:ascii="Times New Roman" w:hAnsi="Times New Roman"/>
          <w:lang w:eastAsia="fr-CA"/>
        </w:rPr>
        <w:tab/>
      </w:r>
      <w:r w:rsidRPr="00435FCD">
        <w:rPr>
          <w:lang w:eastAsia="fr-CA"/>
        </w:rPr>
        <w:t>Enfin, dans un cas où l’avis a été donné et qu’une consultation a été tenue, mais que l’on attaque la façon de consulter ou le mode ou la qualité de la consultation, le Tribunal est d’autant plus justifié, dans l’exercice de sa discrétion, d’intervenir ou non en tenant compte de tous les facteurs qui militent en faveur ou contre l’intervention judiciaire. C’est ainsi que s’exerce judiciairement la discrétion</w:t>
      </w:r>
      <w:bookmarkStart w:id="64" w:name="_Ref37339096"/>
      <w:bookmarkEnd w:id="64"/>
      <w:r w:rsidRPr="00435FCD">
        <w:rPr>
          <w:lang w:eastAsia="fr-CA"/>
        </w:rPr>
        <w:t>.</w:t>
      </w:r>
    </w:p>
    <w:p w14:paraId="6198FCC5" w14:textId="5AC34C7F" w:rsidR="00435FCD" w:rsidRPr="00435FCD" w:rsidRDefault="00435FCD" w:rsidP="00BD6F99">
      <w:pPr>
        <w:pStyle w:val="Citationenretrait"/>
        <w:rPr>
          <w:szCs w:val="24"/>
          <w:lang w:eastAsia="fr-CA"/>
        </w:rPr>
      </w:pPr>
      <w:r w:rsidRPr="00435FCD">
        <w:rPr>
          <w:lang w:eastAsia="fr-CA"/>
        </w:rPr>
        <w:t>[</w:t>
      </w:r>
      <w:bookmarkStart w:id="65" w:name="par83"/>
      <w:r w:rsidRPr="00435FCD">
        <w:rPr>
          <w:lang w:eastAsia="fr-CA"/>
        </w:rPr>
        <w:t>83</w:t>
      </w:r>
      <w:bookmarkEnd w:id="65"/>
      <w:r w:rsidRPr="00435FCD">
        <w:rPr>
          <w:lang w:eastAsia="fr-CA"/>
        </w:rPr>
        <w:t>]</w:t>
      </w:r>
      <w:r w:rsidR="00BD6F99">
        <w:rPr>
          <w:rFonts w:ascii="Times New Roman" w:hAnsi="Times New Roman"/>
          <w:lang w:eastAsia="fr-CA"/>
        </w:rPr>
        <w:tab/>
      </w:r>
      <w:r w:rsidRPr="00435FCD">
        <w:rPr>
          <w:lang w:eastAsia="fr-CA"/>
        </w:rPr>
        <w:t>Conséquemment, il faut regarder le portrait global et se demander si les objectifs fondamentaux imposés par le législateur ont été respectés et atteints dans le respect des attentes raisonnables des demandeurs. Avant de conclure à l’illégalité d’une décision ministérielle comme celle attaquée dans le présent pourvoi, le Tribunal doit être convaincu que l’illégalité reprochée est à ce point fondamentale et irrémédiable que cette solution s’impose. Il pourrait s’agir d’un cas où le Ministre excède ses pouvoirs, porte atteinte aux règles de justice naturelle, ou encore ne respecte pas les règles d’équité procédurale.</w:t>
      </w:r>
    </w:p>
    <w:p w14:paraId="0FFF523A" w14:textId="43EDEB75" w:rsidR="008D18C8" w:rsidRPr="00AB785B" w:rsidRDefault="008D18C8" w:rsidP="00432B6B">
      <w:pPr>
        <w:pStyle w:val="Paragraphe"/>
        <w:tabs>
          <w:tab w:val="clear" w:pos="2204"/>
        </w:tabs>
        <w:spacing w:line="240" w:lineRule="auto"/>
        <w:ind w:left="0"/>
        <w:rPr>
          <w:rFonts w:cs="Arial"/>
        </w:rPr>
      </w:pPr>
      <w:r w:rsidRPr="00AB785B">
        <w:rPr>
          <w:rFonts w:cs="Arial"/>
        </w:rPr>
        <w:t>Ces propos s’appliquent à l’espèce.</w:t>
      </w:r>
    </w:p>
    <w:p w14:paraId="51A8750F" w14:textId="4E14F0FB" w:rsidR="003B3CDB" w:rsidRDefault="002F34F7" w:rsidP="00432B6B">
      <w:pPr>
        <w:pStyle w:val="Paragraphe"/>
        <w:tabs>
          <w:tab w:val="clear" w:pos="2204"/>
        </w:tabs>
        <w:spacing w:line="240" w:lineRule="auto"/>
        <w:ind w:left="0"/>
      </w:pPr>
      <w:r w:rsidRPr="00B376B8">
        <w:rPr>
          <w:rFonts w:cs="Arial"/>
        </w:rPr>
        <w:t>En raison des faits forts particuliers des présentes instances,</w:t>
      </w:r>
      <w:r w:rsidR="00B376B8" w:rsidRPr="00B376B8">
        <w:rPr>
          <w:rFonts w:cs="Arial"/>
        </w:rPr>
        <w:t xml:space="preserve"> c’est-à-dire l’ampleur des effets des modifications envisag</w:t>
      </w:r>
      <w:r w:rsidR="00B376B8">
        <w:rPr>
          <w:rFonts w:cs="Arial"/>
        </w:rPr>
        <w:t>é</w:t>
      </w:r>
      <w:r w:rsidR="00B376B8" w:rsidRPr="00B376B8">
        <w:rPr>
          <w:rFonts w:cs="Arial"/>
        </w:rPr>
        <w:t xml:space="preserve">es, l’importance du rôle du CAFFÉ </w:t>
      </w:r>
      <w:r w:rsidR="00B376B8">
        <w:rPr>
          <w:rFonts w:cs="Arial"/>
        </w:rPr>
        <w:t xml:space="preserve">voulu par le législateur </w:t>
      </w:r>
      <w:r w:rsidR="00B376B8" w:rsidRPr="00B376B8">
        <w:rPr>
          <w:rFonts w:cs="Arial"/>
        </w:rPr>
        <w:t xml:space="preserve">et sa demande d’extension de délai alors que ses membres sont en pleine fin de semestre, </w:t>
      </w:r>
      <w:r w:rsidR="004F0ED0" w:rsidRPr="00B376B8">
        <w:rPr>
          <w:rFonts w:cs="Arial"/>
        </w:rPr>
        <w:t>la consultation</w:t>
      </w:r>
      <w:r w:rsidR="004F0ED0" w:rsidRPr="008C2B0C">
        <w:t xml:space="preserve"> </w:t>
      </w:r>
      <w:r w:rsidR="004F0ED0" w:rsidRPr="00B376B8">
        <w:rPr>
          <w:rFonts w:cs="Arial"/>
        </w:rPr>
        <w:t>menée</w:t>
      </w:r>
      <w:r w:rsidR="004F0ED0" w:rsidRPr="008C2B0C">
        <w:t xml:space="preserve"> par la Ministre </w:t>
      </w:r>
      <w:r>
        <w:t>s’</w:t>
      </w:r>
      <w:r w:rsidR="00B376B8">
        <w:t xml:space="preserve">est </w:t>
      </w:r>
      <w:r>
        <w:t>av</w:t>
      </w:r>
      <w:r w:rsidR="00B376B8">
        <w:t>é</w:t>
      </w:r>
      <w:r>
        <w:t>r</w:t>
      </w:r>
      <w:r w:rsidR="00B376B8">
        <w:t>ée</w:t>
      </w:r>
      <w:r>
        <w:t xml:space="preserve"> </w:t>
      </w:r>
      <w:r w:rsidR="00B376B8">
        <w:t xml:space="preserve">d’aucune utilité </w:t>
      </w:r>
      <w:r>
        <w:t>et s</w:t>
      </w:r>
      <w:r w:rsidR="004F0ED0" w:rsidRPr="008C2B0C">
        <w:t>a décision</w:t>
      </w:r>
      <w:r w:rsidR="008D18C8">
        <w:t xml:space="preserve">, tout comme les modifications aux Règles budgétaires, </w:t>
      </w:r>
      <w:r>
        <w:t>s’inscri</w:t>
      </w:r>
      <w:r w:rsidR="008D18C8">
        <w:t>ven</w:t>
      </w:r>
      <w:r>
        <w:t xml:space="preserve">t en marge de son </w:t>
      </w:r>
      <w:r w:rsidR="004F0ED0" w:rsidRPr="008C2B0C">
        <w:t xml:space="preserve">obligation </w:t>
      </w:r>
      <w:r w:rsidR="00B376B8">
        <w:t xml:space="preserve">législative de </w:t>
      </w:r>
      <w:r w:rsidR="004F0ED0" w:rsidRPr="008C2B0C">
        <w:t>consultation</w:t>
      </w:r>
      <w:r>
        <w:t>.</w:t>
      </w:r>
      <w:r w:rsidR="00B376B8">
        <w:t xml:space="preserve"> Ce n’est pas dire que la Ministre doive toujours accommoder le CCAFÉ</w:t>
      </w:r>
      <w:r w:rsidR="004A5DA0">
        <w:t xml:space="preserve"> ni suivre ses recommandations comme une dictée</w:t>
      </w:r>
      <w:r w:rsidR="00B376B8">
        <w:t>, mais, en l’espèce, et pour les motifs décrits ici, elle aurait été mieux avisée d’obtenir ses commentaires avant d’agir.</w:t>
      </w:r>
    </w:p>
    <w:p w14:paraId="17ED8301" w14:textId="509D8854" w:rsidR="002F34F7" w:rsidRDefault="00B376B8" w:rsidP="00432B6B">
      <w:pPr>
        <w:pStyle w:val="Paragraphe"/>
        <w:tabs>
          <w:tab w:val="clear" w:pos="2204"/>
        </w:tabs>
        <w:spacing w:line="240" w:lineRule="auto"/>
        <w:ind w:left="0"/>
      </w:pPr>
      <w:r w:rsidRPr="00BD37B3">
        <w:t>S</w:t>
      </w:r>
      <w:r w:rsidR="004C2D45" w:rsidRPr="00BD37B3">
        <w:t>i</w:t>
      </w:r>
      <w:r w:rsidRPr="00BD37B3">
        <w:t xml:space="preserve"> </w:t>
      </w:r>
      <w:r w:rsidR="003B3CDB" w:rsidRPr="00BD37B3">
        <w:t xml:space="preserve">le </w:t>
      </w:r>
      <w:r w:rsidRPr="00BD37B3">
        <w:t xml:space="preserve">choix </w:t>
      </w:r>
      <w:r w:rsidR="003B3CDB" w:rsidRPr="00BD37B3">
        <w:t xml:space="preserve">de la Ministre </w:t>
      </w:r>
      <w:r w:rsidRPr="00BD37B3">
        <w:t xml:space="preserve">d’aller de l’avant n’est pas contraire à la lettre de la LMES, </w:t>
      </w:r>
      <w:r w:rsidR="004A5DA0" w:rsidRPr="00BD37B3">
        <w:t xml:space="preserve">elle l’est à son esprit et </w:t>
      </w:r>
      <w:r w:rsidRPr="00BD37B3">
        <w:t xml:space="preserve">sa décision de modifier les Règles budgétaires </w:t>
      </w:r>
      <w:r w:rsidR="004A5DA0" w:rsidRPr="00BD37B3">
        <w:t xml:space="preserve">devient alors </w:t>
      </w:r>
      <w:r w:rsidRPr="00BD37B3">
        <w:t>déraisonnable</w:t>
      </w:r>
      <w:r w:rsidR="00625EFA" w:rsidRPr="00625EFA">
        <w:t xml:space="preserve"> </w:t>
      </w:r>
      <w:r w:rsidR="00625EFA" w:rsidRPr="00BD37B3">
        <w:t>à l’égard de certaines règles</w:t>
      </w:r>
      <w:r w:rsidR="009A7568">
        <w:t>, c’est-à-dire celles concernant les étudiants CNRQ et la Règle d’acquisition des compétences en français</w:t>
      </w:r>
      <w:r w:rsidRPr="00BD37B3">
        <w:t>.</w:t>
      </w:r>
    </w:p>
    <w:p w14:paraId="4B15C1C8" w14:textId="10B4D783" w:rsidR="009A7568" w:rsidRPr="000750DD" w:rsidRDefault="009A7568" w:rsidP="009A7568">
      <w:pPr>
        <w:pStyle w:val="Paragraphe"/>
        <w:numPr>
          <w:ilvl w:val="0"/>
          <w:numId w:val="15"/>
        </w:numPr>
        <w:spacing w:line="240" w:lineRule="auto"/>
        <w:ind w:left="1080"/>
        <w:rPr>
          <w:rFonts w:cs="Arial"/>
          <w:b/>
          <w:bCs/>
        </w:rPr>
      </w:pPr>
      <w:r w:rsidRPr="000750DD">
        <w:rPr>
          <w:rFonts w:cs="Arial"/>
          <w:b/>
          <w:bCs/>
        </w:rPr>
        <w:t xml:space="preserve">Les règles 3.5 et 3.6 </w:t>
      </w:r>
      <w:r w:rsidR="00F3075C">
        <w:rPr>
          <w:rFonts w:cs="Arial"/>
          <w:b/>
          <w:bCs/>
        </w:rPr>
        <w:t xml:space="preserve">des Règles budgétaires </w:t>
      </w:r>
      <w:r w:rsidR="000515F8" w:rsidRPr="005A5284">
        <w:rPr>
          <w:rFonts w:cs="Arial"/>
          <w:b/>
          <w:bCs/>
        </w:rPr>
        <w:t>2023-202</w:t>
      </w:r>
      <w:r w:rsidR="005A5284" w:rsidRPr="005A5284">
        <w:rPr>
          <w:rFonts w:cs="Arial"/>
          <w:b/>
          <w:bCs/>
        </w:rPr>
        <w:t>4</w:t>
      </w:r>
      <w:r w:rsidR="000515F8">
        <w:rPr>
          <w:rFonts w:cs="Arial"/>
          <w:b/>
          <w:bCs/>
        </w:rPr>
        <w:t xml:space="preserve"> </w:t>
      </w:r>
      <w:r w:rsidRPr="000750DD">
        <w:rPr>
          <w:rFonts w:cs="Arial"/>
          <w:b/>
          <w:bCs/>
        </w:rPr>
        <w:t>concernant les étudiantes Internationaux sont le fruit d’une décision raisonnable</w:t>
      </w:r>
    </w:p>
    <w:p w14:paraId="1ED2C263" w14:textId="242047A5" w:rsidR="00417BA4" w:rsidRPr="00535145" w:rsidRDefault="00CF2284" w:rsidP="00A5151E">
      <w:pPr>
        <w:pStyle w:val="Paragraphe"/>
        <w:tabs>
          <w:tab w:val="clear" w:pos="2204"/>
        </w:tabs>
        <w:spacing w:line="240" w:lineRule="auto"/>
        <w:ind w:left="0"/>
        <w:rPr>
          <w:rFonts w:cs="Arial"/>
        </w:rPr>
      </w:pPr>
      <w:r>
        <w:rPr>
          <w:rFonts w:cs="Arial"/>
        </w:rPr>
        <w:t>P</w:t>
      </w:r>
      <w:r w:rsidR="002A373B" w:rsidRPr="00535145">
        <w:rPr>
          <w:rFonts w:cs="Arial"/>
        </w:rPr>
        <w:t xml:space="preserve">lusieurs </w:t>
      </w:r>
      <w:r w:rsidR="00F42E04" w:rsidRPr="00535145">
        <w:rPr>
          <w:rFonts w:cs="Arial"/>
        </w:rPr>
        <w:t xml:space="preserve">acteurs du milieu universitaire sont d’avis que la déréglementation des étudiants Internationaux a permis aux universités anglophones de générer plus de revenus que leurs homologues francophones. Des subventions spécifiques compensatoires étaient d’ailleurs prévues </w:t>
      </w:r>
      <w:r w:rsidR="00C124C3" w:rsidRPr="00535145">
        <w:rPr>
          <w:rFonts w:cs="Arial"/>
        </w:rPr>
        <w:t>dans les règles budgétaires précédentes à cet égard</w:t>
      </w:r>
      <w:r w:rsidR="00F42E04" w:rsidRPr="00535145">
        <w:rPr>
          <w:rFonts w:cs="Arial"/>
        </w:rPr>
        <w:t xml:space="preserve">. </w:t>
      </w:r>
      <w:r w:rsidR="00C124C3" w:rsidRPr="00535145">
        <w:rPr>
          <w:rFonts w:cs="Arial"/>
        </w:rPr>
        <w:t>Réglementer de nouveau les étudiants Internationaux de 1</w:t>
      </w:r>
      <w:r w:rsidR="00C124C3" w:rsidRPr="00535145">
        <w:rPr>
          <w:rFonts w:cs="Arial"/>
          <w:vertAlign w:val="superscript"/>
        </w:rPr>
        <w:t>er</w:t>
      </w:r>
      <w:r w:rsidR="00C124C3" w:rsidRPr="00535145">
        <w:rPr>
          <w:rFonts w:cs="Arial"/>
        </w:rPr>
        <w:t xml:space="preserve"> </w:t>
      </w:r>
      <w:r w:rsidR="00656879">
        <w:rPr>
          <w:rFonts w:cs="Arial"/>
        </w:rPr>
        <w:t xml:space="preserve">cycle </w:t>
      </w:r>
      <w:r w:rsidR="00C124C3" w:rsidRPr="00535145">
        <w:rPr>
          <w:rFonts w:cs="Arial"/>
        </w:rPr>
        <w:t>et de 2</w:t>
      </w:r>
      <w:r w:rsidR="00C124C3" w:rsidRPr="00535145">
        <w:rPr>
          <w:rFonts w:cs="Arial"/>
          <w:vertAlign w:val="superscript"/>
        </w:rPr>
        <w:t>e</w:t>
      </w:r>
      <w:r w:rsidR="00C124C3" w:rsidRPr="00535145">
        <w:rPr>
          <w:rFonts w:cs="Arial"/>
        </w:rPr>
        <w:t xml:space="preserve"> cycle de type professionnel signifie</w:t>
      </w:r>
      <w:r w:rsidR="008F1C88" w:rsidRPr="00535145">
        <w:rPr>
          <w:rFonts w:cs="Arial"/>
        </w:rPr>
        <w:t xml:space="preserve"> la perte pour toutes les universités (anglophones et francophones) de s’autofinancer en déterminant elles-mêmes les droits de scolarité applicables à ces étudiants.</w:t>
      </w:r>
    </w:p>
    <w:p w14:paraId="1678131A" w14:textId="77777777" w:rsidR="009513A8" w:rsidRPr="00535145" w:rsidRDefault="008F1C88" w:rsidP="00A5151E">
      <w:pPr>
        <w:pStyle w:val="Paragraphe"/>
        <w:tabs>
          <w:tab w:val="clear" w:pos="2204"/>
        </w:tabs>
        <w:spacing w:line="240" w:lineRule="auto"/>
        <w:ind w:left="0"/>
        <w:rPr>
          <w:rFonts w:cs="Arial"/>
        </w:rPr>
      </w:pPr>
      <w:r w:rsidRPr="00535145">
        <w:rPr>
          <w:rFonts w:cs="Arial"/>
        </w:rPr>
        <w:t xml:space="preserve">En décidant d’assujettir tous les étudiants Internationaux au même modèle de financement, </w:t>
      </w:r>
      <w:r w:rsidR="00417BA4" w:rsidRPr="00535145">
        <w:rPr>
          <w:rFonts w:cs="Arial"/>
        </w:rPr>
        <w:t>selon lequel</w:t>
      </w:r>
      <w:r w:rsidRPr="00535145">
        <w:rPr>
          <w:rFonts w:cs="Arial"/>
        </w:rPr>
        <w:t xml:space="preserve"> le Ministère participe au financement des étudiants Internationaux en versant aux universités les subventions normées et récupère le montant forfaitaire qu’il fixe, le gouvernement </w:t>
      </w:r>
      <w:r w:rsidR="00651B5C" w:rsidRPr="00535145">
        <w:rPr>
          <w:rFonts w:cs="Arial"/>
        </w:rPr>
        <w:t xml:space="preserve">n’augmente pas </w:t>
      </w:r>
      <w:r w:rsidR="002467E0" w:rsidRPr="00535145">
        <w:rPr>
          <w:rFonts w:cs="Arial"/>
        </w:rPr>
        <w:t xml:space="preserve">leurs </w:t>
      </w:r>
      <w:r w:rsidR="00651B5C" w:rsidRPr="00535145">
        <w:rPr>
          <w:rFonts w:cs="Arial"/>
        </w:rPr>
        <w:t>droits de scolarité</w:t>
      </w:r>
      <w:r w:rsidR="002467E0" w:rsidRPr="00535145">
        <w:rPr>
          <w:rFonts w:cs="Arial"/>
        </w:rPr>
        <w:t>,</w:t>
      </w:r>
      <w:r w:rsidR="00651B5C" w:rsidRPr="00535145">
        <w:rPr>
          <w:rFonts w:cs="Arial"/>
        </w:rPr>
        <w:t xml:space="preserve"> comme McGill l</w:t>
      </w:r>
      <w:r w:rsidR="002467E0" w:rsidRPr="00535145">
        <w:rPr>
          <w:rFonts w:cs="Arial"/>
        </w:rPr>
        <w:t>aisse sous-entendre</w:t>
      </w:r>
      <w:r w:rsidR="002467E0" w:rsidRPr="00535145">
        <w:rPr>
          <w:rStyle w:val="Appelnotedebasdep"/>
          <w:rFonts w:cs="Arial"/>
        </w:rPr>
        <w:footnoteReference w:id="183"/>
      </w:r>
      <w:r w:rsidR="00651B5C" w:rsidRPr="00535145">
        <w:rPr>
          <w:rFonts w:cs="Arial"/>
        </w:rPr>
        <w:t>.</w:t>
      </w:r>
      <w:r w:rsidR="002467E0" w:rsidRPr="00535145">
        <w:rPr>
          <w:rFonts w:cs="Arial"/>
        </w:rPr>
        <w:t xml:space="preserve"> Certes, </w:t>
      </w:r>
      <w:r w:rsidR="001A5CE4" w:rsidRPr="00535145">
        <w:rPr>
          <w:rFonts w:cs="Arial"/>
        </w:rPr>
        <w:t xml:space="preserve">les Règles budgétaires fixent un seuil composé des droits de scolarité de base et du montant forfaitaire en </w:t>
      </w:r>
      <w:r w:rsidR="00FD7F68" w:rsidRPr="00535145">
        <w:rPr>
          <w:rFonts w:cs="Arial"/>
        </w:rPr>
        <w:t xml:space="preserve">ré-réglementant les étudiants Internationaux, mais </w:t>
      </w:r>
      <w:r w:rsidR="001A5CE4" w:rsidRPr="00535145">
        <w:rPr>
          <w:rFonts w:cs="Arial"/>
        </w:rPr>
        <w:t>le minimum imposé par le gouvernement est inférieur aux droits de scolarité chargés par les universités québécoise depuis la déréglementation.</w:t>
      </w:r>
    </w:p>
    <w:p w14:paraId="17819CB2" w14:textId="77777777" w:rsidR="001A5CE4" w:rsidRDefault="00FD7CAF" w:rsidP="00D36D7F">
      <w:pPr>
        <w:pStyle w:val="Paragraphe"/>
        <w:tabs>
          <w:tab w:val="clear" w:pos="2204"/>
        </w:tabs>
        <w:spacing w:after="240" w:line="240" w:lineRule="auto"/>
        <w:ind w:left="0"/>
        <w:rPr>
          <w:rFonts w:cs="Arial"/>
        </w:rPr>
      </w:pPr>
      <w:r w:rsidRPr="00535145">
        <w:rPr>
          <w:rFonts w:cs="Arial"/>
        </w:rPr>
        <w:t xml:space="preserve">À titre d’illustration, pour l’année universitaire 2017-2018, </w:t>
      </w:r>
      <w:r w:rsidR="00355EB6" w:rsidRPr="00535145">
        <w:rPr>
          <w:rFonts w:cs="Arial"/>
        </w:rPr>
        <w:t xml:space="preserve">les universités ont fixé </w:t>
      </w:r>
      <w:r w:rsidRPr="00535145">
        <w:rPr>
          <w:rFonts w:cs="Arial"/>
        </w:rPr>
        <w:t>les droits de scolarité par famille disciplinaire déréglementée</w:t>
      </w:r>
      <w:r w:rsidR="00355EB6" w:rsidRPr="00535145">
        <w:rPr>
          <w:rFonts w:cs="Arial"/>
        </w:rPr>
        <w:t xml:space="preserve"> ainsi</w:t>
      </w:r>
      <w:r w:rsidR="00355EB6" w:rsidRPr="00535145">
        <w:rPr>
          <w:rStyle w:val="Appelnotedebasdep"/>
          <w:rFonts w:cs="Arial"/>
        </w:rPr>
        <w:footnoteReference w:id="184"/>
      </w:r>
      <w:r w:rsidRPr="00535145">
        <w:rPr>
          <w:rFonts w:cs="Arial"/>
        </w:rPr>
        <w:t> :</w:t>
      </w:r>
    </w:p>
    <w:tbl>
      <w:tblPr>
        <w:tblStyle w:val="Grilledutableau"/>
        <w:tblW w:w="0" w:type="auto"/>
        <w:tblInd w:w="715" w:type="dxa"/>
        <w:tblLook w:val="04A0" w:firstRow="1" w:lastRow="0" w:firstColumn="1" w:lastColumn="0" w:noHBand="0" w:noVBand="1"/>
      </w:tblPr>
      <w:tblGrid>
        <w:gridCol w:w="1470"/>
        <w:gridCol w:w="885"/>
        <w:gridCol w:w="985"/>
        <w:gridCol w:w="885"/>
        <w:gridCol w:w="898"/>
        <w:gridCol w:w="890"/>
        <w:gridCol w:w="1111"/>
        <w:gridCol w:w="981"/>
      </w:tblGrid>
      <w:tr w:rsidR="00DF4EDD" w14:paraId="5CA60F2F" w14:textId="77777777" w:rsidTr="00D36D7F">
        <w:tc>
          <w:tcPr>
            <w:tcW w:w="8105" w:type="dxa"/>
            <w:gridSpan w:val="8"/>
            <w:tcBorders>
              <w:top w:val="nil"/>
              <w:left w:val="nil"/>
              <w:right w:val="nil"/>
            </w:tcBorders>
          </w:tcPr>
          <w:p w14:paraId="626520BE" w14:textId="77777777" w:rsidR="00B541F3" w:rsidRPr="00822303" w:rsidRDefault="00D22C98" w:rsidP="005D3E12">
            <w:pPr>
              <w:pStyle w:val="Paragraphe"/>
              <w:numPr>
                <w:ilvl w:val="0"/>
                <w:numId w:val="0"/>
              </w:numPr>
              <w:spacing w:line="240" w:lineRule="auto"/>
              <w:jc w:val="center"/>
              <w:rPr>
                <w:rFonts w:ascii="Times New Roman" w:hAnsi="Times New Roman"/>
                <w:b/>
                <w:bCs/>
                <w:sz w:val="22"/>
                <w:szCs w:val="22"/>
              </w:rPr>
            </w:pPr>
            <w:r w:rsidRPr="00822303">
              <w:rPr>
                <w:rFonts w:ascii="Times New Roman" w:hAnsi="Times New Roman"/>
                <w:b/>
                <w:bCs/>
                <w:sz w:val="22"/>
                <w:szCs w:val="22"/>
              </w:rPr>
              <w:t>Droits de scolarité annuels des étudiants internationaux en 2017-2018 par famille disciplinaire dérèglementée au 1</w:t>
            </w:r>
            <w:r w:rsidRPr="00822303">
              <w:rPr>
                <w:rFonts w:ascii="Times New Roman" w:hAnsi="Times New Roman"/>
                <w:b/>
                <w:bCs/>
                <w:sz w:val="22"/>
                <w:szCs w:val="22"/>
                <w:vertAlign w:val="superscript"/>
              </w:rPr>
              <w:t>er</w:t>
            </w:r>
            <w:r w:rsidRPr="00822303">
              <w:rPr>
                <w:rFonts w:ascii="Times New Roman" w:hAnsi="Times New Roman"/>
                <w:b/>
                <w:bCs/>
                <w:sz w:val="22"/>
                <w:szCs w:val="22"/>
              </w:rPr>
              <w:t xml:space="preserve"> cycle (en $)</w:t>
            </w:r>
          </w:p>
        </w:tc>
      </w:tr>
      <w:tr w:rsidR="00DF4EDD" w14:paraId="40F0941B" w14:textId="77777777" w:rsidTr="00D36D7F">
        <w:tc>
          <w:tcPr>
            <w:tcW w:w="1470" w:type="dxa"/>
          </w:tcPr>
          <w:p w14:paraId="69A16912" w14:textId="77777777" w:rsidR="00B541F3" w:rsidRPr="00822303" w:rsidRDefault="00B541F3" w:rsidP="00B541F3">
            <w:pPr>
              <w:pStyle w:val="Paragraphe"/>
              <w:numPr>
                <w:ilvl w:val="0"/>
                <w:numId w:val="0"/>
              </w:numPr>
              <w:spacing w:line="240" w:lineRule="auto"/>
              <w:rPr>
                <w:rFonts w:ascii="Times New Roman" w:hAnsi="Times New Roman"/>
                <w:sz w:val="20"/>
              </w:rPr>
            </w:pPr>
          </w:p>
        </w:tc>
        <w:tc>
          <w:tcPr>
            <w:tcW w:w="885" w:type="dxa"/>
          </w:tcPr>
          <w:p w14:paraId="7048C010" w14:textId="77777777" w:rsidR="00B541F3" w:rsidRPr="00822303" w:rsidRDefault="00FF4B27"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Laval</w:t>
            </w:r>
          </w:p>
        </w:tc>
        <w:tc>
          <w:tcPr>
            <w:tcW w:w="985" w:type="dxa"/>
          </w:tcPr>
          <w:p w14:paraId="31FD0E90" w14:textId="77777777" w:rsidR="00B541F3" w:rsidRPr="00822303" w:rsidRDefault="00FF4B27"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Montréal</w:t>
            </w:r>
          </w:p>
        </w:tc>
        <w:tc>
          <w:tcPr>
            <w:tcW w:w="885" w:type="dxa"/>
          </w:tcPr>
          <w:p w14:paraId="542481C1" w14:textId="77777777" w:rsidR="00B541F3" w:rsidRPr="00822303" w:rsidRDefault="00FF4B27"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HEC</w:t>
            </w:r>
          </w:p>
        </w:tc>
        <w:tc>
          <w:tcPr>
            <w:tcW w:w="898" w:type="dxa"/>
          </w:tcPr>
          <w:p w14:paraId="1792A1FB" w14:textId="77777777" w:rsidR="00B541F3" w:rsidRPr="00822303" w:rsidRDefault="00FF4B27"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UQAM</w:t>
            </w:r>
          </w:p>
        </w:tc>
        <w:tc>
          <w:tcPr>
            <w:tcW w:w="890" w:type="dxa"/>
          </w:tcPr>
          <w:p w14:paraId="6F5CDDFE" w14:textId="77777777" w:rsidR="00B541F3" w:rsidRPr="00822303" w:rsidRDefault="00FF4B27"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McGill</w:t>
            </w:r>
          </w:p>
        </w:tc>
        <w:tc>
          <w:tcPr>
            <w:tcW w:w="1111" w:type="dxa"/>
          </w:tcPr>
          <w:p w14:paraId="58BD41DF" w14:textId="77777777" w:rsidR="00B541F3" w:rsidRPr="00822303" w:rsidRDefault="00FF4B27"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Concordia</w:t>
            </w:r>
          </w:p>
        </w:tc>
        <w:tc>
          <w:tcPr>
            <w:tcW w:w="981" w:type="dxa"/>
          </w:tcPr>
          <w:p w14:paraId="6F94F7BA" w14:textId="77777777" w:rsidR="00B541F3" w:rsidRPr="00822303" w:rsidRDefault="00FF4B27"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Bishop’s</w:t>
            </w:r>
          </w:p>
        </w:tc>
      </w:tr>
      <w:tr w:rsidR="00DF4EDD" w14:paraId="12376F8D" w14:textId="77777777" w:rsidTr="00D36D7F">
        <w:tc>
          <w:tcPr>
            <w:tcW w:w="1470" w:type="dxa"/>
          </w:tcPr>
          <w:p w14:paraId="686E9B42" w14:textId="77777777" w:rsidR="005D3E12" w:rsidRPr="00822303" w:rsidRDefault="00FF4B27" w:rsidP="00B541F3">
            <w:pPr>
              <w:pStyle w:val="Paragraphe"/>
              <w:numPr>
                <w:ilvl w:val="0"/>
                <w:numId w:val="0"/>
              </w:numPr>
              <w:spacing w:line="240" w:lineRule="auto"/>
              <w:rPr>
                <w:rFonts w:ascii="Times New Roman" w:hAnsi="Times New Roman"/>
                <w:sz w:val="20"/>
              </w:rPr>
            </w:pPr>
            <w:r w:rsidRPr="00822303">
              <w:rPr>
                <w:rFonts w:ascii="Times New Roman" w:hAnsi="Times New Roman"/>
                <w:sz w:val="20"/>
              </w:rPr>
              <w:t>Administration</w:t>
            </w:r>
          </w:p>
        </w:tc>
        <w:tc>
          <w:tcPr>
            <w:tcW w:w="885" w:type="dxa"/>
          </w:tcPr>
          <w:p w14:paraId="76472FCE" w14:textId="77777777" w:rsidR="005D3E12" w:rsidRPr="00822303" w:rsidRDefault="00FF4B27"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19 879</w:t>
            </w:r>
          </w:p>
        </w:tc>
        <w:tc>
          <w:tcPr>
            <w:tcW w:w="985" w:type="dxa"/>
          </w:tcPr>
          <w:p w14:paraId="2401E334" w14:textId="77777777" w:rsidR="005D3E12"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21 592</w:t>
            </w:r>
          </w:p>
        </w:tc>
        <w:tc>
          <w:tcPr>
            <w:tcW w:w="885" w:type="dxa"/>
          </w:tcPr>
          <w:p w14:paraId="777614FC" w14:textId="77777777" w:rsidR="005D3E12"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24 000</w:t>
            </w:r>
          </w:p>
        </w:tc>
        <w:tc>
          <w:tcPr>
            <w:tcW w:w="898" w:type="dxa"/>
          </w:tcPr>
          <w:p w14:paraId="080FF240" w14:textId="77777777" w:rsidR="005D3E12"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19 783</w:t>
            </w:r>
          </w:p>
        </w:tc>
        <w:tc>
          <w:tcPr>
            <w:tcW w:w="890" w:type="dxa"/>
          </w:tcPr>
          <w:p w14:paraId="66CD2789" w14:textId="77777777" w:rsidR="005D3E12" w:rsidRPr="00822303" w:rsidRDefault="006C7964"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42 027</w:t>
            </w:r>
          </w:p>
        </w:tc>
        <w:tc>
          <w:tcPr>
            <w:tcW w:w="1111" w:type="dxa"/>
          </w:tcPr>
          <w:p w14:paraId="6772AC00" w14:textId="77777777" w:rsidR="005D3E12" w:rsidRPr="00822303" w:rsidRDefault="006E4273"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22 112</w:t>
            </w:r>
          </w:p>
        </w:tc>
        <w:tc>
          <w:tcPr>
            <w:tcW w:w="981" w:type="dxa"/>
          </w:tcPr>
          <w:p w14:paraId="353D7828" w14:textId="77777777" w:rsidR="005D3E12" w:rsidRPr="00822303" w:rsidRDefault="0066460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21 000</w:t>
            </w:r>
          </w:p>
        </w:tc>
      </w:tr>
      <w:tr w:rsidR="00DF4EDD" w14:paraId="393700E1" w14:textId="77777777" w:rsidTr="00D36D7F">
        <w:tc>
          <w:tcPr>
            <w:tcW w:w="1470" w:type="dxa"/>
          </w:tcPr>
          <w:p w14:paraId="73BF1F9A" w14:textId="77777777" w:rsidR="00B541F3" w:rsidRPr="00822303" w:rsidRDefault="005D3E12" w:rsidP="00B541F3">
            <w:pPr>
              <w:pStyle w:val="Paragraphe"/>
              <w:numPr>
                <w:ilvl w:val="0"/>
                <w:numId w:val="0"/>
              </w:numPr>
              <w:spacing w:line="240" w:lineRule="auto"/>
              <w:rPr>
                <w:rFonts w:ascii="Times New Roman" w:hAnsi="Times New Roman"/>
                <w:sz w:val="20"/>
              </w:rPr>
            </w:pPr>
            <w:r w:rsidRPr="00822303">
              <w:rPr>
                <w:rFonts w:ascii="Times New Roman" w:hAnsi="Times New Roman"/>
                <w:sz w:val="20"/>
              </w:rPr>
              <w:t>Droit</w:t>
            </w:r>
          </w:p>
        </w:tc>
        <w:tc>
          <w:tcPr>
            <w:tcW w:w="885" w:type="dxa"/>
          </w:tcPr>
          <w:p w14:paraId="062C5DAC" w14:textId="77777777" w:rsidR="00B541F3" w:rsidRPr="00822303" w:rsidRDefault="00FF4B27"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19 879</w:t>
            </w:r>
          </w:p>
        </w:tc>
        <w:tc>
          <w:tcPr>
            <w:tcW w:w="985" w:type="dxa"/>
          </w:tcPr>
          <w:p w14:paraId="6F12335F"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21 592</w:t>
            </w:r>
          </w:p>
        </w:tc>
        <w:tc>
          <w:tcPr>
            <w:tcW w:w="885" w:type="dxa"/>
          </w:tcPr>
          <w:p w14:paraId="2849C3F1"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24 000</w:t>
            </w:r>
          </w:p>
        </w:tc>
        <w:tc>
          <w:tcPr>
            <w:tcW w:w="898" w:type="dxa"/>
          </w:tcPr>
          <w:p w14:paraId="30EEB4EA"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19 783</w:t>
            </w:r>
          </w:p>
        </w:tc>
        <w:tc>
          <w:tcPr>
            <w:tcW w:w="890" w:type="dxa"/>
          </w:tcPr>
          <w:p w14:paraId="509F4FF8" w14:textId="77777777" w:rsidR="00B541F3" w:rsidRPr="00822303" w:rsidRDefault="006C7964"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36 547</w:t>
            </w:r>
          </w:p>
        </w:tc>
        <w:tc>
          <w:tcPr>
            <w:tcW w:w="1111" w:type="dxa"/>
          </w:tcPr>
          <w:p w14:paraId="0ACBCA91" w14:textId="77777777" w:rsidR="00B541F3" w:rsidRPr="00822303" w:rsidRDefault="006E4273"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20 218</w:t>
            </w:r>
          </w:p>
        </w:tc>
        <w:tc>
          <w:tcPr>
            <w:tcW w:w="981" w:type="dxa"/>
          </w:tcPr>
          <w:p w14:paraId="4726DE9D" w14:textId="77777777" w:rsidR="00B541F3" w:rsidRPr="00822303" w:rsidRDefault="0066460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18 289</w:t>
            </w:r>
          </w:p>
        </w:tc>
      </w:tr>
      <w:tr w:rsidR="00DF4EDD" w14:paraId="6901CA04" w14:textId="77777777" w:rsidTr="00D36D7F">
        <w:tc>
          <w:tcPr>
            <w:tcW w:w="1470" w:type="dxa"/>
          </w:tcPr>
          <w:p w14:paraId="0E299B65" w14:textId="77777777" w:rsidR="00B541F3" w:rsidRPr="00822303" w:rsidRDefault="005D3E12" w:rsidP="00B541F3">
            <w:pPr>
              <w:pStyle w:val="Paragraphe"/>
              <w:numPr>
                <w:ilvl w:val="0"/>
                <w:numId w:val="0"/>
              </w:numPr>
              <w:spacing w:line="240" w:lineRule="auto"/>
              <w:rPr>
                <w:rFonts w:ascii="Times New Roman" w:hAnsi="Times New Roman"/>
                <w:sz w:val="20"/>
              </w:rPr>
            </w:pPr>
            <w:r w:rsidRPr="00822303">
              <w:rPr>
                <w:rFonts w:ascii="Times New Roman" w:hAnsi="Times New Roman"/>
                <w:sz w:val="20"/>
              </w:rPr>
              <w:t>Génie</w:t>
            </w:r>
          </w:p>
        </w:tc>
        <w:tc>
          <w:tcPr>
            <w:tcW w:w="885" w:type="dxa"/>
          </w:tcPr>
          <w:p w14:paraId="6D3B3B7E" w14:textId="77777777" w:rsidR="00B541F3" w:rsidRPr="00822303" w:rsidRDefault="00FF4B27"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19 879</w:t>
            </w:r>
          </w:p>
        </w:tc>
        <w:tc>
          <w:tcPr>
            <w:tcW w:w="985" w:type="dxa"/>
          </w:tcPr>
          <w:p w14:paraId="14664DC2"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21 592</w:t>
            </w:r>
          </w:p>
        </w:tc>
        <w:tc>
          <w:tcPr>
            <w:tcW w:w="885" w:type="dxa"/>
          </w:tcPr>
          <w:p w14:paraId="33C1BE0E"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24 000</w:t>
            </w:r>
          </w:p>
        </w:tc>
        <w:tc>
          <w:tcPr>
            <w:tcW w:w="898" w:type="dxa"/>
          </w:tcPr>
          <w:p w14:paraId="2AA4E9DE"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19 783</w:t>
            </w:r>
          </w:p>
        </w:tc>
        <w:tc>
          <w:tcPr>
            <w:tcW w:w="890" w:type="dxa"/>
          </w:tcPr>
          <w:p w14:paraId="13ACA7C4" w14:textId="77777777" w:rsidR="00B541F3" w:rsidRPr="00822303" w:rsidRDefault="006C7964"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36 547</w:t>
            </w:r>
          </w:p>
        </w:tc>
        <w:tc>
          <w:tcPr>
            <w:tcW w:w="1111" w:type="dxa"/>
          </w:tcPr>
          <w:p w14:paraId="61ACD3EE" w14:textId="77777777" w:rsidR="00B541F3" w:rsidRPr="00822303" w:rsidRDefault="006E4273"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20 218</w:t>
            </w:r>
          </w:p>
        </w:tc>
        <w:tc>
          <w:tcPr>
            <w:tcW w:w="981" w:type="dxa"/>
          </w:tcPr>
          <w:p w14:paraId="3E4B4779" w14:textId="77777777" w:rsidR="00B541F3" w:rsidRPr="00822303" w:rsidRDefault="0066460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18 289</w:t>
            </w:r>
          </w:p>
        </w:tc>
      </w:tr>
      <w:tr w:rsidR="00DF4EDD" w14:paraId="4E618B86" w14:textId="77777777" w:rsidTr="00D36D7F">
        <w:tc>
          <w:tcPr>
            <w:tcW w:w="1470" w:type="dxa"/>
          </w:tcPr>
          <w:p w14:paraId="04AFEC39" w14:textId="77777777" w:rsidR="00B541F3" w:rsidRPr="00822303" w:rsidRDefault="005D3E12" w:rsidP="00B541F3">
            <w:pPr>
              <w:pStyle w:val="Paragraphe"/>
              <w:numPr>
                <w:ilvl w:val="0"/>
                <w:numId w:val="0"/>
              </w:numPr>
              <w:spacing w:line="240" w:lineRule="auto"/>
              <w:rPr>
                <w:rFonts w:ascii="Times New Roman" w:hAnsi="Times New Roman"/>
                <w:sz w:val="20"/>
              </w:rPr>
            </w:pPr>
            <w:r w:rsidRPr="00822303">
              <w:rPr>
                <w:rFonts w:ascii="Times New Roman" w:hAnsi="Times New Roman"/>
                <w:sz w:val="20"/>
              </w:rPr>
              <w:t>Informatique</w:t>
            </w:r>
          </w:p>
        </w:tc>
        <w:tc>
          <w:tcPr>
            <w:tcW w:w="885" w:type="dxa"/>
          </w:tcPr>
          <w:p w14:paraId="6C060858" w14:textId="77777777" w:rsidR="00B541F3" w:rsidRPr="00822303" w:rsidRDefault="00FF4B27"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19 879</w:t>
            </w:r>
          </w:p>
        </w:tc>
        <w:tc>
          <w:tcPr>
            <w:tcW w:w="985" w:type="dxa"/>
          </w:tcPr>
          <w:p w14:paraId="3E7AF64E"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21 592</w:t>
            </w:r>
          </w:p>
        </w:tc>
        <w:tc>
          <w:tcPr>
            <w:tcW w:w="885" w:type="dxa"/>
          </w:tcPr>
          <w:p w14:paraId="0E47DC31"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24 000</w:t>
            </w:r>
          </w:p>
        </w:tc>
        <w:tc>
          <w:tcPr>
            <w:tcW w:w="898" w:type="dxa"/>
          </w:tcPr>
          <w:p w14:paraId="75D6ECB5"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19 783</w:t>
            </w:r>
          </w:p>
        </w:tc>
        <w:tc>
          <w:tcPr>
            <w:tcW w:w="890" w:type="dxa"/>
          </w:tcPr>
          <w:p w14:paraId="5143E2B3" w14:textId="77777777" w:rsidR="00B541F3" w:rsidRPr="00822303" w:rsidRDefault="006C7964"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36 547</w:t>
            </w:r>
          </w:p>
        </w:tc>
        <w:tc>
          <w:tcPr>
            <w:tcW w:w="1111" w:type="dxa"/>
          </w:tcPr>
          <w:p w14:paraId="345CCC1D" w14:textId="77777777" w:rsidR="00B541F3" w:rsidRPr="00822303" w:rsidRDefault="006E4273"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20 218</w:t>
            </w:r>
          </w:p>
        </w:tc>
        <w:tc>
          <w:tcPr>
            <w:tcW w:w="981" w:type="dxa"/>
          </w:tcPr>
          <w:p w14:paraId="670F3B44" w14:textId="77777777" w:rsidR="00B541F3" w:rsidRPr="00822303" w:rsidRDefault="0066460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18 289</w:t>
            </w:r>
          </w:p>
        </w:tc>
      </w:tr>
      <w:tr w:rsidR="00DF4EDD" w14:paraId="4629E7A5" w14:textId="77777777" w:rsidTr="00D36D7F">
        <w:tc>
          <w:tcPr>
            <w:tcW w:w="1470" w:type="dxa"/>
          </w:tcPr>
          <w:p w14:paraId="0F327C22" w14:textId="77777777" w:rsidR="00B541F3" w:rsidRPr="00822303" w:rsidRDefault="005D3E12" w:rsidP="00B541F3">
            <w:pPr>
              <w:pStyle w:val="Paragraphe"/>
              <w:numPr>
                <w:ilvl w:val="0"/>
                <w:numId w:val="0"/>
              </w:numPr>
              <w:spacing w:line="240" w:lineRule="auto"/>
              <w:rPr>
                <w:rFonts w:ascii="Times New Roman" w:hAnsi="Times New Roman"/>
                <w:sz w:val="20"/>
              </w:rPr>
            </w:pPr>
            <w:r w:rsidRPr="00822303">
              <w:rPr>
                <w:rFonts w:ascii="Times New Roman" w:hAnsi="Times New Roman"/>
                <w:sz w:val="20"/>
              </w:rPr>
              <w:t>Mathématique</w:t>
            </w:r>
          </w:p>
        </w:tc>
        <w:tc>
          <w:tcPr>
            <w:tcW w:w="885" w:type="dxa"/>
          </w:tcPr>
          <w:p w14:paraId="1ED0DFC6" w14:textId="77777777" w:rsidR="00B541F3" w:rsidRPr="00822303" w:rsidRDefault="00FF4B27"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19 879</w:t>
            </w:r>
          </w:p>
        </w:tc>
        <w:tc>
          <w:tcPr>
            <w:tcW w:w="985" w:type="dxa"/>
          </w:tcPr>
          <w:p w14:paraId="4E2563FA"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21 592</w:t>
            </w:r>
          </w:p>
        </w:tc>
        <w:tc>
          <w:tcPr>
            <w:tcW w:w="885" w:type="dxa"/>
          </w:tcPr>
          <w:p w14:paraId="0B795EBE"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24 000</w:t>
            </w:r>
          </w:p>
        </w:tc>
        <w:tc>
          <w:tcPr>
            <w:tcW w:w="898" w:type="dxa"/>
          </w:tcPr>
          <w:p w14:paraId="4A34483C"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19 783</w:t>
            </w:r>
          </w:p>
        </w:tc>
        <w:tc>
          <w:tcPr>
            <w:tcW w:w="890" w:type="dxa"/>
          </w:tcPr>
          <w:p w14:paraId="52C3FBE3" w14:textId="77777777" w:rsidR="00B541F3" w:rsidRPr="00822303" w:rsidRDefault="006C7964"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36 547</w:t>
            </w:r>
          </w:p>
        </w:tc>
        <w:tc>
          <w:tcPr>
            <w:tcW w:w="1111" w:type="dxa"/>
          </w:tcPr>
          <w:p w14:paraId="43A3285A" w14:textId="77777777" w:rsidR="00B541F3" w:rsidRPr="00822303" w:rsidRDefault="006E4273"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20 218</w:t>
            </w:r>
          </w:p>
        </w:tc>
        <w:tc>
          <w:tcPr>
            <w:tcW w:w="981" w:type="dxa"/>
          </w:tcPr>
          <w:p w14:paraId="654FEC52" w14:textId="77777777" w:rsidR="00B541F3" w:rsidRPr="00822303" w:rsidRDefault="0066460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18 289</w:t>
            </w:r>
          </w:p>
        </w:tc>
      </w:tr>
      <w:tr w:rsidR="00DF4EDD" w14:paraId="4047D811" w14:textId="77777777" w:rsidTr="00D36D7F">
        <w:tc>
          <w:tcPr>
            <w:tcW w:w="1470" w:type="dxa"/>
            <w:tcBorders>
              <w:bottom w:val="single" w:sz="4" w:space="0" w:color="auto"/>
            </w:tcBorders>
          </w:tcPr>
          <w:p w14:paraId="50A88752" w14:textId="77777777" w:rsidR="00B541F3" w:rsidRPr="00822303" w:rsidRDefault="005D3E12" w:rsidP="00B541F3">
            <w:pPr>
              <w:pStyle w:val="Paragraphe"/>
              <w:numPr>
                <w:ilvl w:val="0"/>
                <w:numId w:val="0"/>
              </w:numPr>
              <w:spacing w:line="240" w:lineRule="auto"/>
              <w:rPr>
                <w:rFonts w:ascii="Times New Roman" w:hAnsi="Times New Roman"/>
                <w:sz w:val="20"/>
              </w:rPr>
            </w:pPr>
            <w:r w:rsidRPr="00822303">
              <w:rPr>
                <w:rFonts w:ascii="Times New Roman" w:hAnsi="Times New Roman"/>
                <w:sz w:val="20"/>
              </w:rPr>
              <w:t>Sciences pure</w:t>
            </w:r>
          </w:p>
        </w:tc>
        <w:tc>
          <w:tcPr>
            <w:tcW w:w="885" w:type="dxa"/>
            <w:tcBorders>
              <w:bottom w:val="single" w:sz="4" w:space="0" w:color="auto"/>
            </w:tcBorders>
          </w:tcPr>
          <w:p w14:paraId="6C5C4195" w14:textId="77777777" w:rsidR="00B541F3" w:rsidRPr="00822303" w:rsidRDefault="00FF4B27"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19 879</w:t>
            </w:r>
          </w:p>
        </w:tc>
        <w:tc>
          <w:tcPr>
            <w:tcW w:w="985" w:type="dxa"/>
            <w:tcBorders>
              <w:bottom w:val="single" w:sz="4" w:space="0" w:color="auto"/>
            </w:tcBorders>
          </w:tcPr>
          <w:p w14:paraId="2A4CE771"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21 592</w:t>
            </w:r>
          </w:p>
        </w:tc>
        <w:tc>
          <w:tcPr>
            <w:tcW w:w="885" w:type="dxa"/>
            <w:tcBorders>
              <w:bottom w:val="single" w:sz="4" w:space="0" w:color="auto"/>
            </w:tcBorders>
          </w:tcPr>
          <w:p w14:paraId="6357ACB2"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24 000</w:t>
            </w:r>
          </w:p>
        </w:tc>
        <w:tc>
          <w:tcPr>
            <w:tcW w:w="898" w:type="dxa"/>
            <w:tcBorders>
              <w:bottom w:val="single" w:sz="4" w:space="0" w:color="auto"/>
            </w:tcBorders>
          </w:tcPr>
          <w:p w14:paraId="35890FEB" w14:textId="77777777" w:rsidR="00B541F3" w:rsidRPr="00822303" w:rsidRDefault="000379F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19 783</w:t>
            </w:r>
          </w:p>
        </w:tc>
        <w:tc>
          <w:tcPr>
            <w:tcW w:w="890" w:type="dxa"/>
            <w:tcBorders>
              <w:bottom w:val="single" w:sz="4" w:space="0" w:color="auto"/>
            </w:tcBorders>
          </w:tcPr>
          <w:p w14:paraId="66346962" w14:textId="77777777" w:rsidR="00B541F3" w:rsidRPr="00822303" w:rsidRDefault="006C7964"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36 547</w:t>
            </w:r>
          </w:p>
        </w:tc>
        <w:tc>
          <w:tcPr>
            <w:tcW w:w="1111" w:type="dxa"/>
            <w:tcBorders>
              <w:bottom w:val="single" w:sz="4" w:space="0" w:color="auto"/>
            </w:tcBorders>
          </w:tcPr>
          <w:p w14:paraId="03BBCB97" w14:textId="77777777" w:rsidR="00B541F3" w:rsidRPr="00822303" w:rsidRDefault="006E4273"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20 218</w:t>
            </w:r>
          </w:p>
        </w:tc>
        <w:tc>
          <w:tcPr>
            <w:tcW w:w="981" w:type="dxa"/>
            <w:tcBorders>
              <w:bottom w:val="single" w:sz="4" w:space="0" w:color="auto"/>
            </w:tcBorders>
          </w:tcPr>
          <w:p w14:paraId="567E246A" w14:textId="77777777" w:rsidR="00B541F3" w:rsidRPr="00822303" w:rsidRDefault="00664608" w:rsidP="00E956D8">
            <w:pPr>
              <w:pStyle w:val="Paragraphe"/>
              <w:numPr>
                <w:ilvl w:val="0"/>
                <w:numId w:val="0"/>
              </w:numPr>
              <w:spacing w:line="240" w:lineRule="auto"/>
              <w:jc w:val="center"/>
              <w:rPr>
                <w:rFonts w:ascii="Times New Roman" w:hAnsi="Times New Roman"/>
                <w:sz w:val="20"/>
              </w:rPr>
            </w:pPr>
            <w:r w:rsidRPr="00822303">
              <w:rPr>
                <w:rFonts w:ascii="Times New Roman" w:hAnsi="Times New Roman"/>
                <w:sz w:val="20"/>
              </w:rPr>
              <w:t>18 289</w:t>
            </w:r>
          </w:p>
        </w:tc>
      </w:tr>
      <w:tr w:rsidR="006B6FBB" w14:paraId="48AE65A9" w14:textId="77777777" w:rsidTr="00D36D7F">
        <w:tc>
          <w:tcPr>
            <w:tcW w:w="8105" w:type="dxa"/>
            <w:gridSpan w:val="8"/>
            <w:tcBorders>
              <w:left w:val="nil"/>
              <w:bottom w:val="nil"/>
              <w:right w:val="nil"/>
            </w:tcBorders>
          </w:tcPr>
          <w:p w14:paraId="2FC2366B" w14:textId="4F463319" w:rsidR="009A7568" w:rsidRPr="00822303" w:rsidRDefault="009A7568" w:rsidP="008D53EC">
            <w:pPr>
              <w:pStyle w:val="Paragraphe"/>
              <w:numPr>
                <w:ilvl w:val="0"/>
                <w:numId w:val="0"/>
              </w:numPr>
              <w:spacing w:line="240" w:lineRule="auto"/>
              <w:ind w:left="707" w:hanging="707"/>
              <w:rPr>
                <w:rFonts w:ascii="Times New Roman" w:hAnsi="Times New Roman"/>
                <w:sz w:val="20"/>
              </w:rPr>
            </w:pPr>
            <w:r w:rsidRPr="00822303">
              <w:rPr>
                <w:rFonts w:ascii="Times New Roman" w:hAnsi="Times New Roman"/>
                <w:sz w:val="20"/>
              </w:rPr>
              <w:t>Source :</w:t>
            </w:r>
            <w:r w:rsidR="003E6384">
              <w:rPr>
                <w:rFonts w:ascii="Times New Roman" w:hAnsi="Times New Roman"/>
                <w:sz w:val="20"/>
              </w:rPr>
              <w:t xml:space="preserve"> </w:t>
            </w:r>
            <w:r w:rsidRPr="00822303">
              <w:rPr>
                <w:rFonts w:ascii="Times New Roman" w:hAnsi="Times New Roman"/>
                <w:sz w:val="20"/>
              </w:rPr>
              <w:t xml:space="preserve">Direction des affaires universitaires et interordres et Direction de la programmation </w:t>
            </w:r>
            <w:r w:rsidR="003E6384">
              <w:rPr>
                <w:rFonts w:ascii="Times New Roman" w:hAnsi="Times New Roman"/>
                <w:sz w:val="20"/>
              </w:rPr>
              <w:t xml:space="preserve">  </w:t>
            </w:r>
            <w:r w:rsidRPr="00822303">
              <w:rPr>
                <w:rFonts w:ascii="Times New Roman" w:hAnsi="Times New Roman"/>
                <w:sz w:val="20"/>
              </w:rPr>
              <w:t>budgétaire et du financement du ministère de l’Éducation et de l’Enseignement supérieur, à partir des sites internet des établissements. Données transmises au CCAF</w:t>
            </w:r>
            <w:r w:rsidR="00B1557B">
              <w:rPr>
                <w:rFonts w:ascii="Times New Roman" w:hAnsi="Times New Roman"/>
                <w:sz w:val="20"/>
              </w:rPr>
              <w:t>É</w:t>
            </w:r>
            <w:r w:rsidRPr="00822303">
              <w:rPr>
                <w:rFonts w:ascii="Times New Roman" w:hAnsi="Times New Roman"/>
                <w:sz w:val="20"/>
              </w:rPr>
              <w:t xml:space="preserve"> le 25 mars 2019.</w:t>
            </w:r>
          </w:p>
        </w:tc>
      </w:tr>
    </w:tbl>
    <w:p w14:paraId="4FF7656F" w14:textId="5A8C5710" w:rsidR="005C3879" w:rsidRDefault="00130BFE" w:rsidP="00B469D5">
      <w:pPr>
        <w:pStyle w:val="Paragraphe"/>
        <w:keepNext/>
        <w:tabs>
          <w:tab w:val="clear" w:pos="2204"/>
        </w:tabs>
        <w:spacing w:after="240" w:line="240" w:lineRule="auto"/>
        <w:ind w:left="0"/>
        <w:rPr>
          <w:rFonts w:cs="Arial"/>
        </w:rPr>
      </w:pPr>
      <w:r w:rsidRPr="00725EC2">
        <w:rPr>
          <w:rFonts w:cs="Arial"/>
        </w:rPr>
        <w:t xml:space="preserve">Il est plausible de croire que ces montants ont augmenté depuis. Selon la preuve, en mai 2023, Concordia a établi </w:t>
      </w:r>
      <w:r w:rsidR="00293BD5" w:rsidRPr="00725EC2">
        <w:rPr>
          <w:rFonts w:cs="Arial"/>
        </w:rPr>
        <w:t xml:space="preserve">par catégorie de programmes, </w:t>
      </w:r>
      <w:r w:rsidRPr="00725EC2">
        <w:rPr>
          <w:rFonts w:cs="Arial"/>
        </w:rPr>
        <w:t xml:space="preserve">les frais de scolarité suivants pour les étudiants Internationaux </w:t>
      </w:r>
      <w:r w:rsidR="00293BD5" w:rsidRPr="00725EC2">
        <w:rPr>
          <w:rFonts w:cs="Arial"/>
        </w:rPr>
        <w:t>de</w:t>
      </w:r>
      <w:r w:rsidRPr="00725EC2">
        <w:rPr>
          <w:rFonts w:cs="Arial"/>
        </w:rPr>
        <w:t xml:space="preserve"> 2024-2025 à 2028-20</w:t>
      </w:r>
      <w:r w:rsidR="00B469D5">
        <w:rPr>
          <w:rFonts w:cs="Arial"/>
        </w:rPr>
        <w:t>2</w:t>
      </w:r>
      <w:r w:rsidRPr="00725EC2">
        <w:rPr>
          <w:rFonts w:cs="Arial"/>
        </w:rPr>
        <w:t>9</w:t>
      </w:r>
      <w:r w:rsidRPr="00725EC2">
        <w:rPr>
          <w:rStyle w:val="Appelnotedebasdep"/>
          <w:rFonts w:cs="Arial"/>
        </w:rPr>
        <w:footnoteReference w:id="185"/>
      </w:r>
      <w:r w:rsidRPr="00725EC2">
        <w:rPr>
          <w:rFonts w:cs="Arial"/>
        </w:rPr>
        <w:t> :</w:t>
      </w:r>
    </w:p>
    <w:tbl>
      <w:tblPr>
        <w:tblStyle w:val="Grilledutableau"/>
        <w:tblW w:w="0" w:type="auto"/>
        <w:tblInd w:w="715" w:type="dxa"/>
        <w:tblLook w:val="04A0" w:firstRow="1" w:lastRow="0" w:firstColumn="1" w:lastColumn="0" w:noHBand="0" w:noVBand="1"/>
      </w:tblPr>
      <w:tblGrid>
        <w:gridCol w:w="1558"/>
        <w:gridCol w:w="1227"/>
        <w:gridCol w:w="1260"/>
        <w:gridCol w:w="1170"/>
        <w:gridCol w:w="1260"/>
        <w:gridCol w:w="1260"/>
      </w:tblGrid>
      <w:tr w:rsidR="00822303" w14:paraId="28D6357E" w14:textId="77777777" w:rsidTr="00A16831">
        <w:tc>
          <w:tcPr>
            <w:tcW w:w="1558" w:type="dxa"/>
          </w:tcPr>
          <w:p w14:paraId="60FB3EB2" w14:textId="77777777" w:rsidR="00822303" w:rsidRPr="0065550B" w:rsidRDefault="00822303" w:rsidP="00B469D5">
            <w:pPr>
              <w:pStyle w:val="Paragraphe"/>
              <w:keepNext/>
              <w:numPr>
                <w:ilvl w:val="0"/>
                <w:numId w:val="0"/>
              </w:numPr>
              <w:spacing w:line="240" w:lineRule="auto"/>
              <w:rPr>
                <w:rFonts w:ascii="Times New Roman" w:hAnsi="Times New Roman"/>
              </w:rPr>
            </w:pPr>
          </w:p>
        </w:tc>
        <w:tc>
          <w:tcPr>
            <w:tcW w:w="1227" w:type="dxa"/>
          </w:tcPr>
          <w:p w14:paraId="21A117AB" w14:textId="77777777" w:rsidR="00822303" w:rsidRPr="0065550B" w:rsidRDefault="00822303" w:rsidP="00B469D5">
            <w:pPr>
              <w:pStyle w:val="Paragraphe"/>
              <w:keepNext/>
              <w:numPr>
                <w:ilvl w:val="0"/>
                <w:numId w:val="0"/>
              </w:numPr>
              <w:spacing w:line="240" w:lineRule="auto"/>
              <w:rPr>
                <w:rFonts w:ascii="Times New Roman" w:hAnsi="Times New Roman"/>
                <w:b/>
                <w:bCs/>
                <w:sz w:val="22"/>
                <w:szCs w:val="22"/>
              </w:rPr>
            </w:pPr>
            <w:r w:rsidRPr="0065550B">
              <w:rPr>
                <w:rFonts w:ascii="Times New Roman" w:hAnsi="Times New Roman"/>
                <w:b/>
                <w:bCs/>
                <w:sz w:val="22"/>
                <w:szCs w:val="22"/>
              </w:rPr>
              <w:t>2024-25</w:t>
            </w:r>
          </w:p>
        </w:tc>
        <w:tc>
          <w:tcPr>
            <w:tcW w:w="1260" w:type="dxa"/>
          </w:tcPr>
          <w:p w14:paraId="3C15CF44" w14:textId="77777777" w:rsidR="00822303" w:rsidRPr="0065550B" w:rsidRDefault="0065550B" w:rsidP="00B469D5">
            <w:pPr>
              <w:pStyle w:val="Paragraphe"/>
              <w:keepNext/>
              <w:numPr>
                <w:ilvl w:val="0"/>
                <w:numId w:val="0"/>
              </w:numPr>
              <w:spacing w:line="240" w:lineRule="auto"/>
              <w:rPr>
                <w:rFonts w:ascii="Times New Roman" w:hAnsi="Times New Roman"/>
                <w:b/>
                <w:bCs/>
                <w:sz w:val="22"/>
                <w:szCs w:val="22"/>
              </w:rPr>
            </w:pPr>
            <w:r w:rsidRPr="0065550B">
              <w:rPr>
                <w:rFonts w:ascii="Times New Roman" w:hAnsi="Times New Roman"/>
                <w:b/>
                <w:bCs/>
                <w:sz w:val="22"/>
                <w:szCs w:val="22"/>
              </w:rPr>
              <w:t>2025-26</w:t>
            </w:r>
          </w:p>
        </w:tc>
        <w:tc>
          <w:tcPr>
            <w:tcW w:w="1170" w:type="dxa"/>
          </w:tcPr>
          <w:p w14:paraId="2BBD3CDF" w14:textId="77777777" w:rsidR="00822303" w:rsidRPr="0065550B" w:rsidRDefault="0065550B" w:rsidP="00B469D5">
            <w:pPr>
              <w:pStyle w:val="Paragraphe"/>
              <w:keepNext/>
              <w:numPr>
                <w:ilvl w:val="0"/>
                <w:numId w:val="0"/>
              </w:numPr>
              <w:spacing w:line="240" w:lineRule="auto"/>
              <w:rPr>
                <w:rFonts w:ascii="Times New Roman" w:hAnsi="Times New Roman"/>
                <w:b/>
                <w:bCs/>
                <w:sz w:val="22"/>
                <w:szCs w:val="22"/>
              </w:rPr>
            </w:pPr>
            <w:r w:rsidRPr="0065550B">
              <w:rPr>
                <w:rFonts w:ascii="Times New Roman" w:hAnsi="Times New Roman"/>
                <w:b/>
                <w:bCs/>
                <w:sz w:val="22"/>
                <w:szCs w:val="22"/>
              </w:rPr>
              <w:t>2026-27</w:t>
            </w:r>
          </w:p>
        </w:tc>
        <w:tc>
          <w:tcPr>
            <w:tcW w:w="1260" w:type="dxa"/>
          </w:tcPr>
          <w:p w14:paraId="15D4F056" w14:textId="77777777" w:rsidR="00822303" w:rsidRPr="0065550B" w:rsidRDefault="0065550B" w:rsidP="00B469D5">
            <w:pPr>
              <w:pStyle w:val="Paragraphe"/>
              <w:keepNext/>
              <w:numPr>
                <w:ilvl w:val="0"/>
                <w:numId w:val="0"/>
              </w:numPr>
              <w:spacing w:line="240" w:lineRule="auto"/>
              <w:rPr>
                <w:rFonts w:ascii="Times New Roman" w:hAnsi="Times New Roman"/>
                <w:b/>
                <w:bCs/>
                <w:sz w:val="22"/>
                <w:szCs w:val="22"/>
              </w:rPr>
            </w:pPr>
            <w:r w:rsidRPr="0065550B">
              <w:rPr>
                <w:rFonts w:ascii="Times New Roman" w:hAnsi="Times New Roman"/>
                <w:b/>
                <w:bCs/>
                <w:sz w:val="22"/>
                <w:szCs w:val="22"/>
              </w:rPr>
              <w:t>2027-28</w:t>
            </w:r>
          </w:p>
        </w:tc>
        <w:tc>
          <w:tcPr>
            <w:tcW w:w="1260" w:type="dxa"/>
          </w:tcPr>
          <w:p w14:paraId="2514C4FF" w14:textId="77777777" w:rsidR="00822303" w:rsidRPr="0065550B" w:rsidRDefault="0065550B" w:rsidP="00B469D5">
            <w:pPr>
              <w:pStyle w:val="Paragraphe"/>
              <w:keepNext/>
              <w:numPr>
                <w:ilvl w:val="0"/>
                <w:numId w:val="0"/>
              </w:numPr>
              <w:spacing w:line="240" w:lineRule="auto"/>
              <w:rPr>
                <w:rFonts w:ascii="Times New Roman" w:hAnsi="Times New Roman"/>
                <w:b/>
                <w:bCs/>
                <w:sz w:val="22"/>
                <w:szCs w:val="22"/>
              </w:rPr>
            </w:pPr>
            <w:r w:rsidRPr="0065550B">
              <w:rPr>
                <w:rFonts w:ascii="Times New Roman" w:hAnsi="Times New Roman"/>
                <w:b/>
                <w:bCs/>
                <w:sz w:val="22"/>
                <w:szCs w:val="22"/>
              </w:rPr>
              <w:t>2028-29</w:t>
            </w:r>
          </w:p>
        </w:tc>
      </w:tr>
      <w:tr w:rsidR="00762D82" w14:paraId="68A1A887" w14:textId="77777777" w:rsidTr="00A16831">
        <w:tc>
          <w:tcPr>
            <w:tcW w:w="7735" w:type="dxa"/>
            <w:gridSpan w:val="6"/>
          </w:tcPr>
          <w:p w14:paraId="3CCEE7DC" w14:textId="77777777" w:rsidR="00762D82" w:rsidRPr="00762D82" w:rsidRDefault="00762D82" w:rsidP="00B469D5">
            <w:pPr>
              <w:pStyle w:val="Paragraphe"/>
              <w:keepNext/>
              <w:numPr>
                <w:ilvl w:val="0"/>
                <w:numId w:val="0"/>
              </w:numPr>
              <w:spacing w:line="240" w:lineRule="auto"/>
              <w:rPr>
                <w:rFonts w:ascii="Times New Roman" w:hAnsi="Times New Roman"/>
                <w:b/>
                <w:bCs/>
                <w:sz w:val="22"/>
                <w:szCs w:val="22"/>
              </w:rPr>
            </w:pPr>
            <w:r w:rsidRPr="00762D82">
              <w:rPr>
                <w:rFonts w:ascii="Times New Roman" w:hAnsi="Times New Roman"/>
                <w:b/>
                <w:bCs/>
                <w:sz w:val="22"/>
                <w:szCs w:val="22"/>
              </w:rPr>
              <w:t>Premier cycle (30 crédits par année)</w:t>
            </w:r>
          </w:p>
        </w:tc>
      </w:tr>
      <w:tr w:rsidR="00822303" w14:paraId="38B2DF0E" w14:textId="77777777" w:rsidTr="00A16831">
        <w:tc>
          <w:tcPr>
            <w:tcW w:w="1558" w:type="dxa"/>
          </w:tcPr>
          <w:p w14:paraId="1CCB396F" w14:textId="77777777" w:rsidR="00822303" w:rsidRPr="009056E9" w:rsidRDefault="006C65E9" w:rsidP="00B469D5">
            <w:pPr>
              <w:pStyle w:val="Paragraphe"/>
              <w:keepNext/>
              <w:numPr>
                <w:ilvl w:val="0"/>
                <w:numId w:val="0"/>
              </w:numPr>
              <w:spacing w:line="240" w:lineRule="auto"/>
              <w:rPr>
                <w:rFonts w:ascii="Times New Roman" w:hAnsi="Times New Roman"/>
                <w:sz w:val="20"/>
              </w:rPr>
            </w:pPr>
            <w:r w:rsidRPr="009056E9">
              <w:rPr>
                <w:rFonts w:ascii="Times New Roman" w:hAnsi="Times New Roman"/>
                <w:sz w:val="20"/>
              </w:rPr>
              <w:t>Arts</w:t>
            </w:r>
          </w:p>
        </w:tc>
        <w:tc>
          <w:tcPr>
            <w:tcW w:w="1227" w:type="dxa"/>
          </w:tcPr>
          <w:p w14:paraId="3B670A80"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29 850</w:t>
            </w:r>
            <w:r w:rsidR="001D3387">
              <w:rPr>
                <w:rFonts w:ascii="Times New Roman" w:hAnsi="Times New Roman"/>
                <w:sz w:val="20"/>
              </w:rPr>
              <w:t> $</w:t>
            </w:r>
          </w:p>
        </w:tc>
        <w:tc>
          <w:tcPr>
            <w:tcW w:w="1260" w:type="dxa"/>
          </w:tcPr>
          <w:p w14:paraId="7B0AACA9"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32 500</w:t>
            </w:r>
            <w:r w:rsidR="001D3387">
              <w:rPr>
                <w:rFonts w:ascii="Times New Roman" w:hAnsi="Times New Roman"/>
                <w:sz w:val="20"/>
              </w:rPr>
              <w:t> $</w:t>
            </w:r>
          </w:p>
        </w:tc>
        <w:tc>
          <w:tcPr>
            <w:tcW w:w="1170" w:type="dxa"/>
          </w:tcPr>
          <w:p w14:paraId="638EB944"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34 800</w:t>
            </w:r>
            <w:r w:rsidR="001D3387">
              <w:rPr>
                <w:rFonts w:ascii="Times New Roman" w:hAnsi="Times New Roman"/>
                <w:sz w:val="20"/>
              </w:rPr>
              <w:t> $</w:t>
            </w:r>
          </w:p>
        </w:tc>
        <w:tc>
          <w:tcPr>
            <w:tcW w:w="1260" w:type="dxa"/>
          </w:tcPr>
          <w:p w14:paraId="756658DD"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37 650</w:t>
            </w:r>
            <w:r w:rsidR="001D3387">
              <w:rPr>
                <w:rFonts w:ascii="Times New Roman" w:hAnsi="Times New Roman"/>
                <w:sz w:val="20"/>
              </w:rPr>
              <w:t> $</w:t>
            </w:r>
          </w:p>
        </w:tc>
        <w:tc>
          <w:tcPr>
            <w:tcW w:w="1260" w:type="dxa"/>
          </w:tcPr>
          <w:p w14:paraId="726C1D74"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40 650</w:t>
            </w:r>
            <w:r w:rsidR="001D3387">
              <w:rPr>
                <w:rFonts w:ascii="Times New Roman" w:hAnsi="Times New Roman"/>
                <w:sz w:val="20"/>
              </w:rPr>
              <w:t> $</w:t>
            </w:r>
          </w:p>
        </w:tc>
      </w:tr>
      <w:tr w:rsidR="00822303" w14:paraId="6047B364" w14:textId="77777777" w:rsidTr="00A16831">
        <w:tc>
          <w:tcPr>
            <w:tcW w:w="1558" w:type="dxa"/>
          </w:tcPr>
          <w:p w14:paraId="4123F5ED" w14:textId="77777777" w:rsidR="00822303" w:rsidRPr="009056E9" w:rsidRDefault="006C65E9" w:rsidP="00B469D5">
            <w:pPr>
              <w:pStyle w:val="Paragraphe"/>
              <w:keepNext/>
              <w:numPr>
                <w:ilvl w:val="0"/>
                <w:numId w:val="0"/>
              </w:numPr>
              <w:spacing w:line="240" w:lineRule="auto"/>
              <w:rPr>
                <w:rFonts w:ascii="Times New Roman" w:hAnsi="Times New Roman"/>
                <w:sz w:val="20"/>
              </w:rPr>
            </w:pPr>
            <w:r w:rsidRPr="009056E9">
              <w:rPr>
                <w:rFonts w:ascii="Times New Roman" w:hAnsi="Times New Roman"/>
                <w:sz w:val="20"/>
              </w:rPr>
              <w:t>Affaires</w:t>
            </w:r>
          </w:p>
        </w:tc>
        <w:tc>
          <w:tcPr>
            <w:tcW w:w="1227" w:type="dxa"/>
          </w:tcPr>
          <w:p w14:paraId="1B9E56C6"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36 000</w:t>
            </w:r>
            <w:r w:rsidR="001D3387">
              <w:rPr>
                <w:rFonts w:ascii="Times New Roman" w:hAnsi="Times New Roman"/>
                <w:sz w:val="20"/>
              </w:rPr>
              <w:t> $</w:t>
            </w:r>
          </w:p>
        </w:tc>
        <w:tc>
          <w:tcPr>
            <w:tcW w:w="1260" w:type="dxa"/>
          </w:tcPr>
          <w:p w14:paraId="24739CF5"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38 850</w:t>
            </w:r>
            <w:r w:rsidR="001D3387">
              <w:rPr>
                <w:rFonts w:ascii="Times New Roman" w:hAnsi="Times New Roman"/>
                <w:sz w:val="20"/>
              </w:rPr>
              <w:t> $</w:t>
            </w:r>
          </w:p>
        </w:tc>
        <w:tc>
          <w:tcPr>
            <w:tcW w:w="1170" w:type="dxa"/>
          </w:tcPr>
          <w:p w14:paraId="0259313C"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42 000</w:t>
            </w:r>
            <w:r w:rsidR="001D3387">
              <w:rPr>
                <w:rFonts w:ascii="Times New Roman" w:hAnsi="Times New Roman"/>
                <w:sz w:val="20"/>
              </w:rPr>
              <w:t> $</w:t>
            </w:r>
          </w:p>
        </w:tc>
        <w:tc>
          <w:tcPr>
            <w:tcW w:w="1260" w:type="dxa"/>
          </w:tcPr>
          <w:p w14:paraId="32C27030"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45 450</w:t>
            </w:r>
            <w:r w:rsidR="001D3387">
              <w:rPr>
                <w:rFonts w:ascii="Times New Roman" w:hAnsi="Times New Roman"/>
                <w:sz w:val="20"/>
              </w:rPr>
              <w:t> $</w:t>
            </w:r>
          </w:p>
        </w:tc>
        <w:tc>
          <w:tcPr>
            <w:tcW w:w="1260" w:type="dxa"/>
          </w:tcPr>
          <w:p w14:paraId="6856AD6A"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49 050</w:t>
            </w:r>
            <w:r w:rsidR="001D3387">
              <w:rPr>
                <w:rFonts w:ascii="Times New Roman" w:hAnsi="Times New Roman"/>
                <w:sz w:val="20"/>
              </w:rPr>
              <w:t> $</w:t>
            </w:r>
          </w:p>
        </w:tc>
      </w:tr>
      <w:tr w:rsidR="00822303" w14:paraId="57F3C2DF" w14:textId="77777777" w:rsidTr="00A16831">
        <w:tc>
          <w:tcPr>
            <w:tcW w:w="1558" w:type="dxa"/>
          </w:tcPr>
          <w:p w14:paraId="39B9F525" w14:textId="77777777" w:rsidR="00822303" w:rsidRPr="009056E9" w:rsidRDefault="006C65E9" w:rsidP="00B469D5">
            <w:pPr>
              <w:pStyle w:val="Paragraphe"/>
              <w:keepNext/>
              <w:numPr>
                <w:ilvl w:val="0"/>
                <w:numId w:val="0"/>
              </w:numPr>
              <w:spacing w:line="240" w:lineRule="auto"/>
              <w:rPr>
                <w:rFonts w:ascii="Times New Roman" w:hAnsi="Times New Roman"/>
                <w:sz w:val="20"/>
              </w:rPr>
            </w:pPr>
            <w:r w:rsidRPr="009056E9">
              <w:rPr>
                <w:rFonts w:ascii="Times New Roman" w:hAnsi="Times New Roman"/>
                <w:sz w:val="20"/>
              </w:rPr>
              <w:t>Informatique</w:t>
            </w:r>
          </w:p>
        </w:tc>
        <w:tc>
          <w:tcPr>
            <w:tcW w:w="1227" w:type="dxa"/>
          </w:tcPr>
          <w:p w14:paraId="2DFE62E9"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33 000</w:t>
            </w:r>
            <w:r w:rsidR="001D3387">
              <w:rPr>
                <w:rFonts w:ascii="Times New Roman" w:hAnsi="Times New Roman"/>
                <w:sz w:val="20"/>
              </w:rPr>
              <w:t> $</w:t>
            </w:r>
          </w:p>
        </w:tc>
        <w:tc>
          <w:tcPr>
            <w:tcW w:w="1260" w:type="dxa"/>
          </w:tcPr>
          <w:p w14:paraId="13254FA7"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35 700</w:t>
            </w:r>
            <w:r w:rsidR="001D3387">
              <w:rPr>
                <w:rFonts w:ascii="Times New Roman" w:hAnsi="Times New Roman"/>
                <w:sz w:val="20"/>
              </w:rPr>
              <w:t> $</w:t>
            </w:r>
          </w:p>
        </w:tc>
        <w:tc>
          <w:tcPr>
            <w:tcW w:w="1170" w:type="dxa"/>
          </w:tcPr>
          <w:p w14:paraId="196D6654"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38 500</w:t>
            </w:r>
            <w:r w:rsidR="001D3387">
              <w:rPr>
                <w:rFonts w:ascii="Times New Roman" w:hAnsi="Times New Roman"/>
                <w:sz w:val="20"/>
              </w:rPr>
              <w:t> $</w:t>
            </w:r>
          </w:p>
        </w:tc>
        <w:tc>
          <w:tcPr>
            <w:tcW w:w="1260" w:type="dxa"/>
          </w:tcPr>
          <w:p w14:paraId="14FB61E3"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41 700</w:t>
            </w:r>
            <w:r w:rsidR="001D3387">
              <w:rPr>
                <w:rFonts w:ascii="Times New Roman" w:hAnsi="Times New Roman"/>
                <w:sz w:val="20"/>
              </w:rPr>
              <w:t> $</w:t>
            </w:r>
          </w:p>
        </w:tc>
        <w:tc>
          <w:tcPr>
            <w:tcW w:w="1260" w:type="dxa"/>
          </w:tcPr>
          <w:p w14:paraId="0AE6EBE1"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45 000</w:t>
            </w:r>
            <w:r w:rsidR="001D3387">
              <w:rPr>
                <w:rFonts w:ascii="Times New Roman" w:hAnsi="Times New Roman"/>
                <w:sz w:val="20"/>
              </w:rPr>
              <w:t> $</w:t>
            </w:r>
          </w:p>
        </w:tc>
      </w:tr>
      <w:tr w:rsidR="00822303" w14:paraId="7CE26AE1" w14:textId="77777777" w:rsidTr="00A16831">
        <w:tc>
          <w:tcPr>
            <w:tcW w:w="1558" w:type="dxa"/>
          </w:tcPr>
          <w:p w14:paraId="3D87BE54" w14:textId="77777777" w:rsidR="00822303" w:rsidRPr="009056E9" w:rsidRDefault="006C65E9" w:rsidP="00B469D5">
            <w:pPr>
              <w:pStyle w:val="Paragraphe"/>
              <w:keepNext/>
              <w:numPr>
                <w:ilvl w:val="0"/>
                <w:numId w:val="0"/>
              </w:numPr>
              <w:spacing w:line="240" w:lineRule="auto"/>
              <w:rPr>
                <w:rFonts w:ascii="Times New Roman" w:hAnsi="Times New Roman"/>
                <w:sz w:val="20"/>
              </w:rPr>
            </w:pPr>
            <w:r w:rsidRPr="009056E9">
              <w:rPr>
                <w:rFonts w:ascii="Times New Roman" w:hAnsi="Times New Roman"/>
                <w:sz w:val="20"/>
              </w:rPr>
              <w:t>Génie</w:t>
            </w:r>
          </w:p>
        </w:tc>
        <w:tc>
          <w:tcPr>
            <w:tcW w:w="1227" w:type="dxa"/>
          </w:tcPr>
          <w:p w14:paraId="1B9D63C6"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33 000</w:t>
            </w:r>
            <w:r w:rsidR="001D3387">
              <w:rPr>
                <w:rFonts w:ascii="Times New Roman" w:hAnsi="Times New Roman"/>
                <w:sz w:val="20"/>
              </w:rPr>
              <w:t> $</w:t>
            </w:r>
          </w:p>
        </w:tc>
        <w:tc>
          <w:tcPr>
            <w:tcW w:w="1260" w:type="dxa"/>
          </w:tcPr>
          <w:p w14:paraId="000972CF"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35 700</w:t>
            </w:r>
            <w:r w:rsidR="001D3387">
              <w:rPr>
                <w:rFonts w:ascii="Times New Roman" w:hAnsi="Times New Roman"/>
                <w:sz w:val="20"/>
              </w:rPr>
              <w:t> $</w:t>
            </w:r>
          </w:p>
        </w:tc>
        <w:tc>
          <w:tcPr>
            <w:tcW w:w="1170" w:type="dxa"/>
          </w:tcPr>
          <w:p w14:paraId="05861471"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38 500</w:t>
            </w:r>
            <w:r w:rsidR="001D3387">
              <w:rPr>
                <w:rFonts w:ascii="Times New Roman" w:hAnsi="Times New Roman"/>
                <w:sz w:val="20"/>
              </w:rPr>
              <w:t> $</w:t>
            </w:r>
          </w:p>
        </w:tc>
        <w:tc>
          <w:tcPr>
            <w:tcW w:w="1260" w:type="dxa"/>
          </w:tcPr>
          <w:p w14:paraId="03CAF119"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41 700</w:t>
            </w:r>
            <w:r w:rsidR="001D3387">
              <w:rPr>
                <w:rFonts w:ascii="Times New Roman" w:hAnsi="Times New Roman"/>
                <w:sz w:val="20"/>
              </w:rPr>
              <w:t> $</w:t>
            </w:r>
          </w:p>
        </w:tc>
        <w:tc>
          <w:tcPr>
            <w:tcW w:w="1260" w:type="dxa"/>
          </w:tcPr>
          <w:p w14:paraId="1B8FF623" w14:textId="77777777" w:rsidR="00822303"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45 000</w:t>
            </w:r>
            <w:r w:rsidR="001D3387">
              <w:rPr>
                <w:rFonts w:ascii="Times New Roman" w:hAnsi="Times New Roman"/>
                <w:sz w:val="20"/>
              </w:rPr>
              <w:t> $</w:t>
            </w:r>
          </w:p>
        </w:tc>
      </w:tr>
      <w:tr w:rsidR="0065550B" w14:paraId="5EF15726" w14:textId="77777777" w:rsidTr="00A16831">
        <w:tc>
          <w:tcPr>
            <w:tcW w:w="1558" w:type="dxa"/>
          </w:tcPr>
          <w:p w14:paraId="152B4362" w14:textId="77777777" w:rsidR="0065550B" w:rsidRPr="009056E9" w:rsidRDefault="006C65E9" w:rsidP="00B469D5">
            <w:pPr>
              <w:pStyle w:val="Paragraphe"/>
              <w:keepNext/>
              <w:numPr>
                <w:ilvl w:val="0"/>
                <w:numId w:val="0"/>
              </w:numPr>
              <w:spacing w:line="240" w:lineRule="auto"/>
              <w:rPr>
                <w:rFonts w:ascii="Times New Roman" w:hAnsi="Times New Roman"/>
                <w:sz w:val="20"/>
              </w:rPr>
            </w:pPr>
            <w:r w:rsidRPr="009056E9">
              <w:rPr>
                <w:rFonts w:ascii="Times New Roman" w:hAnsi="Times New Roman"/>
                <w:sz w:val="20"/>
              </w:rPr>
              <w:t>Beaux-arts</w:t>
            </w:r>
          </w:p>
        </w:tc>
        <w:tc>
          <w:tcPr>
            <w:tcW w:w="1227" w:type="dxa"/>
          </w:tcPr>
          <w:p w14:paraId="37C4D401" w14:textId="77777777" w:rsidR="0065550B"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28 050</w:t>
            </w:r>
            <w:r w:rsidR="001D3387">
              <w:rPr>
                <w:rFonts w:ascii="Times New Roman" w:hAnsi="Times New Roman"/>
                <w:sz w:val="20"/>
              </w:rPr>
              <w:t> $</w:t>
            </w:r>
          </w:p>
        </w:tc>
        <w:tc>
          <w:tcPr>
            <w:tcW w:w="1260" w:type="dxa"/>
          </w:tcPr>
          <w:p w14:paraId="1505F632" w14:textId="77777777" w:rsidR="0065550B"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29 100</w:t>
            </w:r>
            <w:r w:rsidR="001D3387">
              <w:rPr>
                <w:rFonts w:ascii="Times New Roman" w:hAnsi="Times New Roman"/>
                <w:sz w:val="20"/>
              </w:rPr>
              <w:t> $</w:t>
            </w:r>
          </w:p>
        </w:tc>
        <w:tc>
          <w:tcPr>
            <w:tcW w:w="1170" w:type="dxa"/>
          </w:tcPr>
          <w:p w14:paraId="20C288C0" w14:textId="77777777" w:rsidR="0065550B"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30 300</w:t>
            </w:r>
            <w:r w:rsidR="001D3387">
              <w:rPr>
                <w:rFonts w:ascii="Times New Roman" w:hAnsi="Times New Roman"/>
                <w:sz w:val="20"/>
              </w:rPr>
              <w:t> $</w:t>
            </w:r>
          </w:p>
        </w:tc>
        <w:tc>
          <w:tcPr>
            <w:tcW w:w="1260" w:type="dxa"/>
          </w:tcPr>
          <w:p w14:paraId="6204E425" w14:textId="77777777" w:rsidR="0065550B"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31 500</w:t>
            </w:r>
            <w:r w:rsidR="001D3387">
              <w:rPr>
                <w:rFonts w:ascii="Times New Roman" w:hAnsi="Times New Roman"/>
                <w:sz w:val="20"/>
              </w:rPr>
              <w:t> $</w:t>
            </w:r>
          </w:p>
        </w:tc>
        <w:tc>
          <w:tcPr>
            <w:tcW w:w="1260" w:type="dxa"/>
          </w:tcPr>
          <w:p w14:paraId="70B15AB2" w14:textId="77777777" w:rsidR="0065550B"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32 700</w:t>
            </w:r>
            <w:r w:rsidR="001D3387">
              <w:rPr>
                <w:rFonts w:ascii="Times New Roman" w:hAnsi="Times New Roman"/>
                <w:sz w:val="20"/>
              </w:rPr>
              <w:t> $</w:t>
            </w:r>
          </w:p>
        </w:tc>
      </w:tr>
      <w:tr w:rsidR="0065550B" w14:paraId="76F69346" w14:textId="77777777" w:rsidTr="00A16831">
        <w:tc>
          <w:tcPr>
            <w:tcW w:w="1558" w:type="dxa"/>
          </w:tcPr>
          <w:p w14:paraId="6BA929A3" w14:textId="77777777" w:rsidR="0065550B" w:rsidRPr="009056E9" w:rsidRDefault="006C65E9" w:rsidP="00B469D5">
            <w:pPr>
              <w:pStyle w:val="Paragraphe"/>
              <w:keepNext/>
              <w:numPr>
                <w:ilvl w:val="0"/>
                <w:numId w:val="0"/>
              </w:numPr>
              <w:spacing w:line="240" w:lineRule="auto"/>
              <w:rPr>
                <w:rFonts w:ascii="Times New Roman" w:hAnsi="Times New Roman"/>
                <w:sz w:val="20"/>
              </w:rPr>
            </w:pPr>
            <w:r w:rsidRPr="009056E9">
              <w:rPr>
                <w:rFonts w:ascii="Times New Roman" w:hAnsi="Times New Roman"/>
                <w:sz w:val="20"/>
              </w:rPr>
              <w:t>Sciences</w:t>
            </w:r>
          </w:p>
        </w:tc>
        <w:tc>
          <w:tcPr>
            <w:tcW w:w="1227" w:type="dxa"/>
          </w:tcPr>
          <w:p w14:paraId="53AF5470" w14:textId="77777777" w:rsidR="0065550B"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29 850</w:t>
            </w:r>
            <w:r w:rsidR="001D3387">
              <w:rPr>
                <w:rFonts w:ascii="Times New Roman" w:hAnsi="Times New Roman"/>
                <w:sz w:val="20"/>
              </w:rPr>
              <w:t> $</w:t>
            </w:r>
          </w:p>
        </w:tc>
        <w:tc>
          <w:tcPr>
            <w:tcW w:w="1260" w:type="dxa"/>
          </w:tcPr>
          <w:p w14:paraId="08474134" w14:textId="77777777" w:rsidR="0065550B"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32 250</w:t>
            </w:r>
            <w:r w:rsidR="001D3387">
              <w:rPr>
                <w:rFonts w:ascii="Times New Roman" w:hAnsi="Times New Roman"/>
                <w:sz w:val="20"/>
              </w:rPr>
              <w:t> $</w:t>
            </w:r>
          </w:p>
        </w:tc>
        <w:tc>
          <w:tcPr>
            <w:tcW w:w="1170" w:type="dxa"/>
          </w:tcPr>
          <w:p w14:paraId="309D2CAD" w14:textId="77777777" w:rsidR="0065550B"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34 800</w:t>
            </w:r>
            <w:r w:rsidR="001D3387">
              <w:rPr>
                <w:rFonts w:ascii="Times New Roman" w:hAnsi="Times New Roman"/>
                <w:sz w:val="20"/>
              </w:rPr>
              <w:t> $</w:t>
            </w:r>
          </w:p>
        </w:tc>
        <w:tc>
          <w:tcPr>
            <w:tcW w:w="1260" w:type="dxa"/>
          </w:tcPr>
          <w:p w14:paraId="18C7B8F3" w14:textId="77777777" w:rsidR="0065550B"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37 650</w:t>
            </w:r>
            <w:r w:rsidR="001D3387">
              <w:rPr>
                <w:rFonts w:ascii="Times New Roman" w:hAnsi="Times New Roman"/>
                <w:sz w:val="20"/>
              </w:rPr>
              <w:t> $</w:t>
            </w:r>
          </w:p>
        </w:tc>
        <w:tc>
          <w:tcPr>
            <w:tcW w:w="1260" w:type="dxa"/>
          </w:tcPr>
          <w:p w14:paraId="410EFC6C" w14:textId="77777777" w:rsidR="0065550B" w:rsidRPr="009056E9" w:rsidRDefault="008C5709"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40 650</w:t>
            </w:r>
            <w:r w:rsidR="001D3387">
              <w:rPr>
                <w:rFonts w:ascii="Times New Roman" w:hAnsi="Times New Roman"/>
                <w:sz w:val="20"/>
              </w:rPr>
              <w:t> $</w:t>
            </w:r>
          </w:p>
        </w:tc>
      </w:tr>
      <w:tr w:rsidR="006C65E9" w14:paraId="0B11B292" w14:textId="77777777" w:rsidTr="00A16831">
        <w:tc>
          <w:tcPr>
            <w:tcW w:w="7735" w:type="dxa"/>
            <w:gridSpan w:val="6"/>
          </w:tcPr>
          <w:p w14:paraId="6C7CCEAD" w14:textId="77777777" w:rsidR="006C65E9" w:rsidRPr="006C65E9" w:rsidRDefault="006C65E9" w:rsidP="00B469D5">
            <w:pPr>
              <w:pStyle w:val="Paragraphe"/>
              <w:keepNext/>
              <w:numPr>
                <w:ilvl w:val="0"/>
                <w:numId w:val="0"/>
              </w:numPr>
              <w:spacing w:line="240" w:lineRule="auto"/>
              <w:rPr>
                <w:rFonts w:ascii="Times New Roman" w:hAnsi="Times New Roman"/>
                <w:b/>
                <w:bCs/>
                <w:sz w:val="22"/>
                <w:szCs w:val="22"/>
              </w:rPr>
            </w:pPr>
            <w:r w:rsidRPr="006C65E9">
              <w:rPr>
                <w:rFonts w:ascii="Times New Roman" w:hAnsi="Times New Roman"/>
                <w:b/>
                <w:bCs/>
                <w:sz w:val="22"/>
                <w:szCs w:val="22"/>
              </w:rPr>
              <w:t>Deuxième cycle (pour un programme de 45 crédits)</w:t>
            </w:r>
          </w:p>
        </w:tc>
      </w:tr>
      <w:tr w:rsidR="0065550B" w14:paraId="52B2558B" w14:textId="77777777" w:rsidTr="00A16831">
        <w:tc>
          <w:tcPr>
            <w:tcW w:w="1558" w:type="dxa"/>
          </w:tcPr>
          <w:p w14:paraId="40FC37EC" w14:textId="77777777" w:rsidR="0065550B" w:rsidRPr="009056E9" w:rsidRDefault="00D5159E" w:rsidP="00B469D5">
            <w:pPr>
              <w:pStyle w:val="Paragraphe"/>
              <w:keepNext/>
              <w:numPr>
                <w:ilvl w:val="0"/>
                <w:numId w:val="0"/>
              </w:numPr>
              <w:spacing w:line="240" w:lineRule="auto"/>
              <w:rPr>
                <w:rFonts w:ascii="Times New Roman" w:hAnsi="Times New Roman"/>
                <w:sz w:val="20"/>
              </w:rPr>
            </w:pPr>
            <w:r w:rsidRPr="009056E9">
              <w:rPr>
                <w:rFonts w:ascii="Times New Roman" w:hAnsi="Times New Roman"/>
                <w:sz w:val="20"/>
              </w:rPr>
              <w:t>Arts</w:t>
            </w:r>
          </w:p>
        </w:tc>
        <w:tc>
          <w:tcPr>
            <w:tcW w:w="1227" w:type="dxa"/>
          </w:tcPr>
          <w:p w14:paraId="26FA2B02" w14:textId="77777777" w:rsidR="0065550B" w:rsidRPr="009056E9" w:rsidRDefault="00763218"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32 625</w:t>
            </w:r>
            <w:r w:rsidR="00B44855">
              <w:rPr>
                <w:rFonts w:ascii="Times New Roman" w:hAnsi="Times New Roman"/>
                <w:sz w:val="20"/>
              </w:rPr>
              <w:t> $</w:t>
            </w:r>
          </w:p>
        </w:tc>
        <w:tc>
          <w:tcPr>
            <w:tcW w:w="1260" w:type="dxa"/>
          </w:tcPr>
          <w:p w14:paraId="6650B022" w14:textId="77777777" w:rsidR="0065550B" w:rsidRPr="009056E9" w:rsidRDefault="00763218"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34 200</w:t>
            </w:r>
            <w:r w:rsidR="00B44855">
              <w:rPr>
                <w:rFonts w:ascii="Times New Roman" w:hAnsi="Times New Roman"/>
                <w:sz w:val="20"/>
              </w:rPr>
              <w:t> $</w:t>
            </w:r>
          </w:p>
        </w:tc>
        <w:tc>
          <w:tcPr>
            <w:tcW w:w="1170" w:type="dxa"/>
          </w:tcPr>
          <w:p w14:paraId="40820256" w14:textId="77777777" w:rsidR="0065550B" w:rsidRPr="009056E9" w:rsidRDefault="00763218"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35 775</w:t>
            </w:r>
            <w:r w:rsidR="00B44855">
              <w:rPr>
                <w:rFonts w:ascii="Times New Roman" w:hAnsi="Times New Roman"/>
                <w:sz w:val="20"/>
              </w:rPr>
              <w:t> $</w:t>
            </w:r>
          </w:p>
        </w:tc>
        <w:tc>
          <w:tcPr>
            <w:tcW w:w="1260" w:type="dxa"/>
          </w:tcPr>
          <w:p w14:paraId="56A06BFE" w14:textId="77777777" w:rsidR="0065550B" w:rsidRPr="009056E9" w:rsidRDefault="00763218"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37 350</w:t>
            </w:r>
            <w:r w:rsidR="00B44855">
              <w:rPr>
                <w:rFonts w:ascii="Times New Roman" w:hAnsi="Times New Roman"/>
                <w:sz w:val="20"/>
              </w:rPr>
              <w:t> $</w:t>
            </w:r>
          </w:p>
        </w:tc>
        <w:tc>
          <w:tcPr>
            <w:tcW w:w="1260" w:type="dxa"/>
          </w:tcPr>
          <w:p w14:paraId="635BC570" w14:textId="77777777" w:rsidR="0065550B" w:rsidRPr="009056E9" w:rsidRDefault="00763218"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39 150</w:t>
            </w:r>
            <w:r w:rsidR="00B44855">
              <w:rPr>
                <w:rFonts w:ascii="Times New Roman" w:hAnsi="Times New Roman"/>
                <w:sz w:val="20"/>
              </w:rPr>
              <w:t> $</w:t>
            </w:r>
          </w:p>
        </w:tc>
      </w:tr>
      <w:tr w:rsidR="0065550B" w14:paraId="27601BCB" w14:textId="77777777" w:rsidTr="00A16831">
        <w:tc>
          <w:tcPr>
            <w:tcW w:w="1558" w:type="dxa"/>
          </w:tcPr>
          <w:p w14:paraId="1E889901" w14:textId="77777777" w:rsidR="0065550B" w:rsidRPr="009056E9" w:rsidRDefault="00D5159E" w:rsidP="00B469D5">
            <w:pPr>
              <w:pStyle w:val="Paragraphe"/>
              <w:keepNext/>
              <w:numPr>
                <w:ilvl w:val="0"/>
                <w:numId w:val="0"/>
              </w:numPr>
              <w:spacing w:line="240" w:lineRule="auto"/>
              <w:rPr>
                <w:rFonts w:ascii="Times New Roman" w:hAnsi="Times New Roman"/>
                <w:sz w:val="20"/>
              </w:rPr>
            </w:pPr>
            <w:r w:rsidRPr="009056E9">
              <w:rPr>
                <w:rFonts w:ascii="Times New Roman" w:hAnsi="Times New Roman"/>
                <w:sz w:val="20"/>
              </w:rPr>
              <w:t>Affaires</w:t>
            </w:r>
          </w:p>
        </w:tc>
        <w:tc>
          <w:tcPr>
            <w:tcW w:w="1227" w:type="dxa"/>
          </w:tcPr>
          <w:p w14:paraId="7962773A" w14:textId="77777777" w:rsidR="0065550B" w:rsidRPr="009056E9" w:rsidRDefault="00B44855"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49 725 $</w:t>
            </w:r>
          </w:p>
        </w:tc>
        <w:tc>
          <w:tcPr>
            <w:tcW w:w="1260" w:type="dxa"/>
          </w:tcPr>
          <w:p w14:paraId="5184F14B" w14:textId="77777777" w:rsidR="0065550B" w:rsidRPr="009056E9" w:rsidRDefault="00B44855"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52 775 $</w:t>
            </w:r>
          </w:p>
        </w:tc>
        <w:tc>
          <w:tcPr>
            <w:tcW w:w="1170" w:type="dxa"/>
          </w:tcPr>
          <w:p w14:paraId="7429A295" w14:textId="77777777" w:rsidR="0065550B" w:rsidRPr="009056E9" w:rsidRDefault="00B44855"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58 050 $</w:t>
            </w:r>
          </w:p>
        </w:tc>
        <w:tc>
          <w:tcPr>
            <w:tcW w:w="1260" w:type="dxa"/>
          </w:tcPr>
          <w:p w14:paraId="7C4F343F" w14:textId="77777777" w:rsidR="0065550B" w:rsidRPr="009056E9" w:rsidRDefault="00B44855"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62 775 $</w:t>
            </w:r>
          </w:p>
        </w:tc>
        <w:tc>
          <w:tcPr>
            <w:tcW w:w="1260" w:type="dxa"/>
          </w:tcPr>
          <w:p w14:paraId="05945A7D" w14:textId="77777777" w:rsidR="0065550B" w:rsidRPr="009056E9" w:rsidRDefault="00B44855"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67 950 $</w:t>
            </w:r>
          </w:p>
        </w:tc>
      </w:tr>
      <w:tr w:rsidR="0065550B" w14:paraId="1B4EFE42" w14:textId="77777777" w:rsidTr="00A16831">
        <w:tc>
          <w:tcPr>
            <w:tcW w:w="1558" w:type="dxa"/>
          </w:tcPr>
          <w:p w14:paraId="2D16FEEF" w14:textId="77777777" w:rsidR="0065550B" w:rsidRPr="009056E9" w:rsidRDefault="00D5159E" w:rsidP="00B469D5">
            <w:pPr>
              <w:pStyle w:val="Paragraphe"/>
              <w:keepNext/>
              <w:numPr>
                <w:ilvl w:val="0"/>
                <w:numId w:val="0"/>
              </w:numPr>
              <w:spacing w:line="240" w:lineRule="auto"/>
              <w:rPr>
                <w:rFonts w:ascii="Times New Roman" w:hAnsi="Times New Roman"/>
                <w:sz w:val="20"/>
              </w:rPr>
            </w:pPr>
            <w:r w:rsidRPr="009056E9">
              <w:rPr>
                <w:rFonts w:ascii="Times New Roman" w:hAnsi="Times New Roman"/>
                <w:sz w:val="20"/>
              </w:rPr>
              <w:t>Informatique</w:t>
            </w:r>
          </w:p>
        </w:tc>
        <w:tc>
          <w:tcPr>
            <w:tcW w:w="1227" w:type="dxa"/>
          </w:tcPr>
          <w:p w14:paraId="663ED58A" w14:textId="77777777" w:rsidR="0065550B" w:rsidRPr="009056E9" w:rsidRDefault="00B44855"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32 625 $</w:t>
            </w:r>
          </w:p>
        </w:tc>
        <w:tc>
          <w:tcPr>
            <w:tcW w:w="1260" w:type="dxa"/>
          </w:tcPr>
          <w:p w14:paraId="1392EA40" w14:textId="77777777" w:rsidR="0065550B" w:rsidRPr="009056E9" w:rsidRDefault="00B44855"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34 200 $</w:t>
            </w:r>
          </w:p>
        </w:tc>
        <w:tc>
          <w:tcPr>
            <w:tcW w:w="1170" w:type="dxa"/>
          </w:tcPr>
          <w:p w14:paraId="063147EF" w14:textId="77777777" w:rsidR="0065550B" w:rsidRPr="009056E9" w:rsidRDefault="00B44855"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35 775 $</w:t>
            </w:r>
          </w:p>
        </w:tc>
        <w:tc>
          <w:tcPr>
            <w:tcW w:w="1260" w:type="dxa"/>
          </w:tcPr>
          <w:p w14:paraId="2BA15585" w14:textId="77777777" w:rsidR="0065550B" w:rsidRPr="009056E9" w:rsidRDefault="00B44855"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37 350 $</w:t>
            </w:r>
          </w:p>
        </w:tc>
        <w:tc>
          <w:tcPr>
            <w:tcW w:w="1260" w:type="dxa"/>
          </w:tcPr>
          <w:p w14:paraId="675AA3E9" w14:textId="77777777" w:rsidR="0065550B" w:rsidRPr="009056E9" w:rsidRDefault="00B44855"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39 150 $</w:t>
            </w:r>
          </w:p>
        </w:tc>
      </w:tr>
      <w:tr w:rsidR="0065550B" w14:paraId="6A4CF09A" w14:textId="77777777" w:rsidTr="00A16831">
        <w:tc>
          <w:tcPr>
            <w:tcW w:w="1558" w:type="dxa"/>
          </w:tcPr>
          <w:p w14:paraId="407CF0EF" w14:textId="77777777" w:rsidR="0065550B" w:rsidRPr="009056E9" w:rsidRDefault="009056E9" w:rsidP="00B469D5">
            <w:pPr>
              <w:pStyle w:val="Paragraphe"/>
              <w:keepNext/>
              <w:numPr>
                <w:ilvl w:val="0"/>
                <w:numId w:val="0"/>
              </w:numPr>
              <w:spacing w:line="240" w:lineRule="auto"/>
              <w:rPr>
                <w:rFonts w:ascii="Times New Roman" w:hAnsi="Times New Roman"/>
                <w:sz w:val="20"/>
              </w:rPr>
            </w:pPr>
            <w:r w:rsidRPr="009056E9">
              <w:rPr>
                <w:rFonts w:ascii="Times New Roman" w:hAnsi="Times New Roman"/>
                <w:sz w:val="20"/>
              </w:rPr>
              <w:t>Génie</w:t>
            </w:r>
          </w:p>
        </w:tc>
        <w:tc>
          <w:tcPr>
            <w:tcW w:w="1227" w:type="dxa"/>
          </w:tcPr>
          <w:p w14:paraId="1433DB31" w14:textId="77777777" w:rsidR="0065550B" w:rsidRPr="009056E9" w:rsidRDefault="00FF06FE"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32 625 $</w:t>
            </w:r>
          </w:p>
        </w:tc>
        <w:tc>
          <w:tcPr>
            <w:tcW w:w="1260" w:type="dxa"/>
          </w:tcPr>
          <w:p w14:paraId="246C9C87" w14:textId="77777777" w:rsidR="0065550B" w:rsidRPr="009056E9" w:rsidRDefault="006F7C1B"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34 200 $</w:t>
            </w:r>
          </w:p>
        </w:tc>
        <w:tc>
          <w:tcPr>
            <w:tcW w:w="1170" w:type="dxa"/>
          </w:tcPr>
          <w:p w14:paraId="75BDA395" w14:textId="77777777" w:rsidR="0065550B" w:rsidRPr="009056E9" w:rsidRDefault="006F7C1B"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35 775 $</w:t>
            </w:r>
          </w:p>
        </w:tc>
        <w:tc>
          <w:tcPr>
            <w:tcW w:w="1260" w:type="dxa"/>
          </w:tcPr>
          <w:p w14:paraId="07398258" w14:textId="77777777" w:rsidR="0065550B" w:rsidRPr="009056E9" w:rsidRDefault="006F7C1B"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37 350 $</w:t>
            </w:r>
          </w:p>
        </w:tc>
        <w:tc>
          <w:tcPr>
            <w:tcW w:w="1260" w:type="dxa"/>
          </w:tcPr>
          <w:p w14:paraId="444A1D25" w14:textId="77777777" w:rsidR="0065550B" w:rsidRPr="009056E9" w:rsidRDefault="006F7C1B"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39 150 $</w:t>
            </w:r>
          </w:p>
        </w:tc>
      </w:tr>
      <w:tr w:rsidR="00822303" w14:paraId="12ADE1EE" w14:textId="77777777" w:rsidTr="00A16831">
        <w:tc>
          <w:tcPr>
            <w:tcW w:w="1558" w:type="dxa"/>
          </w:tcPr>
          <w:p w14:paraId="24B72DD2" w14:textId="77777777" w:rsidR="00822303" w:rsidRPr="009056E9" w:rsidRDefault="009056E9" w:rsidP="00B469D5">
            <w:pPr>
              <w:pStyle w:val="Paragraphe"/>
              <w:keepNext/>
              <w:numPr>
                <w:ilvl w:val="0"/>
                <w:numId w:val="0"/>
              </w:numPr>
              <w:spacing w:line="240" w:lineRule="auto"/>
              <w:rPr>
                <w:rFonts w:ascii="Times New Roman" w:hAnsi="Times New Roman"/>
                <w:sz w:val="20"/>
              </w:rPr>
            </w:pPr>
            <w:r w:rsidRPr="009056E9">
              <w:rPr>
                <w:rFonts w:ascii="Times New Roman" w:hAnsi="Times New Roman"/>
                <w:sz w:val="20"/>
              </w:rPr>
              <w:t>Beaux-arts</w:t>
            </w:r>
          </w:p>
        </w:tc>
        <w:tc>
          <w:tcPr>
            <w:tcW w:w="1227" w:type="dxa"/>
          </w:tcPr>
          <w:p w14:paraId="22659E05" w14:textId="77777777" w:rsidR="00822303" w:rsidRPr="009056E9" w:rsidRDefault="00FF06FE"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32 625 $</w:t>
            </w:r>
          </w:p>
        </w:tc>
        <w:tc>
          <w:tcPr>
            <w:tcW w:w="1260" w:type="dxa"/>
          </w:tcPr>
          <w:p w14:paraId="2F6BD94B" w14:textId="77777777" w:rsidR="00822303" w:rsidRPr="009056E9" w:rsidRDefault="006F7C1B"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34 200 $</w:t>
            </w:r>
          </w:p>
        </w:tc>
        <w:tc>
          <w:tcPr>
            <w:tcW w:w="1170" w:type="dxa"/>
          </w:tcPr>
          <w:p w14:paraId="577BE3EB" w14:textId="77777777" w:rsidR="00822303" w:rsidRPr="009056E9" w:rsidRDefault="006F7C1B"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35 775 $</w:t>
            </w:r>
          </w:p>
        </w:tc>
        <w:tc>
          <w:tcPr>
            <w:tcW w:w="1260" w:type="dxa"/>
          </w:tcPr>
          <w:p w14:paraId="46E387C3" w14:textId="77777777" w:rsidR="00822303" w:rsidRPr="009056E9" w:rsidRDefault="006F7C1B"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37 350 $</w:t>
            </w:r>
          </w:p>
        </w:tc>
        <w:tc>
          <w:tcPr>
            <w:tcW w:w="1260" w:type="dxa"/>
          </w:tcPr>
          <w:p w14:paraId="21DC1211" w14:textId="77777777" w:rsidR="00822303" w:rsidRPr="009056E9" w:rsidRDefault="006F7C1B"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39 150 $</w:t>
            </w:r>
          </w:p>
        </w:tc>
      </w:tr>
      <w:tr w:rsidR="00822303" w14:paraId="15C31C32" w14:textId="77777777" w:rsidTr="00A16831">
        <w:tc>
          <w:tcPr>
            <w:tcW w:w="1558" w:type="dxa"/>
          </w:tcPr>
          <w:p w14:paraId="33C13370" w14:textId="77777777" w:rsidR="00822303" w:rsidRPr="009056E9" w:rsidRDefault="009056E9" w:rsidP="00B469D5">
            <w:pPr>
              <w:pStyle w:val="Paragraphe"/>
              <w:keepNext/>
              <w:numPr>
                <w:ilvl w:val="0"/>
                <w:numId w:val="0"/>
              </w:numPr>
              <w:spacing w:line="240" w:lineRule="auto"/>
              <w:rPr>
                <w:rFonts w:ascii="Times New Roman" w:hAnsi="Times New Roman"/>
                <w:sz w:val="20"/>
              </w:rPr>
            </w:pPr>
            <w:r w:rsidRPr="009056E9">
              <w:rPr>
                <w:rFonts w:ascii="Times New Roman" w:hAnsi="Times New Roman"/>
                <w:sz w:val="20"/>
              </w:rPr>
              <w:t>Sciences</w:t>
            </w:r>
          </w:p>
        </w:tc>
        <w:tc>
          <w:tcPr>
            <w:tcW w:w="1227" w:type="dxa"/>
          </w:tcPr>
          <w:p w14:paraId="15DF3093" w14:textId="77777777" w:rsidR="00822303" w:rsidRPr="009056E9" w:rsidRDefault="00FF06FE"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32 625 $</w:t>
            </w:r>
          </w:p>
        </w:tc>
        <w:tc>
          <w:tcPr>
            <w:tcW w:w="1260" w:type="dxa"/>
          </w:tcPr>
          <w:p w14:paraId="2E57258F" w14:textId="77777777" w:rsidR="00822303" w:rsidRPr="009056E9" w:rsidRDefault="006F7C1B"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34 200 $</w:t>
            </w:r>
          </w:p>
        </w:tc>
        <w:tc>
          <w:tcPr>
            <w:tcW w:w="1170" w:type="dxa"/>
          </w:tcPr>
          <w:p w14:paraId="6048B497" w14:textId="77777777" w:rsidR="00822303" w:rsidRPr="009056E9" w:rsidRDefault="006F7C1B"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35 775 $</w:t>
            </w:r>
          </w:p>
        </w:tc>
        <w:tc>
          <w:tcPr>
            <w:tcW w:w="1260" w:type="dxa"/>
          </w:tcPr>
          <w:p w14:paraId="6044F64C" w14:textId="77777777" w:rsidR="00822303" w:rsidRPr="009056E9" w:rsidRDefault="006F7C1B"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37 350 $</w:t>
            </w:r>
          </w:p>
        </w:tc>
        <w:tc>
          <w:tcPr>
            <w:tcW w:w="1260" w:type="dxa"/>
          </w:tcPr>
          <w:p w14:paraId="50A99B99" w14:textId="77777777" w:rsidR="00822303" w:rsidRPr="009056E9" w:rsidRDefault="006F7C1B" w:rsidP="00B469D5">
            <w:pPr>
              <w:pStyle w:val="Paragraphe"/>
              <w:keepNext/>
              <w:numPr>
                <w:ilvl w:val="0"/>
                <w:numId w:val="0"/>
              </w:numPr>
              <w:spacing w:line="240" w:lineRule="auto"/>
              <w:rPr>
                <w:rFonts w:ascii="Times New Roman" w:hAnsi="Times New Roman"/>
                <w:sz w:val="20"/>
              </w:rPr>
            </w:pPr>
            <w:r>
              <w:rPr>
                <w:rFonts w:ascii="Times New Roman" w:hAnsi="Times New Roman"/>
                <w:sz w:val="20"/>
              </w:rPr>
              <w:t>39 150 $</w:t>
            </w:r>
          </w:p>
        </w:tc>
      </w:tr>
    </w:tbl>
    <w:p w14:paraId="7550BD40" w14:textId="77777777" w:rsidR="002C696A" w:rsidRPr="00725EC2" w:rsidRDefault="00175E01" w:rsidP="004942D4">
      <w:pPr>
        <w:pStyle w:val="Paragraphe"/>
        <w:tabs>
          <w:tab w:val="clear" w:pos="2204"/>
        </w:tabs>
        <w:spacing w:before="240" w:line="240" w:lineRule="auto"/>
        <w:ind w:left="0"/>
        <w:rPr>
          <w:rFonts w:cs="Arial"/>
        </w:rPr>
      </w:pPr>
      <w:r w:rsidRPr="00725EC2">
        <w:rPr>
          <w:rFonts w:cs="Arial"/>
        </w:rPr>
        <w:t xml:space="preserve">Dès lors, l’accessibilité financière </w:t>
      </w:r>
      <w:r w:rsidR="004A6642" w:rsidRPr="00725EC2">
        <w:rPr>
          <w:rFonts w:cs="Arial"/>
        </w:rPr>
        <w:t>aux études pour les étudiants Internationaux dépendra du montant forfaitaire facultatif que les universités leur imposer</w:t>
      </w:r>
      <w:r w:rsidR="00F16C61" w:rsidRPr="00725EC2">
        <w:rPr>
          <w:rFonts w:cs="Arial"/>
        </w:rPr>
        <w:t>ont</w:t>
      </w:r>
      <w:r w:rsidR="004A6642" w:rsidRPr="00725EC2">
        <w:rPr>
          <w:rFonts w:cs="Arial"/>
        </w:rPr>
        <w:t> :</w:t>
      </w:r>
    </w:p>
    <w:p w14:paraId="35792B79" w14:textId="77777777" w:rsidR="004A6642" w:rsidRPr="00725EC2" w:rsidRDefault="004A6642" w:rsidP="004A6642">
      <w:pPr>
        <w:pStyle w:val="Citationenretrait"/>
      </w:pPr>
      <w:r w:rsidRPr="00725EC2">
        <w:t>Selon la proposition de la ministre, alors que précédemment, les universités décidaient du tarif chargé et le conservaient en totalité, elles devront maintenant facturer au minimum 20 618$ + indexation. De ce montant, les universités devront transmettre 17 737$ au MES et recevront une subvention en contrepartie (Lettre de la ministre).</w:t>
      </w:r>
    </w:p>
    <w:p w14:paraId="0485981A" w14:textId="77777777" w:rsidR="004A6642" w:rsidRPr="00725EC2" w:rsidRDefault="004A6642" w:rsidP="004A6642">
      <w:pPr>
        <w:pStyle w:val="Citationenretrait"/>
      </w:pPr>
      <w:r w:rsidRPr="00725EC2">
        <w:t>Tout en constatant que les droits de scolarité actuellement chargés par les universités québécoises sont majoritairement égaux ou supérieurs au minimum imposé par le gouvernement, le Comité s’inquiète du fait qu’un éventuel manque à gagner entre le montant transmis au MES et la subvention reçue pourrait avoir un effet à la hausse sur les droits de scolarité forfaitaires facultatifs qui seront chargés aux étudiantes et étudiants étrangers par les établissements universitaires pour compenser. Cette inquiétude concerne particulièrement les universités anglophones considérant le souhait du gouvernement de redistribuer des sommes dans les universités francophones.</w:t>
      </w:r>
    </w:p>
    <w:p w14:paraId="1428DA71" w14:textId="77777777" w:rsidR="004A6642" w:rsidRPr="00725EC2" w:rsidRDefault="004A6642" w:rsidP="004A6642">
      <w:pPr>
        <w:pStyle w:val="Citationenretrait"/>
      </w:pPr>
      <w:r w:rsidRPr="00725EC2">
        <w:t>[…]</w:t>
      </w:r>
    </w:p>
    <w:p w14:paraId="7E50CEFA" w14:textId="77777777" w:rsidR="004A6642" w:rsidRDefault="004A6642" w:rsidP="004A6642">
      <w:pPr>
        <w:pStyle w:val="Citationenretrait"/>
      </w:pPr>
      <w:r w:rsidRPr="00725EC2">
        <w:t>[…] Par ailleurs, pour les étudiants internationaux, le Comité demeure préoccupé de l'effet sur l'accessibilité financière dans l'éventualité où les universités décideraient d'aller bien au-delà du minimum exigé. À cet effet, comme il l'a déjà écrit dans d'autres avis, le Comité encourage le gouvernement à assurer un financement des universités qui limite leur dépendance aux revenus générés par les étudiants internationaux. Bien que celui-ci comprenne les impératifs financiers auxquels est confronté le système éducatif, il est convaincu que cette décision pourrait entraîner des conséquences significatives sur l’accessibilité financière aux études universitaires au Québec.</w:t>
      </w:r>
      <w:r w:rsidRPr="00725EC2">
        <w:rPr>
          <w:rStyle w:val="Appelnotedebasdep"/>
        </w:rPr>
        <w:footnoteReference w:id="186"/>
      </w:r>
    </w:p>
    <w:p w14:paraId="7D215A48" w14:textId="77777777" w:rsidR="00044EA6" w:rsidRPr="00725EC2" w:rsidRDefault="003D759C" w:rsidP="00A5151E">
      <w:pPr>
        <w:pStyle w:val="Paragraphe"/>
        <w:tabs>
          <w:tab w:val="clear" w:pos="2204"/>
        </w:tabs>
        <w:spacing w:line="240" w:lineRule="auto"/>
        <w:ind w:left="0"/>
        <w:rPr>
          <w:rFonts w:cs="Arial"/>
        </w:rPr>
      </w:pPr>
      <w:r w:rsidRPr="00725EC2">
        <w:rPr>
          <w:rFonts w:cs="Arial"/>
        </w:rPr>
        <w:t xml:space="preserve">Lorsqu’elles attaquent les Règles budgétaires 3.5 et 3.6, les </w:t>
      </w:r>
      <w:r w:rsidR="00725EC2" w:rsidRPr="00725EC2">
        <w:rPr>
          <w:rFonts w:cs="Arial"/>
        </w:rPr>
        <w:t xml:space="preserve">parties </w:t>
      </w:r>
      <w:r w:rsidRPr="00725EC2">
        <w:rPr>
          <w:rFonts w:cs="Arial"/>
        </w:rPr>
        <w:t xml:space="preserve">demanderesses contestent en réalité la réinstauration d’une formule de financement selon laquelle </w:t>
      </w:r>
      <w:r w:rsidR="00044EA6" w:rsidRPr="00725EC2">
        <w:rPr>
          <w:rFonts w:cs="Arial"/>
        </w:rPr>
        <w:t xml:space="preserve">les subventions normées reçues par étudiant </w:t>
      </w:r>
      <w:r w:rsidR="00725EC2" w:rsidRPr="00725EC2">
        <w:rPr>
          <w:rFonts w:cs="Arial"/>
        </w:rPr>
        <w:t>I</w:t>
      </w:r>
      <w:r w:rsidR="00044EA6" w:rsidRPr="00725EC2">
        <w:rPr>
          <w:rFonts w:cs="Arial"/>
        </w:rPr>
        <w:t xml:space="preserve">nternational </w:t>
      </w:r>
      <w:r w:rsidR="00725EC2" w:rsidRPr="00725EC2">
        <w:rPr>
          <w:rFonts w:cs="Arial"/>
        </w:rPr>
        <w:t>se révèlent</w:t>
      </w:r>
      <w:r w:rsidR="00725EC2">
        <w:rPr>
          <w:rFonts w:cs="Arial"/>
        </w:rPr>
        <w:t xml:space="preserve"> </w:t>
      </w:r>
      <w:r w:rsidR="00044EA6" w:rsidRPr="00725EC2">
        <w:rPr>
          <w:rFonts w:cs="Arial"/>
        </w:rPr>
        <w:t>inférieures au montant forfaitaire récupéré par le Ministère, et ce, conjugué à l’absence de contrôle sur</w:t>
      </w:r>
      <w:r w:rsidR="003E7983" w:rsidRPr="00725EC2">
        <w:rPr>
          <w:rFonts w:cs="Arial"/>
        </w:rPr>
        <w:t xml:space="preserve"> la</w:t>
      </w:r>
      <w:r w:rsidR="00044EA6" w:rsidRPr="00725EC2">
        <w:rPr>
          <w:rFonts w:cs="Arial"/>
        </w:rPr>
        <w:t xml:space="preserve"> redistribution de sommes dans le réseau universitaire.</w:t>
      </w:r>
    </w:p>
    <w:p w14:paraId="039179F7" w14:textId="77777777" w:rsidR="00044EA6" w:rsidRPr="00725EC2" w:rsidRDefault="001D5FD8" w:rsidP="00044EA6">
      <w:pPr>
        <w:pStyle w:val="Citationenretrait"/>
        <w:rPr>
          <w:lang w:val="en-CA"/>
        </w:rPr>
      </w:pPr>
      <w:r w:rsidRPr="00725EC2">
        <w:rPr>
          <w:lang w:val="en-CA"/>
        </w:rPr>
        <w:t>202. The Minister includes these students in the calculation of normalized grants. However, universities recuperate much less than $17,736.90 by way of normalized grants. Concordia receives an average amount of $11,445 per international student (undergraduate and graduate programs other than research-based masters’ and doctoral programs) in normalized grants.</w:t>
      </w:r>
    </w:p>
    <w:p w14:paraId="7F00AB4E" w14:textId="77777777" w:rsidR="001D5FD8" w:rsidRPr="001D5FD8" w:rsidRDefault="001D5FD8" w:rsidP="00044EA6">
      <w:pPr>
        <w:pStyle w:val="Citationenretrait"/>
        <w:rPr>
          <w:lang w:val="en-CA"/>
        </w:rPr>
      </w:pPr>
      <w:r w:rsidRPr="00725EC2">
        <w:rPr>
          <w:lang w:val="en-CA"/>
        </w:rPr>
        <w:t xml:space="preserve">203. As a result of these changes, universities will not truly benefit from grants per student for international students; rather, they will incur a </w:t>
      </w:r>
      <w:r w:rsidRPr="00725EC2">
        <w:rPr>
          <w:i/>
          <w:iCs/>
          <w:lang w:val="en-CA"/>
        </w:rPr>
        <w:t xml:space="preserve">loss </w:t>
      </w:r>
      <w:r w:rsidR="00525D3F" w:rsidRPr="00725EC2">
        <w:rPr>
          <w:lang w:val="en-CA"/>
        </w:rPr>
        <w:t>of revenue per student. On average, Concordia will be losing $6,291.90 per student (being the difference between the additional fee recuperated by the Minister of $17,736.90 and the average amount received by Concordia per student in normalized grants of $11,445 per student).</w:t>
      </w:r>
      <w:r w:rsidR="0079657E" w:rsidRPr="00725EC2">
        <w:rPr>
          <w:lang w:val="en-CA"/>
        </w:rPr>
        <w:t xml:space="preserve"> While the rules do not prevent Concordia from recuperating this loss by charging international students higher fees, doing so would further discourage international student enrolment.</w:t>
      </w:r>
      <w:r w:rsidR="0079657E" w:rsidRPr="00725EC2">
        <w:rPr>
          <w:rStyle w:val="Appelnotedebasdep"/>
          <w:lang w:val="en-CA"/>
        </w:rPr>
        <w:footnoteReference w:id="187"/>
      </w:r>
    </w:p>
    <w:p w14:paraId="66341F8B" w14:textId="3C87EB21" w:rsidR="009A7568" w:rsidRPr="00725EC2" w:rsidRDefault="009A7568" w:rsidP="009A7568">
      <w:pPr>
        <w:pStyle w:val="Paragraphe"/>
        <w:tabs>
          <w:tab w:val="clear" w:pos="2204"/>
        </w:tabs>
        <w:spacing w:line="240" w:lineRule="auto"/>
        <w:ind w:left="0"/>
        <w:rPr>
          <w:rFonts w:cs="Arial"/>
        </w:rPr>
      </w:pPr>
      <w:r w:rsidRPr="00725EC2">
        <w:rPr>
          <w:rFonts w:cs="Arial"/>
        </w:rPr>
        <w:t xml:space="preserve">Même si les appréhensions des </w:t>
      </w:r>
      <w:r>
        <w:rPr>
          <w:rFonts w:cs="Arial"/>
        </w:rPr>
        <w:t xml:space="preserve">universités </w:t>
      </w:r>
      <w:r w:rsidRPr="00725EC2">
        <w:rPr>
          <w:rFonts w:cs="Arial"/>
        </w:rPr>
        <w:t>concernant une diminution de leurs sources de revenu</w:t>
      </w:r>
      <w:r w:rsidR="00FF5576">
        <w:rPr>
          <w:rFonts w:cs="Arial"/>
        </w:rPr>
        <w:t>s</w:t>
      </w:r>
      <w:r w:rsidRPr="00725EC2">
        <w:rPr>
          <w:rFonts w:cs="Arial"/>
        </w:rPr>
        <w:t xml:space="preserve"> paraissent légitimes, surtout lorsqu’elles sont placées dans le contexte des déclarations de la Ministre et d’autres représentants du gouvernement, le Tribunal ne saurait se prononcer sur l’opportunité du modèle de financement universitaire choisi par l’État et, en l’occurrence, son application uniforme à tous les étudiants</w:t>
      </w:r>
      <w:r w:rsidR="00C46128">
        <w:rPr>
          <w:rFonts w:cs="Arial"/>
        </w:rPr>
        <w:t xml:space="preserve"> </w:t>
      </w:r>
      <w:r w:rsidRPr="00725EC2">
        <w:rPr>
          <w:rFonts w:cs="Arial"/>
        </w:rPr>
        <w:t>Internationaux.</w:t>
      </w:r>
    </w:p>
    <w:p w14:paraId="41FEC7CA" w14:textId="1F2E8E12" w:rsidR="00CD3933" w:rsidRPr="0020700B" w:rsidRDefault="009A7568" w:rsidP="0020700B">
      <w:pPr>
        <w:pStyle w:val="Paragraphe"/>
        <w:tabs>
          <w:tab w:val="clear" w:pos="2204"/>
        </w:tabs>
        <w:spacing w:line="240" w:lineRule="auto"/>
        <w:ind w:left="0"/>
        <w:rPr>
          <w:rFonts w:cs="Arial"/>
        </w:rPr>
      </w:pPr>
      <w:r w:rsidRPr="00725EC2">
        <w:rPr>
          <w:rFonts w:cs="Arial"/>
        </w:rPr>
        <w:t>Saisi du contrôle de la légalité et non de l’opportunité des Règles budgétaires 3.5 et 3.6, le Tribunal ne peut</w:t>
      </w:r>
      <w:r w:rsidR="00F3075C">
        <w:rPr>
          <w:rFonts w:cs="Arial"/>
        </w:rPr>
        <w:t>, à la lumière de la preuve présentée et des principes juridiques applicables,</w:t>
      </w:r>
      <w:r w:rsidRPr="00725EC2">
        <w:rPr>
          <w:rFonts w:cs="Arial"/>
        </w:rPr>
        <w:t xml:space="preserve"> conclure à leur caractère déraisonnable.</w:t>
      </w:r>
    </w:p>
    <w:p w14:paraId="18BFE580" w14:textId="77777777" w:rsidR="009A7568" w:rsidRPr="000E2F97" w:rsidRDefault="00BD37B3" w:rsidP="000E2F97">
      <w:pPr>
        <w:pStyle w:val="Paragraphe"/>
        <w:numPr>
          <w:ilvl w:val="0"/>
          <w:numId w:val="0"/>
        </w:numPr>
        <w:spacing w:line="240" w:lineRule="auto"/>
        <w:ind w:firstLine="734"/>
        <w:rPr>
          <w:sz w:val="22"/>
          <w:szCs w:val="22"/>
        </w:rPr>
      </w:pPr>
      <w:r w:rsidRPr="000E2F97">
        <w:rPr>
          <w:sz w:val="22"/>
          <w:szCs w:val="22"/>
        </w:rPr>
        <w:t>C</w:t>
      </w:r>
      <w:r w:rsidR="009A7568" w:rsidRPr="000E2F97">
        <w:rPr>
          <w:sz w:val="22"/>
          <w:szCs w:val="22"/>
        </w:rPr>
        <w:t>ONCLUSION SUR LES ARGUMENTS DE DROIT ADMINISTRATIF</w:t>
      </w:r>
    </w:p>
    <w:p w14:paraId="4F73B648" w14:textId="14C55CCF" w:rsidR="00DE3DAD" w:rsidRDefault="00DE3DAD" w:rsidP="00432B6B">
      <w:pPr>
        <w:pStyle w:val="Paragraphe"/>
        <w:tabs>
          <w:tab w:val="clear" w:pos="2204"/>
        </w:tabs>
        <w:spacing w:line="240" w:lineRule="auto"/>
        <w:ind w:left="0"/>
      </w:pPr>
      <w:r>
        <w:t>L</w:t>
      </w:r>
      <w:r w:rsidRPr="00DE3DAD">
        <w:t xml:space="preserve">a logique d’une décision peut être remise en question lorsque les motifs </w:t>
      </w:r>
      <w:r>
        <w:t xml:space="preserve">à sa base s’avèrent </w:t>
      </w:r>
      <w:r w:rsidRPr="00DE3DAD">
        <w:t>entachés d’erreurs manifestes sur le plan rationnel comme lorsque le décideur recour</w:t>
      </w:r>
      <w:r>
        <w:t>t</w:t>
      </w:r>
      <w:r w:rsidRPr="00DE3DAD">
        <w:t xml:space="preserve"> à de faux dilemmes</w:t>
      </w:r>
      <w:r>
        <w:t xml:space="preserve"> ou </w:t>
      </w:r>
      <w:r w:rsidRPr="00DE3DAD">
        <w:t>à des généralisations non fondées.</w:t>
      </w:r>
    </w:p>
    <w:p w14:paraId="6E7DA518" w14:textId="531ABED3" w:rsidR="000E6871" w:rsidRPr="000E6871" w:rsidRDefault="000E6871" w:rsidP="00432B6B">
      <w:pPr>
        <w:pStyle w:val="Paragraphe"/>
        <w:tabs>
          <w:tab w:val="clear" w:pos="2204"/>
        </w:tabs>
        <w:spacing w:line="240" w:lineRule="auto"/>
        <w:ind w:left="0"/>
        <w:rPr>
          <w:rFonts w:cs="Arial"/>
        </w:rPr>
      </w:pPr>
      <w:r>
        <w:rPr>
          <w:rFonts w:cs="Arial"/>
        </w:rPr>
        <w:t>L</w:t>
      </w:r>
      <w:r w:rsidRPr="00010C27">
        <w:rPr>
          <w:rFonts w:cs="Arial"/>
        </w:rPr>
        <w:t xml:space="preserve">e </w:t>
      </w:r>
      <w:r w:rsidR="006F3110">
        <w:rPr>
          <w:rFonts w:cs="Arial"/>
        </w:rPr>
        <w:t>T</w:t>
      </w:r>
      <w:r w:rsidRPr="00010C27">
        <w:rPr>
          <w:rFonts w:cs="Arial"/>
        </w:rPr>
        <w:t xml:space="preserve">ribunal </w:t>
      </w:r>
      <w:r>
        <w:rPr>
          <w:rFonts w:cs="Arial"/>
        </w:rPr>
        <w:t xml:space="preserve">doit </w:t>
      </w:r>
      <w:r w:rsidRPr="00010C27">
        <w:rPr>
          <w:rFonts w:cs="Arial"/>
        </w:rPr>
        <w:t>vérifie</w:t>
      </w:r>
      <w:r>
        <w:rPr>
          <w:rFonts w:cs="Arial"/>
        </w:rPr>
        <w:t>r</w:t>
      </w:r>
      <w:r w:rsidRPr="00010C27">
        <w:rPr>
          <w:rFonts w:cs="Arial"/>
        </w:rPr>
        <w:t xml:space="preserve"> si la décision </w:t>
      </w:r>
      <w:r>
        <w:rPr>
          <w:rFonts w:cs="Arial"/>
        </w:rPr>
        <w:t xml:space="preserve">de la Ministre et les Règles </w:t>
      </w:r>
      <w:r w:rsidR="00E74B4A">
        <w:rPr>
          <w:rFonts w:cs="Arial"/>
        </w:rPr>
        <w:t>contestées</w:t>
      </w:r>
      <w:r>
        <w:rPr>
          <w:rFonts w:cs="Arial"/>
        </w:rPr>
        <w:t xml:space="preserve"> sont </w:t>
      </w:r>
      <w:r w:rsidRPr="00010C27">
        <w:rPr>
          <w:rFonts w:cs="Arial"/>
        </w:rPr>
        <w:t>acceptable</w:t>
      </w:r>
      <w:r>
        <w:rPr>
          <w:rFonts w:cs="Arial"/>
        </w:rPr>
        <w:t>s</w:t>
      </w:r>
      <w:r w:rsidRPr="00010C27">
        <w:rPr>
          <w:rFonts w:cs="Arial"/>
        </w:rPr>
        <w:t xml:space="preserve"> et justifiable</w:t>
      </w:r>
      <w:r>
        <w:rPr>
          <w:rFonts w:cs="Arial"/>
        </w:rPr>
        <w:t>s</w:t>
      </w:r>
      <w:r w:rsidRPr="00010C27">
        <w:rPr>
          <w:rFonts w:cs="Arial"/>
        </w:rPr>
        <w:t xml:space="preserve">. </w:t>
      </w:r>
      <w:r>
        <w:rPr>
          <w:rFonts w:cs="Arial"/>
        </w:rPr>
        <w:t>Pour ce faire, i</w:t>
      </w:r>
      <w:r w:rsidRPr="00010C27">
        <w:rPr>
          <w:rFonts w:cs="Arial"/>
        </w:rPr>
        <w:t xml:space="preserve">l </w:t>
      </w:r>
      <w:r>
        <w:rPr>
          <w:rFonts w:cs="Arial"/>
        </w:rPr>
        <w:t>d</w:t>
      </w:r>
      <w:r w:rsidRPr="00010C27">
        <w:rPr>
          <w:rFonts w:cs="Arial"/>
        </w:rPr>
        <w:t>étermine si une explication raisonnée s’en discerne et si le résultat lui-même s’avère justifié eu égard aux contraintes juridiques et factuelles qui assujettissent l</w:t>
      </w:r>
      <w:r>
        <w:rPr>
          <w:rFonts w:cs="Arial"/>
        </w:rPr>
        <w:t>a Ministre</w:t>
      </w:r>
      <w:r>
        <w:rPr>
          <w:rStyle w:val="Appelnotedebasdep"/>
          <w:rFonts w:cs="Arial"/>
        </w:rPr>
        <w:footnoteReference w:id="188"/>
      </w:r>
      <w:r w:rsidRPr="00010C27">
        <w:rPr>
          <w:rFonts w:cs="Arial"/>
        </w:rPr>
        <w:t xml:space="preserve">. Ces contraintes </w:t>
      </w:r>
      <w:r>
        <w:rPr>
          <w:rFonts w:cs="Arial"/>
        </w:rPr>
        <w:t>comprennent le</w:t>
      </w:r>
      <w:r w:rsidRPr="00010C27">
        <w:rPr>
          <w:rFonts w:cs="Arial"/>
        </w:rPr>
        <w:t xml:space="preserve">s éléments de preuve </w:t>
      </w:r>
      <w:r>
        <w:rPr>
          <w:rFonts w:cs="Arial"/>
        </w:rPr>
        <w:t xml:space="preserve">qu’elle a </w:t>
      </w:r>
      <w:r w:rsidRPr="00010C27">
        <w:rPr>
          <w:rFonts w:cs="Arial"/>
        </w:rPr>
        <w:t xml:space="preserve">étudiés ou </w:t>
      </w:r>
      <w:r>
        <w:rPr>
          <w:rFonts w:cs="Arial"/>
        </w:rPr>
        <w:t xml:space="preserve">qui lui ont été </w:t>
      </w:r>
      <w:r w:rsidRPr="00010C27">
        <w:rPr>
          <w:rFonts w:cs="Arial"/>
        </w:rPr>
        <w:t>soumis.</w:t>
      </w:r>
    </w:p>
    <w:p w14:paraId="0915E632" w14:textId="46790C52" w:rsidR="000E6871" w:rsidRPr="00010C27" w:rsidRDefault="00DE3DAD" w:rsidP="00432B6B">
      <w:pPr>
        <w:pStyle w:val="Paragraphe"/>
        <w:tabs>
          <w:tab w:val="clear" w:pos="2204"/>
        </w:tabs>
        <w:spacing w:line="240" w:lineRule="auto"/>
        <w:ind w:left="0"/>
      </w:pPr>
      <w:r>
        <w:t>Ici</w:t>
      </w:r>
      <w:r w:rsidR="00BD37B3">
        <w:t>, les Règles budgétaires attaquées s’avèrent déraisonnables, sauf celles qui s’adressent</w:t>
      </w:r>
      <w:r w:rsidR="000E6871">
        <w:t xml:space="preserve"> </w:t>
      </w:r>
      <w:r w:rsidR="00BD37B3">
        <w:t>aux étudiants Internationaux, puisque non fondées sur des données objectives ou des considérations rationnelles. Tenant compte des contraintes factuelles et juridiques en présence, le Tribunal ne peut conclure que ces règles et la décision dont elles découlent résultent d’un dossier démontrant leur raisonnabilité.</w:t>
      </w:r>
      <w:r w:rsidR="000E6871">
        <w:t xml:space="preserve"> Aucune</w:t>
      </w:r>
      <w:r w:rsidR="000E6871" w:rsidRPr="00010C27">
        <w:t xml:space="preserve"> justification, apparente de la décision ou </w:t>
      </w:r>
      <w:r w:rsidR="000E6871">
        <w:t xml:space="preserve">émanant </w:t>
      </w:r>
      <w:r w:rsidR="000E6871" w:rsidRPr="00010C27">
        <w:t>du dossier, laisse voir une décision qui se veut cohérente</w:t>
      </w:r>
      <w:r w:rsidR="000E6871">
        <w:rPr>
          <w:rStyle w:val="Appelnotedebasdep"/>
          <w:rFonts w:cs="Arial"/>
        </w:rPr>
        <w:footnoteReference w:id="189"/>
      </w:r>
      <w:r w:rsidR="000E6871" w:rsidRPr="00010C27">
        <w:t>.</w:t>
      </w:r>
    </w:p>
    <w:p w14:paraId="6FBC5622" w14:textId="77777777" w:rsidR="00BD37B3" w:rsidRDefault="00BD37B3" w:rsidP="00432B6B">
      <w:pPr>
        <w:pStyle w:val="Paragraphe"/>
        <w:tabs>
          <w:tab w:val="clear" w:pos="2204"/>
        </w:tabs>
        <w:spacing w:line="240" w:lineRule="auto"/>
        <w:ind w:left="0"/>
        <w:rPr>
          <w:rFonts w:cs="Arial"/>
        </w:rPr>
      </w:pPr>
      <w:r>
        <w:rPr>
          <w:rFonts w:cs="Arial"/>
        </w:rPr>
        <w:t>Il en va de même de la Règle d’acquisition de compétences en français.</w:t>
      </w:r>
    </w:p>
    <w:p w14:paraId="623144C0" w14:textId="70D4E66F" w:rsidR="00273044" w:rsidRPr="007601A1" w:rsidRDefault="00273044" w:rsidP="00BD37B3">
      <w:pPr>
        <w:pStyle w:val="Paragraphe"/>
        <w:numPr>
          <w:ilvl w:val="0"/>
          <w:numId w:val="0"/>
        </w:numPr>
        <w:spacing w:line="240" w:lineRule="auto"/>
        <w:rPr>
          <w:rFonts w:cs="Arial"/>
          <w:b/>
          <w:bCs/>
        </w:rPr>
      </w:pPr>
      <w:r w:rsidRPr="007601A1">
        <w:rPr>
          <w:rFonts w:cs="Arial"/>
          <w:b/>
          <w:bCs/>
        </w:rPr>
        <w:t xml:space="preserve">LES ARGUMENTS DE </w:t>
      </w:r>
      <w:r w:rsidR="000E2F97">
        <w:rPr>
          <w:rFonts w:cs="Arial"/>
          <w:b/>
          <w:bCs/>
        </w:rPr>
        <w:t xml:space="preserve">DROIT </w:t>
      </w:r>
      <w:r w:rsidRPr="007601A1">
        <w:rPr>
          <w:rFonts w:cs="Arial"/>
          <w:b/>
          <w:bCs/>
        </w:rPr>
        <w:t>CONSTITUTIONNEL</w:t>
      </w:r>
    </w:p>
    <w:p w14:paraId="12782E2D" w14:textId="78016B4C" w:rsidR="006E77E8" w:rsidRPr="00A61767" w:rsidRDefault="000D1A9F" w:rsidP="00432B6B">
      <w:pPr>
        <w:pStyle w:val="Paragraphe"/>
        <w:tabs>
          <w:tab w:val="clear" w:pos="2204"/>
        </w:tabs>
        <w:spacing w:line="240" w:lineRule="auto"/>
        <w:ind w:left="0"/>
        <w:rPr>
          <w:rFonts w:cs="Arial"/>
          <w:szCs w:val="24"/>
        </w:rPr>
      </w:pPr>
      <w:r w:rsidRPr="00A61767">
        <w:rPr>
          <w:rFonts w:cs="Arial"/>
          <w:szCs w:val="24"/>
        </w:rPr>
        <w:t xml:space="preserve">Pour citer </w:t>
      </w:r>
      <w:r w:rsidR="000F793C" w:rsidRPr="00A61767">
        <w:rPr>
          <w:rFonts w:cs="Arial"/>
          <w:szCs w:val="24"/>
        </w:rPr>
        <w:t>le</w:t>
      </w:r>
      <w:r w:rsidRPr="00A61767">
        <w:rPr>
          <w:rFonts w:cs="Arial"/>
          <w:szCs w:val="24"/>
        </w:rPr>
        <w:t xml:space="preserve">s motifs de la juge </w:t>
      </w:r>
      <w:r w:rsidR="00D9254B" w:rsidRPr="00A61767">
        <w:rPr>
          <w:rFonts w:cs="Arial"/>
          <w:szCs w:val="24"/>
        </w:rPr>
        <w:t>L’Heureux-Dubé</w:t>
      </w:r>
      <w:r w:rsidR="006E77E8" w:rsidRPr="00A61767">
        <w:rPr>
          <w:rFonts w:cs="Arial"/>
          <w:szCs w:val="24"/>
        </w:rPr>
        <w:t xml:space="preserve"> dans </w:t>
      </w:r>
      <w:r w:rsidR="004471C3">
        <w:rPr>
          <w:rFonts w:cs="Arial"/>
          <w:i/>
          <w:iCs/>
          <w:szCs w:val="24"/>
        </w:rPr>
        <w:t>Baker</w:t>
      </w:r>
      <w:r w:rsidR="00D9254B" w:rsidRPr="00A61767">
        <w:rPr>
          <w:rStyle w:val="Appelnotedebasdep"/>
          <w:rFonts w:cs="Arial"/>
          <w:szCs w:val="24"/>
        </w:rPr>
        <w:footnoteReference w:id="190"/>
      </w:r>
      <w:r w:rsidRPr="00A61767">
        <w:rPr>
          <w:rFonts w:cs="Arial"/>
          <w:szCs w:val="24"/>
        </w:rPr>
        <w:t xml:space="preserve"> </w:t>
      </w:r>
      <w:r w:rsidR="00F47718">
        <w:rPr>
          <w:rFonts w:cs="Arial"/>
          <w:szCs w:val="24"/>
        </w:rPr>
        <w:t>[c]</w:t>
      </w:r>
      <w:r w:rsidRPr="00A61767">
        <w:rPr>
          <w:i/>
          <w:iCs/>
          <w:color w:val="000000"/>
          <w:kern w:val="0"/>
          <w:szCs w:val="24"/>
        </w:rPr>
        <w:t>omme</w:t>
      </w:r>
      <w:r w:rsidR="0098476E">
        <w:rPr>
          <w:i/>
          <w:iCs/>
          <w:color w:val="000000"/>
          <w:kern w:val="0"/>
          <w:szCs w:val="24"/>
        </w:rPr>
        <w:t xml:space="preserve"> </w:t>
      </w:r>
      <w:r w:rsidR="0098476E">
        <w:rPr>
          <w:color w:val="000000"/>
          <w:kern w:val="0"/>
          <w:szCs w:val="24"/>
        </w:rPr>
        <w:t>[…]</w:t>
      </w:r>
      <w:r w:rsidRPr="00A61767">
        <w:rPr>
          <w:i/>
          <w:iCs/>
          <w:color w:val="000000"/>
          <w:kern w:val="0"/>
          <w:szCs w:val="24"/>
        </w:rPr>
        <w:t xml:space="preserve"> l’appel peut être tranché en vertu des principes du droit administratif et de l’interprétation des lois, il n’est pas nécessaire d’examiner les divers moyens fondés sur la</w:t>
      </w:r>
      <w:r w:rsidR="00A61767" w:rsidRPr="00A61767">
        <w:rPr>
          <w:i/>
          <w:iCs/>
          <w:color w:val="000000"/>
          <w:kern w:val="0"/>
          <w:szCs w:val="24"/>
        </w:rPr>
        <w:t xml:space="preserve"> Charte qui</w:t>
      </w:r>
      <w:r w:rsidRPr="00A61767">
        <w:rPr>
          <w:i/>
          <w:iCs/>
          <w:color w:val="000000"/>
          <w:kern w:val="0"/>
          <w:szCs w:val="24"/>
        </w:rPr>
        <w:t xml:space="preserve"> ont été invoqués par l’appelante et les intervenants qui l’ont appuyée</w:t>
      </w:r>
      <w:r w:rsidRPr="00A61767">
        <w:rPr>
          <w:color w:val="000000"/>
          <w:kern w:val="0"/>
          <w:szCs w:val="24"/>
        </w:rPr>
        <w:t>.</w:t>
      </w:r>
    </w:p>
    <w:p w14:paraId="55DEF5A8" w14:textId="3ACA19E8" w:rsidR="006A026A" w:rsidRDefault="00EF3CA8" w:rsidP="00432B6B">
      <w:pPr>
        <w:pStyle w:val="Paragraphe"/>
        <w:tabs>
          <w:tab w:val="clear" w:pos="2204"/>
        </w:tabs>
        <w:spacing w:line="240" w:lineRule="auto"/>
        <w:ind w:left="0"/>
        <w:rPr>
          <w:rFonts w:cs="Arial"/>
        </w:rPr>
      </w:pPr>
      <w:r>
        <w:rPr>
          <w:rFonts w:cs="Arial"/>
        </w:rPr>
        <w:t xml:space="preserve">Cette prudente attitude empreinte de retenue judiciaire fait en sorte qu’une cour de justice ne tranche </w:t>
      </w:r>
      <w:r w:rsidR="00F47718">
        <w:rPr>
          <w:rFonts w:cs="Arial"/>
        </w:rPr>
        <w:t xml:space="preserve">habituellement </w:t>
      </w:r>
      <w:r>
        <w:rPr>
          <w:rFonts w:cs="Arial"/>
        </w:rPr>
        <w:t>un débat constitutionnel qu</w:t>
      </w:r>
      <w:r w:rsidR="00F47718">
        <w:rPr>
          <w:rFonts w:cs="Arial"/>
        </w:rPr>
        <w:t>e dans les</w:t>
      </w:r>
      <w:r>
        <w:rPr>
          <w:rFonts w:cs="Arial"/>
        </w:rPr>
        <w:t xml:space="preserve"> litiges qui le nécessitent réellement</w:t>
      </w:r>
      <w:r w:rsidR="006A026A">
        <w:rPr>
          <w:rFonts w:cs="Arial"/>
        </w:rPr>
        <w:t xml:space="preserve">. C’est ce qu’a décidé il y a longtemps </w:t>
      </w:r>
      <w:r w:rsidR="00F47718">
        <w:rPr>
          <w:rFonts w:cs="Arial"/>
        </w:rPr>
        <w:t xml:space="preserve">déjà </w:t>
      </w:r>
      <w:r w:rsidR="006A026A">
        <w:rPr>
          <w:rFonts w:cs="Arial"/>
        </w:rPr>
        <w:t xml:space="preserve">la Cour suprême dans l’arrêt </w:t>
      </w:r>
      <w:r w:rsidR="006A026A" w:rsidRPr="006A026A">
        <w:rPr>
          <w:rFonts w:cs="Arial"/>
          <w:i/>
          <w:iCs/>
        </w:rPr>
        <w:t>Cumming</w:t>
      </w:r>
      <w:r w:rsidR="006A026A">
        <w:rPr>
          <w:rFonts w:cs="Arial"/>
        </w:rPr>
        <w:t>, alors que le juge Pigeon écri</w:t>
      </w:r>
      <w:r w:rsidR="00F47718">
        <w:rPr>
          <w:rFonts w:cs="Arial"/>
        </w:rPr>
        <w:t>vai</w:t>
      </w:r>
      <w:r w:rsidR="006A026A">
        <w:rPr>
          <w:rFonts w:cs="Arial"/>
        </w:rPr>
        <w:t>t :</w:t>
      </w:r>
    </w:p>
    <w:p w14:paraId="5E18E127" w14:textId="5C8703A7" w:rsidR="00EF3CA8" w:rsidRPr="006A026A" w:rsidRDefault="006A026A" w:rsidP="00456DE0">
      <w:pPr>
        <w:pStyle w:val="Citationenretrait"/>
      </w:pPr>
      <w:r w:rsidRPr="006A026A">
        <w:t>Sauf dans des circonstances exceptionnelles, il n’est pas à propos de statuer sur des questions de droit qu’il n’est pas nécessaire de trancher pour juger le litige, à plus forte raison, lorsqu’il s’agit d’un problème constitutionnel</w:t>
      </w:r>
      <w:r w:rsidRPr="006A026A">
        <w:rPr>
          <w:rStyle w:val="Appelnotedebasdep"/>
          <w:rFonts w:cs="Arial"/>
          <w:szCs w:val="22"/>
        </w:rPr>
        <w:t xml:space="preserve"> </w:t>
      </w:r>
      <w:r w:rsidR="00EF3CA8" w:rsidRPr="006A026A">
        <w:rPr>
          <w:rStyle w:val="Appelnotedebasdep"/>
          <w:rFonts w:cs="Arial"/>
          <w:szCs w:val="22"/>
        </w:rPr>
        <w:footnoteReference w:id="191"/>
      </w:r>
      <w:r w:rsidR="00EF3CA8" w:rsidRPr="006A026A">
        <w:t>.</w:t>
      </w:r>
    </w:p>
    <w:p w14:paraId="5FF108DA" w14:textId="13907205" w:rsidR="00BF628D" w:rsidRDefault="00F47718" w:rsidP="00432B6B">
      <w:pPr>
        <w:pStyle w:val="Paragraphe"/>
        <w:tabs>
          <w:tab w:val="clear" w:pos="2204"/>
        </w:tabs>
        <w:spacing w:line="240" w:lineRule="auto"/>
        <w:ind w:left="0"/>
        <w:rPr>
          <w:rFonts w:cs="Arial"/>
        </w:rPr>
      </w:pPr>
      <w:r>
        <w:rPr>
          <w:rFonts w:cs="Arial"/>
        </w:rPr>
        <w:t xml:space="preserve">Cette prudence se justifie d’autant que les Pourvois, malgré les efforts des parties, présentent </w:t>
      </w:r>
      <w:r w:rsidR="001A3EBE">
        <w:rPr>
          <w:rFonts w:cs="Arial"/>
        </w:rPr>
        <w:t xml:space="preserve">nombre de </w:t>
      </w:r>
      <w:r>
        <w:rPr>
          <w:rFonts w:cs="Arial"/>
        </w:rPr>
        <w:t xml:space="preserve">difficultés </w:t>
      </w:r>
      <w:r w:rsidR="006F3110">
        <w:rPr>
          <w:rFonts w:cs="Arial"/>
        </w:rPr>
        <w:t>résultant de</w:t>
      </w:r>
      <w:r>
        <w:rPr>
          <w:rFonts w:cs="Arial"/>
        </w:rPr>
        <w:t xml:space="preserve"> la preuve, ce qui n’est pas sans poser d</w:t>
      </w:r>
      <w:r w:rsidR="00EC21D7">
        <w:rPr>
          <w:rFonts w:cs="Arial"/>
        </w:rPr>
        <w:t>’important</w:t>
      </w:r>
      <w:r>
        <w:rPr>
          <w:rFonts w:cs="Arial"/>
        </w:rPr>
        <w:t>s défis juridiques.</w:t>
      </w:r>
    </w:p>
    <w:p w14:paraId="1F20EAD8" w14:textId="0FE0CB93" w:rsidR="00BF628D" w:rsidRDefault="00BF628D" w:rsidP="00432B6B">
      <w:pPr>
        <w:pStyle w:val="Paragraphe"/>
        <w:tabs>
          <w:tab w:val="clear" w:pos="2204"/>
        </w:tabs>
        <w:spacing w:line="240" w:lineRule="auto"/>
        <w:ind w:left="0"/>
        <w:rPr>
          <w:rFonts w:cs="Arial"/>
        </w:rPr>
      </w:pPr>
      <w:r w:rsidRPr="00BF628D">
        <w:rPr>
          <w:rFonts w:cs="Arial"/>
        </w:rPr>
        <w:t xml:space="preserve">Les Pourvois réussissent aux plans des arguments de droit administratif concernant les étudiants CNRQ et la Règle d’acquisition </w:t>
      </w:r>
      <w:r w:rsidRPr="00E74B4A">
        <w:rPr>
          <w:rFonts w:cs="Arial"/>
        </w:rPr>
        <w:t>de</w:t>
      </w:r>
      <w:r w:rsidRPr="00BF628D">
        <w:rPr>
          <w:rFonts w:cs="Arial"/>
        </w:rPr>
        <w:t xml:space="preserve"> compétences en français. Il n’y a donc pas lieu d’analyser les questions constitutionnelles des parties demanderesses à ces égards. Seule demeurerait </w:t>
      </w:r>
      <w:r w:rsidR="00E74B4A">
        <w:rPr>
          <w:rFonts w:cs="Arial"/>
        </w:rPr>
        <w:t xml:space="preserve">requise </w:t>
      </w:r>
      <w:r w:rsidRPr="00BF628D">
        <w:rPr>
          <w:rFonts w:cs="Arial"/>
        </w:rPr>
        <w:t xml:space="preserve">l’analyse des arguments constitutionnels </w:t>
      </w:r>
      <w:r w:rsidRPr="009F67AF">
        <w:t xml:space="preserve">relativement </w:t>
      </w:r>
      <w:r w:rsidR="00E74B4A" w:rsidRPr="00E74B4A">
        <w:rPr>
          <w:rFonts w:cs="Arial"/>
        </w:rPr>
        <w:t xml:space="preserve">aux </w:t>
      </w:r>
      <w:r w:rsidR="00975985" w:rsidRPr="00E74B4A">
        <w:rPr>
          <w:rFonts w:cs="Arial"/>
        </w:rPr>
        <w:t>règle</w:t>
      </w:r>
      <w:r w:rsidR="00E74B4A" w:rsidRPr="00E74B4A">
        <w:rPr>
          <w:rFonts w:cs="Arial"/>
        </w:rPr>
        <w:t>s 3.5 et 3.6</w:t>
      </w:r>
      <w:r w:rsidR="00975985" w:rsidRPr="009F67AF">
        <w:t xml:space="preserve"> qui </w:t>
      </w:r>
      <w:r w:rsidR="00975985" w:rsidRPr="00E74B4A">
        <w:rPr>
          <w:rFonts w:cs="Arial"/>
        </w:rPr>
        <w:t>vise</w:t>
      </w:r>
      <w:r w:rsidR="00E74B4A" w:rsidRPr="00E74B4A">
        <w:rPr>
          <w:rFonts w:cs="Arial"/>
        </w:rPr>
        <w:t>nt</w:t>
      </w:r>
      <w:r w:rsidR="00975985" w:rsidRPr="009F67AF">
        <w:t xml:space="preserve"> les </w:t>
      </w:r>
      <w:r w:rsidRPr="009F67AF">
        <w:t>étudiants Internationaux</w:t>
      </w:r>
      <w:r w:rsidRPr="00BF628D">
        <w:rPr>
          <w:rFonts w:cs="Arial"/>
        </w:rPr>
        <w:t xml:space="preserve">. </w:t>
      </w:r>
      <w:r>
        <w:rPr>
          <w:rFonts w:cs="Arial"/>
        </w:rPr>
        <w:t>Toutefois, les</w:t>
      </w:r>
      <w:r w:rsidRPr="00BF628D">
        <w:rPr>
          <w:rFonts w:cs="Arial"/>
        </w:rPr>
        <w:t xml:space="preserve"> difficultés </w:t>
      </w:r>
      <w:r w:rsidR="00E74B4A">
        <w:rPr>
          <w:rFonts w:cs="Arial"/>
        </w:rPr>
        <w:t>que provoque</w:t>
      </w:r>
      <w:r>
        <w:rPr>
          <w:rFonts w:cs="Arial"/>
        </w:rPr>
        <w:t xml:space="preserve"> la preuve </w:t>
      </w:r>
      <w:r w:rsidR="00E74B4A">
        <w:rPr>
          <w:rFonts w:cs="Arial"/>
        </w:rPr>
        <w:t xml:space="preserve">telle que constituée </w:t>
      </w:r>
      <w:r w:rsidR="009F67AF" w:rsidRPr="008333D4">
        <w:rPr>
          <w:rFonts w:cs="Arial"/>
        </w:rPr>
        <w:t>par</w:t>
      </w:r>
      <w:r w:rsidR="00E74B4A">
        <w:rPr>
          <w:rFonts w:cs="Arial"/>
        </w:rPr>
        <w:t xml:space="preserve"> l</w:t>
      </w:r>
      <w:r w:rsidRPr="00E74B4A">
        <w:rPr>
          <w:rFonts w:cs="Arial"/>
        </w:rPr>
        <w:t>es</w:t>
      </w:r>
      <w:r>
        <w:rPr>
          <w:rFonts w:cs="Arial"/>
        </w:rPr>
        <w:t xml:space="preserve"> parties demanderesses </w:t>
      </w:r>
      <w:r w:rsidRPr="00BF628D">
        <w:rPr>
          <w:rFonts w:cs="Arial"/>
        </w:rPr>
        <w:t xml:space="preserve">s’avèrent telles qu’elles empêchent aussi de traiter </w:t>
      </w:r>
      <w:r>
        <w:rPr>
          <w:rFonts w:cs="Arial"/>
        </w:rPr>
        <w:t>c</w:t>
      </w:r>
      <w:r w:rsidRPr="00BF628D">
        <w:rPr>
          <w:rFonts w:cs="Arial"/>
        </w:rPr>
        <w:t xml:space="preserve">es </w:t>
      </w:r>
      <w:r>
        <w:rPr>
          <w:rFonts w:cs="Arial"/>
        </w:rPr>
        <w:t xml:space="preserve">aspects des </w:t>
      </w:r>
      <w:r w:rsidR="00E74B4A">
        <w:rPr>
          <w:rFonts w:cs="Arial"/>
        </w:rPr>
        <w:t>p</w:t>
      </w:r>
      <w:r w:rsidRPr="00E74B4A">
        <w:rPr>
          <w:rFonts w:cs="Arial"/>
        </w:rPr>
        <w:t>ourvois</w:t>
      </w:r>
      <w:r>
        <w:rPr>
          <w:rFonts w:cs="Arial"/>
        </w:rPr>
        <w:t>, comme expliqué ci-après.</w:t>
      </w:r>
    </w:p>
    <w:p w14:paraId="4FBE2DC0" w14:textId="570CDD6D" w:rsidR="00D12085" w:rsidRPr="009F67AF" w:rsidRDefault="00D12085" w:rsidP="00401356">
      <w:pPr>
        <w:pStyle w:val="Paragraphe"/>
        <w:numPr>
          <w:ilvl w:val="0"/>
          <w:numId w:val="6"/>
        </w:numPr>
        <w:spacing w:line="240" w:lineRule="auto"/>
        <w:ind w:left="1800"/>
        <w:rPr>
          <w:i/>
        </w:rPr>
      </w:pPr>
      <w:r w:rsidRPr="009F67AF">
        <w:rPr>
          <w:i/>
        </w:rPr>
        <w:t>Le droit à l’égalité</w:t>
      </w:r>
    </w:p>
    <w:p w14:paraId="3A9455B5" w14:textId="0B51148D" w:rsidR="00D14C78" w:rsidRPr="00BF628D" w:rsidRDefault="00F47718" w:rsidP="00432B6B">
      <w:pPr>
        <w:pStyle w:val="Paragraphe"/>
        <w:tabs>
          <w:tab w:val="clear" w:pos="2204"/>
          <w:tab w:val="num" w:pos="0"/>
        </w:tabs>
        <w:spacing w:line="240" w:lineRule="auto"/>
        <w:ind w:left="0"/>
        <w:rPr>
          <w:rFonts w:cs="Arial"/>
        </w:rPr>
      </w:pPr>
      <w:r w:rsidRPr="00BF628D">
        <w:rPr>
          <w:rFonts w:cs="Arial"/>
        </w:rPr>
        <w:t xml:space="preserve">McGill axe ses principaux angles d’attaque sur le droit à l’égalité que protège l’article 15 de la </w:t>
      </w:r>
      <w:r w:rsidRPr="00BF628D">
        <w:rPr>
          <w:rFonts w:cs="Arial"/>
          <w:i/>
          <w:iCs/>
        </w:rPr>
        <w:t>Charte canadienne</w:t>
      </w:r>
      <w:r w:rsidRPr="00BF628D">
        <w:rPr>
          <w:rFonts w:cs="Arial"/>
        </w:rPr>
        <w:t xml:space="preserve">. Elle affirme </w:t>
      </w:r>
      <w:r w:rsidR="00BF628D">
        <w:rPr>
          <w:rFonts w:cs="Arial"/>
        </w:rPr>
        <w:t>qu’</w:t>
      </w:r>
      <w:r w:rsidR="008940C8" w:rsidRPr="00BF628D">
        <w:rPr>
          <w:rFonts w:cs="Arial"/>
        </w:rPr>
        <w:t>elle-même, les étudiants CNRQ et les étudiants Internationaux</w:t>
      </w:r>
      <w:r w:rsidR="00BF628D">
        <w:rPr>
          <w:rFonts w:cs="Arial"/>
        </w:rPr>
        <w:t xml:space="preserve"> bénéficient</w:t>
      </w:r>
      <w:r w:rsidRPr="00BF628D">
        <w:rPr>
          <w:rFonts w:cs="Arial"/>
        </w:rPr>
        <w:t xml:space="preserve"> de la protection contre la discrimination. Cette discrimination serait basée sur la langue, en l’occurrence l’anglais, elle </w:t>
      </w:r>
      <w:r w:rsidR="00D14C78" w:rsidRPr="00BF628D">
        <w:rPr>
          <w:rFonts w:cs="Arial"/>
        </w:rPr>
        <w:t xml:space="preserve">qui </w:t>
      </w:r>
      <w:r w:rsidRPr="00BF628D">
        <w:rPr>
          <w:rFonts w:cs="Arial"/>
        </w:rPr>
        <w:t>est désignée par l’État comme une université anglophone.</w:t>
      </w:r>
    </w:p>
    <w:p w14:paraId="5FE56BEA" w14:textId="4B1B7C8D" w:rsidR="007933D1" w:rsidRDefault="007933D1" w:rsidP="00432B6B">
      <w:pPr>
        <w:pStyle w:val="Paragraphe"/>
        <w:tabs>
          <w:tab w:val="clear" w:pos="2204"/>
          <w:tab w:val="num" w:pos="0"/>
        </w:tabs>
        <w:spacing w:line="240" w:lineRule="auto"/>
        <w:ind w:left="0"/>
        <w:rPr>
          <w:rFonts w:cs="Arial"/>
        </w:rPr>
      </w:pPr>
      <w:r>
        <w:rPr>
          <w:rFonts w:cs="Arial"/>
        </w:rPr>
        <w:t xml:space="preserve">Comme le souligne la Cour d’appel dans </w:t>
      </w:r>
      <w:r w:rsidRPr="00181928">
        <w:rPr>
          <w:rFonts w:cs="Arial"/>
          <w:i/>
          <w:iCs/>
        </w:rPr>
        <w:t>Alliance autochtone du Québec</w:t>
      </w:r>
      <w:r>
        <w:rPr>
          <w:rFonts w:cs="Arial"/>
        </w:rPr>
        <w:t xml:space="preserve"> c. </w:t>
      </w:r>
      <w:r w:rsidRPr="00181928">
        <w:rPr>
          <w:rFonts w:cs="Arial"/>
          <w:i/>
          <w:iCs/>
        </w:rPr>
        <w:t>Procureur général du Québec</w:t>
      </w:r>
      <w:r w:rsidR="0042513F">
        <w:rPr>
          <w:rFonts w:cs="Arial"/>
          <w:i/>
          <w:iCs/>
        </w:rPr>
        <w:t xml:space="preserve"> </w:t>
      </w:r>
      <w:r w:rsidR="0042513F" w:rsidRPr="0042513F">
        <w:rPr>
          <w:i/>
          <w:iCs/>
        </w:rPr>
        <w:t>(Ministre des Ressources naturelles et de la Faune du Québec et Ministre délégué aux Affaires autochtones du Québec)</w:t>
      </w:r>
      <w:r>
        <w:rPr>
          <w:rFonts w:cs="Arial"/>
        </w:rPr>
        <w:t xml:space="preserve">, le paragraphe 15(1) s’avère </w:t>
      </w:r>
      <w:r w:rsidRPr="007933D1">
        <w:rPr>
          <w:rFonts w:cs="Arial"/>
          <w:i/>
          <w:iCs/>
        </w:rPr>
        <w:t>le plus difficile à comprendre au niveau conceptuel et dont le cadre analytique a connu de multiples formulations, le fil conducteur étant que ce cadre n’est pas clair (…) et conduit à des incohérences</w:t>
      </w:r>
      <w:r w:rsidRPr="007933D1">
        <w:rPr>
          <w:rStyle w:val="Appelnotedebasdep"/>
          <w:rFonts w:cs="Arial"/>
        </w:rPr>
        <w:footnoteReference w:id="192"/>
      </w:r>
      <w:r>
        <w:rPr>
          <w:rFonts w:cs="Arial"/>
        </w:rPr>
        <w:t>.</w:t>
      </w:r>
    </w:p>
    <w:p w14:paraId="07E83652" w14:textId="0D1C70E7" w:rsidR="00951F8A" w:rsidRDefault="00951F8A" w:rsidP="00432B6B">
      <w:pPr>
        <w:pStyle w:val="Paragraphe"/>
        <w:tabs>
          <w:tab w:val="clear" w:pos="2204"/>
          <w:tab w:val="num" w:pos="0"/>
        </w:tabs>
        <w:spacing w:line="240" w:lineRule="auto"/>
        <w:ind w:left="0"/>
        <w:rPr>
          <w:rFonts w:cs="Arial"/>
        </w:rPr>
      </w:pPr>
      <w:r>
        <w:rPr>
          <w:rFonts w:cs="Arial"/>
        </w:rPr>
        <w:t xml:space="preserve">Se présentent </w:t>
      </w:r>
      <w:r w:rsidR="00E74B4A">
        <w:rPr>
          <w:rFonts w:cs="Arial"/>
        </w:rPr>
        <w:t xml:space="preserve">ici </w:t>
      </w:r>
      <w:r>
        <w:rPr>
          <w:rFonts w:cs="Arial"/>
        </w:rPr>
        <w:t>plusieurs écueils.</w:t>
      </w:r>
    </w:p>
    <w:p w14:paraId="66AB71E7" w14:textId="776A18A7" w:rsidR="008324F2" w:rsidRPr="004042B9" w:rsidRDefault="00951F8A" w:rsidP="00432B6B">
      <w:pPr>
        <w:pStyle w:val="Paragraphe"/>
        <w:tabs>
          <w:tab w:val="clear" w:pos="2204"/>
          <w:tab w:val="num" w:pos="0"/>
        </w:tabs>
        <w:spacing w:line="240" w:lineRule="auto"/>
        <w:ind w:left="0"/>
        <w:rPr>
          <w:rFonts w:eastAsia="Arial"/>
        </w:rPr>
      </w:pPr>
      <w:r w:rsidRPr="004042B9">
        <w:rPr>
          <w:rFonts w:cs="Arial"/>
        </w:rPr>
        <w:t xml:space="preserve">Premièrement, </w:t>
      </w:r>
      <w:r w:rsidR="00D14C78" w:rsidRPr="004042B9">
        <w:rPr>
          <w:rFonts w:cs="Arial"/>
        </w:rPr>
        <w:t xml:space="preserve">McGill </w:t>
      </w:r>
      <w:r w:rsidR="00D24F79" w:rsidRPr="004042B9">
        <w:rPr>
          <w:rFonts w:cs="Arial"/>
        </w:rPr>
        <w:t>ne présente aucune preuve d’un étudiant anglophone</w:t>
      </w:r>
      <w:r w:rsidR="00E3150B" w:rsidRPr="004042B9">
        <w:rPr>
          <w:rFonts w:cs="Arial"/>
        </w:rPr>
        <w:t xml:space="preserve"> CNRQ ou </w:t>
      </w:r>
      <w:r w:rsidR="0011656B">
        <w:rPr>
          <w:rFonts w:cs="Arial"/>
        </w:rPr>
        <w:t>I</w:t>
      </w:r>
      <w:r w:rsidR="00E3150B" w:rsidRPr="00E74B4A">
        <w:rPr>
          <w:rFonts w:cs="Arial"/>
        </w:rPr>
        <w:t>nternational</w:t>
      </w:r>
      <w:r w:rsidR="00D24F79" w:rsidRPr="004042B9">
        <w:rPr>
          <w:rFonts w:cs="Arial"/>
        </w:rPr>
        <w:t xml:space="preserve"> qui établirait la preuve nécessaire à la démonstration de l’atteinte au droit à l’égalité</w:t>
      </w:r>
      <w:r w:rsidR="008324F2" w:rsidRPr="004042B9">
        <w:rPr>
          <w:rFonts w:cs="Arial"/>
        </w:rPr>
        <w:t> : comment un tel étudiant vit les impacts des modifications aux Règles budgétaires, par exemple.</w:t>
      </w:r>
      <w:r w:rsidR="00097066" w:rsidRPr="004042B9">
        <w:rPr>
          <w:rFonts w:cs="Arial"/>
        </w:rPr>
        <w:t xml:space="preserve"> De surcroit, se pose la question si </w:t>
      </w:r>
      <w:r w:rsidR="00007A07" w:rsidRPr="004042B9">
        <w:rPr>
          <w:rFonts w:cs="Arial"/>
        </w:rPr>
        <w:t xml:space="preserve">les potentiels étudiants Internationaux que McGill et Concordia visent à recruter, à savoir </w:t>
      </w:r>
      <w:r w:rsidR="00097066" w:rsidRPr="004042B9">
        <w:rPr>
          <w:rFonts w:cs="Arial"/>
        </w:rPr>
        <w:t>les ressortissants étrangers</w:t>
      </w:r>
      <w:r w:rsidR="00007A07" w:rsidRPr="004042B9">
        <w:rPr>
          <w:rFonts w:cs="Arial"/>
        </w:rPr>
        <w:t xml:space="preserve"> </w:t>
      </w:r>
      <w:r w:rsidR="00097066" w:rsidRPr="004042B9">
        <w:rPr>
          <w:rFonts w:cs="Arial"/>
        </w:rPr>
        <w:t xml:space="preserve">qui </w:t>
      </w:r>
      <w:r w:rsidR="00007A07" w:rsidRPr="004042B9">
        <w:rPr>
          <w:rFonts w:cs="Arial"/>
        </w:rPr>
        <w:t xml:space="preserve">généralement </w:t>
      </w:r>
      <w:r w:rsidR="00097066" w:rsidRPr="004042B9">
        <w:rPr>
          <w:rFonts w:cs="Arial"/>
        </w:rPr>
        <w:t>ne se trouvent pas sur le territoire canadien</w:t>
      </w:r>
      <w:r w:rsidR="00007A07" w:rsidRPr="004042B9">
        <w:rPr>
          <w:rFonts w:cs="Arial"/>
        </w:rPr>
        <w:t>, peuvent</w:t>
      </w:r>
      <w:r w:rsidR="00097066" w:rsidRPr="004042B9">
        <w:rPr>
          <w:rFonts w:cs="Arial"/>
        </w:rPr>
        <w:t xml:space="preserve"> se prévaloir de l’article 15 de la </w:t>
      </w:r>
      <w:r w:rsidR="00097066" w:rsidRPr="004042B9">
        <w:rPr>
          <w:rFonts w:cs="Arial"/>
          <w:i/>
          <w:iCs/>
        </w:rPr>
        <w:t>Charte</w:t>
      </w:r>
      <w:r w:rsidR="00007A07" w:rsidRPr="004042B9">
        <w:rPr>
          <w:rStyle w:val="Appelnotedebasdep"/>
          <w:rFonts w:cs="Arial"/>
        </w:rPr>
        <w:footnoteReference w:id="193"/>
      </w:r>
      <w:r w:rsidR="00097066" w:rsidRPr="004042B9">
        <w:rPr>
          <w:rFonts w:cs="Arial"/>
        </w:rPr>
        <w:t xml:space="preserve">. </w:t>
      </w:r>
      <w:r w:rsidR="00BF628D" w:rsidRPr="004042B9">
        <w:rPr>
          <w:rFonts w:eastAsia="Arial"/>
        </w:rPr>
        <w:t xml:space="preserve">Précisions que </w:t>
      </w:r>
      <w:r w:rsidR="008324F2" w:rsidRPr="004042B9">
        <w:rPr>
          <w:rFonts w:eastAsia="Arial"/>
        </w:rPr>
        <w:t>Meldrum</w:t>
      </w:r>
      <w:r w:rsidR="00E3150B" w:rsidRPr="004042B9">
        <w:rPr>
          <w:rFonts w:eastAsia="Arial"/>
        </w:rPr>
        <w:t>, étudiant québécois,</w:t>
      </w:r>
      <w:r w:rsidR="008324F2" w:rsidRPr="004042B9">
        <w:rPr>
          <w:rFonts w:eastAsia="Arial"/>
        </w:rPr>
        <w:t xml:space="preserve"> n’est pas visé personnellement par les Règles budgétaires en cause.</w:t>
      </w:r>
    </w:p>
    <w:p w14:paraId="242E167E" w14:textId="1601D994" w:rsidR="007933D1" w:rsidRPr="004042B9" w:rsidRDefault="007933D1" w:rsidP="00432B6B">
      <w:pPr>
        <w:pStyle w:val="Paragraphe"/>
        <w:tabs>
          <w:tab w:val="clear" w:pos="2204"/>
          <w:tab w:val="num" w:pos="0"/>
        </w:tabs>
        <w:spacing w:line="240" w:lineRule="auto"/>
        <w:ind w:left="0"/>
        <w:rPr>
          <w:rFonts w:eastAsia="Arial"/>
        </w:rPr>
      </w:pPr>
      <w:r w:rsidRPr="004042B9">
        <w:rPr>
          <w:rFonts w:eastAsia="Arial"/>
        </w:rPr>
        <w:t xml:space="preserve">Or, </w:t>
      </w:r>
      <w:r w:rsidR="00181928" w:rsidRPr="004042B9">
        <w:rPr>
          <w:rFonts w:eastAsia="Arial"/>
        </w:rPr>
        <w:t xml:space="preserve">toujours dans l’arrêt </w:t>
      </w:r>
      <w:r w:rsidR="00181928" w:rsidRPr="004042B9">
        <w:rPr>
          <w:rFonts w:eastAsia="Arial"/>
          <w:i/>
          <w:iCs/>
        </w:rPr>
        <w:t>Alliance autochtone du Québec</w:t>
      </w:r>
      <w:r w:rsidR="00181928" w:rsidRPr="004042B9">
        <w:rPr>
          <w:rFonts w:eastAsia="Arial"/>
        </w:rPr>
        <w:t xml:space="preserve">, </w:t>
      </w:r>
      <w:r w:rsidRPr="004042B9">
        <w:rPr>
          <w:rFonts w:eastAsia="Arial"/>
        </w:rPr>
        <w:t xml:space="preserve">la Cour d’appel précise que ce fardeau appartient à une personne qui invoque l’article 15 </w:t>
      </w:r>
      <w:r w:rsidR="00007A07" w:rsidRPr="004042B9">
        <w:rPr>
          <w:rFonts w:eastAsia="Arial"/>
        </w:rPr>
        <w:t xml:space="preserve">de la </w:t>
      </w:r>
      <w:r w:rsidRPr="004042B9">
        <w:rPr>
          <w:rFonts w:eastAsia="Arial"/>
          <w:i/>
          <w:iCs/>
        </w:rPr>
        <w:t>Charte</w:t>
      </w:r>
      <w:r w:rsidRPr="004042B9">
        <w:rPr>
          <w:rFonts w:eastAsia="Arial"/>
        </w:rPr>
        <w:t> :</w:t>
      </w:r>
    </w:p>
    <w:p w14:paraId="2E552E03" w14:textId="6D13B9F7" w:rsidR="00BE2F48" w:rsidRPr="0061095D" w:rsidRDefault="00BE2F48" w:rsidP="0061095D">
      <w:pPr>
        <w:pStyle w:val="Citationenretrait"/>
        <w:rPr>
          <w:rFonts w:cs="Arial"/>
          <w:lang w:eastAsia="fr-CA"/>
        </w:rPr>
      </w:pPr>
      <w:r w:rsidRPr="004042B9">
        <w:rPr>
          <w:rFonts w:cs="Arial"/>
        </w:rPr>
        <w:t>[9</w:t>
      </w:r>
      <w:r w:rsidR="002473F9">
        <w:rPr>
          <w:rFonts w:cs="Arial"/>
        </w:rPr>
        <w:t>0</w:t>
      </w:r>
      <w:r w:rsidRPr="004042B9">
        <w:rPr>
          <w:rFonts w:cs="Arial"/>
        </w:rPr>
        <w:t>]</w:t>
      </w:r>
      <w:r w:rsidRPr="004042B9">
        <w:rPr>
          <w:rFonts w:cs="Arial"/>
        </w:rPr>
        <w:tab/>
        <w:t>Le critère à deux volets pour évaluer une demande fondée sur le paragraphe 15(1) oblige le demandeur à démontrer</w:t>
      </w:r>
      <w:r w:rsidRPr="0061095D">
        <w:rPr>
          <w:rFonts w:cs="Arial"/>
        </w:rPr>
        <w:t xml:space="preserve"> que la loi ou la mesure de l’État contestée :</w:t>
      </w:r>
    </w:p>
    <w:p w14:paraId="14D30089" w14:textId="088BCDD1" w:rsidR="00BE2F48" w:rsidRPr="0061095D" w:rsidRDefault="00BE2F48" w:rsidP="0061095D">
      <w:pPr>
        <w:pStyle w:val="Citationenretrait"/>
        <w:ind w:left="1468"/>
        <w:rPr>
          <w:rFonts w:cs="Arial"/>
        </w:rPr>
      </w:pPr>
      <w:r w:rsidRPr="0061095D">
        <w:rPr>
          <w:rFonts w:cs="Arial"/>
        </w:rPr>
        <w:t>a)</w:t>
      </w:r>
      <w:r w:rsidR="0061095D">
        <w:rPr>
          <w:rFonts w:cs="Arial"/>
        </w:rPr>
        <w:t xml:space="preserve"> </w:t>
      </w:r>
      <w:r w:rsidRPr="0061095D">
        <w:rPr>
          <w:rFonts w:cs="Arial"/>
        </w:rPr>
        <w:t>crée, à première vue ou de par son effet, une distinction fondée sur un motif énuméré ou analogue;</w:t>
      </w:r>
    </w:p>
    <w:p w14:paraId="7DC83A45" w14:textId="6E535486" w:rsidR="00BE2F48" w:rsidRPr="0061095D" w:rsidRDefault="00BE2F48" w:rsidP="0061095D">
      <w:pPr>
        <w:pStyle w:val="Citationenretrait"/>
        <w:ind w:left="1468"/>
        <w:rPr>
          <w:rFonts w:cs="Arial"/>
        </w:rPr>
      </w:pPr>
      <w:r w:rsidRPr="0061095D">
        <w:rPr>
          <w:rFonts w:cs="Arial"/>
        </w:rPr>
        <w:t>b)</w:t>
      </w:r>
      <w:r w:rsidR="0061095D" w:rsidRPr="0061095D">
        <w:rPr>
          <w:rFonts w:cs="Arial"/>
        </w:rPr>
        <w:t xml:space="preserve"> </w:t>
      </w:r>
      <w:r w:rsidRPr="0061095D">
        <w:rPr>
          <w:rFonts w:cs="Arial"/>
        </w:rPr>
        <w:t>impose un fardeau ou nie un avantage d’une manière qui a pour effet de renforcer, de perpétuer ou d’accentuer le désavantage</w:t>
      </w:r>
      <w:bookmarkStart w:id="66" w:name="_ftnref108"/>
      <w:bookmarkEnd w:id="66"/>
      <w:r w:rsidRPr="0061095D">
        <w:rPr>
          <w:rFonts w:cs="Arial"/>
        </w:rPr>
        <w:t>.</w:t>
      </w:r>
    </w:p>
    <w:p w14:paraId="0570533E" w14:textId="41AB9645" w:rsidR="00BE2F48" w:rsidRPr="0061095D" w:rsidRDefault="00BE2F48" w:rsidP="0061095D">
      <w:pPr>
        <w:pStyle w:val="Citationenretrait"/>
        <w:rPr>
          <w:rFonts w:cs="Arial"/>
        </w:rPr>
      </w:pPr>
      <w:r w:rsidRPr="0061095D">
        <w:rPr>
          <w:rFonts w:cs="Arial"/>
        </w:rPr>
        <w:t>Les deux étapes sont distinctes, bien qu’elles puissent se recouper, en ce que la conclusion que la loi contestée a un effet disproportionné sur un groupe protégé (première étape) ne permet pas automatiquement de conclure que la distinction est discriminatoire (deuxième étape)</w:t>
      </w:r>
      <w:bookmarkStart w:id="67" w:name="_Ref181089442"/>
      <w:bookmarkStart w:id="68" w:name="_ftnref109"/>
      <w:bookmarkEnd w:id="67"/>
      <w:bookmarkEnd w:id="68"/>
      <w:r w:rsidRPr="0061095D">
        <w:rPr>
          <w:rFonts w:cs="Arial"/>
        </w:rPr>
        <w:t>.</w:t>
      </w:r>
    </w:p>
    <w:p w14:paraId="413633D6" w14:textId="0C392DC1" w:rsidR="00BE2F48" w:rsidRPr="00803BC7" w:rsidRDefault="00BE2F48" w:rsidP="00803BC7">
      <w:pPr>
        <w:pStyle w:val="Citationenretrait"/>
      </w:pPr>
      <w:r w:rsidRPr="00803BC7">
        <w:t>[91]</w:t>
      </w:r>
      <w:r w:rsidR="00A75B49" w:rsidRPr="00803BC7">
        <w:tab/>
      </w:r>
      <w:r w:rsidRPr="00803BC7">
        <w:t>La première étape consiste à se demander si la loi contestée a créé un effet disproportionné sur le groupe demandeur pour un motif énuméré ou analogue ou a contribué à cet effet, ce qui implique une comparaison entre le groupe demandeur et d’autres groupes ou la population générale</w:t>
      </w:r>
      <w:bookmarkStart w:id="69" w:name="_ftnref110"/>
      <w:bookmarkEnd w:id="69"/>
      <w:r w:rsidRPr="00803BC7">
        <w:t>. Le fait de laisser subsister un écart entre le traitement d’un groupe protégé par rapport aux personnes qui ne font pas partie de ce groupe ne suffit pas en soi pour conclure que la première étape est satisfaite</w:t>
      </w:r>
      <w:bookmarkStart w:id="70" w:name="_ftnref111"/>
      <w:bookmarkEnd w:id="70"/>
      <w:r w:rsidRPr="00803BC7">
        <w:t>. C’est plutôt la preuve</w:t>
      </w:r>
      <w:r w:rsidR="00A75B49" w:rsidRPr="00803BC7">
        <w:t xml:space="preserve"> </w:t>
      </w:r>
      <w:r w:rsidRPr="00803BC7">
        <w:rPr>
          <w:u w:val="single"/>
        </w:rPr>
        <w:t>d’un effet disproportionné</w:t>
      </w:r>
      <w:r w:rsidR="00A75B49" w:rsidRPr="00803BC7">
        <w:rPr>
          <w:u w:val="single"/>
        </w:rPr>
        <w:t xml:space="preserve"> </w:t>
      </w:r>
      <w:r w:rsidRPr="00803BC7">
        <w:rPr>
          <w:b/>
          <w:bCs/>
          <w:u w:val="single"/>
        </w:rPr>
        <w:t>causé</w:t>
      </w:r>
      <w:r w:rsidR="00A75B49" w:rsidRPr="00803BC7">
        <w:rPr>
          <w:u w:val="single"/>
        </w:rPr>
        <w:t xml:space="preserve"> </w:t>
      </w:r>
      <w:r w:rsidRPr="00803BC7">
        <w:rPr>
          <w:u w:val="single"/>
        </w:rPr>
        <w:t>par la loi contestée ou à laquelle la loi contestée contribue</w:t>
      </w:r>
      <w:r w:rsidR="00A75B49" w:rsidRPr="00803BC7">
        <w:t xml:space="preserve"> </w:t>
      </w:r>
      <w:r w:rsidRPr="00803BC7">
        <w:t>qui doit être établie</w:t>
      </w:r>
      <w:r w:rsidR="00803BC7" w:rsidRPr="00803BC7">
        <w:t xml:space="preserve"> </w:t>
      </w:r>
      <w:r w:rsidRPr="00803BC7">
        <w:t>par le demandeur</w:t>
      </w:r>
      <w:bookmarkStart w:id="71" w:name="_ftnref112"/>
      <w:bookmarkEnd w:id="71"/>
      <w:r w:rsidRPr="00803BC7">
        <w:t>. En d’autres termes, un lien de causalité doit être établi par le demandeur entre la loi contestée et l’effet disproportionné sur le groupe protégé</w:t>
      </w:r>
      <w:bookmarkStart w:id="72" w:name="_Ref181089069"/>
      <w:bookmarkStart w:id="73" w:name="_ftnref113"/>
      <w:bookmarkEnd w:id="72"/>
      <w:bookmarkEnd w:id="73"/>
      <w:r w:rsidRPr="00803BC7">
        <w:t>.</w:t>
      </w:r>
    </w:p>
    <w:p w14:paraId="576F6910" w14:textId="4604FC6C" w:rsidR="00BE2F48" w:rsidRPr="00C54D00" w:rsidRDefault="00BE2F48" w:rsidP="00C54D00">
      <w:pPr>
        <w:pStyle w:val="Citationenretrait"/>
        <w:rPr>
          <w:rFonts w:cs="Arial"/>
        </w:rPr>
      </w:pPr>
      <w:r w:rsidRPr="00C54D00">
        <w:rPr>
          <w:rFonts w:cs="Arial"/>
        </w:rPr>
        <w:t>[92]</w:t>
      </w:r>
      <w:r w:rsidR="00C54D00" w:rsidRPr="00C54D00">
        <w:rPr>
          <w:rFonts w:cs="Arial"/>
        </w:rPr>
        <w:tab/>
      </w:r>
      <w:r w:rsidRPr="00C54D00">
        <w:rPr>
          <w:rFonts w:cs="Arial"/>
        </w:rPr>
        <w:t>Deux types d’éléments de preuve sont utiles pour prouver l’effet disproportionné de la loi à la première étape, soit :</w:t>
      </w:r>
    </w:p>
    <w:p w14:paraId="681E8039" w14:textId="42E06216" w:rsidR="00BE2F48" w:rsidRPr="00C54D00" w:rsidRDefault="00BE2F48" w:rsidP="00C54D00">
      <w:pPr>
        <w:pStyle w:val="Citationenretrait"/>
        <w:ind w:left="1468"/>
        <w:rPr>
          <w:rFonts w:cs="Arial"/>
        </w:rPr>
      </w:pPr>
      <w:r w:rsidRPr="00C54D00">
        <w:rPr>
          <w:rFonts w:cs="Arial"/>
        </w:rPr>
        <w:t>1)</w:t>
      </w:r>
      <w:bookmarkStart w:id="74" w:name="_Hlk178664198"/>
      <w:r w:rsidR="00C54D00">
        <w:rPr>
          <w:rFonts w:cs="Arial"/>
        </w:rPr>
        <w:t xml:space="preserve"> </w:t>
      </w:r>
      <w:r w:rsidRPr="00C54D00">
        <w:rPr>
          <w:rFonts w:cs="Arial"/>
          <w:bdr w:val="none" w:sz="0" w:space="0" w:color="auto" w:frame="1"/>
        </w:rPr>
        <w:t>les éléments de preuve portant sur tous les éléments contextuels de la situation du groupe des demandeur</w:t>
      </w:r>
      <w:bookmarkStart w:id="75" w:name="_ftnref114"/>
      <w:bookmarkEnd w:id="74"/>
      <w:bookmarkEnd w:id="75"/>
      <w:r w:rsidRPr="00C54D00">
        <w:rPr>
          <w:rFonts w:cs="Arial"/>
          <w:bdr w:val="none" w:sz="0" w:space="0" w:color="auto" w:frame="1"/>
        </w:rPr>
        <w:t>s</w:t>
      </w:r>
      <w:r w:rsidRPr="00C54D00">
        <w:rPr>
          <w:rFonts w:cs="Arial"/>
        </w:rPr>
        <w:t>; cette preuve peut provenir des demandeurs, d'autres témoins ordinaires ou de témoins experts</w:t>
      </w:r>
      <w:bookmarkStart w:id="76" w:name="_ftnref115"/>
      <w:bookmarkEnd w:id="76"/>
      <w:r w:rsidRPr="00C54D00">
        <w:rPr>
          <w:rFonts w:cs="Arial"/>
        </w:rPr>
        <w:t>; et</w:t>
      </w:r>
    </w:p>
    <w:p w14:paraId="7529FCBF" w14:textId="72BF4894" w:rsidR="00BE2F48" w:rsidRPr="00C54D00" w:rsidRDefault="00BE2F48" w:rsidP="00C54D00">
      <w:pPr>
        <w:pStyle w:val="Citationenretrait"/>
        <w:ind w:left="1468"/>
        <w:rPr>
          <w:rFonts w:cs="Arial"/>
        </w:rPr>
      </w:pPr>
      <w:r w:rsidRPr="00C54D00">
        <w:rPr>
          <w:rFonts w:cs="Arial"/>
        </w:rPr>
        <w:t>2) les éléments de preuve sur les conséquences pratiques et réelles de la loi sur le groupe</w:t>
      </w:r>
      <w:bookmarkStart w:id="77" w:name="_ftnref116"/>
      <w:bookmarkEnd w:id="77"/>
      <w:r w:rsidRPr="00C54D00">
        <w:rPr>
          <w:rFonts w:cs="Arial"/>
        </w:rPr>
        <w:t>; ces éléments peuvent, entre autres, être démontrés à l’aide d’une preuve statistique, de rapports d’experts, d’études de cas ou d’autres preuves qualitatives ou scientifiques</w:t>
      </w:r>
      <w:bookmarkStart w:id="78" w:name="_ftnref117"/>
      <w:bookmarkEnd w:id="78"/>
      <w:r w:rsidRPr="00C54D00">
        <w:rPr>
          <w:rFonts w:cs="Arial"/>
        </w:rPr>
        <w:t>.</w:t>
      </w:r>
    </w:p>
    <w:p w14:paraId="66D216C2" w14:textId="354A1C15" w:rsidR="00BE2F48" w:rsidRPr="00C54D00" w:rsidRDefault="00BE2F48" w:rsidP="00C54D00">
      <w:pPr>
        <w:pStyle w:val="Citationenretrait"/>
        <w:rPr>
          <w:rFonts w:cs="Arial"/>
        </w:rPr>
      </w:pPr>
      <w:r w:rsidRPr="00C54D00">
        <w:rPr>
          <w:rFonts w:cs="Arial"/>
        </w:rPr>
        <w:t>Idéalement, les deux types d’éléments de preuve devraient être étayés et établis par les demandeurs en regard de la première étape de l’analyse</w:t>
      </w:r>
      <w:bookmarkStart w:id="79" w:name="_ftnref118"/>
      <w:bookmarkEnd w:id="79"/>
      <w:r w:rsidRPr="00C54D00">
        <w:rPr>
          <w:rFonts w:cs="Arial"/>
        </w:rPr>
        <w:t>, étant entendu que, selon la nature du cas, aucune forme particulière de preuve n’est nécessairement privilégiée et qu’une inférence raisonnable peut suffire dans certains cas</w:t>
      </w:r>
      <w:bookmarkStart w:id="80" w:name="_ftnref119"/>
      <w:bookmarkEnd w:id="80"/>
      <w:r w:rsidRPr="00C54D00">
        <w:rPr>
          <w:rFonts w:cs="Arial"/>
        </w:rPr>
        <w:t>.</w:t>
      </w:r>
    </w:p>
    <w:p w14:paraId="2099D427" w14:textId="1BA51BDC" w:rsidR="00C54D00" w:rsidRPr="00C54D00" w:rsidRDefault="00BE2F48" w:rsidP="00C54D00">
      <w:pPr>
        <w:pStyle w:val="Citationenretrait"/>
        <w:rPr>
          <w:rFonts w:cs="Arial"/>
        </w:rPr>
      </w:pPr>
      <w:r w:rsidRPr="00C54D00">
        <w:rPr>
          <w:rFonts w:cs="Arial"/>
        </w:rPr>
        <w:t>[93]</w:t>
      </w:r>
      <w:r w:rsidR="00C54D00">
        <w:rPr>
          <w:rFonts w:cs="Arial"/>
        </w:rPr>
        <w:tab/>
      </w:r>
      <w:r w:rsidRPr="00C54D00">
        <w:rPr>
          <w:rFonts w:cs="Arial"/>
        </w:rPr>
        <w:t>En résumé, la première étape consiste à déterminer si les dispositions législatives contestées créent un effet disproportionné pour un motif énuméré ou analogue sur le groupe du demandeur par rapport à d’autres groupes ou contribuent à cet effet. La nature exacte du fardeau de preuve imposé aux demandeurs à cette étape dépend de ce qu’ils demandent. Dans tous les cas, les demandeurs doivent s’acquitter de leur fardeau de preuve à la première étape avant de passer à la seconde étape.</w:t>
      </w:r>
    </w:p>
    <w:p w14:paraId="24BFF58F" w14:textId="68423556" w:rsidR="00BE2F48" w:rsidRPr="00C54D00" w:rsidRDefault="00150089" w:rsidP="00150089">
      <w:pPr>
        <w:pStyle w:val="Citationenretrait"/>
        <w:tabs>
          <w:tab w:val="right" w:pos="8640"/>
        </w:tabs>
        <w:rPr>
          <w:rFonts w:cs="Arial"/>
        </w:rPr>
      </w:pPr>
      <w:r>
        <w:rPr>
          <w:rFonts w:cs="Arial"/>
        </w:rPr>
        <w:tab/>
      </w:r>
      <w:r w:rsidR="00BE2F48" w:rsidRPr="00C54D00">
        <w:rPr>
          <w:rFonts w:cs="Arial"/>
        </w:rPr>
        <w:t>[</w:t>
      </w:r>
      <w:r w:rsidR="00C54D00" w:rsidRPr="00C54D00">
        <w:rPr>
          <w:rFonts w:cs="Arial"/>
        </w:rPr>
        <w:t>R</w:t>
      </w:r>
      <w:r w:rsidR="00BE2F48" w:rsidRPr="00C54D00">
        <w:rPr>
          <w:rFonts w:cs="Arial"/>
        </w:rPr>
        <w:t>éférences omises]</w:t>
      </w:r>
    </w:p>
    <w:p w14:paraId="0BC3ACA1" w14:textId="5557766E" w:rsidR="00914D3B" w:rsidRPr="00914D3B" w:rsidRDefault="00914D3B" w:rsidP="00432B6B">
      <w:pPr>
        <w:pStyle w:val="Paragraphe"/>
        <w:tabs>
          <w:tab w:val="clear" w:pos="2204"/>
          <w:tab w:val="num" w:pos="0"/>
        </w:tabs>
        <w:spacing w:line="240" w:lineRule="auto"/>
        <w:ind w:left="0"/>
        <w:rPr>
          <w:rFonts w:eastAsia="Arial"/>
        </w:rPr>
      </w:pPr>
      <w:r w:rsidRPr="00914D3B">
        <w:rPr>
          <w:rFonts w:eastAsia="Arial"/>
        </w:rPr>
        <w:t xml:space="preserve">En outre, dans l’arrêt </w:t>
      </w:r>
      <w:r w:rsidR="001B0772" w:rsidRPr="001B0772">
        <w:rPr>
          <w:rFonts w:eastAsia="Arial"/>
          <w:i/>
          <w:iCs/>
        </w:rPr>
        <w:t xml:space="preserve">Entreprises W.F.H. </w:t>
      </w:r>
      <w:r w:rsidR="006C397E">
        <w:rPr>
          <w:rFonts w:eastAsia="Arial"/>
          <w:i/>
          <w:iCs/>
        </w:rPr>
        <w:t>l</w:t>
      </w:r>
      <w:r w:rsidR="001B0772" w:rsidRPr="001B0772">
        <w:rPr>
          <w:rFonts w:eastAsia="Arial"/>
          <w:i/>
          <w:iCs/>
        </w:rPr>
        <w:t xml:space="preserve">tée </w:t>
      </w:r>
      <w:r w:rsidR="001B0772" w:rsidRPr="00904AD4">
        <w:rPr>
          <w:rFonts w:eastAsia="Arial"/>
        </w:rPr>
        <w:t>c.</w:t>
      </w:r>
      <w:r w:rsidR="001B0772" w:rsidRPr="001B0772">
        <w:rPr>
          <w:rFonts w:eastAsia="Arial"/>
          <w:i/>
          <w:iCs/>
        </w:rPr>
        <w:t xml:space="preserve"> Québec (Procureure </w:t>
      </w:r>
      <w:r w:rsidR="00FD59D7">
        <w:rPr>
          <w:rFonts w:eastAsia="Arial"/>
          <w:i/>
          <w:iCs/>
        </w:rPr>
        <w:t>g</w:t>
      </w:r>
      <w:r w:rsidR="001B0772" w:rsidRPr="001B0772">
        <w:rPr>
          <w:rFonts w:eastAsia="Arial"/>
          <w:i/>
          <w:iCs/>
        </w:rPr>
        <w:t>énérale</w:t>
      </w:r>
      <w:r w:rsidR="00763523">
        <w:rPr>
          <w:rFonts w:eastAsia="Arial"/>
          <w:i/>
          <w:iCs/>
        </w:rPr>
        <w:t>)</w:t>
      </w:r>
      <w:r w:rsidRPr="00914D3B">
        <w:rPr>
          <w:rFonts w:eastAsia="Arial"/>
        </w:rPr>
        <w:t>, la Cour d’appel précise</w:t>
      </w:r>
      <w:r w:rsidR="001B0772">
        <w:rPr>
          <w:rFonts w:eastAsia="Arial"/>
        </w:rPr>
        <w:t xml:space="preserve"> </w:t>
      </w:r>
      <w:r w:rsidRPr="00914D3B">
        <w:rPr>
          <w:rFonts w:eastAsia="Arial"/>
        </w:rPr>
        <w:t>que</w:t>
      </w:r>
      <w:r>
        <w:rPr>
          <w:rFonts w:eastAsia="Arial"/>
        </w:rPr>
        <w:t xml:space="preserve">, </w:t>
      </w:r>
      <w:r w:rsidRPr="00914D3B">
        <w:rPr>
          <w:rFonts w:eastAsia="Arial"/>
          <w:i/>
          <w:iCs/>
        </w:rPr>
        <w:t>tel qu’établi par le par. 83 de l’arrêt Law, la première question que se posera le tribunal dans chaque affaire sera de savoir si une atteinte à la dignité humaine a été démontrée, compte tenu des contextes historique, social, politique et juridiques dans lesquels l’allégation est formulée</w:t>
      </w:r>
      <w:r w:rsidRPr="00C62891">
        <w:rPr>
          <w:rStyle w:val="Appelnotedebasdep"/>
          <w:rFonts w:eastAsia="Arial"/>
        </w:rPr>
        <w:footnoteReference w:id="194"/>
      </w:r>
      <w:r>
        <w:rPr>
          <w:rFonts w:eastAsia="Arial"/>
        </w:rPr>
        <w:t>.</w:t>
      </w:r>
    </w:p>
    <w:p w14:paraId="4A22F4E0" w14:textId="6FFDFEEF" w:rsidR="007933D1" w:rsidRDefault="00181928" w:rsidP="00432B6B">
      <w:pPr>
        <w:pStyle w:val="Paragraphe"/>
        <w:tabs>
          <w:tab w:val="clear" w:pos="2204"/>
          <w:tab w:val="num" w:pos="0"/>
        </w:tabs>
        <w:spacing w:line="240" w:lineRule="auto"/>
        <w:ind w:left="0"/>
        <w:rPr>
          <w:rFonts w:eastAsia="Arial"/>
        </w:rPr>
      </w:pPr>
      <w:r>
        <w:rPr>
          <w:rFonts w:eastAsia="Arial"/>
        </w:rPr>
        <w:t xml:space="preserve">La preuve qu’offre McGill ne permet pas d’analyser </w:t>
      </w:r>
      <w:r w:rsidR="00E74B4A">
        <w:rPr>
          <w:rFonts w:eastAsia="Arial"/>
        </w:rPr>
        <w:t>cet aspect de</w:t>
      </w:r>
      <w:r>
        <w:rPr>
          <w:rFonts w:eastAsia="Arial"/>
        </w:rPr>
        <w:t xml:space="preserve"> la première étape du test.</w:t>
      </w:r>
    </w:p>
    <w:p w14:paraId="0760CD54" w14:textId="00F739FF" w:rsidR="00122A0B" w:rsidRPr="00122A0B" w:rsidRDefault="006417E9" w:rsidP="00CA00C8">
      <w:pPr>
        <w:pStyle w:val="Paragraphe"/>
        <w:tabs>
          <w:tab w:val="clear" w:pos="2204"/>
          <w:tab w:val="num" w:pos="0"/>
        </w:tabs>
        <w:spacing w:line="240" w:lineRule="auto"/>
        <w:ind w:left="0"/>
        <w:rPr>
          <w:rFonts w:eastAsia="Arial"/>
        </w:rPr>
      </w:pPr>
      <w:r>
        <w:rPr>
          <w:rFonts w:cs="Arial"/>
        </w:rPr>
        <w:t>Deuxièmement, à</w:t>
      </w:r>
      <w:r w:rsidR="00D24F79" w:rsidRPr="00A06459">
        <w:rPr>
          <w:rFonts w:cs="Arial"/>
        </w:rPr>
        <w:t xml:space="preserve"> ce jour, aucune cour de justice n’a </w:t>
      </w:r>
      <w:r w:rsidR="000A3D6B" w:rsidRPr="00A06459">
        <w:rPr>
          <w:rFonts w:cs="Arial"/>
        </w:rPr>
        <w:t xml:space="preserve">encore </w:t>
      </w:r>
      <w:r w:rsidR="00D24F79" w:rsidRPr="00A06459">
        <w:rPr>
          <w:rFonts w:cs="Arial"/>
        </w:rPr>
        <w:t>décidé</w:t>
      </w:r>
      <w:r w:rsidR="009F67AF">
        <w:rPr>
          <w:rFonts w:cs="Arial"/>
        </w:rPr>
        <w:t xml:space="preserve"> </w:t>
      </w:r>
      <w:r w:rsidR="00A06459">
        <w:rPr>
          <w:rFonts w:cs="Arial"/>
        </w:rPr>
        <w:t>q</w:t>
      </w:r>
      <w:r w:rsidR="00D24F79" w:rsidRPr="00A06459">
        <w:rPr>
          <w:rFonts w:cs="Arial"/>
        </w:rPr>
        <w:t xml:space="preserve">u’une institution comme une université peut, en demande, revendiquer la protection qu’offre l’article 15 de la </w:t>
      </w:r>
      <w:r w:rsidR="00D24F79" w:rsidRPr="00A06459">
        <w:rPr>
          <w:rFonts w:cs="Arial"/>
          <w:i/>
          <w:iCs/>
        </w:rPr>
        <w:t>Charte canadienne</w:t>
      </w:r>
      <w:r w:rsidR="00154CFB" w:rsidRPr="00A06459">
        <w:rPr>
          <w:rFonts w:cs="Arial"/>
        </w:rPr>
        <w:t xml:space="preserve">. Certes, une personne morale peut soulever une atteinte à des droits que protège la </w:t>
      </w:r>
      <w:r w:rsidR="00154CFB" w:rsidRPr="00A06459">
        <w:rPr>
          <w:rFonts w:cs="Arial"/>
          <w:i/>
          <w:iCs/>
        </w:rPr>
        <w:t>Charte</w:t>
      </w:r>
      <w:r w:rsidR="00154CFB" w:rsidRPr="00A06459">
        <w:rPr>
          <w:rFonts w:cs="Arial"/>
        </w:rPr>
        <w:t xml:space="preserve"> </w:t>
      </w:r>
      <w:r w:rsidR="000A3D6B" w:rsidRPr="00A06459">
        <w:rPr>
          <w:rFonts w:cs="Arial"/>
        </w:rPr>
        <w:t>e</w:t>
      </w:r>
      <w:r w:rsidR="00154CFB" w:rsidRPr="00A06459">
        <w:rPr>
          <w:rFonts w:cs="Arial"/>
        </w:rPr>
        <w:t xml:space="preserve">n défense, comme l’a décidé la Cour suprême dans </w:t>
      </w:r>
      <w:r w:rsidR="00154CFB" w:rsidRPr="00A06459">
        <w:rPr>
          <w:rFonts w:cs="Arial"/>
          <w:i/>
          <w:iCs/>
        </w:rPr>
        <w:t>Big M Drug Mart</w:t>
      </w:r>
      <w:r w:rsidR="00154CFB" w:rsidRPr="009F67AF">
        <w:rPr>
          <w:rStyle w:val="Appelnotedebasdep"/>
        </w:rPr>
        <w:footnoteReference w:id="195"/>
      </w:r>
      <w:r w:rsidR="00154CFB" w:rsidRPr="00A06459">
        <w:rPr>
          <w:rFonts w:cs="Arial"/>
        </w:rPr>
        <w:t xml:space="preserve">, mais nul n’a encore établi que ce précédent s’applique </w:t>
      </w:r>
      <w:r w:rsidR="00EC21D7" w:rsidRPr="00A06459">
        <w:rPr>
          <w:rFonts w:cs="Arial"/>
        </w:rPr>
        <w:t xml:space="preserve">au droit à l’égalité </w:t>
      </w:r>
      <w:r w:rsidR="00154CFB" w:rsidRPr="00A06459">
        <w:rPr>
          <w:rFonts w:cs="Arial"/>
        </w:rPr>
        <w:t xml:space="preserve">alors qu’une personne morale poursuit l’État sur la base de la </w:t>
      </w:r>
      <w:r w:rsidR="00154CFB" w:rsidRPr="00A06459">
        <w:rPr>
          <w:rFonts w:cs="Arial"/>
          <w:i/>
          <w:iCs/>
        </w:rPr>
        <w:t>Charte canadienne</w:t>
      </w:r>
      <w:r w:rsidR="00A06459">
        <w:rPr>
          <w:rFonts w:cs="Arial"/>
        </w:rPr>
        <w:t>.</w:t>
      </w:r>
      <w:r w:rsidR="00D14C78">
        <w:rPr>
          <w:rFonts w:cs="Arial"/>
        </w:rPr>
        <w:t xml:space="preserve"> Au contraire, la Cour suprême précise que ce droit appartient à une personne physique</w:t>
      </w:r>
      <w:r w:rsidR="00D14C78">
        <w:rPr>
          <w:rStyle w:val="Appelnotedebasdep"/>
          <w:rFonts w:cs="Arial"/>
        </w:rPr>
        <w:footnoteReference w:id="196"/>
      </w:r>
      <w:r w:rsidR="00D14C78">
        <w:rPr>
          <w:rFonts w:cs="Arial"/>
        </w:rPr>
        <w:t>.</w:t>
      </w:r>
      <w:r w:rsidR="006D1D77">
        <w:rPr>
          <w:rFonts w:cs="Arial"/>
        </w:rPr>
        <w:t xml:space="preserve"> Il en va de même de l’article 10 de la </w:t>
      </w:r>
      <w:r w:rsidR="006D1D77" w:rsidRPr="00410DDB">
        <w:rPr>
          <w:i/>
        </w:rPr>
        <w:t>Charte des droits et libertés de la personne</w:t>
      </w:r>
      <w:r w:rsidR="006D1D77">
        <w:rPr>
          <w:rFonts w:cs="Arial"/>
        </w:rPr>
        <w:t xml:space="preserve"> dont l’objectif concerne </w:t>
      </w:r>
      <w:r w:rsidR="006D1D77" w:rsidRPr="006D1D77">
        <w:rPr>
          <w:rFonts w:eastAsia="Arial" w:cs="Arial"/>
          <w:i/>
          <w:iCs/>
          <w:kern w:val="0"/>
          <w:szCs w:val="24"/>
          <w:lang w:eastAsia="en-US"/>
        </w:rPr>
        <w:t>la protection du droit à la dignité et à l’égalité de tout être humain et, comme suite logique, la suppression de la discrimination</w:t>
      </w:r>
      <w:r w:rsidR="006D1D77" w:rsidRPr="006D1D77">
        <w:rPr>
          <w:rFonts w:eastAsiaTheme="minorHAnsi" w:cs="Arial"/>
          <w:kern w:val="0"/>
          <w:szCs w:val="24"/>
          <w:vertAlign w:val="superscript"/>
          <w:lang w:eastAsia="en-US"/>
        </w:rPr>
        <w:footnoteReference w:id="197"/>
      </w:r>
      <w:r w:rsidR="006D1D77" w:rsidRPr="006D1D77">
        <w:rPr>
          <w:rFonts w:eastAsia="Arial" w:cs="Arial"/>
          <w:kern w:val="0"/>
          <w:szCs w:val="24"/>
          <w:lang w:eastAsia="en-US"/>
        </w:rPr>
        <w:t>.</w:t>
      </w:r>
    </w:p>
    <w:p w14:paraId="206FCA50" w14:textId="586A22AF" w:rsidR="008324F2" w:rsidRDefault="00CC50A8" w:rsidP="00432B6B">
      <w:pPr>
        <w:pStyle w:val="Paragraphe"/>
        <w:tabs>
          <w:tab w:val="clear" w:pos="2204"/>
          <w:tab w:val="num" w:pos="0"/>
        </w:tabs>
        <w:spacing w:line="240" w:lineRule="auto"/>
        <w:ind w:left="0"/>
        <w:rPr>
          <w:rFonts w:eastAsia="Arial"/>
        </w:rPr>
      </w:pPr>
      <w:r>
        <w:rPr>
          <w:rFonts w:eastAsia="Arial" w:cs="Arial"/>
          <w:kern w:val="0"/>
          <w:szCs w:val="24"/>
          <w:lang w:eastAsia="en-US"/>
        </w:rPr>
        <w:t>Notons toutefois que la Cour d’appel semble opiner, sans toutefois le décider, qu’une personne morale peut soulever l’article 15 si elle respecte les critères que revêt le test de l’intérêt pour agir dans le cadre d’une question justiciable sérieuse</w:t>
      </w:r>
      <w:r>
        <w:rPr>
          <w:rStyle w:val="Appelnotedebasdep"/>
          <w:rFonts w:eastAsia="Arial" w:cs="Arial"/>
          <w:kern w:val="0"/>
          <w:szCs w:val="24"/>
          <w:lang w:eastAsia="en-US"/>
        </w:rPr>
        <w:footnoteReference w:id="198"/>
      </w:r>
      <w:r>
        <w:rPr>
          <w:rFonts w:eastAsia="Arial" w:cs="Arial"/>
          <w:kern w:val="0"/>
          <w:szCs w:val="24"/>
          <w:lang w:eastAsia="en-US"/>
        </w:rPr>
        <w:t>.</w:t>
      </w:r>
      <w:r w:rsidR="00E74B4A" w:rsidRPr="00E74B4A">
        <w:rPr>
          <w:rFonts w:eastAsia="Arial" w:cs="Arial"/>
          <w:kern w:val="0"/>
          <w:szCs w:val="24"/>
          <w:lang w:eastAsia="en-US"/>
        </w:rPr>
        <w:t xml:space="preserve"> </w:t>
      </w:r>
      <w:r w:rsidR="00E74B4A">
        <w:rPr>
          <w:rFonts w:eastAsia="Arial" w:cs="Arial"/>
          <w:kern w:val="0"/>
          <w:szCs w:val="24"/>
          <w:lang w:eastAsia="en-US"/>
        </w:rPr>
        <w:t>Mais l</w:t>
      </w:r>
      <w:r w:rsidR="00203C8E" w:rsidRPr="00E74B4A">
        <w:rPr>
          <w:rFonts w:eastAsia="Arial"/>
        </w:rPr>
        <w:t>e</w:t>
      </w:r>
      <w:r w:rsidR="00203C8E">
        <w:rPr>
          <w:rFonts w:eastAsia="Arial"/>
        </w:rPr>
        <w:t xml:space="preserve"> PGQ affirme que McGill </w:t>
      </w:r>
      <w:r w:rsidR="00203C8E" w:rsidRPr="002B5193">
        <w:rPr>
          <w:rFonts w:eastAsia="Arial"/>
        </w:rPr>
        <w:t>ne peut invoquer le droit à l’égalité des étudiants eux-mêmes sans plaider pour autrui</w:t>
      </w:r>
      <w:r w:rsidR="00203C8E">
        <w:rPr>
          <w:rFonts w:eastAsia="Arial"/>
        </w:rPr>
        <w:t xml:space="preserve">, ce qu’elle ne peut faire sans </w:t>
      </w:r>
      <w:r w:rsidR="00203C8E" w:rsidRPr="002B5193">
        <w:rPr>
          <w:rFonts w:eastAsia="Arial"/>
        </w:rPr>
        <w:t>d’abord se faire reconnaître le droit d’agir dans l’intérêt public</w:t>
      </w:r>
      <w:r w:rsidR="00203C8E" w:rsidRPr="002B5193">
        <w:rPr>
          <w:rStyle w:val="Appelnotedebasdep"/>
          <w:rFonts w:eastAsia="Arial" w:cs="Arial"/>
          <w:szCs w:val="24"/>
        </w:rPr>
        <w:footnoteReference w:id="199"/>
      </w:r>
      <w:r w:rsidR="00203C8E" w:rsidRPr="002B5193">
        <w:rPr>
          <w:rFonts w:eastAsia="Arial"/>
        </w:rPr>
        <w:t>.</w:t>
      </w:r>
      <w:r w:rsidR="00203C8E">
        <w:rPr>
          <w:rFonts w:eastAsia="Arial"/>
        </w:rPr>
        <w:t xml:space="preserve"> </w:t>
      </w:r>
      <w:r w:rsidR="008324F2">
        <w:rPr>
          <w:rFonts w:eastAsia="Arial"/>
        </w:rPr>
        <w:t>Voilà une autre question fondamentale à laquelle un Tribunal ne devrait répondre qu’en devant absolument le faire pour solutionner le litige.</w:t>
      </w:r>
    </w:p>
    <w:p w14:paraId="576B87DD" w14:textId="158107FB" w:rsidR="00A06459" w:rsidRDefault="006417E9" w:rsidP="00432B6B">
      <w:pPr>
        <w:pStyle w:val="Paragraphe"/>
        <w:tabs>
          <w:tab w:val="clear" w:pos="2204"/>
          <w:tab w:val="num" w:pos="0"/>
        </w:tabs>
        <w:spacing w:line="240" w:lineRule="auto"/>
        <w:ind w:left="0"/>
        <w:rPr>
          <w:rFonts w:cs="Arial"/>
        </w:rPr>
      </w:pPr>
      <w:r>
        <w:rPr>
          <w:rFonts w:cs="Arial"/>
        </w:rPr>
        <w:t xml:space="preserve">Troisièmement, </w:t>
      </w:r>
      <w:r w:rsidR="00A06459">
        <w:rPr>
          <w:rFonts w:cs="Arial"/>
        </w:rPr>
        <w:t xml:space="preserve">demeure ouverte la question de savoir si </w:t>
      </w:r>
      <w:r w:rsidR="00D24F79" w:rsidRPr="00A06459">
        <w:rPr>
          <w:rFonts w:cs="Arial"/>
        </w:rPr>
        <w:t xml:space="preserve">la langue constitue un motif analogue à ceux inscrits à </w:t>
      </w:r>
      <w:r w:rsidR="00A06459">
        <w:rPr>
          <w:rFonts w:cs="Arial"/>
        </w:rPr>
        <w:t>l’a</w:t>
      </w:r>
      <w:r w:rsidR="00D24F79" w:rsidRPr="00A06459">
        <w:rPr>
          <w:rFonts w:cs="Arial"/>
        </w:rPr>
        <w:t>rticle</w:t>
      </w:r>
      <w:r w:rsidR="00A06459">
        <w:rPr>
          <w:rFonts w:cs="Arial"/>
        </w:rPr>
        <w:t xml:space="preserve"> 15</w:t>
      </w:r>
      <w:r w:rsidR="00D24F79" w:rsidRPr="00A06459">
        <w:rPr>
          <w:rFonts w:cs="Arial"/>
        </w:rPr>
        <w:t>.</w:t>
      </w:r>
      <w:r w:rsidR="00154CFB" w:rsidRPr="00A06459">
        <w:rPr>
          <w:rFonts w:cs="Arial"/>
        </w:rPr>
        <w:t xml:space="preserve"> Même l’arrêt </w:t>
      </w:r>
      <w:r w:rsidR="00154CFB" w:rsidRPr="00A06459">
        <w:rPr>
          <w:rFonts w:cs="Arial"/>
          <w:i/>
          <w:iCs/>
        </w:rPr>
        <w:t>Gosselin</w:t>
      </w:r>
      <w:r w:rsidR="00154CFB" w:rsidRPr="004C6DE5">
        <w:rPr>
          <w:rStyle w:val="Appelnotedebasdep"/>
          <w:rFonts w:cs="Arial"/>
        </w:rPr>
        <w:footnoteReference w:id="200"/>
      </w:r>
      <w:r w:rsidR="00154CFB" w:rsidRPr="00A06459">
        <w:rPr>
          <w:rFonts w:cs="Arial"/>
        </w:rPr>
        <w:t>, qui en laisse entrevoir la possibilité, ne l</w:t>
      </w:r>
      <w:r w:rsidR="004A5DA0">
        <w:rPr>
          <w:rFonts w:cs="Arial"/>
        </w:rPr>
        <w:t>a</w:t>
      </w:r>
      <w:r w:rsidR="00154CFB" w:rsidRPr="00A06459">
        <w:rPr>
          <w:rFonts w:cs="Arial"/>
        </w:rPr>
        <w:t xml:space="preserve"> tranche pas définitivement</w:t>
      </w:r>
      <w:r w:rsidR="00A06459">
        <w:rPr>
          <w:rFonts w:cs="Arial"/>
        </w:rPr>
        <w:t xml:space="preserve"> alors que la Cour suprême écrit :</w:t>
      </w:r>
    </w:p>
    <w:p w14:paraId="13A29D3A" w14:textId="69496209" w:rsidR="00A06459" w:rsidRPr="00A06459" w:rsidRDefault="00A06459" w:rsidP="00AE7D62">
      <w:pPr>
        <w:pStyle w:val="Citationenretrait"/>
        <w:rPr>
          <w:rFonts w:cs="Arial"/>
          <w:szCs w:val="22"/>
        </w:rPr>
      </w:pPr>
      <w:r>
        <w:rPr>
          <w:szCs w:val="22"/>
        </w:rPr>
        <w:t>[12]</w:t>
      </w:r>
      <w:r w:rsidR="00AE7D62">
        <w:rPr>
          <w:szCs w:val="22"/>
        </w:rPr>
        <w:tab/>
      </w:r>
      <w:r w:rsidRPr="00A06459">
        <w:rPr>
          <w:szCs w:val="22"/>
        </w:rPr>
        <w:t>Le</w:t>
      </w:r>
      <w:r w:rsidR="00AE7D62">
        <w:rPr>
          <w:szCs w:val="22"/>
        </w:rPr>
        <w:t xml:space="preserve"> </w:t>
      </w:r>
      <w:r w:rsidRPr="00AE7D62">
        <w:rPr>
          <w:szCs w:val="22"/>
        </w:rPr>
        <w:t>paragraphe</w:t>
      </w:r>
      <w:r w:rsidR="003D379A">
        <w:rPr>
          <w:szCs w:val="22"/>
        </w:rPr>
        <w:t xml:space="preserve"> </w:t>
      </w:r>
      <w:r w:rsidRPr="00AE7D62">
        <w:rPr>
          <w:szCs w:val="22"/>
        </w:rPr>
        <w:t>15(1)</w:t>
      </w:r>
      <w:r w:rsidR="00AE7D62">
        <w:rPr>
          <w:rStyle w:val="decisia-reflex2-icon"/>
          <w:color w:val="0000FF"/>
          <w:szCs w:val="22"/>
        </w:rPr>
        <w:t xml:space="preserve"> </w:t>
      </w:r>
      <w:r w:rsidRPr="00A06459">
        <w:rPr>
          <w:szCs w:val="22"/>
        </w:rPr>
        <w:t>de la</w:t>
      </w:r>
      <w:r w:rsidR="00AE7D62">
        <w:rPr>
          <w:szCs w:val="22"/>
        </w:rPr>
        <w:t xml:space="preserve"> </w:t>
      </w:r>
      <w:r w:rsidRPr="00AE7D62">
        <w:rPr>
          <w:i/>
          <w:iCs/>
          <w:szCs w:val="22"/>
        </w:rPr>
        <w:t>Charte canadienne</w:t>
      </w:r>
      <w:r w:rsidR="00AE7D62">
        <w:rPr>
          <w:rStyle w:val="decisia-reflex2-icon"/>
          <w:i/>
          <w:iCs/>
          <w:color w:val="0000FF"/>
          <w:szCs w:val="22"/>
        </w:rPr>
        <w:t xml:space="preserve"> </w:t>
      </w:r>
      <w:r w:rsidRPr="00A06459">
        <w:rPr>
          <w:szCs w:val="22"/>
        </w:rPr>
        <w:t>n’énonce pas expressément la langue comme motif de distinction illicite. Cependant, nous souscrivons aux observations suivantes de la Cour d’appel de la Saskatchewan dans l’arrêt</w:t>
      </w:r>
      <w:r w:rsidR="00AE7D62">
        <w:rPr>
          <w:szCs w:val="22"/>
        </w:rPr>
        <w:t xml:space="preserve"> </w:t>
      </w:r>
      <w:r w:rsidRPr="00A06459">
        <w:rPr>
          <w:i/>
          <w:iCs/>
          <w:szCs w:val="22"/>
        </w:rPr>
        <w:t>Reference re Use of French in Criminal Proceedings in Saskatchewan</w:t>
      </w:r>
      <w:r w:rsidR="00AE7D62">
        <w:rPr>
          <w:szCs w:val="22"/>
        </w:rPr>
        <w:t xml:space="preserve"> </w:t>
      </w:r>
      <w:r w:rsidRPr="00A06459">
        <w:rPr>
          <w:szCs w:val="22"/>
        </w:rPr>
        <w:t>(1987), 36 C.C.C. (3d) 353, p.</w:t>
      </w:r>
      <w:r w:rsidR="003D379A">
        <w:rPr>
          <w:szCs w:val="22"/>
        </w:rPr>
        <w:t xml:space="preserve"> </w:t>
      </w:r>
      <w:r w:rsidRPr="00A06459">
        <w:rPr>
          <w:szCs w:val="22"/>
        </w:rPr>
        <w:t>373 :</w:t>
      </w:r>
    </w:p>
    <w:p w14:paraId="7351227F" w14:textId="0D49E162" w:rsidR="00A06459" w:rsidRPr="003D379A" w:rsidRDefault="00A06459" w:rsidP="00AE7D62">
      <w:pPr>
        <w:pStyle w:val="Citationenretrait"/>
        <w:ind w:left="1468"/>
        <w:rPr>
          <w:sz w:val="20"/>
        </w:rPr>
      </w:pPr>
      <w:r w:rsidRPr="003D379A">
        <w:rPr>
          <w:sz w:val="20"/>
        </w:rPr>
        <w:t>[</w:t>
      </w:r>
      <w:r w:rsidRPr="003D379A">
        <w:rPr>
          <w:caps/>
          <w:sz w:val="20"/>
        </w:rPr>
        <w:t>traduction</w:t>
      </w:r>
      <w:r w:rsidRPr="003D379A">
        <w:rPr>
          <w:sz w:val="20"/>
        </w:rPr>
        <w:t>] À notre avis, la présence dans la Charte des dispositions relatives à la langue des art.</w:t>
      </w:r>
      <w:r w:rsidR="003D379A">
        <w:rPr>
          <w:sz w:val="20"/>
        </w:rPr>
        <w:t xml:space="preserve"> </w:t>
      </w:r>
      <w:r w:rsidRPr="003D379A">
        <w:rPr>
          <w:sz w:val="20"/>
        </w:rPr>
        <w:t>16 à 20, ou la suppression du mot ‘langue’ dans une version antérieure du par.</w:t>
      </w:r>
      <w:r w:rsidR="003D379A">
        <w:rPr>
          <w:sz w:val="20"/>
        </w:rPr>
        <w:t xml:space="preserve"> </w:t>
      </w:r>
      <w:r w:rsidRPr="003D379A">
        <w:rPr>
          <w:sz w:val="20"/>
        </w:rPr>
        <w:t>15(1), n’ont pas non plus nécessairement pour effet d’exclure de la portée de l’art. 15 la forme de distinction en cause.</w:t>
      </w:r>
    </w:p>
    <w:p w14:paraId="0192E535" w14:textId="440FFC87" w:rsidR="00A06459" w:rsidRPr="003D379A" w:rsidRDefault="00A06459" w:rsidP="00AE7D62">
      <w:pPr>
        <w:pStyle w:val="Citationenretrait"/>
        <w:ind w:left="1468"/>
        <w:rPr>
          <w:sz w:val="20"/>
        </w:rPr>
      </w:pPr>
      <w:r w:rsidRPr="003D379A">
        <w:rPr>
          <w:sz w:val="20"/>
        </w:rPr>
        <w:t>Dans</w:t>
      </w:r>
      <w:r w:rsidR="00AE7D62" w:rsidRPr="003D379A">
        <w:rPr>
          <w:sz w:val="20"/>
        </w:rPr>
        <w:t xml:space="preserve"> </w:t>
      </w:r>
      <w:r w:rsidRPr="003D379A">
        <w:rPr>
          <w:i/>
          <w:iCs/>
          <w:sz w:val="20"/>
        </w:rPr>
        <w:t>Québec (Procureure générale)</w:t>
      </w:r>
      <w:r w:rsidR="00AE7D62" w:rsidRPr="003D379A">
        <w:rPr>
          <w:sz w:val="20"/>
        </w:rPr>
        <w:t xml:space="preserve"> </w:t>
      </w:r>
      <w:r w:rsidRPr="003D379A">
        <w:rPr>
          <w:i/>
          <w:iCs/>
          <w:sz w:val="20"/>
        </w:rPr>
        <w:t>c. Entreprises W.F.H. Ltée</w:t>
      </w:r>
      <w:r w:rsidRPr="003D379A">
        <w:rPr>
          <w:sz w:val="20"/>
        </w:rPr>
        <w:t>, [2000] R.J.Q. 1222, p.</w:t>
      </w:r>
      <w:r w:rsidR="003D379A" w:rsidRPr="003D379A">
        <w:rPr>
          <w:sz w:val="20"/>
        </w:rPr>
        <w:t xml:space="preserve"> </w:t>
      </w:r>
      <w:r w:rsidRPr="003D379A">
        <w:rPr>
          <w:sz w:val="20"/>
        </w:rPr>
        <w:t>1250, la Cour supérieure du Québec a conclu que la « langu[e]</w:t>
      </w:r>
      <w:r w:rsidR="00AE7D62" w:rsidRPr="003D379A">
        <w:rPr>
          <w:sz w:val="20"/>
        </w:rPr>
        <w:t xml:space="preserve"> </w:t>
      </w:r>
      <w:r w:rsidRPr="003D379A">
        <w:rPr>
          <w:sz w:val="20"/>
          <w:u w:val="single"/>
        </w:rPr>
        <w:t>maternell[e]</w:t>
      </w:r>
      <w:r w:rsidRPr="003D379A">
        <w:rPr>
          <w:sz w:val="20"/>
        </w:rPr>
        <w:t> » était un motif de distinction analogue.</w:t>
      </w:r>
      <w:r w:rsidR="00AE7D62" w:rsidRPr="003D379A">
        <w:rPr>
          <w:sz w:val="20"/>
        </w:rPr>
        <w:t xml:space="preserve"> </w:t>
      </w:r>
      <w:r w:rsidRPr="003D379A">
        <w:rPr>
          <w:sz w:val="20"/>
        </w:rPr>
        <w:t>Il n’est pas nécessaire de pousser plus loin l’analyse de ce point en l’espèce, parce que la question principale n’est pas le</w:t>
      </w:r>
      <w:r w:rsidR="00AE7D62" w:rsidRPr="003D379A">
        <w:rPr>
          <w:sz w:val="20"/>
        </w:rPr>
        <w:t xml:space="preserve"> </w:t>
      </w:r>
      <w:r w:rsidRPr="003D379A">
        <w:rPr>
          <w:sz w:val="20"/>
          <w:u w:val="single"/>
        </w:rPr>
        <w:t>contenu</w:t>
      </w:r>
      <w:r w:rsidR="00AE7D62" w:rsidRPr="003D379A">
        <w:rPr>
          <w:sz w:val="20"/>
        </w:rPr>
        <w:t xml:space="preserve"> </w:t>
      </w:r>
      <w:r w:rsidRPr="003D379A">
        <w:rPr>
          <w:sz w:val="20"/>
        </w:rPr>
        <w:t>des droits à l’égalité garantis par la</w:t>
      </w:r>
      <w:r w:rsidR="00AE7D62" w:rsidRPr="003D379A">
        <w:rPr>
          <w:sz w:val="20"/>
        </w:rPr>
        <w:t xml:space="preserve"> </w:t>
      </w:r>
      <w:r w:rsidRPr="003D379A">
        <w:rPr>
          <w:i/>
          <w:iCs/>
          <w:sz w:val="20"/>
        </w:rPr>
        <w:t>Charte canadienne</w:t>
      </w:r>
      <w:r w:rsidRPr="003D379A">
        <w:rPr>
          <w:sz w:val="20"/>
        </w:rPr>
        <w:t>. Toutefois, à supposer que les appelants puissent soutenir que le</w:t>
      </w:r>
      <w:r w:rsidR="00AE7D62" w:rsidRPr="003D379A">
        <w:rPr>
          <w:sz w:val="20"/>
        </w:rPr>
        <w:t xml:space="preserve"> </w:t>
      </w:r>
      <w:r w:rsidRPr="003D379A">
        <w:rPr>
          <w:sz w:val="20"/>
        </w:rPr>
        <w:t>par.</w:t>
      </w:r>
      <w:r w:rsidR="003D379A" w:rsidRPr="003D379A">
        <w:rPr>
          <w:sz w:val="20"/>
        </w:rPr>
        <w:t xml:space="preserve"> </w:t>
      </w:r>
      <w:r w:rsidRPr="003D379A">
        <w:rPr>
          <w:sz w:val="20"/>
        </w:rPr>
        <w:t>15(1)</w:t>
      </w:r>
      <w:r w:rsidR="00AE7D62" w:rsidRPr="003D379A">
        <w:rPr>
          <w:rStyle w:val="decisia-reflex2-icon"/>
          <w:color w:val="0000FF"/>
          <w:sz w:val="20"/>
        </w:rPr>
        <w:t xml:space="preserve"> </w:t>
      </w:r>
      <w:r w:rsidRPr="003D379A">
        <w:rPr>
          <w:sz w:val="20"/>
        </w:rPr>
        <w:t>de la</w:t>
      </w:r>
      <w:r w:rsidR="00AE7D62" w:rsidRPr="003D379A">
        <w:rPr>
          <w:sz w:val="20"/>
        </w:rPr>
        <w:t xml:space="preserve"> </w:t>
      </w:r>
      <w:r w:rsidRPr="003D379A">
        <w:rPr>
          <w:i/>
          <w:iCs/>
          <w:sz w:val="20"/>
        </w:rPr>
        <w:t>Charte canadienne</w:t>
      </w:r>
      <w:r w:rsidR="00AE7D62" w:rsidRPr="003D379A">
        <w:rPr>
          <w:rStyle w:val="decisia-reflex2-icon"/>
          <w:i/>
          <w:iCs/>
          <w:color w:val="0000FF"/>
          <w:sz w:val="20"/>
        </w:rPr>
        <w:t xml:space="preserve"> </w:t>
      </w:r>
      <w:r w:rsidRPr="003D379A">
        <w:rPr>
          <w:sz w:val="20"/>
        </w:rPr>
        <w:t>s’applique à eux, la question au cœur du présent pourvoi est le</w:t>
      </w:r>
      <w:r w:rsidR="00AE7D62" w:rsidRPr="003D379A">
        <w:rPr>
          <w:sz w:val="20"/>
        </w:rPr>
        <w:t xml:space="preserve"> </w:t>
      </w:r>
      <w:r w:rsidRPr="003D379A">
        <w:rPr>
          <w:sz w:val="20"/>
          <w:u w:val="single"/>
        </w:rPr>
        <w:t>rapport</w:t>
      </w:r>
      <w:r w:rsidR="00AE7D62" w:rsidRPr="003D379A">
        <w:rPr>
          <w:sz w:val="20"/>
        </w:rPr>
        <w:t xml:space="preserve"> </w:t>
      </w:r>
      <w:r w:rsidRPr="003D379A">
        <w:rPr>
          <w:sz w:val="20"/>
        </w:rPr>
        <w:t>entre les droits à l’égalité que garantissent tant la</w:t>
      </w:r>
      <w:r w:rsidR="00AE7D62" w:rsidRPr="003D379A">
        <w:rPr>
          <w:sz w:val="20"/>
        </w:rPr>
        <w:t xml:space="preserve"> </w:t>
      </w:r>
      <w:r w:rsidRPr="003D379A">
        <w:rPr>
          <w:i/>
          <w:iCs/>
          <w:sz w:val="20"/>
        </w:rPr>
        <w:t>Charte canadienne</w:t>
      </w:r>
      <w:r w:rsidR="00AE7D62" w:rsidRPr="003D379A">
        <w:rPr>
          <w:rStyle w:val="decisia-reflex2-icon"/>
          <w:i/>
          <w:iCs/>
          <w:color w:val="0000FF"/>
          <w:sz w:val="20"/>
        </w:rPr>
        <w:t xml:space="preserve"> </w:t>
      </w:r>
      <w:r w:rsidRPr="003D379A">
        <w:rPr>
          <w:sz w:val="20"/>
        </w:rPr>
        <w:t>que la</w:t>
      </w:r>
      <w:r w:rsidR="00AE7D62" w:rsidRPr="003D379A">
        <w:rPr>
          <w:sz w:val="20"/>
        </w:rPr>
        <w:t xml:space="preserve"> </w:t>
      </w:r>
      <w:r w:rsidRPr="003D379A">
        <w:rPr>
          <w:i/>
          <w:iCs/>
          <w:sz w:val="20"/>
        </w:rPr>
        <w:t>Charte</w:t>
      </w:r>
      <w:r w:rsidR="00AE7D62" w:rsidRPr="003D379A">
        <w:rPr>
          <w:sz w:val="20"/>
        </w:rPr>
        <w:t xml:space="preserve"> </w:t>
      </w:r>
      <w:r w:rsidRPr="003D379A">
        <w:rPr>
          <w:sz w:val="20"/>
        </w:rPr>
        <w:t>québécoise et les garanties positives concernant la langue qui sont accordées aux minorités par la Constitution du Canada et la</w:t>
      </w:r>
      <w:r w:rsidR="00AE7D62" w:rsidRPr="003D379A">
        <w:rPr>
          <w:sz w:val="20"/>
        </w:rPr>
        <w:t xml:space="preserve"> </w:t>
      </w:r>
      <w:r w:rsidRPr="003D379A">
        <w:rPr>
          <w:i/>
          <w:iCs/>
          <w:sz w:val="20"/>
        </w:rPr>
        <w:t>Charte de la langue française</w:t>
      </w:r>
      <w:r w:rsidRPr="003D379A">
        <w:rPr>
          <w:sz w:val="20"/>
        </w:rPr>
        <w:t>.</w:t>
      </w:r>
    </w:p>
    <w:p w14:paraId="229DA2BE" w14:textId="42AE4954" w:rsidR="00D56C0F" w:rsidRPr="000F29E1" w:rsidRDefault="00D56C0F" w:rsidP="00E8442C">
      <w:pPr>
        <w:pStyle w:val="Paragraphe"/>
        <w:tabs>
          <w:tab w:val="clear" w:pos="2204"/>
        </w:tabs>
        <w:spacing w:line="240" w:lineRule="auto"/>
        <w:ind w:left="0"/>
        <w:rPr>
          <w:rFonts w:cs="Arial"/>
        </w:rPr>
      </w:pPr>
      <w:r w:rsidRPr="000F29E1">
        <w:rPr>
          <w:rFonts w:cs="Arial"/>
        </w:rPr>
        <w:t xml:space="preserve">Si la porte semble </w:t>
      </w:r>
      <w:r w:rsidR="00695538" w:rsidRPr="000F29E1">
        <w:rPr>
          <w:rFonts w:cs="Arial"/>
        </w:rPr>
        <w:t>entr’</w:t>
      </w:r>
      <w:r w:rsidRPr="000F29E1">
        <w:rPr>
          <w:rFonts w:cs="Arial"/>
        </w:rPr>
        <w:t>ouverte,</w:t>
      </w:r>
      <w:r w:rsidR="002C23FB" w:rsidRPr="000F29E1">
        <w:rPr>
          <w:rFonts w:cs="Arial"/>
        </w:rPr>
        <w:t xml:space="preserve"> surtout d’une perspective doctrinale</w:t>
      </w:r>
      <w:r w:rsidR="002C23FB" w:rsidRPr="000F29E1">
        <w:rPr>
          <w:rStyle w:val="Appelnotedebasdep"/>
          <w:rFonts w:cs="Arial"/>
        </w:rPr>
        <w:footnoteReference w:id="201"/>
      </w:r>
      <w:r w:rsidR="002C23FB" w:rsidRPr="000F29E1">
        <w:rPr>
          <w:rFonts w:cs="Arial"/>
        </w:rPr>
        <w:t>,</w:t>
      </w:r>
      <w:r w:rsidRPr="000F29E1">
        <w:rPr>
          <w:rFonts w:cs="Arial"/>
        </w:rPr>
        <w:t xml:space="preserve"> elle ne l’est peut-être pas autant que le plaide McGill</w:t>
      </w:r>
      <w:r w:rsidR="002C23FB" w:rsidRPr="000F29E1">
        <w:rPr>
          <w:rFonts w:cs="Arial"/>
        </w:rPr>
        <w:t xml:space="preserve"> dans le contexte </w:t>
      </w:r>
      <w:r w:rsidR="004042B9" w:rsidRPr="000F29E1">
        <w:rPr>
          <w:rFonts w:cs="Arial"/>
        </w:rPr>
        <w:t xml:space="preserve">factuel </w:t>
      </w:r>
      <w:r w:rsidR="002C23FB" w:rsidRPr="000F29E1">
        <w:rPr>
          <w:rFonts w:cs="Arial"/>
        </w:rPr>
        <w:t>du présent dossier</w:t>
      </w:r>
      <w:r w:rsidRPr="000F29E1">
        <w:rPr>
          <w:rFonts w:cs="Arial"/>
        </w:rPr>
        <w:t>.</w:t>
      </w:r>
      <w:r w:rsidR="006417E9" w:rsidRPr="000F29E1">
        <w:rPr>
          <w:rFonts w:cs="Arial"/>
        </w:rPr>
        <w:t xml:space="preserve"> Ici encore, aucune cour de justice au Canada n’a tranché cette importante question et, pour les motifs exposés plus haut, il ne convient pas d’y répondre dans le présent jugement puisque le</w:t>
      </w:r>
      <w:r w:rsidR="004A5DA0" w:rsidRPr="000F29E1">
        <w:rPr>
          <w:rFonts w:cs="Arial"/>
        </w:rPr>
        <w:t xml:space="preserve">s </w:t>
      </w:r>
      <w:r w:rsidR="00851332" w:rsidRPr="000F29E1">
        <w:rPr>
          <w:rFonts w:cs="Arial"/>
        </w:rPr>
        <w:t>P</w:t>
      </w:r>
      <w:r w:rsidR="004A5DA0" w:rsidRPr="000F29E1">
        <w:rPr>
          <w:rFonts w:cs="Arial"/>
        </w:rPr>
        <w:t xml:space="preserve">ourvois </w:t>
      </w:r>
      <w:r w:rsidR="006417E9" w:rsidRPr="000F29E1">
        <w:rPr>
          <w:rFonts w:cs="Arial"/>
        </w:rPr>
        <w:t>se réso</w:t>
      </w:r>
      <w:r w:rsidR="004A5DA0" w:rsidRPr="000F29E1">
        <w:rPr>
          <w:rFonts w:cs="Arial"/>
        </w:rPr>
        <w:t>lven</w:t>
      </w:r>
      <w:r w:rsidR="006417E9" w:rsidRPr="000F29E1">
        <w:rPr>
          <w:rFonts w:cs="Arial"/>
        </w:rPr>
        <w:t>t sur des principes de droit administratif fondamentaux</w:t>
      </w:r>
      <w:r w:rsidR="000F29E1" w:rsidRPr="000F29E1">
        <w:rPr>
          <w:rFonts w:cs="Arial"/>
        </w:rPr>
        <w:t xml:space="preserve"> en ce qui concerne les étudiants CNRQ et la Règle d’acquisition de compétences en français</w:t>
      </w:r>
      <w:r w:rsidR="006417E9" w:rsidRPr="000F29E1">
        <w:rPr>
          <w:rFonts w:cs="Arial"/>
        </w:rPr>
        <w:t>.</w:t>
      </w:r>
    </w:p>
    <w:p w14:paraId="6D6AC1C5" w14:textId="713EE105" w:rsidR="00206FBE" w:rsidRPr="00A06459" w:rsidRDefault="00695538" w:rsidP="00E8442C">
      <w:pPr>
        <w:pStyle w:val="Paragraphe"/>
        <w:tabs>
          <w:tab w:val="clear" w:pos="2204"/>
        </w:tabs>
        <w:spacing w:line="240" w:lineRule="auto"/>
        <w:ind w:left="0"/>
        <w:rPr>
          <w:rFonts w:cs="Arial"/>
        </w:rPr>
      </w:pPr>
      <w:r>
        <w:rPr>
          <w:rFonts w:cs="Arial"/>
        </w:rPr>
        <w:t>Quatr</w:t>
      </w:r>
      <w:r w:rsidR="00951F8A">
        <w:rPr>
          <w:rFonts w:cs="Arial"/>
        </w:rPr>
        <w:t xml:space="preserve">ièmement, </w:t>
      </w:r>
      <w:r w:rsidR="00D56C0F">
        <w:rPr>
          <w:rFonts w:cs="Arial"/>
        </w:rPr>
        <w:t>les parties ne soumettent aucune autorité à l’effet q</w:t>
      </w:r>
      <w:r w:rsidR="002E375C" w:rsidRPr="00A06459">
        <w:rPr>
          <w:rFonts w:cs="Arial"/>
        </w:rPr>
        <w:t xml:space="preserve">ue la langue, à titre de motif analogue à l’article 15, pourrait être invoqué même dans </w:t>
      </w:r>
      <w:r w:rsidR="00206FBE" w:rsidRPr="00A06459">
        <w:rPr>
          <w:rFonts w:cs="Arial"/>
        </w:rPr>
        <w:t xml:space="preserve">un contexte d’enseignement, matière dont l’article 23 de la </w:t>
      </w:r>
      <w:r w:rsidR="00206FBE" w:rsidRPr="00A06459">
        <w:rPr>
          <w:rFonts w:cs="Arial"/>
          <w:i/>
          <w:iCs/>
        </w:rPr>
        <w:t>Charte canadienne</w:t>
      </w:r>
      <w:r w:rsidR="00206FBE" w:rsidRPr="00A06459">
        <w:rPr>
          <w:rFonts w:cs="Arial"/>
        </w:rPr>
        <w:t xml:space="preserve"> prévoit p</w:t>
      </w:r>
      <w:r w:rsidR="002E375C" w:rsidRPr="00A06459">
        <w:rPr>
          <w:rFonts w:cs="Arial"/>
        </w:rPr>
        <w:t xml:space="preserve">ourtant déjà </w:t>
      </w:r>
      <w:r w:rsidR="00206FBE" w:rsidRPr="00A06459">
        <w:rPr>
          <w:rFonts w:cs="Arial"/>
        </w:rPr>
        <w:t xml:space="preserve">les droits des minorités linguistiques </w:t>
      </w:r>
      <w:r w:rsidR="002E375C" w:rsidRPr="00A06459">
        <w:rPr>
          <w:rFonts w:cs="Arial"/>
        </w:rPr>
        <w:t>à la suite d</w:t>
      </w:r>
      <w:r w:rsidR="00206FBE" w:rsidRPr="00A06459">
        <w:rPr>
          <w:rFonts w:cs="Arial"/>
        </w:rPr>
        <w:t>’</w:t>
      </w:r>
      <w:r w:rsidR="002E375C" w:rsidRPr="00A06459">
        <w:rPr>
          <w:rFonts w:cs="Arial"/>
        </w:rPr>
        <w:t>u</w:t>
      </w:r>
      <w:r w:rsidR="00206FBE" w:rsidRPr="00A06459">
        <w:rPr>
          <w:rFonts w:cs="Arial"/>
        </w:rPr>
        <w:t>n</w:t>
      </w:r>
      <w:r w:rsidR="002E375C" w:rsidRPr="00A06459">
        <w:rPr>
          <w:rFonts w:cs="Arial"/>
        </w:rPr>
        <w:t xml:space="preserve"> compromis constitutionnel</w:t>
      </w:r>
      <w:r w:rsidR="00154CFB" w:rsidRPr="00A06459">
        <w:rPr>
          <w:rFonts w:cs="Arial"/>
        </w:rPr>
        <w:t>.</w:t>
      </w:r>
      <w:r w:rsidR="00206FBE" w:rsidRPr="00A06459">
        <w:rPr>
          <w:rFonts w:cs="Arial"/>
        </w:rPr>
        <w:t xml:space="preserve"> La protection que réclame McGill sous l’angle de </w:t>
      </w:r>
      <w:r w:rsidR="005763FA">
        <w:rPr>
          <w:rFonts w:cs="Arial"/>
        </w:rPr>
        <w:t xml:space="preserve">l’article </w:t>
      </w:r>
      <w:r w:rsidR="00206FBE" w:rsidRPr="00A06459">
        <w:rPr>
          <w:rFonts w:cs="Arial"/>
        </w:rPr>
        <w:t>15 reviendrait-elle à rouvrir le compromis atteint à l’article 23</w:t>
      </w:r>
      <w:r>
        <w:rPr>
          <w:rStyle w:val="Appelnotedebasdep"/>
          <w:rFonts w:cs="Arial"/>
        </w:rPr>
        <w:footnoteReference w:id="202"/>
      </w:r>
      <w:r w:rsidR="00D12085" w:rsidRPr="00A06459">
        <w:rPr>
          <w:rFonts w:cs="Arial"/>
        </w:rPr>
        <w:t xml:space="preserve"> en l’étendant jusqu’au niveau universitaire</w:t>
      </w:r>
      <w:r w:rsidR="00206FBE" w:rsidRPr="00A06459">
        <w:rPr>
          <w:rFonts w:cs="Arial"/>
        </w:rPr>
        <w:t xml:space="preserve">? </w:t>
      </w:r>
      <w:r w:rsidR="00D77937">
        <w:rPr>
          <w:rFonts w:cs="Arial"/>
        </w:rPr>
        <w:t>L’article 23 constitue une mesure réparatrice dans le domaine de l’éducation</w:t>
      </w:r>
      <w:r w:rsidR="00D77937">
        <w:rPr>
          <w:rStyle w:val="Appelnotedebasdep"/>
          <w:rFonts w:cs="Arial"/>
        </w:rPr>
        <w:footnoteReference w:id="203"/>
      </w:r>
      <w:r w:rsidR="00D77937">
        <w:rPr>
          <w:rFonts w:cs="Arial"/>
        </w:rPr>
        <w:t xml:space="preserve">. </w:t>
      </w:r>
      <w:r w:rsidR="00206FBE" w:rsidRPr="00A06459">
        <w:rPr>
          <w:rFonts w:cs="Arial"/>
        </w:rPr>
        <w:t>N’y aurait-il pas lieu d’envisager le débat également sous cet angle avant d’en décider?</w:t>
      </w:r>
    </w:p>
    <w:p w14:paraId="469DE026" w14:textId="433D6A3F" w:rsidR="008E49E5" w:rsidRDefault="004543D5" w:rsidP="00E8442C">
      <w:pPr>
        <w:pStyle w:val="Paragraphe"/>
        <w:tabs>
          <w:tab w:val="clear" w:pos="2204"/>
        </w:tabs>
        <w:spacing w:line="240" w:lineRule="auto"/>
        <w:ind w:left="0"/>
        <w:rPr>
          <w:rFonts w:cs="Arial"/>
        </w:rPr>
      </w:pPr>
      <w:r>
        <w:rPr>
          <w:rFonts w:cs="Arial"/>
        </w:rPr>
        <w:t>Cinqu</w:t>
      </w:r>
      <w:r w:rsidR="00951F8A">
        <w:rPr>
          <w:rFonts w:cs="Arial"/>
        </w:rPr>
        <w:t xml:space="preserve">ièmement, </w:t>
      </w:r>
      <w:r w:rsidR="008E49E5">
        <w:rPr>
          <w:rFonts w:cs="Arial"/>
        </w:rPr>
        <w:t xml:space="preserve">McGill </w:t>
      </w:r>
      <w:r w:rsidR="00951F8A">
        <w:rPr>
          <w:rFonts w:cs="Arial"/>
        </w:rPr>
        <w:t xml:space="preserve">se heurte à une difficulté en ce qui concerne </w:t>
      </w:r>
      <w:r w:rsidR="008E49E5">
        <w:rPr>
          <w:rFonts w:cs="Arial"/>
        </w:rPr>
        <w:t xml:space="preserve">l’article 10 de la </w:t>
      </w:r>
      <w:r w:rsidR="008E49E5" w:rsidRPr="008E49E5">
        <w:rPr>
          <w:rFonts w:cs="Arial"/>
          <w:i/>
          <w:iCs/>
        </w:rPr>
        <w:t xml:space="preserve">Charte </w:t>
      </w:r>
      <w:r w:rsidR="008E49E5">
        <w:rPr>
          <w:rFonts w:cs="Arial"/>
          <w:i/>
          <w:iCs/>
        </w:rPr>
        <w:t>des droits et libertés de la personne</w:t>
      </w:r>
      <w:r w:rsidR="008E49E5">
        <w:rPr>
          <w:rFonts w:cs="Arial"/>
        </w:rPr>
        <w:t xml:space="preserve"> </w:t>
      </w:r>
      <w:r w:rsidR="004A5DA0">
        <w:rPr>
          <w:rFonts w:cs="Arial"/>
        </w:rPr>
        <w:t>qui prévoit :</w:t>
      </w:r>
    </w:p>
    <w:p w14:paraId="1D853631" w14:textId="3C5ED21C" w:rsidR="008E49E5" w:rsidRPr="008E49E5" w:rsidRDefault="008E49E5" w:rsidP="00B07160">
      <w:pPr>
        <w:pStyle w:val="Citationenretrait"/>
        <w:rPr>
          <w:lang w:eastAsia="fr-CA"/>
        </w:rPr>
      </w:pPr>
      <w:r w:rsidRPr="008E49E5">
        <w:rPr>
          <w:lang w:eastAsia="fr-CA"/>
        </w:rPr>
        <w:t xml:space="preserve">10. Toute personne a droit à la reconnaissance et à l’exercice, en pleine égalité, des droits et libertés de la personne, sans distinction, exclusion ou préférence fondée sur la race, la couleur, le sexe, l’identité ou l’expression de genre, la grossesse, l’orientation sexuelle, l’état civil, l’âge sauf dans la mesure prévue par la loi, la religion, les convictions politiques, </w:t>
      </w:r>
      <w:r w:rsidRPr="008E49E5">
        <w:rPr>
          <w:u w:val="single"/>
          <w:lang w:eastAsia="fr-CA"/>
        </w:rPr>
        <w:t>la langue</w:t>
      </w:r>
      <w:r w:rsidRPr="008E49E5">
        <w:rPr>
          <w:lang w:eastAsia="fr-CA"/>
        </w:rPr>
        <w:t>, l’origine ethnique ou nationale, la condition sociale, le handicap ou l’utilisation d’un moyen pour pallier ce handicap.</w:t>
      </w:r>
    </w:p>
    <w:p w14:paraId="1A7CB86B" w14:textId="77777777" w:rsidR="008E49E5" w:rsidRPr="008E49E5" w:rsidRDefault="008E49E5" w:rsidP="00B07160">
      <w:pPr>
        <w:pStyle w:val="Citationenretrait"/>
        <w:rPr>
          <w:lang w:eastAsia="fr-CA"/>
        </w:rPr>
      </w:pPr>
      <w:r w:rsidRPr="008E49E5">
        <w:rPr>
          <w:lang w:eastAsia="fr-CA"/>
        </w:rPr>
        <w:t>Il y a discrimination lorsqu’une telle distinction, exclusion ou préférence a pour effet de détruire ou de compromettre ce droit.</w:t>
      </w:r>
    </w:p>
    <w:p w14:paraId="718624FF" w14:textId="5C618586" w:rsidR="008E49E5" w:rsidRDefault="008E49E5" w:rsidP="00E8442C">
      <w:pPr>
        <w:pStyle w:val="Paragraphe"/>
        <w:tabs>
          <w:tab w:val="clear" w:pos="2204"/>
        </w:tabs>
        <w:spacing w:line="240" w:lineRule="auto"/>
        <w:ind w:left="0"/>
        <w:rPr>
          <w:rFonts w:cs="Arial"/>
        </w:rPr>
      </w:pPr>
      <w:r>
        <w:rPr>
          <w:rFonts w:cs="Arial"/>
        </w:rPr>
        <w:t xml:space="preserve">Cette disposition </w:t>
      </w:r>
      <w:r w:rsidR="004A5DA0">
        <w:rPr>
          <w:rFonts w:cs="Arial"/>
        </w:rPr>
        <w:t xml:space="preserve">indique </w:t>
      </w:r>
      <w:r>
        <w:rPr>
          <w:rFonts w:cs="Arial"/>
        </w:rPr>
        <w:t xml:space="preserve">la langue comme motif prohibé de discrimination. Mais l’article 10 n’a aucune partition solo. Non autonome, </w:t>
      </w:r>
      <w:r w:rsidR="00206FBE">
        <w:rPr>
          <w:rFonts w:cs="Arial"/>
        </w:rPr>
        <w:t xml:space="preserve">on </w:t>
      </w:r>
      <w:r>
        <w:rPr>
          <w:rFonts w:cs="Arial"/>
        </w:rPr>
        <w:t xml:space="preserve">doit </w:t>
      </w:r>
      <w:r w:rsidR="00206FBE">
        <w:rPr>
          <w:rFonts w:cs="Arial"/>
        </w:rPr>
        <w:t>l</w:t>
      </w:r>
      <w:r>
        <w:rPr>
          <w:rFonts w:cs="Arial"/>
        </w:rPr>
        <w:t>e combiner à une autre protection relative aux droits de la personne</w:t>
      </w:r>
      <w:r w:rsidR="00206FBE">
        <w:rPr>
          <w:rFonts w:cs="Arial"/>
        </w:rPr>
        <w:t xml:space="preserve"> pour établir une cause de discrimination</w:t>
      </w:r>
      <w:r>
        <w:rPr>
          <w:rFonts w:cs="Arial"/>
        </w:rPr>
        <w:t>.</w:t>
      </w:r>
    </w:p>
    <w:p w14:paraId="68B2B0BF" w14:textId="00428D7D" w:rsidR="008E49E5" w:rsidRDefault="008E49E5" w:rsidP="00E8442C">
      <w:pPr>
        <w:pStyle w:val="Paragraphe"/>
        <w:tabs>
          <w:tab w:val="clear" w:pos="2204"/>
        </w:tabs>
        <w:spacing w:line="240" w:lineRule="auto"/>
        <w:ind w:left="0"/>
        <w:rPr>
          <w:rFonts w:cs="Arial"/>
        </w:rPr>
      </w:pPr>
      <w:r>
        <w:rPr>
          <w:rFonts w:cs="Arial"/>
        </w:rPr>
        <w:t xml:space="preserve">McGill utilise l’article 4 de la </w:t>
      </w:r>
      <w:r w:rsidRPr="008E49E5">
        <w:rPr>
          <w:rFonts w:cs="Arial"/>
          <w:i/>
          <w:iCs/>
        </w:rPr>
        <w:t>Charte</w:t>
      </w:r>
      <w:r w:rsidR="00AC444A">
        <w:rPr>
          <w:rFonts w:cs="Arial"/>
          <w:i/>
          <w:iCs/>
        </w:rPr>
        <w:t xml:space="preserve"> </w:t>
      </w:r>
      <w:r w:rsidR="00AC444A" w:rsidRPr="00187EDF">
        <w:rPr>
          <w:rFonts w:cs="Arial"/>
          <w:i/>
          <w:iCs/>
        </w:rPr>
        <w:t>québécoise</w:t>
      </w:r>
      <w:r>
        <w:rPr>
          <w:rFonts w:cs="Arial"/>
        </w:rPr>
        <w:t>, qui prévoit que :</w:t>
      </w:r>
    </w:p>
    <w:p w14:paraId="05BA0BF9" w14:textId="4066554A" w:rsidR="008E49E5" w:rsidRPr="008E49E5" w:rsidRDefault="00181928" w:rsidP="00F401E4">
      <w:pPr>
        <w:pStyle w:val="Citationenretrait"/>
        <w:rPr>
          <w:lang w:eastAsia="fr-CA"/>
        </w:rPr>
      </w:pPr>
      <w:r>
        <w:rPr>
          <w:lang w:eastAsia="fr-CA"/>
        </w:rPr>
        <w:t xml:space="preserve">4. </w:t>
      </w:r>
      <w:r w:rsidR="008E49E5" w:rsidRPr="008E49E5">
        <w:rPr>
          <w:lang w:eastAsia="fr-CA"/>
        </w:rPr>
        <w:t>Toute personne a droit à la sauvegarde de sa dignité, de son honneur et de sa réputation.</w:t>
      </w:r>
    </w:p>
    <w:p w14:paraId="2E7ABBED" w14:textId="47C2D0F3" w:rsidR="008E49E5" w:rsidRDefault="00206FBE" w:rsidP="00E8442C">
      <w:pPr>
        <w:pStyle w:val="Paragraphe"/>
        <w:tabs>
          <w:tab w:val="clear" w:pos="2204"/>
        </w:tabs>
        <w:spacing w:line="240" w:lineRule="auto"/>
        <w:ind w:left="0"/>
        <w:rPr>
          <w:rFonts w:cs="Arial"/>
        </w:rPr>
      </w:pPr>
      <w:r>
        <w:rPr>
          <w:rFonts w:cs="Arial"/>
        </w:rPr>
        <w:t>McGill</w:t>
      </w:r>
      <w:r w:rsidR="008E49E5">
        <w:rPr>
          <w:rFonts w:cs="Arial"/>
        </w:rPr>
        <w:t xml:space="preserve"> estime que les modifications aux Règles budgétaires portent atteinte à sa réputation, tant sur le plan national qu’international.</w:t>
      </w:r>
      <w:r w:rsidR="00E81791">
        <w:rPr>
          <w:rFonts w:cs="Arial"/>
        </w:rPr>
        <w:t xml:space="preserve"> Elle dépose en preuve divers documents qui montrent la décote décrétée par les grandes institutions de cotation financière, dont elle subit les conséquences</w:t>
      </w:r>
      <w:r>
        <w:rPr>
          <w:rFonts w:cs="Arial"/>
        </w:rPr>
        <w:t xml:space="preserve"> au nombre desquelles sa capacité d’emprunt</w:t>
      </w:r>
      <w:r w:rsidR="00E81791">
        <w:rPr>
          <w:rFonts w:cs="Arial"/>
        </w:rPr>
        <w:t>.</w:t>
      </w:r>
    </w:p>
    <w:p w14:paraId="0E4C299F" w14:textId="0EB752EC" w:rsidR="00E74B4A" w:rsidRPr="00E74B4A" w:rsidRDefault="00D26B26" w:rsidP="00E8442C">
      <w:pPr>
        <w:pStyle w:val="Paragraphe"/>
        <w:tabs>
          <w:tab w:val="clear" w:pos="2204"/>
        </w:tabs>
        <w:spacing w:line="240" w:lineRule="auto"/>
        <w:ind w:left="0"/>
        <w:rPr>
          <w:rFonts w:cs="Arial"/>
        </w:rPr>
      </w:pPr>
      <w:r w:rsidRPr="00C25A99">
        <w:rPr>
          <w:rFonts w:cs="Arial"/>
        </w:rPr>
        <w:t xml:space="preserve">Il apparaît difficile de </w:t>
      </w:r>
      <w:r w:rsidR="00C25A99" w:rsidRPr="00C25A99">
        <w:rPr>
          <w:rFonts w:cs="Arial"/>
        </w:rPr>
        <w:t>considérer</w:t>
      </w:r>
      <w:r w:rsidRPr="00C25A99">
        <w:rPr>
          <w:rFonts w:cs="Arial"/>
        </w:rPr>
        <w:t xml:space="preserve"> une attaque de ce genre dans le cadre d’un pourvoi en contrôle judiciaire. Si atteinte à </w:t>
      </w:r>
      <w:r w:rsidR="00E74B4A">
        <w:rPr>
          <w:rFonts w:cs="Arial"/>
        </w:rPr>
        <w:t>l</w:t>
      </w:r>
      <w:r w:rsidRPr="00C25A99">
        <w:rPr>
          <w:rFonts w:cs="Arial"/>
        </w:rPr>
        <w:t xml:space="preserve">a réputation </w:t>
      </w:r>
      <w:r w:rsidR="00E74B4A">
        <w:rPr>
          <w:rFonts w:cs="Arial"/>
        </w:rPr>
        <w:t xml:space="preserve">de </w:t>
      </w:r>
      <w:r w:rsidRPr="00C25A99">
        <w:rPr>
          <w:rFonts w:cs="Arial"/>
        </w:rPr>
        <w:t>McGill</w:t>
      </w:r>
      <w:r w:rsidR="00E74B4A">
        <w:rPr>
          <w:rFonts w:cs="Arial"/>
        </w:rPr>
        <w:t xml:space="preserve"> </w:t>
      </w:r>
      <w:r w:rsidRPr="00C25A99">
        <w:rPr>
          <w:rFonts w:cs="Arial"/>
        </w:rPr>
        <w:t>il y a, n</w:t>
      </w:r>
      <w:r w:rsidR="000737EF" w:rsidRPr="00C25A99">
        <w:rPr>
          <w:rFonts w:cs="Arial"/>
        </w:rPr>
        <w:t xml:space="preserve">e </w:t>
      </w:r>
      <w:r w:rsidR="00E74B4A">
        <w:rPr>
          <w:rFonts w:cs="Arial"/>
        </w:rPr>
        <w:t>proviendrait</w:t>
      </w:r>
      <w:r w:rsidR="000737EF" w:rsidRPr="00C25A99">
        <w:rPr>
          <w:rFonts w:cs="Arial"/>
        </w:rPr>
        <w:t xml:space="preserve">-elle pas plutôt </w:t>
      </w:r>
      <w:r w:rsidR="00E74B4A">
        <w:rPr>
          <w:rFonts w:cs="Arial"/>
        </w:rPr>
        <w:t>des</w:t>
      </w:r>
      <w:r w:rsidR="000737EF" w:rsidRPr="00C25A99">
        <w:rPr>
          <w:rFonts w:cs="Arial"/>
        </w:rPr>
        <w:t xml:space="preserve"> déclarations de membres du gouvernement plutôt que par de</w:t>
      </w:r>
      <w:r w:rsidR="00E74B4A">
        <w:rPr>
          <w:rFonts w:cs="Arial"/>
        </w:rPr>
        <w:t xml:space="preserve"> l’application de</w:t>
      </w:r>
      <w:r w:rsidR="000737EF" w:rsidRPr="00C25A99">
        <w:rPr>
          <w:rFonts w:cs="Arial"/>
        </w:rPr>
        <w:t xml:space="preserve"> </w:t>
      </w:r>
      <w:r w:rsidR="00851332" w:rsidRPr="00C25A99">
        <w:rPr>
          <w:rFonts w:cs="Arial"/>
        </w:rPr>
        <w:t>n</w:t>
      </w:r>
      <w:r w:rsidR="000737EF" w:rsidRPr="00C25A99">
        <w:rPr>
          <w:rFonts w:cs="Arial"/>
        </w:rPr>
        <w:t>ormes budgétaires – ce que ne tranche évidemment pas le présent jugement</w:t>
      </w:r>
      <w:bookmarkStart w:id="81" w:name="_Ref196150240"/>
      <w:r w:rsidR="000737EF" w:rsidRPr="00C25A99">
        <w:rPr>
          <w:rStyle w:val="Appelnotedebasdep"/>
          <w:rFonts w:cs="Arial"/>
        </w:rPr>
        <w:footnoteReference w:id="204"/>
      </w:r>
      <w:bookmarkEnd w:id="81"/>
      <w:r w:rsidR="000737EF" w:rsidRPr="00C25A99">
        <w:rPr>
          <w:rFonts w:cs="Arial"/>
        </w:rPr>
        <w:t xml:space="preserve">. </w:t>
      </w:r>
      <w:r w:rsidR="00E74B4A">
        <w:rPr>
          <w:rFonts w:cs="Arial"/>
        </w:rPr>
        <w:t>Par ailleurs, cette atteinte à la réputation n</w:t>
      </w:r>
      <w:r w:rsidRPr="00C25A99">
        <w:rPr>
          <w:rFonts w:cs="Arial"/>
        </w:rPr>
        <w:t>’aurait-elle pas</w:t>
      </w:r>
      <w:r w:rsidR="000737EF" w:rsidRPr="00C25A99">
        <w:rPr>
          <w:rFonts w:cs="Arial"/>
        </w:rPr>
        <w:t xml:space="preserve"> </w:t>
      </w:r>
      <w:r w:rsidRPr="00C25A99">
        <w:rPr>
          <w:rFonts w:cs="Arial"/>
        </w:rPr>
        <w:t>dû suivre les règles du droit civil en</w:t>
      </w:r>
      <w:r w:rsidR="00E74B4A">
        <w:rPr>
          <w:rFonts w:cs="Arial"/>
        </w:rPr>
        <w:t xml:space="preserve"> matière de</w:t>
      </w:r>
      <w:r w:rsidRPr="00C25A99">
        <w:rPr>
          <w:rFonts w:cs="Arial"/>
        </w:rPr>
        <w:t xml:space="preserve"> diffamation </w:t>
      </w:r>
      <w:r w:rsidR="007321E3" w:rsidRPr="00C25A99">
        <w:rPr>
          <w:rFonts w:cs="Arial"/>
        </w:rPr>
        <w:t xml:space="preserve">suivant l’article 1457 </w:t>
      </w:r>
      <w:r w:rsidR="007321E3" w:rsidRPr="00C25A99">
        <w:rPr>
          <w:rFonts w:cs="Arial"/>
          <w:i/>
          <w:iCs/>
        </w:rPr>
        <w:t>C.c.Q</w:t>
      </w:r>
      <w:r w:rsidR="007321E3" w:rsidRPr="00C25A99">
        <w:rPr>
          <w:rFonts w:cs="Arial"/>
        </w:rPr>
        <w:t xml:space="preserve">., </w:t>
      </w:r>
      <w:r w:rsidRPr="00C25A99">
        <w:rPr>
          <w:rFonts w:cs="Arial"/>
        </w:rPr>
        <w:t xml:space="preserve">comme on le voit habituellement? </w:t>
      </w:r>
      <w:r w:rsidR="00D26E5C" w:rsidRPr="00C25A99">
        <w:rPr>
          <w:rFonts w:cs="Arial"/>
        </w:rPr>
        <w:t xml:space="preserve">McGill se réserve le droit de réclamer des dommages-intérêts afin de compenser tous les préjudices subis en raison des agissements des </w:t>
      </w:r>
      <w:r w:rsidR="005A18AD" w:rsidRPr="00C25A99">
        <w:rPr>
          <w:rFonts w:cs="Arial"/>
        </w:rPr>
        <w:t>défendeurs</w:t>
      </w:r>
      <w:r w:rsidR="005A18AD" w:rsidRPr="00C25A99">
        <w:rPr>
          <w:rStyle w:val="Appelnotedebasdep"/>
          <w:rFonts w:cs="Arial"/>
        </w:rPr>
        <w:footnoteReference w:id="205"/>
      </w:r>
      <w:r w:rsidR="00E74B4A">
        <w:rPr>
          <w:rFonts w:cs="Arial"/>
        </w:rPr>
        <w:t xml:space="preserve"> mais</w:t>
      </w:r>
      <w:r w:rsidR="00C25A99" w:rsidRPr="00C25A99">
        <w:rPr>
          <w:rFonts w:cs="Arial"/>
        </w:rPr>
        <w:t>, c</w:t>
      </w:r>
      <w:r w:rsidR="007321E3" w:rsidRPr="00C25A99">
        <w:rPr>
          <w:rFonts w:cs="Arial"/>
        </w:rPr>
        <w:t>omme le soutient correctement le PGQ, l</w:t>
      </w:r>
      <w:r w:rsidR="007321E3" w:rsidRPr="00C25A99">
        <w:rPr>
          <w:rFonts w:eastAsia="Arial" w:cs="Arial"/>
          <w:szCs w:val="24"/>
          <w:lang w:eastAsia="en-US"/>
        </w:rPr>
        <w:t xml:space="preserve">a </w:t>
      </w:r>
      <w:r w:rsidR="007321E3" w:rsidRPr="00C25A99">
        <w:rPr>
          <w:rFonts w:eastAsia="Arial" w:cs="Arial"/>
          <w:i/>
          <w:iCs/>
          <w:szCs w:val="24"/>
          <w:lang w:eastAsia="en-US"/>
        </w:rPr>
        <w:t>Charte québécoise</w:t>
      </w:r>
      <w:r w:rsidR="007321E3" w:rsidRPr="00C25A99">
        <w:rPr>
          <w:rFonts w:eastAsia="Arial" w:cs="Arial"/>
          <w:szCs w:val="24"/>
          <w:lang w:eastAsia="en-US"/>
        </w:rPr>
        <w:t xml:space="preserve"> ne crée pas de régime de responsabilité distinct et autonome du droit commun de la responsabilité civile</w:t>
      </w:r>
      <w:r w:rsidR="007321E3" w:rsidRPr="00C25A99">
        <w:rPr>
          <w:rFonts w:eastAsia="Arial"/>
          <w:szCs w:val="24"/>
          <w:vertAlign w:val="superscript"/>
          <w:lang w:eastAsia="en-US"/>
        </w:rPr>
        <w:footnoteReference w:id="206"/>
      </w:r>
      <w:r w:rsidR="007321E3" w:rsidRPr="00C25A99">
        <w:rPr>
          <w:rFonts w:eastAsia="Arial" w:cs="Arial"/>
          <w:szCs w:val="24"/>
          <w:lang w:eastAsia="en-US"/>
        </w:rPr>
        <w:t>.</w:t>
      </w:r>
    </w:p>
    <w:p w14:paraId="4EE87C7B" w14:textId="1D4EBE5E" w:rsidR="00F47718" w:rsidRPr="00C25A99" w:rsidRDefault="00D26B26" w:rsidP="00E8442C">
      <w:pPr>
        <w:pStyle w:val="Paragraphe"/>
        <w:tabs>
          <w:tab w:val="clear" w:pos="2204"/>
        </w:tabs>
        <w:spacing w:line="240" w:lineRule="auto"/>
        <w:ind w:left="0"/>
        <w:rPr>
          <w:rFonts w:cs="Arial"/>
        </w:rPr>
      </w:pPr>
      <w:r w:rsidRPr="00C25A99">
        <w:rPr>
          <w:rFonts w:cs="Arial"/>
        </w:rPr>
        <w:t>Sous cet angle également</w:t>
      </w:r>
      <w:r w:rsidR="008B34E1" w:rsidRPr="00C25A99">
        <w:rPr>
          <w:rFonts w:cs="Arial"/>
        </w:rPr>
        <w:t>,</w:t>
      </w:r>
      <w:r w:rsidRPr="00C25A99">
        <w:rPr>
          <w:rFonts w:cs="Arial"/>
        </w:rPr>
        <w:t xml:space="preserve"> McGill réclame des conclusions de droit </w:t>
      </w:r>
      <w:r w:rsidR="004A5DA0" w:rsidRPr="00C25A99">
        <w:rPr>
          <w:rFonts w:cs="Arial"/>
        </w:rPr>
        <w:t>inédites</w:t>
      </w:r>
      <w:r w:rsidRPr="00C25A99">
        <w:rPr>
          <w:rFonts w:cs="Arial"/>
        </w:rPr>
        <w:t xml:space="preserve">, ce à quoi le Tribunal n’est pas enclin vu la solution des </w:t>
      </w:r>
      <w:r w:rsidR="00E74B4A">
        <w:rPr>
          <w:rFonts w:cs="Arial"/>
        </w:rPr>
        <w:t>p</w:t>
      </w:r>
      <w:r w:rsidRPr="00C25A99">
        <w:rPr>
          <w:rFonts w:cs="Arial"/>
        </w:rPr>
        <w:t xml:space="preserve">ourvois </w:t>
      </w:r>
      <w:r w:rsidR="00E74B4A">
        <w:rPr>
          <w:rFonts w:cs="Arial"/>
        </w:rPr>
        <w:t>que procure le</w:t>
      </w:r>
      <w:r w:rsidRPr="00C25A99">
        <w:rPr>
          <w:rFonts w:cs="Arial"/>
        </w:rPr>
        <w:t xml:space="preserve"> droit administratif.</w:t>
      </w:r>
    </w:p>
    <w:p w14:paraId="58FF257F" w14:textId="1CEC5E5C" w:rsidR="004543D5" w:rsidRDefault="004543D5" w:rsidP="00E8442C">
      <w:pPr>
        <w:pStyle w:val="Paragraphe"/>
        <w:tabs>
          <w:tab w:val="clear" w:pos="2204"/>
        </w:tabs>
        <w:spacing w:line="240" w:lineRule="auto"/>
        <w:ind w:left="0"/>
      </w:pPr>
      <w:r>
        <w:t xml:space="preserve">En définitive, McGill demande de déclarer du droit nouveau alors qu’aucun étudiant </w:t>
      </w:r>
      <w:r w:rsidR="00C25A99">
        <w:t xml:space="preserve">International </w:t>
      </w:r>
      <w:r>
        <w:t>ne témoigne ni ne produit de documents établissant une atteinte à son droit à l’égalité. Les universités réfèrent le Tribunal à la communauté anglophone de Montréal comme un tout monolithique dont les membres présenteraient les mêmes caractéristiques et les mêmes atteintes à leur droit constitutionnel.</w:t>
      </w:r>
    </w:p>
    <w:p w14:paraId="4F4E5586" w14:textId="412BD1BF" w:rsidR="004543D5" w:rsidRDefault="004543D5" w:rsidP="00E8442C">
      <w:pPr>
        <w:pStyle w:val="Paragraphe"/>
        <w:tabs>
          <w:tab w:val="clear" w:pos="2204"/>
        </w:tabs>
        <w:spacing w:line="240" w:lineRule="auto"/>
        <w:ind w:left="0"/>
        <w:rPr>
          <w:rFonts w:cs="Arial"/>
        </w:rPr>
      </w:pPr>
      <w:r>
        <w:rPr>
          <w:rFonts w:cs="Arial"/>
        </w:rPr>
        <w:t>McGill opine qu’il serait illusoire de penser qu’un étudiant International anglophone trouve l’intérêt ou le temps pour se porter volontaire afin d’étayer de telles prétentions. Mais les difficultés qu’éprouvent les universités demanderesses dans la présentation de leur preuve n’amoindrissent pas leur fardeau de démonstration, surtout à l’endroit d’actes de l’Administration qui jouissent de la présomption de validité constitutionnelle</w:t>
      </w:r>
      <w:r>
        <w:rPr>
          <w:rStyle w:val="Appelnotedebasdep"/>
          <w:rFonts w:cs="Arial"/>
        </w:rPr>
        <w:footnoteReference w:id="207"/>
      </w:r>
      <w:r>
        <w:rPr>
          <w:rFonts w:cs="Arial"/>
        </w:rPr>
        <w:t>.</w:t>
      </w:r>
    </w:p>
    <w:p w14:paraId="0151B2D2" w14:textId="53035895" w:rsidR="00D26B26" w:rsidRDefault="00D26B26" w:rsidP="00E8442C">
      <w:pPr>
        <w:pStyle w:val="Paragraphe"/>
        <w:tabs>
          <w:tab w:val="clear" w:pos="2204"/>
        </w:tabs>
        <w:spacing w:line="240" w:lineRule="auto"/>
        <w:ind w:left="0"/>
        <w:rPr>
          <w:rFonts w:cs="Arial"/>
        </w:rPr>
      </w:pPr>
      <w:r>
        <w:rPr>
          <w:rFonts w:cs="Arial"/>
        </w:rPr>
        <w:t xml:space="preserve">McGill insiste </w:t>
      </w:r>
      <w:r w:rsidR="004543D5">
        <w:rPr>
          <w:rFonts w:cs="Arial"/>
        </w:rPr>
        <w:t xml:space="preserve">aussi que </w:t>
      </w:r>
      <w:r>
        <w:rPr>
          <w:rFonts w:cs="Arial"/>
        </w:rPr>
        <w:t xml:space="preserve">le retour à la </w:t>
      </w:r>
      <w:r w:rsidR="004775E6">
        <w:rPr>
          <w:rFonts w:cs="Arial"/>
        </w:rPr>
        <w:t>M</w:t>
      </w:r>
      <w:r>
        <w:rPr>
          <w:rFonts w:cs="Arial"/>
        </w:rPr>
        <w:t>inistre des Règles budgétaire</w:t>
      </w:r>
      <w:r w:rsidR="00FF5576">
        <w:rPr>
          <w:rFonts w:cs="Arial"/>
        </w:rPr>
        <w:t>s</w:t>
      </w:r>
      <w:r>
        <w:rPr>
          <w:rFonts w:cs="Arial"/>
        </w:rPr>
        <w:t xml:space="preserve"> lui fait craindre qu’elle récidivera avec de nouvelles modifications qui, bien qu’elles tiendront certainement compte du présent jugement, s’avéreront tout autant discriminatoires</w:t>
      </w:r>
      <w:r w:rsidR="000A2572">
        <w:rPr>
          <w:rFonts w:cs="Arial"/>
        </w:rPr>
        <w:t xml:space="preserve"> à son endroit et envers la communauté anglophone</w:t>
      </w:r>
      <w:r>
        <w:rPr>
          <w:rFonts w:cs="Arial"/>
        </w:rPr>
        <w:t>. Elle souhaite éviter de se présenter à nouveau devant la Cour pour débattre des mêmes arguments.</w:t>
      </w:r>
    </w:p>
    <w:p w14:paraId="54AD8260" w14:textId="0E0CEDE8" w:rsidR="00D26B26" w:rsidRDefault="00D26B26" w:rsidP="00E8442C">
      <w:pPr>
        <w:pStyle w:val="Paragraphe"/>
        <w:tabs>
          <w:tab w:val="clear" w:pos="2204"/>
        </w:tabs>
        <w:spacing w:line="240" w:lineRule="auto"/>
        <w:ind w:left="0"/>
        <w:rPr>
          <w:rFonts w:cs="Arial"/>
        </w:rPr>
      </w:pPr>
      <w:r>
        <w:rPr>
          <w:rFonts w:cs="Arial"/>
        </w:rPr>
        <w:t xml:space="preserve">Si c’est le résultat de ces affaires, les parties auront au moins le bénéfice de se présenter à nouveau mais cette fois avec une preuve plus complète </w:t>
      </w:r>
      <w:r w:rsidR="00C25A99">
        <w:rPr>
          <w:rFonts w:cs="Arial"/>
        </w:rPr>
        <w:t>appu</w:t>
      </w:r>
      <w:r>
        <w:rPr>
          <w:rFonts w:cs="Arial"/>
        </w:rPr>
        <w:t xml:space="preserve">yant leurs prétentions respectives. Du reste, le Tribunal ne </w:t>
      </w:r>
      <w:r w:rsidR="000A2572">
        <w:rPr>
          <w:rFonts w:cs="Arial"/>
        </w:rPr>
        <w:t xml:space="preserve">tranche pas des arguments </w:t>
      </w:r>
      <w:r>
        <w:rPr>
          <w:rFonts w:cs="Arial"/>
        </w:rPr>
        <w:t xml:space="preserve">pour rendre service aux parties mais pour </w:t>
      </w:r>
      <w:r w:rsidR="00670385">
        <w:rPr>
          <w:rFonts w:cs="Arial"/>
        </w:rPr>
        <w:t>décider d’</w:t>
      </w:r>
      <w:r>
        <w:rPr>
          <w:rFonts w:cs="Arial"/>
        </w:rPr>
        <w:t>un litige, charge accomplie ici avec le présent jugement.</w:t>
      </w:r>
    </w:p>
    <w:p w14:paraId="36CC8EF4" w14:textId="51AB9B86" w:rsidR="00046B75" w:rsidRDefault="00763A3E" w:rsidP="00E8442C">
      <w:pPr>
        <w:pStyle w:val="Paragraphe"/>
        <w:tabs>
          <w:tab w:val="clear" w:pos="2204"/>
        </w:tabs>
        <w:spacing w:line="240" w:lineRule="auto"/>
        <w:ind w:left="0"/>
        <w:rPr>
          <w:rFonts w:cs="Arial"/>
        </w:rPr>
      </w:pPr>
      <w:r>
        <w:rPr>
          <w:rFonts w:cs="Arial"/>
        </w:rPr>
        <w:t>En somme, trop de questions demeurent dans un litige où la preuve</w:t>
      </w:r>
      <w:r w:rsidR="004A5DA0">
        <w:rPr>
          <w:rFonts w:cs="Arial"/>
        </w:rPr>
        <w:t xml:space="preserve"> et</w:t>
      </w:r>
      <w:r>
        <w:rPr>
          <w:rFonts w:cs="Arial"/>
        </w:rPr>
        <w:t xml:space="preserve"> les argumentaires des parties, en tout respect, demeurent sommaires. Il y a lieu d’adopter l’attitude </w:t>
      </w:r>
      <w:r w:rsidR="00F26E0A">
        <w:rPr>
          <w:rFonts w:cs="Arial"/>
        </w:rPr>
        <w:t xml:space="preserve">prudente </w:t>
      </w:r>
      <w:r>
        <w:rPr>
          <w:rFonts w:cs="Arial"/>
        </w:rPr>
        <w:t>de réserve à cet égard.</w:t>
      </w:r>
    </w:p>
    <w:p w14:paraId="0792C3D3" w14:textId="1D64407C" w:rsidR="00D12085" w:rsidRPr="00F84CDD" w:rsidRDefault="00D12085" w:rsidP="0085305E">
      <w:pPr>
        <w:pStyle w:val="Paragraphe"/>
        <w:keepNext/>
        <w:numPr>
          <w:ilvl w:val="0"/>
          <w:numId w:val="6"/>
        </w:numPr>
        <w:spacing w:line="240" w:lineRule="auto"/>
        <w:ind w:left="1800"/>
        <w:rPr>
          <w:i/>
        </w:rPr>
      </w:pPr>
      <w:r w:rsidRPr="00F84CDD">
        <w:rPr>
          <w:i/>
        </w:rPr>
        <w:t>Le commerce interprovincial</w:t>
      </w:r>
    </w:p>
    <w:p w14:paraId="0BEAB4F4" w14:textId="5B5C97DA" w:rsidR="00761FC9" w:rsidRDefault="00761FC9" w:rsidP="004775E6">
      <w:pPr>
        <w:pStyle w:val="Paragraphe"/>
        <w:keepNext/>
        <w:tabs>
          <w:tab w:val="clear" w:pos="2204"/>
        </w:tabs>
        <w:spacing w:line="240" w:lineRule="auto"/>
        <w:ind w:left="0"/>
        <w:rPr>
          <w:rFonts w:cs="Arial"/>
        </w:rPr>
      </w:pPr>
      <w:r>
        <w:rPr>
          <w:rFonts w:cs="Arial"/>
        </w:rPr>
        <w:t xml:space="preserve">L’article 121 </w:t>
      </w:r>
      <w:r w:rsidRPr="00763A3E">
        <w:rPr>
          <w:rFonts w:cs="Arial"/>
          <w:i/>
          <w:iCs/>
        </w:rPr>
        <w:t>L.</w:t>
      </w:r>
      <w:r w:rsidR="006E1468">
        <w:rPr>
          <w:rFonts w:cs="Arial"/>
          <w:i/>
          <w:iCs/>
        </w:rPr>
        <w:t>C</w:t>
      </w:r>
      <w:r w:rsidRPr="00763A3E">
        <w:rPr>
          <w:rFonts w:cs="Arial"/>
          <w:i/>
          <w:iCs/>
        </w:rPr>
        <w:t>. 1867</w:t>
      </w:r>
      <w:r>
        <w:rPr>
          <w:rFonts w:cs="Arial"/>
        </w:rPr>
        <w:t xml:space="preserve"> se lit :</w:t>
      </w: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8"/>
        <w:gridCol w:w="4397"/>
      </w:tblGrid>
      <w:tr w:rsidR="00761FC9" w:rsidRPr="00015DC2" w14:paraId="54F7348C" w14:textId="77777777" w:rsidTr="001D2DE1">
        <w:tc>
          <w:tcPr>
            <w:tcW w:w="4546" w:type="dxa"/>
          </w:tcPr>
          <w:p w14:paraId="0ADCB1C8" w14:textId="77777777" w:rsidR="00761FC9" w:rsidRDefault="00761FC9" w:rsidP="0058098A">
            <w:pPr>
              <w:pStyle w:val="Citationenretrait"/>
            </w:pPr>
            <w:r>
              <w:t>Tous articles du crû, de la provenance ou manufacture d’aucune des provinces seront, à dater de l’union, admis en franchise dans chacune des autres provinces.</w:t>
            </w:r>
          </w:p>
        </w:tc>
        <w:tc>
          <w:tcPr>
            <w:tcW w:w="4546" w:type="dxa"/>
          </w:tcPr>
          <w:p w14:paraId="4F9CFF33" w14:textId="77777777" w:rsidR="00761FC9" w:rsidRPr="00DE7335" w:rsidRDefault="00761FC9" w:rsidP="0058098A">
            <w:pPr>
              <w:pStyle w:val="Citationenretrait"/>
              <w:rPr>
                <w:lang w:val="en-CA"/>
              </w:rPr>
            </w:pPr>
            <w:r w:rsidRPr="00DE7335">
              <w:rPr>
                <w:lang w:val="en-CA"/>
              </w:rPr>
              <w:t>All Articles of the Growth, Produce, or Manufacture of</w:t>
            </w:r>
            <w:r>
              <w:rPr>
                <w:lang w:val="en-CA"/>
              </w:rPr>
              <w:t xml:space="preserve"> </w:t>
            </w:r>
            <w:r w:rsidRPr="00DE7335">
              <w:rPr>
                <w:lang w:val="en-CA"/>
              </w:rPr>
              <w:t>any one of the Provinces shall, from and after the Union,</w:t>
            </w:r>
            <w:r>
              <w:rPr>
                <w:lang w:val="en-CA"/>
              </w:rPr>
              <w:t xml:space="preserve"> </w:t>
            </w:r>
            <w:r w:rsidRPr="00DE7335">
              <w:rPr>
                <w:lang w:val="en-CA"/>
              </w:rPr>
              <w:t>be admitted free into each of the other Provinces.</w:t>
            </w:r>
          </w:p>
        </w:tc>
      </w:tr>
    </w:tbl>
    <w:p w14:paraId="3B791FEE" w14:textId="4C44766B" w:rsidR="00AD141B" w:rsidRDefault="00806D6A" w:rsidP="00C1134F">
      <w:pPr>
        <w:pStyle w:val="Paragraphe"/>
        <w:tabs>
          <w:tab w:val="clear" w:pos="2204"/>
        </w:tabs>
        <w:spacing w:line="240" w:lineRule="auto"/>
        <w:ind w:left="0"/>
      </w:pPr>
      <w:r>
        <w:t xml:space="preserve">McGill prétend que les règles budgétaires en cause violent l’article 121 </w:t>
      </w:r>
      <w:r w:rsidRPr="00761FC9">
        <w:rPr>
          <w:i/>
          <w:iCs/>
        </w:rPr>
        <w:t>L.</w:t>
      </w:r>
      <w:r w:rsidR="00532E01">
        <w:rPr>
          <w:i/>
          <w:iCs/>
        </w:rPr>
        <w:t>C</w:t>
      </w:r>
      <w:r w:rsidRPr="00761FC9">
        <w:rPr>
          <w:i/>
          <w:iCs/>
        </w:rPr>
        <w:t>.</w:t>
      </w:r>
      <w:r>
        <w:t xml:space="preserve"> </w:t>
      </w:r>
      <w:r w:rsidRPr="00761FC9">
        <w:rPr>
          <w:i/>
          <w:iCs/>
        </w:rPr>
        <w:t>1867</w:t>
      </w:r>
      <w:r w:rsidRPr="0073697A">
        <w:rPr>
          <w:rStyle w:val="Appelnotedebasdep"/>
          <w:bCs/>
        </w:rPr>
        <w:footnoteReference w:id="208"/>
      </w:r>
      <w:r>
        <w:t>, qui prévoit le libre-échange applicable au commerce interprovincial de biens. Les règles contestées seraient inconstitutionnelles à l’égard des étudiants CNRQ,</w:t>
      </w:r>
      <w:r w:rsidR="0058098A">
        <w:t xml:space="preserve"> </w:t>
      </w:r>
      <w:r w:rsidRPr="00873A23">
        <w:rPr>
          <w:i/>
          <w:iCs/>
        </w:rPr>
        <w:t>puisqu’elles entravent le libre-échange interprovincial des services d’enseignement universitaire de langue</w:t>
      </w:r>
      <w:r w:rsidR="0058098A">
        <w:rPr>
          <w:i/>
          <w:iCs/>
        </w:rPr>
        <w:t xml:space="preserve"> </w:t>
      </w:r>
      <w:r w:rsidRPr="00873A23">
        <w:rPr>
          <w:i/>
          <w:iCs/>
        </w:rPr>
        <w:t>anglaise</w:t>
      </w:r>
      <w:r>
        <w:rPr>
          <w:rStyle w:val="Appelnotedebasdep"/>
          <w:bCs/>
        </w:rPr>
        <w:footnoteReference w:id="209"/>
      </w:r>
      <w:r>
        <w:t>.</w:t>
      </w:r>
    </w:p>
    <w:p w14:paraId="17ED8B6C" w14:textId="02B02B48" w:rsidR="00806D6A" w:rsidRDefault="00806D6A" w:rsidP="00C1134F">
      <w:pPr>
        <w:pStyle w:val="Paragraphe"/>
        <w:tabs>
          <w:tab w:val="clear" w:pos="2204"/>
        </w:tabs>
        <w:spacing w:line="240" w:lineRule="auto"/>
        <w:ind w:left="0"/>
      </w:pPr>
      <w:r>
        <w:t>Le simple fait pour les étudiants CNRQ de traverser la frontière du Québec pour recevoir des services d’enseignement universitaire les assujettirait à une mesure de type tarifaire</w:t>
      </w:r>
      <w:r w:rsidR="0058098A">
        <w:t xml:space="preserve"> </w:t>
      </w:r>
      <w:r>
        <w:t>en raison du fardeau financier et académique auquel ils feraient</w:t>
      </w:r>
      <w:r w:rsidR="0058098A">
        <w:t xml:space="preserve"> </w:t>
      </w:r>
      <w:r>
        <w:t>face</w:t>
      </w:r>
      <w:r>
        <w:rPr>
          <w:rStyle w:val="Appelnotedebasdep"/>
          <w:bCs/>
        </w:rPr>
        <w:footnoteReference w:id="210"/>
      </w:r>
      <w:r>
        <w:t>.</w:t>
      </w:r>
      <w:r w:rsidR="00761FC9">
        <w:t xml:space="preserve"> </w:t>
      </w:r>
      <w:r>
        <w:t xml:space="preserve">Puisque le but de l’augmentation des droits de scolarité serait </w:t>
      </w:r>
      <w:r w:rsidRPr="00873A23">
        <w:rPr>
          <w:i/>
          <w:iCs/>
        </w:rPr>
        <w:t>d’entraver l’accès des étudiants CNRQ à des services d’enseignement universitaire de langue anglaise au Québec</w:t>
      </w:r>
      <w:r>
        <w:t>, les mesures contestées constitueraient une restriction du commerce interprovincial qui n’aurait aucun lien rationnel avec le régime général de financement des universités du Québec.</w:t>
      </w:r>
    </w:p>
    <w:p w14:paraId="0F0A61A3" w14:textId="1538F82E" w:rsidR="00806D6A" w:rsidRPr="00D05395" w:rsidRDefault="00806D6A" w:rsidP="00C1134F">
      <w:pPr>
        <w:pStyle w:val="Paragraphe"/>
        <w:tabs>
          <w:tab w:val="clear" w:pos="2204"/>
        </w:tabs>
        <w:spacing w:line="240" w:lineRule="auto"/>
        <w:ind w:left="0"/>
      </w:pPr>
      <w:r>
        <w:t>Le PGQ est d’avis que l’article 121</w:t>
      </w:r>
      <w:r w:rsidR="00761FC9">
        <w:t xml:space="preserve"> </w:t>
      </w:r>
      <w:r w:rsidR="00761FC9" w:rsidRPr="00761FC9">
        <w:rPr>
          <w:i/>
          <w:iCs/>
        </w:rPr>
        <w:t>L.</w:t>
      </w:r>
      <w:r w:rsidR="00D81B8B">
        <w:rPr>
          <w:i/>
          <w:iCs/>
        </w:rPr>
        <w:t>C</w:t>
      </w:r>
      <w:r w:rsidR="00761FC9" w:rsidRPr="00761FC9">
        <w:rPr>
          <w:i/>
          <w:iCs/>
        </w:rPr>
        <w:t>. 1867</w:t>
      </w:r>
      <w:r>
        <w:t xml:space="preserve"> </w:t>
      </w:r>
      <w:r w:rsidR="00761FC9">
        <w:t>n</w:t>
      </w:r>
      <w:r>
        <w:t xml:space="preserve">e s’applique pas en l’espèce. D’abord, l’éducation universitaire ne constituerait pas un objet de commerce. Ensuite, les services d’enseignement universitaire seraient offerts et dispensés sur le territoire du Québec sans que la frontière provinciale soit traversée. De plus, la compétence exclusive du gouvernement provincial en matière d’éducation supérieure ne pourrait être restreinte par cette disposition. Enfin, les objectifs des règles budgétaires, dont le rééquilibrage financier dans le réseau universitaire québécois et la protection du français, seraient valides et ne contreviendraient pas à l’article 121 </w:t>
      </w:r>
      <w:r w:rsidRPr="00761FC9">
        <w:rPr>
          <w:i/>
          <w:iCs/>
        </w:rPr>
        <w:t>L</w:t>
      </w:r>
      <w:r w:rsidR="00761FC9" w:rsidRPr="00761FC9">
        <w:rPr>
          <w:i/>
          <w:iCs/>
        </w:rPr>
        <w:t>.</w:t>
      </w:r>
      <w:r w:rsidR="00D81B8B">
        <w:rPr>
          <w:i/>
          <w:iCs/>
        </w:rPr>
        <w:t>C</w:t>
      </w:r>
      <w:r w:rsidR="00761FC9" w:rsidRPr="00761FC9">
        <w:rPr>
          <w:i/>
          <w:iCs/>
        </w:rPr>
        <w:t>.</w:t>
      </w:r>
      <w:r w:rsidRPr="00761FC9">
        <w:rPr>
          <w:i/>
          <w:iCs/>
        </w:rPr>
        <w:t xml:space="preserve"> 1867</w:t>
      </w:r>
      <w:r>
        <w:t>.</w:t>
      </w:r>
    </w:p>
    <w:p w14:paraId="63B3B2DD" w14:textId="62FCF2F0" w:rsidR="00806D6A" w:rsidRDefault="00761FC9" w:rsidP="00C1134F">
      <w:pPr>
        <w:pStyle w:val="Paragraphe"/>
        <w:tabs>
          <w:tab w:val="clear" w:pos="2204"/>
        </w:tabs>
        <w:spacing w:line="240" w:lineRule="auto"/>
        <w:ind w:left="0"/>
      </w:pPr>
      <w:r>
        <w:t xml:space="preserve">Dans </w:t>
      </w:r>
      <w:r w:rsidR="00806D6A">
        <w:t xml:space="preserve">l’arrêt </w:t>
      </w:r>
      <w:r w:rsidR="00806D6A">
        <w:rPr>
          <w:i/>
          <w:iCs/>
        </w:rPr>
        <w:t>Comeau</w:t>
      </w:r>
      <w:bookmarkStart w:id="82" w:name="_Ref195021880"/>
      <w:r w:rsidR="00806D6A" w:rsidRPr="005954D6">
        <w:rPr>
          <w:rStyle w:val="Appelnotedebasdep"/>
        </w:rPr>
        <w:footnoteReference w:id="211"/>
      </w:r>
      <w:bookmarkEnd w:id="82"/>
      <w:r w:rsidR="00806D6A">
        <w:t xml:space="preserve">, </w:t>
      </w:r>
      <w:r>
        <w:t xml:space="preserve">la Cour suprême précise que </w:t>
      </w:r>
      <w:r w:rsidR="00806D6A">
        <w:t>cette disposition prohibe les mesures législatives et étatiques</w:t>
      </w:r>
      <w:r w:rsidR="00806D6A">
        <w:rPr>
          <w:rStyle w:val="Appelnotedebasdep"/>
        </w:rPr>
        <w:footnoteReference w:id="212"/>
      </w:r>
      <w:r w:rsidR="00806D6A">
        <w:t xml:space="preserve"> </w:t>
      </w:r>
      <w:r w:rsidR="00806D6A" w:rsidRPr="00761FC9">
        <w:t>qui,</w:t>
      </w:r>
      <w:r w:rsidR="00806D6A" w:rsidRPr="00761FC9">
        <w:rPr>
          <w:i/>
          <w:iCs/>
        </w:rPr>
        <w:t xml:space="preserve"> par leur essence et leur objet, entravent la circulation des biens d’une province à une autre</w:t>
      </w:r>
      <w:r w:rsidR="00806D6A">
        <w:rPr>
          <w:rStyle w:val="Appelnotedebasdep"/>
        </w:rPr>
        <w:footnoteReference w:id="213"/>
      </w:r>
      <w:r w:rsidR="00806D6A">
        <w:t xml:space="preserve">. </w:t>
      </w:r>
      <w:r>
        <w:t xml:space="preserve">L’article 121 </w:t>
      </w:r>
      <w:r w:rsidR="00806D6A">
        <w:t xml:space="preserve">permet </w:t>
      </w:r>
      <w:r>
        <w:t xml:space="preserve">tout de même </w:t>
      </w:r>
      <w:r w:rsidR="00806D6A" w:rsidRPr="00341A30">
        <w:t>aux gouvernements</w:t>
      </w:r>
      <w:r w:rsidR="009733A3">
        <w:t xml:space="preserve"> </w:t>
      </w:r>
      <w:r w:rsidR="00806D6A" w:rsidRPr="00341A30">
        <w:t>d’adopter des mesures législatives et des régimes de réglementation</w:t>
      </w:r>
      <w:r w:rsidR="00806D6A">
        <w:rPr>
          <w:rStyle w:val="Appelnotedebasdep"/>
        </w:rPr>
        <w:footnoteReference w:id="214"/>
      </w:r>
      <w:r w:rsidR="00806D6A">
        <w:t xml:space="preserve"> dont l’objectif principal n’est pas de restreindre la libre circulation </w:t>
      </w:r>
      <w:r w:rsidR="00806D6A" w:rsidRPr="00341A30">
        <w:t>des biens d’une province à une autre</w:t>
      </w:r>
      <w:r w:rsidR="00806D6A">
        <w:t xml:space="preserve">, mais </w:t>
      </w:r>
      <w:r w:rsidR="00806D6A" w:rsidRPr="00341A30">
        <w:t xml:space="preserve">qui </w:t>
      </w:r>
      <w:r w:rsidR="00806D6A">
        <w:t>peuvent avoir</w:t>
      </w:r>
      <w:r w:rsidR="00806D6A" w:rsidRPr="00341A30">
        <w:t xml:space="preserve"> des effets accessoires sur </w:t>
      </w:r>
      <w:r w:rsidR="00806D6A">
        <w:t>le commerce interprovincia</w:t>
      </w:r>
      <w:r w:rsidR="00873A23">
        <w:t>l.</w:t>
      </w:r>
    </w:p>
    <w:p w14:paraId="3F5B571F" w14:textId="6D07EC42" w:rsidR="00806D6A" w:rsidRDefault="00873A23" w:rsidP="00C1134F">
      <w:pPr>
        <w:pStyle w:val="Paragraphe"/>
        <w:tabs>
          <w:tab w:val="clear" w:pos="2204"/>
        </w:tabs>
        <w:spacing w:line="240" w:lineRule="auto"/>
        <w:ind w:left="0"/>
      </w:pPr>
      <w:r>
        <w:t>Comme l’indique la Cour suprême, u</w:t>
      </w:r>
      <w:r w:rsidR="00806D6A">
        <w:t>ne partie qui plaide qu’une</w:t>
      </w:r>
      <w:r w:rsidR="00AD141B">
        <w:t xml:space="preserve"> </w:t>
      </w:r>
      <w:r w:rsidR="004A5DA0">
        <w:t>mesure</w:t>
      </w:r>
      <w:r w:rsidR="00806D6A">
        <w:t xml:space="preserve"> enfreint l’art</w:t>
      </w:r>
      <w:r w:rsidR="00763A3E">
        <w:t>icle</w:t>
      </w:r>
      <w:r w:rsidR="00806D6A">
        <w:t xml:space="preserve"> 121 doit donc démontrer que cette loi, de par son essence et son objet, restreint le commerce interprovincial</w:t>
      </w:r>
      <w:r w:rsidR="00806D6A">
        <w:rPr>
          <w:rStyle w:val="Appelnotedebasdep"/>
        </w:rPr>
        <w:footnoteReference w:id="215"/>
      </w:r>
      <w:r>
        <w:t>.</w:t>
      </w:r>
    </w:p>
    <w:p w14:paraId="2E2A09B1" w14:textId="0BE95315" w:rsidR="00806D6A" w:rsidRDefault="00806D6A" w:rsidP="00C1134F">
      <w:pPr>
        <w:pStyle w:val="Paragraphe"/>
        <w:tabs>
          <w:tab w:val="clear" w:pos="2204"/>
        </w:tabs>
        <w:spacing w:line="240" w:lineRule="auto"/>
        <w:ind w:left="0"/>
      </w:pPr>
      <w:r>
        <w:t>La première étape consiste à déterminer si, par son essence, la loi vise à restreindre ou à interdire le commerce d’une province à une autre, en imposant un fardeau financier (tarifs, droits de douane, etc.) sur les biens qui traversent une frontière provinciale</w:t>
      </w:r>
      <w:r>
        <w:rPr>
          <w:rStyle w:val="Appelnotedebasdep"/>
        </w:rPr>
        <w:footnoteReference w:id="216"/>
      </w:r>
      <w:r>
        <w:t>. Dans la négative, l’article 121 n’est pas en cause et l’analyse est terminée</w:t>
      </w:r>
      <w:r>
        <w:rPr>
          <w:rStyle w:val="Appelnotedebasdep"/>
        </w:rPr>
        <w:footnoteReference w:id="217"/>
      </w:r>
      <w:r>
        <w:t>.</w:t>
      </w:r>
    </w:p>
    <w:p w14:paraId="1DC2A571" w14:textId="25E8C444" w:rsidR="00806D6A" w:rsidRDefault="00806D6A" w:rsidP="00C1134F">
      <w:pPr>
        <w:pStyle w:val="Paragraphe"/>
        <w:tabs>
          <w:tab w:val="clear" w:pos="2204"/>
        </w:tabs>
        <w:spacing w:line="240" w:lineRule="auto"/>
        <w:ind w:left="0"/>
      </w:pPr>
      <w:r>
        <w:t xml:space="preserve">Dans l’affirmative, la deuxième étape qui consiste à établir si l’objet principal de la </w:t>
      </w:r>
      <w:r w:rsidR="004A5DA0">
        <w:t>disposition attaquée</w:t>
      </w:r>
      <w:r>
        <w:t xml:space="preserve"> </w:t>
      </w:r>
      <w:r w:rsidRPr="00615C7C">
        <w:t xml:space="preserve">vise </w:t>
      </w:r>
      <w:r>
        <w:t>à restreindre ou à interdire le commerce interprovincial. L’article 121 n’est pas violé lorsque la restriction du commerce interprovincial n’est qu’un effet accessoire d’une mesure valide ayant un objet différent</w:t>
      </w:r>
      <w:r>
        <w:rPr>
          <w:rStyle w:val="Appelnotedebasdep"/>
        </w:rPr>
        <w:footnoteReference w:id="218"/>
      </w:r>
      <w:r>
        <w:t>.</w:t>
      </w:r>
    </w:p>
    <w:p w14:paraId="4F51A73B" w14:textId="0618A186" w:rsidR="00806D6A" w:rsidRPr="00471977" w:rsidRDefault="00806D6A" w:rsidP="00C1134F">
      <w:pPr>
        <w:pStyle w:val="Paragraphe"/>
        <w:tabs>
          <w:tab w:val="clear" w:pos="2204"/>
        </w:tabs>
        <w:spacing w:line="240" w:lineRule="auto"/>
        <w:ind w:left="0"/>
      </w:pPr>
      <w:r>
        <w:t>McGill doit donc démontrer que, par leur essence et leur objet, les règles budgétaires contestées visent à restreindre la libre circulation des services d’enseignement universitaire en anglais entre le Québec et les autres provinces.</w:t>
      </w:r>
    </w:p>
    <w:p w14:paraId="4BD91537" w14:textId="0ED3570F" w:rsidR="00E12700" w:rsidRDefault="00616DE5" w:rsidP="00C1134F">
      <w:pPr>
        <w:pStyle w:val="Paragraphe"/>
        <w:tabs>
          <w:tab w:val="clear" w:pos="2204"/>
        </w:tabs>
        <w:spacing w:line="240" w:lineRule="auto"/>
        <w:ind w:left="0"/>
      </w:pPr>
      <w:r>
        <w:t>Il n’est pas approprié d</w:t>
      </w:r>
      <w:r w:rsidR="00E12700">
        <w:t>’</w:t>
      </w:r>
      <w:r>
        <w:t>e</w:t>
      </w:r>
      <w:r w:rsidR="00E12700">
        <w:t>n décider car, ici encore, surgissent des questions qu’un autre litige ne pourrait se voir résoudre qu’en y répondant. Par exemple, les modifications aux Règles budgétaires constituent-elles par leur essence des mesures qui créent des barrières du simple fait que les étudiants CNRQ traversent les frontières entre les provinces?</w:t>
      </w:r>
    </w:p>
    <w:p w14:paraId="55DBD61D" w14:textId="4DB424A6" w:rsidR="00806D6A" w:rsidRDefault="00E12700" w:rsidP="00C1134F">
      <w:pPr>
        <w:pStyle w:val="Paragraphe"/>
        <w:tabs>
          <w:tab w:val="clear" w:pos="2204"/>
        </w:tabs>
        <w:spacing w:line="240" w:lineRule="auto"/>
        <w:ind w:left="0"/>
      </w:pPr>
      <w:r>
        <w:t>Même e</w:t>
      </w:r>
      <w:r w:rsidR="00806D6A">
        <w:t>n tenant pour acquis, comme le propose le PGQ, qu’une interprétation large et libérale de l’article 121 permettrait d’y inclure la fourniture de services</w:t>
      </w:r>
      <w:r w:rsidR="00806D6A">
        <w:rPr>
          <w:rStyle w:val="Appelnotedebasdep"/>
        </w:rPr>
        <w:footnoteReference w:id="219"/>
      </w:r>
      <w:r w:rsidR="00806D6A">
        <w:t>, ce sur quoi le Tribunal n</w:t>
      </w:r>
      <w:r w:rsidR="002A2960">
        <w:t>e</w:t>
      </w:r>
      <w:r w:rsidR="00806D6A">
        <w:t xml:space="preserve"> se </w:t>
      </w:r>
      <w:r w:rsidR="002A2960">
        <w:t>p</w:t>
      </w:r>
      <w:r w:rsidR="00806D6A">
        <w:t>rononce</w:t>
      </w:r>
      <w:r w:rsidR="002A2960">
        <w:t xml:space="preserve"> pas</w:t>
      </w:r>
      <w:r w:rsidR="00806D6A">
        <w:t xml:space="preserve">, les services fournis par McGill </w:t>
      </w:r>
      <w:r>
        <w:t xml:space="preserve">ne devraient-ils pas être ceux qui </w:t>
      </w:r>
      <w:r w:rsidR="00806D6A">
        <w:t>traverse</w:t>
      </w:r>
      <w:r>
        <w:t>nt</w:t>
      </w:r>
      <w:r w:rsidR="00806D6A">
        <w:t xml:space="preserve"> la frontière québécoise, et non les étudiants CNRQ, aux fins de l’analyse établie par la Cour suprême dans </w:t>
      </w:r>
      <w:r w:rsidR="00806D6A">
        <w:rPr>
          <w:i/>
          <w:iCs/>
        </w:rPr>
        <w:t>Comeau</w:t>
      </w:r>
      <w:r>
        <w:t>?</w:t>
      </w:r>
    </w:p>
    <w:p w14:paraId="0D05A67A" w14:textId="02B41900" w:rsidR="00E12700" w:rsidRDefault="00E12700" w:rsidP="00C1134F">
      <w:pPr>
        <w:pStyle w:val="Paragraphe"/>
        <w:tabs>
          <w:tab w:val="clear" w:pos="2204"/>
        </w:tabs>
        <w:spacing w:line="240" w:lineRule="auto"/>
        <w:ind w:left="0"/>
      </w:pPr>
      <w:r>
        <w:t xml:space="preserve">Autre interrogation : le Tribunal devrait-il considérer que les services que dispense </w:t>
      </w:r>
      <w:r w:rsidR="00806D6A">
        <w:t>McGill</w:t>
      </w:r>
      <w:r>
        <w:t xml:space="preserve"> le sont à Montréal, au Québec, bien qu’un étudiant CNRQ puisse suivre des cours à distance, et, si oui, comment cette prémisse influence</w:t>
      </w:r>
      <w:r w:rsidR="002A2960">
        <w:t>-t-elle</w:t>
      </w:r>
      <w:r>
        <w:t xml:space="preserve"> le test de l’arrêt </w:t>
      </w:r>
      <w:r w:rsidRPr="00E12700">
        <w:rPr>
          <w:i/>
          <w:iCs/>
        </w:rPr>
        <w:t>Comeau</w:t>
      </w:r>
      <w:r>
        <w:t>?</w:t>
      </w:r>
    </w:p>
    <w:p w14:paraId="5FE652F5" w14:textId="6E212265" w:rsidR="00806D6A" w:rsidRDefault="00806D6A" w:rsidP="00C1134F">
      <w:pPr>
        <w:pStyle w:val="Paragraphe"/>
        <w:tabs>
          <w:tab w:val="clear" w:pos="2204"/>
        </w:tabs>
        <w:spacing w:line="240" w:lineRule="auto"/>
        <w:ind w:left="0"/>
      </w:pPr>
      <w:r>
        <w:t>L’objectif des mesures attaquées étant de réduire le nombre d’étudiants anglophones au centre-ville de Montréal, comme l’affirme d’ailleurs McGill dans sa théorie de la cause, le « coût supplémentaire »</w:t>
      </w:r>
      <w:r>
        <w:rPr>
          <w:rStyle w:val="Appelnotedebasdep"/>
        </w:rPr>
        <w:footnoteReference w:id="220"/>
      </w:r>
      <w:r>
        <w:t xml:space="preserve"> est </w:t>
      </w:r>
      <w:r w:rsidR="006F3110">
        <w:t xml:space="preserve">donc </w:t>
      </w:r>
      <w:r>
        <w:t xml:space="preserve">envisagé comme un frein à l’arrivée des étudiants CNRQ dans la métropole </w:t>
      </w:r>
      <w:r w:rsidR="006F3110">
        <w:t>plutôt qu’à l</w:t>
      </w:r>
      <w:r>
        <w:t>’exportation de services québécois d’enseignement en anglais vers le reste du Canada.</w:t>
      </w:r>
    </w:p>
    <w:p w14:paraId="5DD689BF" w14:textId="4C2F4284" w:rsidR="00B85B1A" w:rsidRDefault="00806D6A" w:rsidP="00C1134F">
      <w:pPr>
        <w:pStyle w:val="Paragraphe"/>
        <w:tabs>
          <w:tab w:val="clear" w:pos="2204"/>
        </w:tabs>
        <w:spacing w:line="240" w:lineRule="auto"/>
        <w:ind w:left="0"/>
      </w:pPr>
      <w:r>
        <w:t xml:space="preserve">Enfin, </w:t>
      </w:r>
      <w:r w:rsidR="00E12700">
        <w:t>à titre d’institution d’enseignement supérieur,</w:t>
      </w:r>
      <w:r w:rsidR="00B85B1A">
        <w:t xml:space="preserve"> </w:t>
      </w:r>
      <w:r w:rsidR="00B85B1A" w:rsidRPr="00B85B1A">
        <w:rPr>
          <w:i/>
          <w:iCs/>
        </w:rPr>
        <w:t>une institution du paysage éducatif et scientifique québécois depuis sa fondation en 1821</w:t>
      </w:r>
      <w:r w:rsidR="00B85B1A">
        <w:rPr>
          <w:rStyle w:val="Appelnotedebasdep"/>
        </w:rPr>
        <w:footnoteReference w:id="221"/>
      </w:r>
      <w:r w:rsidR="00B85B1A">
        <w:t xml:space="preserve">, comme elle le rappelle, </w:t>
      </w:r>
      <w:r w:rsidR="00E12700">
        <w:t>McGill se compare-t-elle à une entreprise commercial</w:t>
      </w:r>
      <w:r w:rsidR="00B85B1A">
        <w:t xml:space="preserve">e sous l’angle de l’article 121 </w:t>
      </w:r>
      <w:r w:rsidR="00B85B1A" w:rsidRPr="00B85B1A">
        <w:rPr>
          <w:i/>
          <w:iCs/>
        </w:rPr>
        <w:t>L.</w:t>
      </w:r>
      <w:r w:rsidR="00D270B1">
        <w:rPr>
          <w:i/>
          <w:iCs/>
        </w:rPr>
        <w:t>C</w:t>
      </w:r>
      <w:r w:rsidR="00B85B1A" w:rsidRPr="00B85B1A">
        <w:rPr>
          <w:i/>
          <w:iCs/>
        </w:rPr>
        <w:t>. 1867</w:t>
      </w:r>
      <w:r w:rsidR="00B85B1A">
        <w:t>?</w:t>
      </w:r>
    </w:p>
    <w:p w14:paraId="76B6ACEE" w14:textId="0483896F" w:rsidR="00763A3E" w:rsidRDefault="00763A3E" w:rsidP="00C1134F">
      <w:pPr>
        <w:pStyle w:val="Paragraphe"/>
        <w:tabs>
          <w:tab w:val="clear" w:pos="2204"/>
        </w:tabs>
        <w:spacing w:line="240" w:lineRule="auto"/>
        <w:ind w:left="0"/>
        <w:rPr>
          <w:rFonts w:cs="Arial"/>
        </w:rPr>
      </w:pPr>
      <w:r>
        <w:rPr>
          <w:rFonts w:cs="Arial"/>
        </w:rPr>
        <w:t>Ici encore, donc, le Tribunal s’abstient d’en écrire davantage.</w:t>
      </w:r>
    </w:p>
    <w:p w14:paraId="6970260C" w14:textId="55A15A37" w:rsidR="00D12085" w:rsidRPr="00F84CDD" w:rsidRDefault="00D12085" w:rsidP="00706500">
      <w:pPr>
        <w:pStyle w:val="Paragraphe"/>
        <w:keepNext/>
        <w:numPr>
          <w:ilvl w:val="0"/>
          <w:numId w:val="6"/>
        </w:numPr>
        <w:spacing w:line="240" w:lineRule="auto"/>
        <w:ind w:left="1800"/>
        <w:rPr>
          <w:i/>
        </w:rPr>
      </w:pPr>
      <w:r w:rsidRPr="00F84CDD">
        <w:rPr>
          <w:i/>
        </w:rPr>
        <w:t xml:space="preserve">La </w:t>
      </w:r>
      <w:r w:rsidRPr="00AF20BB">
        <w:rPr>
          <w:rFonts w:cs="Arial"/>
          <w:i/>
          <w:iCs/>
        </w:rPr>
        <w:t>tax</w:t>
      </w:r>
      <w:r w:rsidR="00AF20BB">
        <w:rPr>
          <w:rFonts w:cs="Arial"/>
          <w:i/>
          <w:iCs/>
        </w:rPr>
        <w:t>ation</w:t>
      </w:r>
      <w:r w:rsidRPr="00F84CDD">
        <w:rPr>
          <w:i/>
        </w:rPr>
        <w:t xml:space="preserve"> indirecte</w:t>
      </w:r>
    </w:p>
    <w:p w14:paraId="61233FCB" w14:textId="327DD6E7" w:rsidR="00E828DE" w:rsidRDefault="00EF246F" w:rsidP="005E09A2">
      <w:pPr>
        <w:pStyle w:val="Paragraphe"/>
        <w:keepNext/>
        <w:tabs>
          <w:tab w:val="clear" w:pos="2204"/>
          <w:tab w:val="num" w:pos="0"/>
        </w:tabs>
        <w:spacing w:line="240" w:lineRule="auto"/>
        <w:ind w:left="0"/>
      </w:pPr>
      <w:r>
        <w:t>Le fondement constitutionnel du pouvoir de taxation des provinces repose</w:t>
      </w:r>
      <w:r w:rsidR="004A5DA0">
        <w:t xml:space="preserve"> </w:t>
      </w:r>
      <w:r>
        <w:t xml:space="preserve">essentiellement sur les articles </w:t>
      </w:r>
      <w:r w:rsidRPr="00F84CDD">
        <w:t xml:space="preserve">53, 90 et </w:t>
      </w:r>
      <w:r w:rsidR="00AF20BB">
        <w:t>surtout la paragraphe</w:t>
      </w:r>
      <w:r w:rsidRPr="00AF20BB">
        <w:t xml:space="preserve"> </w:t>
      </w:r>
      <w:r w:rsidRPr="00F84CDD">
        <w:t xml:space="preserve">92(2) </w:t>
      </w:r>
      <w:r w:rsidRPr="00F84CDD">
        <w:rPr>
          <w:i/>
        </w:rPr>
        <w:t>L.</w:t>
      </w:r>
      <w:r w:rsidR="006B0BA5">
        <w:rPr>
          <w:i/>
          <w:iCs/>
        </w:rPr>
        <w:t>C</w:t>
      </w:r>
      <w:r w:rsidRPr="00F84CDD">
        <w:rPr>
          <w:i/>
        </w:rPr>
        <w:t>. 1867</w:t>
      </w:r>
      <w:r>
        <w:t xml:space="preserve">. Seul le Parlement peut imposer une taxe </w:t>
      </w:r>
      <w:r w:rsidR="00A27B99">
        <w:t>in</w:t>
      </w:r>
      <w:r>
        <w:t>directe.</w:t>
      </w:r>
    </w:p>
    <w:p w14:paraId="0F0C68B7" w14:textId="37FCC1BA" w:rsidR="00A27B99" w:rsidRPr="00A27B99" w:rsidRDefault="00A27B99" w:rsidP="00C1134F">
      <w:pPr>
        <w:pStyle w:val="Paragraphe"/>
        <w:tabs>
          <w:tab w:val="clear" w:pos="2204"/>
          <w:tab w:val="num" w:pos="0"/>
        </w:tabs>
        <w:spacing w:line="240" w:lineRule="auto"/>
        <w:ind w:left="0"/>
      </w:pPr>
      <w:r>
        <w:t xml:space="preserve">Selon McGill, </w:t>
      </w:r>
      <w:r w:rsidRPr="00A27B99">
        <w:rPr>
          <w:i/>
          <w:iCs/>
        </w:rPr>
        <w:t>la hausse du seuil applicable aux étudiants internationaux vise à mettre en place une taxe déguisée. En effet, ce seuil ne fait qu’assurer la perception des sommes additionnelles que le Ministère entend distribuer aux universités «</w:t>
      </w:r>
      <w:r w:rsidR="009C20D4">
        <w:rPr>
          <w:rFonts w:cs="Arial"/>
        </w:rPr>
        <w:t> </w:t>
      </w:r>
      <w:r w:rsidRPr="00A27B99">
        <w:rPr>
          <w:i/>
          <w:iCs/>
        </w:rPr>
        <w:t>francophones</w:t>
      </w:r>
      <w:r w:rsidR="009C20D4">
        <w:rPr>
          <w:rFonts w:cs="Arial"/>
        </w:rPr>
        <w:t> </w:t>
      </w:r>
      <w:r w:rsidRPr="00A27B99">
        <w:rPr>
          <w:i/>
          <w:iCs/>
        </w:rPr>
        <w:t>» exclusivemen</w:t>
      </w:r>
      <w:r>
        <w:rPr>
          <w:i/>
          <w:iCs/>
        </w:rPr>
        <w:t>t.</w:t>
      </w:r>
      <w:r w:rsidRPr="00A27B99">
        <w:t xml:space="preserve"> </w:t>
      </w:r>
      <w:r>
        <w:t xml:space="preserve">Elle ajoute qu’en somme, </w:t>
      </w:r>
      <w:r w:rsidRPr="00A27B99">
        <w:t xml:space="preserve">les </w:t>
      </w:r>
      <w:r>
        <w:t>m</w:t>
      </w:r>
      <w:r w:rsidRPr="00A27B99">
        <w:t xml:space="preserve">odifications </w:t>
      </w:r>
      <w:r>
        <w:t xml:space="preserve">aux Règles budgétaires instaurent </w:t>
      </w:r>
      <w:r w:rsidRPr="00A27B99">
        <w:rPr>
          <w:i/>
          <w:iCs/>
        </w:rPr>
        <w:t>une taxe déguisée à l’égard des étudiants internationaux visés par la réforme qui ne découle d’aucune habilitation législative et qui est conséquemment illégale et inconstitutionnelle</w:t>
      </w:r>
      <w:r w:rsidRPr="00F67897">
        <w:rPr>
          <w:rStyle w:val="Appelnotedebasdep"/>
        </w:rPr>
        <w:footnoteReference w:id="222"/>
      </w:r>
      <w:r>
        <w:t>.</w:t>
      </w:r>
    </w:p>
    <w:p w14:paraId="34C10105" w14:textId="58491E57" w:rsidR="00E828DE" w:rsidRDefault="00E828DE" w:rsidP="00C1134F">
      <w:pPr>
        <w:pStyle w:val="Paragraphe"/>
        <w:tabs>
          <w:tab w:val="clear" w:pos="2204"/>
          <w:tab w:val="num" w:pos="0"/>
        </w:tabs>
        <w:spacing w:line="240" w:lineRule="auto"/>
        <w:ind w:left="0"/>
      </w:pPr>
      <w:r w:rsidRPr="00EF246F">
        <w:t>Bien qu’elle en traite dans son Pourvoi modifié, McGill n’écrit rien sur le sujet dans son mémoire et n’en souffle mot lors de ses représentations. Ce mutisme fait réagir le PGQ, qui ne manque pas de le souligner lors de la plaidoirie de ses avocats au point où il</w:t>
      </w:r>
      <w:r w:rsidR="00AD141B">
        <w:t>s</w:t>
      </w:r>
      <w:r w:rsidRPr="00EF246F">
        <w:t xml:space="preserve"> </w:t>
      </w:r>
      <w:r w:rsidR="00AD141B">
        <w:t xml:space="preserve">ont même </w:t>
      </w:r>
      <w:r w:rsidRPr="00EF246F">
        <w:t>estim</w:t>
      </w:r>
      <w:r w:rsidR="00AD141B">
        <w:t xml:space="preserve">é </w:t>
      </w:r>
      <w:r w:rsidRPr="00EF246F">
        <w:t>l’argument abandonné par McGill</w:t>
      </w:r>
      <w:r w:rsidR="00AD141B">
        <w:t xml:space="preserve"> et n’ont pas plaidé davantage</w:t>
      </w:r>
      <w:r w:rsidRPr="00EF246F">
        <w:t>.</w:t>
      </w:r>
    </w:p>
    <w:p w14:paraId="77BF23E5" w14:textId="5F7BF798" w:rsidR="00BF2062" w:rsidRDefault="00E828DE" w:rsidP="00C1134F">
      <w:pPr>
        <w:pStyle w:val="Paragraphe"/>
        <w:tabs>
          <w:tab w:val="clear" w:pos="2204"/>
          <w:tab w:val="num" w:pos="0"/>
        </w:tabs>
        <w:spacing w:line="240" w:lineRule="auto"/>
        <w:ind w:left="0"/>
        <w:rPr>
          <w:rFonts w:cs="Arial"/>
        </w:rPr>
      </w:pPr>
      <w:r>
        <w:rPr>
          <w:rFonts w:cs="Arial"/>
        </w:rPr>
        <w:t>D</w:t>
      </w:r>
      <w:r w:rsidR="00BF2062">
        <w:rPr>
          <w:rFonts w:cs="Arial"/>
        </w:rPr>
        <w:t>ans ce contexte, surtout en tenant compte de la retenue judiciaire discuté</w:t>
      </w:r>
      <w:r w:rsidR="00AD141B">
        <w:rPr>
          <w:rFonts w:cs="Arial"/>
        </w:rPr>
        <w:t>e</w:t>
      </w:r>
      <w:r w:rsidR="00BF2062">
        <w:rPr>
          <w:rFonts w:cs="Arial"/>
        </w:rPr>
        <w:t xml:space="preserve"> plus haut, le Tribunal se garde d’</w:t>
      </w:r>
      <w:r w:rsidR="004A5DA0">
        <w:rPr>
          <w:rFonts w:cs="Arial"/>
        </w:rPr>
        <w:t>aborder la question</w:t>
      </w:r>
      <w:r w:rsidR="00BF2062">
        <w:rPr>
          <w:rFonts w:cs="Arial"/>
        </w:rPr>
        <w:t>.</w:t>
      </w:r>
    </w:p>
    <w:p w14:paraId="2EEFE211" w14:textId="3CCBCE23" w:rsidR="00046B75" w:rsidRPr="007601A1" w:rsidRDefault="00273044" w:rsidP="007601A1">
      <w:pPr>
        <w:pStyle w:val="Paragraphe"/>
        <w:numPr>
          <w:ilvl w:val="0"/>
          <w:numId w:val="0"/>
        </w:numPr>
        <w:spacing w:line="240" w:lineRule="auto"/>
        <w:rPr>
          <w:rFonts w:cs="Arial"/>
          <w:b/>
          <w:bCs/>
        </w:rPr>
      </w:pPr>
      <w:r w:rsidRPr="007601A1">
        <w:rPr>
          <w:rFonts w:cs="Arial"/>
          <w:b/>
          <w:bCs/>
        </w:rPr>
        <w:t xml:space="preserve">LES </w:t>
      </w:r>
      <w:r w:rsidR="00AD141B">
        <w:rPr>
          <w:rFonts w:cs="Arial"/>
          <w:b/>
          <w:bCs/>
        </w:rPr>
        <w:t>CONCLUSION</w:t>
      </w:r>
      <w:r w:rsidR="001B7AC2">
        <w:rPr>
          <w:rFonts w:cs="Arial"/>
          <w:b/>
          <w:bCs/>
        </w:rPr>
        <w:t>S</w:t>
      </w:r>
      <w:r w:rsidRPr="007601A1">
        <w:rPr>
          <w:rFonts w:cs="Arial"/>
          <w:b/>
          <w:bCs/>
        </w:rPr>
        <w:t xml:space="preserve"> APPROPRIÉ</w:t>
      </w:r>
      <w:r w:rsidR="00AD141B">
        <w:rPr>
          <w:rFonts w:cs="Arial"/>
          <w:b/>
          <w:bCs/>
        </w:rPr>
        <w:t>E</w:t>
      </w:r>
      <w:r w:rsidRPr="007601A1">
        <w:rPr>
          <w:rFonts w:cs="Arial"/>
          <w:b/>
          <w:bCs/>
        </w:rPr>
        <w:t>S</w:t>
      </w:r>
    </w:p>
    <w:p w14:paraId="0DB48436" w14:textId="5B2814FA" w:rsidR="007601A1" w:rsidRPr="00F84CDD" w:rsidRDefault="007601A1" w:rsidP="00F316C0">
      <w:pPr>
        <w:pStyle w:val="Paragraphe"/>
        <w:numPr>
          <w:ilvl w:val="0"/>
          <w:numId w:val="6"/>
        </w:numPr>
        <w:spacing w:line="240" w:lineRule="auto"/>
        <w:ind w:left="1800"/>
        <w:rPr>
          <w:i/>
        </w:rPr>
      </w:pPr>
      <w:r w:rsidRPr="00F84CDD">
        <w:rPr>
          <w:i/>
        </w:rPr>
        <w:t>Les conclusions d’invalidité et la suspension de l’exécution du jugement</w:t>
      </w:r>
    </w:p>
    <w:p w14:paraId="44AFFC85" w14:textId="24011C8F" w:rsidR="00B50C89" w:rsidRPr="00B50C89" w:rsidRDefault="00325D7E" w:rsidP="00C51A87">
      <w:pPr>
        <w:pStyle w:val="Paragraphe"/>
        <w:tabs>
          <w:tab w:val="clear" w:pos="2204"/>
        </w:tabs>
        <w:spacing w:line="240" w:lineRule="auto"/>
        <w:ind w:left="0"/>
        <w:rPr>
          <w:rFonts w:cs="Arial"/>
          <w:i/>
          <w:iCs/>
          <w:szCs w:val="24"/>
        </w:rPr>
      </w:pPr>
      <w:r>
        <w:rPr>
          <w:rFonts w:cs="Arial"/>
        </w:rPr>
        <w:t>McGill et Concordia demandent d’invalider les modifications aux Règles budgétaires, y compris la Règle d’acquisition de compétences</w:t>
      </w:r>
      <w:r w:rsidR="004A5DA0">
        <w:rPr>
          <w:rFonts w:cs="Arial"/>
        </w:rPr>
        <w:t xml:space="preserve"> en français</w:t>
      </w:r>
      <w:r>
        <w:rPr>
          <w:rFonts w:cs="Arial"/>
        </w:rPr>
        <w:t xml:space="preserve">. Elles demandent aussi de </w:t>
      </w:r>
      <w:r w:rsidR="00B50C89">
        <w:rPr>
          <w:rFonts w:cs="Arial"/>
        </w:rPr>
        <w:t>déclarer que les règles budgétaires anciennes renaissent</w:t>
      </w:r>
      <w:r w:rsidR="00C51A87">
        <w:rPr>
          <w:rFonts w:cs="Arial"/>
        </w:rPr>
        <w:t xml:space="preserve">, ce qui </w:t>
      </w:r>
      <w:r w:rsidR="00B50C89" w:rsidRPr="00B50C89">
        <w:rPr>
          <w:rFonts w:cs="Arial"/>
        </w:rPr>
        <w:t xml:space="preserve">s’avère à la fois </w:t>
      </w:r>
      <w:r w:rsidR="00444433">
        <w:rPr>
          <w:rFonts w:cs="Arial"/>
        </w:rPr>
        <w:t xml:space="preserve">contraire à </w:t>
      </w:r>
      <w:r w:rsidR="00B50C89" w:rsidRPr="00B50C89">
        <w:rPr>
          <w:rFonts w:cs="Arial"/>
        </w:rPr>
        <w:t>la séparation des pouvoirs entre l’Exécutif et le Judiciaire</w:t>
      </w:r>
      <w:r w:rsidR="00B50C89">
        <w:rPr>
          <w:rFonts w:cs="Arial"/>
        </w:rPr>
        <w:t xml:space="preserve"> et </w:t>
      </w:r>
      <w:r w:rsidR="00B50C89" w:rsidRPr="00B50C89">
        <w:rPr>
          <w:rFonts w:cs="Arial"/>
        </w:rPr>
        <w:t xml:space="preserve">impossible </w:t>
      </w:r>
      <w:r w:rsidR="00B50C89">
        <w:rPr>
          <w:rFonts w:cs="Arial"/>
        </w:rPr>
        <w:t>à réaliser</w:t>
      </w:r>
      <w:r w:rsidR="00B50C89" w:rsidRPr="00B50C89">
        <w:rPr>
          <w:rFonts w:cs="Arial"/>
        </w:rPr>
        <w:t>.</w:t>
      </w:r>
    </w:p>
    <w:p w14:paraId="52BC25B4" w14:textId="101EEC45" w:rsidR="00B50C89" w:rsidRPr="00FF56B8" w:rsidRDefault="00B50C89" w:rsidP="00FF56B8">
      <w:pPr>
        <w:pStyle w:val="Paragraphe"/>
        <w:tabs>
          <w:tab w:val="clear" w:pos="2204"/>
        </w:tabs>
        <w:spacing w:line="240" w:lineRule="auto"/>
        <w:ind w:left="0"/>
        <w:rPr>
          <w:rFonts w:cs="Arial"/>
          <w:i/>
          <w:iCs/>
          <w:szCs w:val="24"/>
        </w:rPr>
      </w:pPr>
      <w:r>
        <w:rPr>
          <w:rFonts w:cs="Arial"/>
        </w:rPr>
        <w:t xml:space="preserve">Rappelons d’abord la base </w:t>
      </w:r>
      <w:r w:rsidR="004A5DA0">
        <w:rPr>
          <w:rFonts w:cs="Arial"/>
        </w:rPr>
        <w:t xml:space="preserve">à l’effet qu’il </w:t>
      </w:r>
      <w:r w:rsidRPr="00B50C89">
        <w:rPr>
          <w:rFonts w:cs="Arial"/>
        </w:rPr>
        <w:t xml:space="preserve">ne revient pas au Tribunal de jouer au ministre de l’Enseignement supérieur ni de voir au budget de l’État. Il revient au gouvernement d’arbitrer les dépenses </w:t>
      </w:r>
      <w:r w:rsidR="004A5DA0">
        <w:rPr>
          <w:rFonts w:cs="Arial"/>
        </w:rPr>
        <w:t>publiques</w:t>
      </w:r>
      <w:r w:rsidRPr="00B50C89">
        <w:rPr>
          <w:rFonts w:cs="Arial"/>
        </w:rPr>
        <w:t xml:space="preserve">. À l’égard des décisions de l’Administration, le rôle du Tribunal </w:t>
      </w:r>
      <w:r w:rsidR="00AD141B">
        <w:rPr>
          <w:rFonts w:cs="Arial"/>
        </w:rPr>
        <w:t>se limite</w:t>
      </w:r>
      <w:r w:rsidRPr="00B50C89">
        <w:rPr>
          <w:rFonts w:cs="Arial"/>
        </w:rPr>
        <w:t xml:space="preserve"> à vérifier si elle agit légalement. </w:t>
      </w:r>
      <w:r w:rsidRPr="00FF56B8">
        <w:rPr>
          <w:rFonts w:cs="Arial"/>
        </w:rPr>
        <w:t xml:space="preserve">Pour revenir à l’arrêt </w:t>
      </w:r>
      <w:r w:rsidRPr="00FF56B8">
        <w:rPr>
          <w:rFonts w:cs="Arial"/>
          <w:i/>
          <w:iCs/>
        </w:rPr>
        <w:t>Bellefleur</w:t>
      </w:r>
      <w:r w:rsidRPr="00FF56B8">
        <w:rPr>
          <w:rFonts w:cs="Arial"/>
        </w:rPr>
        <w:t xml:space="preserve">, précité, </w:t>
      </w:r>
      <w:r w:rsidRPr="00FF56B8">
        <w:rPr>
          <w:rFonts w:cs="Arial"/>
          <w:i/>
          <w:iCs/>
          <w:color w:val="000000"/>
          <w:spacing w:val="-3"/>
          <w:szCs w:val="24"/>
        </w:rPr>
        <w:t>le rôle des tribunaux reste limité. Ils n'ont pas pour mission de remplacer le pouvoir législatif, exécutif ou l'Administration ou de s'y substituer. À l'endroit du pouvoir législatif, ils peuvent seulement contrôler la constitutionnalité de la loi. À l'endroit du pouvoir exécutif et administratif, leur tâche est de s'assurer que la loi, et donc la volonté du Parlement, a bel et bien été suivie et respectée. Ils ne peuvent et ne doivent pas s'ériger en arbitres de l'opportunité, de la rationalité, de la prudence ou de la sagesse des décisions politiques ou administratives.</w:t>
      </w:r>
    </w:p>
    <w:p w14:paraId="65282B63" w14:textId="18114A01" w:rsidR="00B50C89" w:rsidRDefault="00B50C89" w:rsidP="00BF716E">
      <w:pPr>
        <w:pStyle w:val="Paragraphe"/>
        <w:tabs>
          <w:tab w:val="clear" w:pos="2204"/>
        </w:tabs>
        <w:spacing w:line="240" w:lineRule="auto"/>
        <w:ind w:left="0"/>
        <w:rPr>
          <w:rFonts w:cs="Arial"/>
        </w:rPr>
      </w:pPr>
      <w:r>
        <w:rPr>
          <w:rFonts w:cs="Arial"/>
        </w:rPr>
        <w:t>En somme, chacun son rôle.</w:t>
      </w:r>
    </w:p>
    <w:p w14:paraId="7BF33CA8" w14:textId="4BD60DAC" w:rsidR="00B50C89" w:rsidRPr="00AD141B" w:rsidRDefault="00AD141B" w:rsidP="00BF716E">
      <w:pPr>
        <w:pStyle w:val="Paragraphe"/>
        <w:tabs>
          <w:tab w:val="clear" w:pos="2204"/>
        </w:tabs>
        <w:spacing w:line="240" w:lineRule="auto"/>
        <w:ind w:left="0"/>
        <w:rPr>
          <w:rFonts w:cs="Arial"/>
        </w:rPr>
      </w:pPr>
      <w:r w:rsidRPr="00AD141B">
        <w:rPr>
          <w:rFonts w:cs="Arial"/>
        </w:rPr>
        <w:t xml:space="preserve">Par ailleurs, il faut considérer que </w:t>
      </w:r>
      <w:r w:rsidR="004A5DA0" w:rsidRPr="00AD141B">
        <w:rPr>
          <w:rFonts w:cs="Arial"/>
        </w:rPr>
        <w:t>le</w:t>
      </w:r>
      <w:r w:rsidR="000532DD">
        <w:rPr>
          <w:rFonts w:cs="Arial"/>
        </w:rPr>
        <w:t>s</w:t>
      </w:r>
      <w:r w:rsidR="004A5DA0" w:rsidRPr="00AD141B">
        <w:rPr>
          <w:rFonts w:cs="Arial"/>
        </w:rPr>
        <w:t xml:space="preserve"> R</w:t>
      </w:r>
      <w:r w:rsidR="00D96BC6" w:rsidRPr="00AD141B">
        <w:rPr>
          <w:rFonts w:cs="Arial"/>
        </w:rPr>
        <w:t xml:space="preserve">ègles budgétaires constituent un tout. Parmi les règles </w:t>
      </w:r>
      <w:r w:rsidR="00391E24" w:rsidRPr="00AD141B">
        <w:rPr>
          <w:rFonts w:cs="Arial"/>
        </w:rPr>
        <w:t xml:space="preserve">non contestées </w:t>
      </w:r>
      <w:r w:rsidR="00D96BC6" w:rsidRPr="00AD141B">
        <w:rPr>
          <w:rFonts w:cs="Arial"/>
        </w:rPr>
        <w:t xml:space="preserve">se trouvent celles concernant le recrutement francophone et l’incitatif à </w:t>
      </w:r>
      <w:r w:rsidR="003078CA" w:rsidRPr="00AD141B">
        <w:rPr>
          <w:rFonts w:cs="Arial"/>
        </w:rPr>
        <w:t>l</w:t>
      </w:r>
      <w:r w:rsidR="00D96BC6" w:rsidRPr="00AD141B">
        <w:rPr>
          <w:rFonts w:cs="Arial"/>
        </w:rPr>
        <w:t>a persévérance et à la diplomation que prévoient les règles 2.5.1, 2.1.1 et 2.1.2.</w:t>
      </w:r>
      <w:r w:rsidR="00E217B5" w:rsidRPr="00AD141B">
        <w:rPr>
          <w:rFonts w:cs="Arial"/>
        </w:rPr>
        <w:t xml:space="preserve"> Par ailleurs, l’argent promis </w:t>
      </w:r>
      <w:r w:rsidR="00BF37CD">
        <w:rPr>
          <w:rFonts w:cs="Arial"/>
        </w:rPr>
        <w:t xml:space="preserve">suivant le régime actuel </w:t>
      </w:r>
      <w:r w:rsidR="00E217B5" w:rsidRPr="00AD141B">
        <w:rPr>
          <w:rFonts w:cs="Arial"/>
        </w:rPr>
        <w:t xml:space="preserve">aux universités se trouve </w:t>
      </w:r>
      <w:r w:rsidR="003078CA" w:rsidRPr="00AD141B">
        <w:rPr>
          <w:rFonts w:cs="Arial"/>
        </w:rPr>
        <w:t xml:space="preserve">déjà </w:t>
      </w:r>
      <w:r w:rsidR="00E217B5" w:rsidRPr="00AD141B">
        <w:rPr>
          <w:rFonts w:cs="Arial"/>
        </w:rPr>
        <w:t xml:space="preserve">dans leurs </w:t>
      </w:r>
      <w:r w:rsidR="004A5DA0" w:rsidRPr="00AD141B">
        <w:rPr>
          <w:rFonts w:cs="Arial"/>
        </w:rPr>
        <w:t>coffres</w:t>
      </w:r>
      <w:r w:rsidR="00E217B5" w:rsidRPr="00AD141B">
        <w:rPr>
          <w:rFonts w:cs="Arial"/>
        </w:rPr>
        <w:t xml:space="preserve">, pour ainsi dire, et ne reviendra pas dans </w:t>
      </w:r>
      <w:r w:rsidR="004A5DA0" w:rsidRPr="00AD141B">
        <w:rPr>
          <w:rFonts w:cs="Arial"/>
        </w:rPr>
        <w:t xml:space="preserve">celui </w:t>
      </w:r>
      <w:r w:rsidR="00E217B5" w:rsidRPr="00AD141B">
        <w:rPr>
          <w:rFonts w:cs="Arial"/>
        </w:rPr>
        <w:t>de l’État.</w:t>
      </w:r>
    </w:p>
    <w:p w14:paraId="45984731" w14:textId="27AB7663" w:rsidR="00E217B5" w:rsidRPr="00AD141B" w:rsidRDefault="00E217B5" w:rsidP="00BF716E">
      <w:pPr>
        <w:pStyle w:val="Paragraphe"/>
        <w:tabs>
          <w:tab w:val="clear" w:pos="2204"/>
        </w:tabs>
        <w:spacing w:line="240" w:lineRule="auto"/>
        <w:ind w:left="0"/>
        <w:rPr>
          <w:rFonts w:cs="Arial"/>
        </w:rPr>
      </w:pPr>
      <w:r w:rsidRPr="00AD141B">
        <w:rPr>
          <w:rFonts w:cs="Arial"/>
        </w:rPr>
        <w:t xml:space="preserve">Dans son mémoire, le PGQ demande que, dans l’hypothèse où le Tribunal accueille les Pourvois, il </w:t>
      </w:r>
      <w:r w:rsidR="00AD141B" w:rsidRPr="00AD141B">
        <w:rPr>
          <w:rFonts w:cs="Arial"/>
        </w:rPr>
        <w:t xml:space="preserve">laisse </w:t>
      </w:r>
      <w:r w:rsidRPr="00AD141B">
        <w:rPr>
          <w:rFonts w:cs="Arial"/>
        </w:rPr>
        <w:t xml:space="preserve">à la Ministre </w:t>
      </w:r>
      <w:r w:rsidR="007C5890" w:rsidRPr="00AD141B">
        <w:rPr>
          <w:rFonts w:cs="Arial"/>
        </w:rPr>
        <w:t xml:space="preserve">le soin de </w:t>
      </w:r>
      <w:r w:rsidRPr="00AD141B">
        <w:rPr>
          <w:rFonts w:cs="Arial"/>
        </w:rPr>
        <w:t>l’établissement de nouvelles Règles budgétaires</w:t>
      </w:r>
      <w:r w:rsidR="00D26BEE" w:rsidRPr="00AD141B">
        <w:rPr>
          <w:rFonts w:cs="Arial"/>
        </w:rPr>
        <w:t xml:space="preserve"> respectueuses du présen</w:t>
      </w:r>
      <w:r w:rsidR="00AD141B" w:rsidRPr="00AD141B">
        <w:rPr>
          <w:rFonts w:cs="Arial"/>
        </w:rPr>
        <w:t>t</w:t>
      </w:r>
      <w:r w:rsidR="00D26BEE" w:rsidRPr="00AD141B">
        <w:rPr>
          <w:rFonts w:cs="Arial"/>
        </w:rPr>
        <w:t xml:space="preserve"> jugement</w:t>
      </w:r>
      <w:r w:rsidRPr="00AD141B">
        <w:rPr>
          <w:rFonts w:cs="Arial"/>
        </w:rPr>
        <w:t xml:space="preserve">, ce qui respecte </w:t>
      </w:r>
      <w:r w:rsidR="004A5DA0" w:rsidRPr="00AD141B">
        <w:rPr>
          <w:rFonts w:cs="Arial"/>
        </w:rPr>
        <w:t xml:space="preserve">le choix législatif de lui conférer </w:t>
      </w:r>
      <w:r w:rsidRPr="00AD141B">
        <w:rPr>
          <w:rFonts w:cs="Arial"/>
        </w:rPr>
        <w:t xml:space="preserve">l’exercice discrétionnaire qui lui revient. </w:t>
      </w:r>
      <w:r w:rsidR="00D26BEE" w:rsidRPr="00AD141B">
        <w:rPr>
          <w:rFonts w:cs="Arial"/>
        </w:rPr>
        <w:t xml:space="preserve">Ce redressement sied bien à ce genre de litige, comme l’indique la Cour d’appel dans </w:t>
      </w:r>
      <w:r w:rsidR="00D26BEE" w:rsidRPr="00AD141B">
        <w:rPr>
          <w:rFonts w:cs="Arial"/>
          <w:i/>
          <w:iCs/>
        </w:rPr>
        <w:t>Ville de Mont-Saint-Hilaire</w:t>
      </w:r>
      <w:r w:rsidR="00D26BEE" w:rsidRPr="00AD141B">
        <w:rPr>
          <w:rFonts w:cs="Arial"/>
        </w:rPr>
        <w:t xml:space="preserve"> c. </w:t>
      </w:r>
      <w:r w:rsidR="00D26BEE" w:rsidRPr="00AD141B">
        <w:rPr>
          <w:rFonts w:cs="Arial"/>
          <w:i/>
          <w:iCs/>
        </w:rPr>
        <w:t>9193-4463 Québec inc</w:t>
      </w:r>
      <w:r w:rsidR="00D26BEE" w:rsidRPr="00AD141B">
        <w:rPr>
          <w:rFonts w:cs="Arial"/>
        </w:rPr>
        <w:t>.</w:t>
      </w:r>
      <w:r w:rsidR="00D26BEE" w:rsidRPr="00AD141B">
        <w:rPr>
          <w:rStyle w:val="Appelnotedebasdep"/>
          <w:rFonts w:cs="Arial"/>
        </w:rPr>
        <w:footnoteReference w:id="223"/>
      </w:r>
      <w:r w:rsidR="00D26BEE" w:rsidRPr="00AD141B">
        <w:rPr>
          <w:rFonts w:cs="Arial"/>
        </w:rPr>
        <w:t>.</w:t>
      </w:r>
    </w:p>
    <w:p w14:paraId="3ACD6DFF" w14:textId="645BC586" w:rsidR="00CD3933" w:rsidRPr="00592A8A" w:rsidRDefault="00E217B5" w:rsidP="00592A8A">
      <w:pPr>
        <w:pStyle w:val="Paragraphe"/>
        <w:tabs>
          <w:tab w:val="clear" w:pos="2204"/>
        </w:tabs>
        <w:spacing w:line="240" w:lineRule="auto"/>
        <w:ind w:left="0"/>
        <w:rPr>
          <w:rFonts w:cs="Arial"/>
        </w:rPr>
      </w:pPr>
      <w:r>
        <w:rPr>
          <w:rFonts w:cs="Arial"/>
        </w:rPr>
        <w:t>Le Tribunal est d’accord</w:t>
      </w:r>
      <w:r w:rsidR="00AD141B">
        <w:rPr>
          <w:rFonts w:cs="Arial"/>
        </w:rPr>
        <w:t>; il n’y a pas lieu de faire revivre les Règles budgétaires existant avant les modifications attaquées.</w:t>
      </w:r>
    </w:p>
    <w:p w14:paraId="26314972" w14:textId="017FC2F6" w:rsidR="00DA2DF6" w:rsidRPr="00326B69" w:rsidRDefault="00DA2DF6" w:rsidP="00F316C0">
      <w:pPr>
        <w:pStyle w:val="Paragraphe"/>
        <w:numPr>
          <w:ilvl w:val="0"/>
          <w:numId w:val="6"/>
        </w:numPr>
        <w:spacing w:line="240" w:lineRule="auto"/>
        <w:ind w:left="1800"/>
        <w:rPr>
          <w:i/>
        </w:rPr>
      </w:pPr>
      <w:r w:rsidRPr="00326B69">
        <w:rPr>
          <w:i/>
        </w:rPr>
        <w:t>L’exécution provisoire malgré l’appel</w:t>
      </w:r>
    </w:p>
    <w:p w14:paraId="4ED569D8" w14:textId="7ACFB736" w:rsidR="00273044" w:rsidRPr="00AB785B" w:rsidRDefault="00273044" w:rsidP="00BF716E">
      <w:pPr>
        <w:pStyle w:val="Paragraphe"/>
        <w:tabs>
          <w:tab w:val="clear" w:pos="2204"/>
          <w:tab w:val="num" w:pos="0"/>
        </w:tabs>
        <w:spacing w:line="240" w:lineRule="auto"/>
        <w:ind w:left="0"/>
        <w:rPr>
          <w:rFonts w:cs="Arial"/>
        </w:rPr>
      </w:pPr>
      <w:r>
        <w:rPr>
          <w:rFonts w:cs="Arial"/>
        </w:rPr>
        <w:t>McGill demande que les conclusions du présent jugement demeurent exécutoires malgré un appel éventuel. Elle écrit :</w:t>
      </w:r>
    </w:p>
    <w:p w14:paraId="1954E63A" w14:textId="21748A76" w:rsidR="00273044" w:rsidRPr="003334C8" w:rsidRDefault="00273044" w:rsidP="00CE1410">
      <w:pPr>
        <w:pStyle w:val="Citationenretrait"/>
      </w:pPr>
      <w:bookmarkStart w:id="83" w:name="_Hlk181022536"/>
      <w:r w:rsidRPr="003334C8">
        <w:t xml:space="preserve">Dans la mesure où le Pourvoi est accueilli, la Cour devra ordonner l’exécution provisoire nonobstant appel de son jugement conformément à l’article 661 </w:t>
      </w:r>
      <w:r w:rsidRPr="003334C8">
        <w:rPr>
          <w:i/>
          <w:iCs/>
        </w:rPr>
        <w:t>C.p.c</w:t>
      </w:r>
      <w:r w:rsidRPr="003334C8">
        <w:t>.. En effet, une fois jugées invalides, les mesures attaquées ne bénéficient d’aucune présomption à l’effet qu’elles serviraient l’intérêt public et les maintenir en vigueur causerait de multiples préjudices sérieux et irréparables aux universités « anglophones », à leur personnel, à leurs étudiants et à la société québécoise en général.</w:t>
      </w:r>
    </w:p>
    <w:p w14:paraId="7B82C74D" w14:textId="77777777" w:rsidR="00CE1410" w:rsidRDefault="00273044" w:rsidP="00CE1410">
      <w:pPr>
        <w:pStyle w:val="Citationenretrait"/>
      </w:pPr>
      <w:r w:rsidRPr="00273044">
        <w:t>De plus, ne pas ordonner l’exécution provisoire nonobstant appel aurait pour répercussion pratique de suspendre les effets de la déclaration d’invalidité alors que la norme rigoureuse à satisfaire pour obtenir un tel remède n’est pas rencontrée. En effet, l’annulation des mesures attaquées ne crée aucun danger pour le public ni ne menace la primauté du droi</w:t>
      </w:r>
      <w:r>
        <w:t>t</w:t>
      </w:r>
      <w:r w:rsidRPr="00273044">
        <w:t xml:space="preserve"> </w:t>
      </w:r>
      <w:bookmarkStart w:id="84" w:name="_Hlk181022644"/>
      <w:r w:rsidRPr="00273044">
        <w:t xml:space="preserve">et, si cette norme vaut pour les déclarations d’invalidité prononcées à l’encontre d’une </w:t>
      </w:r>
      <w:bookmarkEnd w:id="83"/>
      <w:r w:rsidRPr="00273044">
        <w:t>loi, à la rigueur, elle vaut également pour les décisions de la Ministre.</w:t>
      </w:r>
      <w:bookmarkEnd w:id="84"/>
      <w:r w:rsidR="008C6D21">
        <w:rPr>
          <w:rStyle w:val="Appelnotedebasdep"/>
        </w:rPr>
        <w:footnoteReference w:id="224"/>
      </w:r>
    </w:p>
    <w:p w14:paraId="6911067A" w14:textId="551A5216" w:rsidR="00273044" w:rsidRPr="00273044" w:rsidRDefault="00CE1410" w:rsidP="00CE1410">
      <w:pPr>
        <w:pStyle w:val="Citationenretrait"/>
        <w:tabs>
          <w:tab w:val="right" w:pos="8640"/>
        </w:tabs>
      </w:pPr>
      <w:r>
        <w:tab/>
      </w:r>
      <w:r w:rsidR="00273044">
        <w:t>[</w:t>
      </w:r>
      <w:r>
        <w:t>R</w:t>
      </w:r>
      <w:r w:rsidR="00273044">
        <w:t>éférences omises]</w:t>
      </w:r>
    </w:p>
    <w:p w14:paraId="393ADB85" w14:textId="1DC28829" w:rsidR="00273044" w:rsidRPr="006608FF" w:rsidRDefault="00273044" w:rsidP="00BF716E">
      <w:pPr>
        <w:pStyle w:val="Paragraphe"/>
        <w:tabs>
          <w:tab w:val="clear" w:pos="2204"/>
        </w:tabs>
        <w:spacing w:line="240" w:lineRule="auto"/>
        <w:ind w:left="0"/>
        <w:rPr>
          <w:rFonts w:cs="Arial"/>
          <w:b/>
          <w:bCs/>
        </w:rPr>
      </w:pPr>
      <w:r>
        <w:rPr>
          <w:rFonts w:cs="Arial"/>
        </w:rPr>
        <w:t xml:space="preserve">Le Tribunal ne fera pas droit à cette demande. Au contraire, il </w:t>
      </w:r>
      <w:r w:rsidR="003334C8">
        <w:rPr>
          <w:rFonts w:cs="Arial"/>
        </w:rPr>
        <w:t xml:space="preserve">se borne à retourner la Ministre </w:t>
      </w:r>
      <w:r>
        <w:rPr>
          <w:rFonts w:cs="Arial"/>
        </w:rPr>
        <w:t xml:space="preserve">à sa </w:t>
      </w:r>
      <w:r w:rsidR="00AD141B">
        <w:rPr>
          <w:rFonts w:cs="Arial"/>
        </w:rPr>
        <w:t>tâche</w:t>
      </w:r>
      <w:r>
        <w:rPr>
          <w:rFonts w:cs="Arial"/>
        </w:rPr>
        <w:t>, c’est-à-dire</w:t>
      </w:r>
      <w:r w:rsidR="003334C8">
        <w:rPr>
          <w:rFonts w:cs="Arial"/>
        </w:rPr>
        <w:t xml:space="preserve"> </w:t>
      </w:r>
      <w:r>
        <w:rPr>
          <w:rFonts w:cs="Arial"/>
        </w:rPr>
        <w:t>concevoir des Règles budgétaires qu</w:t>
      </w:r>
      <w:r w:rsidR="003334C8">
        <w:rPr>
          <w:rFonts w:cs="Arial"/>
        </w:rPr>
        <w:t xml:space="preserve">’elle </w:t>
      </w:r>
      <w:r>
        <w:rPr>
          <w:rFonts w:cs="Arial"/>
        </w:rPr>
        <w:t>jugera approprié</w:t>
      </w:r>
      <w:r w:rsidR="003334C8">
        <w:rPr>
          <w:rFonts w:cs="Arial"/>
        </w:rPr>
        <w:t>es</w:t>
      </w:r>
      <w:r>
        <w:rPr>
          <w:rFonts w:cs="Arial"/>
        </w:rPr>
        <w:t>, le tout</w:t>
      </w:r>
      <w:r w:rsidR="003334C8">
        <w:rPr>
          <w:rFonts w:cs="Arial"/>
        </w:rPr>
        <w:t>, dans le respect de la LMES et</w:t>
      </w:r>
      <w:r>
        <w:rPr>
          <w:rFonts w:cs="Arial"/>
        </w:rPr>
        <w:t xml:space="preserve"> en tenant compte du présent jugement. </w:t>
      </w:r>
      <w:r w:rsidR="003334C8">
        <w:rPr>
          <w:rFonts w:cs="Arial"/>
        </w:rPr>
        <w:t>Encore une fois, l</w:t>
      </w:r>
      <w:r>
        <w:rPr>
          <w:rFonts w:cs="Arial"/>
        </w:rPr>
        <w:t xml:space="preserve">es </w:t>
      </w:r>
      <w:r w:rsidR="003334C8">
        <w:rPr>
          <w:rFonts w:cs="Arial"/>
        </w:rPr>
        <w:t>P</w:t>
      </w:r>
      <w:r>
        <w:rPr>
          <w:rFonts w:cs="Arial"/>
        </w:rPr>
        <w:t xml:space="preserve">ourvois concernent les deniers publics et le Tribunal doit observer la plus grande retenue à cet égard. Il ne peut dicter à l’avance le contenu des Règles budgétaires </w:t>
      </w:r>
      <w:r w:rsidR="00391E24" w:rsidRPr="00AD141B">
        <w:rPr>
          <w:rFonts w:cs="Arial"/>
        </w:rPr>
        <w:t>annulées</w:t>
      </w:r>
      <w:r w:rsidR="00391E24">
        <w:rPr>
          <w:rFonts w:cs="Arial"/>
        </w:rPr>
        <w:t xml:space="preserve"> </w:t>
      </w:r>
      <w:r>
        <w:rPr>
          <w:rFonts w:cs="Arial"/>
        </w:rPr>
        <w:t>n</w:t>
      </w:r>
      <w:r w:rsidR="00AD141B">
        <w:rPr>
          <w:rFonts w:cs="Arial"/>
        </w:rPr>
        <w:t xml:space="preserve">i </w:t>
      </w:r>
      <w:r>
        <w:rPr>
          <w:rFonts w:cs="Arial"/>
        </w:rPr>
        <w:t>imposer au trésor public des octrois de deniers à des parties spécifiques.</w:t>
      </w:r>
    </w:p>
    <w:p w14:paraId="4B8D6E14" w14:textId="590388C2" w:rsidR="003334C8" w:rsidRPr="00AD141B" w:rsidRDefault="006608FF" w:rsidP="00BF716E">
      <w:pPr>
        <w:pStyle w:val="Paragraphe"/>
        <w:tabs>
          <w:tab w:val="clear" w:pos="2204"/>
        </w:tabs>
        <w:spacing w:line="240" w:lineRule="auto"/>
        <w:ind w:left="0"/>
        <w:rPr>
          <w:rFonts w:cs="Arial"/>
          <w:b/>
          <w:bCs/>
        </w:rPr>
      </w:pPr>
      <w:r>
        <w:rPr>
          <w:rFonts w:cs="Arial"/>
        </w:rPr>
        <w:t>De même, le présent jugement s’avère prospectif et ne remet pas en cause la validité des subventions versées jusqu’à présent par la Ministre aux universités québécoises.</w:t>
      </w:r>
    </w:p>
    <w:p w14:paraId="6F47739E" w14:textId="25F8B700" w:rsidR="00AD141B" w:rsidRPr="00326B69" w:rsidRDefault="00AD141B" w:rsidP="00F316C0">
      <w:pPr>
        <w:pStyle w:val="Paragraphe"/>
        <w:numPr>
          <w:ilvl w:val="0"/>
          <w:numId w:val="6"/>
        </w:numPr>
        <w:spacing w:line="240" w:lineRule="auto"/>
        <w:ind w:left="1800"/>
        <w:rPr>
          <w:b/>
          <w:i/>
        </w:rPr>
      </w:pPr>
      <w:r w:rsidRPr="00326B69">
        <w:rPr>
          <w:i/>
        </w:rPr>
        <w:t>La suspension de certaines conclusions du présent jugement</w:t>
      </w:r>
    </w:p>
    <w:p w14:paraId="76071A19" w14:textId="28146E69" w:rsidR="00DF51A6" w:rsidRPr="00691619" w:rsidRDefault="006608FF" w:rsidP="00691619">
      <w:pPr>
        <w:pStyle w:val="Paragraphe"/>
        <w:tabs>
          <w:tab w:val="clear" w:pos="2204"/>
        </w:tabs>
        <w:spacing w:line="240" w:lineRule="auto"/>
        <w:ind w:left="0"/>
        <w:rPr>
          <w:rFonts w:cs="Arial"/>
          <w:b/>
          <w:bCs/>
        </w:rPr>
      </w:pPr>
      <w:r w:rsidRPr="00E32B07">
        <w:rPr>
          <w:rFonts w:cs="Arial"/>
        </w:rPr>
        <w:t xml:space="preserve">Il y aura </w:t>
      </w:r>
      <w:r w:rsidR="005261CE">
        <w:rPr>
          <w:rFonts w:cs="Arial"/>
        </w:rPr>
        <w:t>lieu de suspendre</w:t>
      </w:r>
      <w:r w:rsidRPr="00E32B07">
        <w:rPr>
          <w:rFonts w:cs="Arial"/>
        </w:rPr>
        <w:t xml:space="preserve"> l’effet </w:t>
      </w:r>
      <w:r w:rsidR="00AD141B" w:rsidRPr="00E32B07">
        <w:rPr>
          <w:rFonts w:cs="Arial"/>
        </w:rPr>
        <w:t xml:space="preserve">de certaines conclusions </w:t>
      </w:r>
      <w:r w:rsidRPr="00E32B07">
        <w:rPr>
          <w:rFonts w:cs="Arial"/>
        </w:rPr>
        <w:t xml:space="preserve">du présent jugement. Entre-temps, </w:t>
      </w:r>
      <w:r w:rsidR="003334C8" w:rsidRPr="00E32B07">
        <w:rPr>
          <w:rFonts w:cs="Arial"/>
        </w:rPr>
        <w:t xml:space="preserve">afin d’éviter un vide juridique, </w:t>
      </w:r>
      <w:r w:rsidR="00F947CC" w:rsidRPr="00E32B07">
        <w:rPr>
          <w:rFonts w:cs="Arial"/>
        </w:rPr>
        <w:t>la Règle budgétaire 3.4 concernant les étudiants CNRQ, telle que modifiée par la Ministre, continuera de s’appliquer.</w:t>
      </w:r>
      <w:r w:rsidR="00AD141B" w:rsidRPr="00E32B07">
        <w:rPr>
          <w:rFonts w:cs="Arial"/>
        </w:rPr>
        <w:t xml:space="preserve"> </w:t>
      </w:r>
      <w:r w:rsidR="00F947CC" w:rsidRPr="00E32B07">
        <w:rPr>
          <w:rFonts w:cs="Arial"/>
        </w:rPr>
        <w:t>Cependant, c</w:t>
      </w:r>
      <w:r w:rsidRPr="00E32B07">
        <w:rPr>
          <w:rFonts w:cs="Arial"/>
        </w:rPr>
        <w:t xml:space="preserve">elle relative à </w:t>
      </w:r>
      <w:r w:rsidR="003334C8" w:rsidRPr="00E32B07">
        <w:rPr>
          <w:rFonts w:cs="Arial"/>
        </w:rPr>
        <w:t>l’acquisition de compétences</w:t>
      </w:r>
      <w:r w:rsidR="00A30473" w:rsidRPr="00E32B07">
        <w:rPr>
          <w:rFonts w:cs="Arial"/>
        </w:rPr>
        <w:t xml:space="preserve"> en français</w:t>
      </w:r>
      <w:r w:rsidR="00CA799C" w:rsidRPr="00E32B07">
        <w:rPr>
          <w:rFonts w:cs="Arial"/>
        </w:rPr>
        <w:t xml:space="preserve"> par 80</w:t>
      </w:r>
      <w:r w:rsidR="00447203">
        <w:rPr>
          <w:rFonts w:cs="Arial"/>
        </w:rPr>
        <w:t> </w:t>
      </w:r>
      <w:r w:rsidR="00CA799C" w:rsidRPr="00E32B07">
        <w:rPr>
          <w:rFonts w:cs="Arial"/>
        </w:rPr>
        <w:t>% d’étudiants non québécois</w:t>
      </w:r>
      <w:r w:rsidRPr="00E32B07">
        <w:rPr>
          <w:rFonts w:cs="Arial"/>
        </w:rPr>
        <w:t xml:space="preserve"> cesse d’avoir effet immédiatement.</w:t>
      </w:r>
    </w:p>
    <w:p w14:paraId="172E7A17" w14:textId="73AC5145" w:rsidR="00DA2DF6" w:rsidRPr="00691619" w:rsidRDefault="00DA2DF6" w:rsidP="00F316C0">
      <w:pPr>
        <w:pStyle w:val="Paragraphe"/>
        <w:numPr>
          <w:ilvl w:val="0"/>
          <w:numId w:val="6"/>
        </w:numPr>
        <w:spacing w:line="240" w:lineRule="auto"/>
        <w:ind w:left="1800"/>
        <w:rPr>
          <w:b/>
          <w:i/>
        </w:rPr>
      </w:pPr>
      <w:r w:rsidRPr="00691619">
        <w:rPr>
          <w:i/>
        </w:rPr>
        <w:t>Les frais de justice</w:t>
      </w:r>
    </w:p>
    <w:p w14:paraId="56FAB7E3" w14:textId="0A80D345" w:rsidR="00E32B07" w:rsidRPr="00B40725" w:rsidRDefault="00E32B07" w:rsidP="00BF716E">
      <w:pPr>
        <w:pStyle w:val="Paragraphe"/>
        <w:tabs>
          <w:tab w:val="clear" w:pos="2204"/>
        </w:tabs>
        <w:spacing w:line="240" w:lineRule="auto"/>
        <w:ind w:left="0"/>
        <w:rPr>
          <w:rFonts w:cs="Arial"/>
          <w:b/>
          <w:bCs/>
        </w:rPr>
      </w:pPr>
      <w:r>
        <w:rPr>
          <w:rFonts w:cs="Arial"/>
        </w:rPr>
        <w:t xml:space="preserve">Les arguments de droit administratif que développe Concordia ne sont pas tous acceptés par le Tribunal. Plutôt, l’approche mise de l’avant par Concordia réussit mais pour des motifs que développe </w:t>
      </w:r>
      <w:r w:rsidR="006F3110">
        <w:rPr>
          <w:rFonts w:cs="Arial"/>
        </w:rPr>
        <w:t xml:space="preserve">surtout </w:t>
      </w:r>
      <w:r>
        <w:rPr>
          <w:rFonts w:cs="Arial"/>
        </w:rPr>
        <w:t>McGill.</w:t>
      </w:r>
    </w:p>
    <w:p w14:paraId="6B6D5388" w14:textId="5450DF16" w:rsidR="00E32B07" w:rsidRPr="00292930" w:rsidRDefault="00E32B07" w:rsidP="00BF716E">
      <w:pPr>
        <w:pStyle w:val="Paragraphe"/>
        <w:tabs>
          <w:tab w:val="clear" w:pos="2204"/>
        </w:tabs>
        <w:spacing w:line="240" w:lineRule="auto"/>
        <w:ind w:left="0"/>
        <w:rPr>
          <w:rFonts w:cs="Arial"/>
          <w:b/>
          <w:bCs/>
        </w:rPr>
      </w:pPr>
      <w:r>
        <w:rPr>
          <w:rFonts w:cs="Arial"/>
        </w:rPr>
        <w:t xml:space="preserve">Les contestations soulevaient d’épineuses questions de droit administratif et </w:t>
      </w:r>
      <w:r w:rsidR="00603A58">
        <w:rPr>
          <w:rFonts w:cs="Arial"/>
        </w:rPr>
        <w:t xml:space="preserve">de droit </w:t>
      </w:r>
      <w:r>
        <w:rPr>
          <w:rFonts w:cs="Arial"/>
        </w:rPr>
        <w:t xml:space="preserve">constitutionnel, certaines même inédites. Le Tribunal décide de leurs sorts suivant un chemin qui emprunte à chacune des parties, </w:t>
      </w:r>
      <w:r w:rsidR="002A2960">
        <w:rPr>
          <w:rFonts w:cs="Arial"/>
        </w:rPr>
        <w:t>y compris le</w:t>
      </w:r>
      <w:r>
        <w:rPr>
          <w:rFonts w:cs="Arial"/>
        </w:rPr>
        <w:t xml:space="preserve"> PGQ</w:t>
      </w:r>
      <w:r w:rsidR="00EF626E">
        <w:rPr>
          <w:rFonts w:cs="Arial"/>
        </w:rPr>
        <w:t>.</w:t>
      </w:r>
    </w:p>
    <w:p w14:paraId="2D5BE0D7" w14:textId="77777777" w:rsidR="006F3110" w:rsidRDefault="002A2960" w:rsidP="00D66C9F">
      <w:pPr>
        <w:pStyle w:val="Paragraphe"/>
        <w:tabs>
          <w:tab w:val="clear" w:pos="2204"/>
        </w:tabs>
        <w:spacing w:line="240" w:lineRule="auto"/>
        <w:ind w:left="0"/>
        <w:rPr>
          <w:rFonts w:cs="Arial"/>
        </w:rPr>
      </w:pPr>
      <w:r w:rsidRPr="006F3110">
        <w:rPr>
          <w:rFonts w:cs="Arial"/>
        </w:rPr>
        <w:t>En définitive, les parties demanderesses sortent en grande partie victorieuses des pourvois déposés à la Cour.</w:t>
      </w:r>
      <w:r w:rsidR="006F3110" w:rsidRPr="006F3110">
        <w:rPr>
          <w:rFonts w:cs="Arial"/>
        </w:rPr>
        <w:t xml:space="preserve"> </w:t>
      </w:r>
    </w:p>
    <w:p w14:paraId="4705D60C" w14:textId="0CE7A2C4" w:rsidR="00E32B07" w:rsidRPr="006F3110" w:rsidRDefault="006F3110" w:rsidP="00D66C9F">
      <w:pPr>
        <w:pStyle w:val="Paragraphe"/>
        <w:tabs>
          <w:tab w:val="clear" w:pos="2204"/>
        </w:tabs>
        <w:spacing w:line="240" w:lineRule="auto"/>
        <w:ind w:left="0"/>
        <w:rPr>
          <w:rFonts w:cs="Arial"/>
        </w:rPr>
      </w:pPr>
      <w:r w:rsidRPr="006F3110">
        <w:rPr>
          <w:rFonts w:cs="Arial"/>
        </w:rPr>
        <w:t>Voil</w:t>
      </w:r>
      <w:r>
        <w:rPr>
          <w:rFonts w:cs="Arial"/>
        </w:rPr>
        <w:t>à</w:t>
      </w:r>
      <w:r w:rsidRPr="006F3110">
        <w:rPr>
          <w:rFonts w:cs="Arial"/>
        </w:rPr>
        <w:t xml:space="preserve"> pourquoi </w:t>
      </w:r>
      <w:r>
        <w:rPr>
          <w:rFonts w:cs="Arial"/>
        </w:rPr>
        <w:t>l</w:t>
      </w:r>
      <w:r w:rsidR="006608FF" w:rsidRPr="006F3110">
        <w:rPr>
          <w:rFonts w:cs="Arial"/>
        </w:rPr>
        <w:t xml:space="preserve">es frais de justice seront à la charge du PGQ suivant la règle générale que prévoit l’article </w:t>
      </w:r>
      <w:r w:rsidR="00A34651" w:rsidRPr="006F3110">
        <w:rPr>
          <w:rFonts w:cs="Arial"/>
        </w:rPr>
        <w:t>340</w:t>
      </w:r>
      <w:r w:rsidR="006608FF" w:rsidRPr="006F3110">
        <w:rPr>
          <w:rFonts w:cs="Arial"/>
        </w:rPr>
        <w:t xml:space="preserve"> </w:t>
      </w:r>
      <w:r w:rsidR="006608FF" w:rsidRPr="006F3110">
        <w:rPr>
          <w:rFonts w:cs="Arial"/>
          <w:i/>
          <w:iCs/>
        </w:rPr>
        <w:t>C.p.c</w:t>
      </w:r>
      <w:r w:rsidR="006608FF" w:rsidRPr="006F3110">
        <w:rPr>
          <w:rFonts w:cs="Arial"/>
        </w:rPr>
        <w:t>.</w:t>
      </w:r>
    </w:p>
    <w:p w14:paraId="0A02EA1D" w14:textId="2875B74D" w:rsidR="00B40725" w:rsidRPr="00E32B07" w:rsidRDefault="00B40725" w:rsidP="0051482F">
      <w:pPr>
        <w:pStyle w:val="Paragraphe"/>
        <w:numPr>
          <w:ilvl w:val="0"/>
          <w:numId w:val="0"/>
        </w:numPr>
        <w:spacing w:line="240" w:lineRule="auto"/>
        <w:rPr>
          <w:rFonts w:cs="Arial"/>
          <w:b/>
          <w:bCs/>
        </w:rPr>
      </w:pPr>
      <w:r w:rsidRPr="00E32B07">
        <w:rPr>
          <w:rFonts w:cs="Arial"/>
          <w:b/>
          <w:bCs/>
        </w:rPr>
        <w:t>CONCLUSION</w:t>
      </w:r>
    </w:p>
    <w:p w14:paraId="4CE28A6D" w14:textId="2E707116" w:rsidR="00292930" w:rsidRPr="006608FF" w:rsidRDefault="00EF626E" w:rsidP="00BF716E">
      <w:pPr>
        <w:pStyle w:val="Paragraphe"/>
        <w:tabs>
          <w:tab w:val="clear" w:pos="2204"/>
        </w:tabs>
        <w:spacing w:line="240" w:lineRule="auto"/>
        <w:ind w:left="0"/>
        <w:rPr>
          <w:rFonts w:cs="Arial"/>
          <w:b/>
          <w:bCs/>
        </w:rPr>
      </w:pPr>
      <w:r>
        <w:rPr>
          <w:rFonts w:cs="Arial"/>
        </w:rPr>
        <w:t>Le</w:t>
      </w:r>
      <w:r w:rsidR="00292930">
        <w:rPr>
          <w:rFonts w:cs="Arial"/>
        </w:rPr>
        <w:t xml:space="preserve"> Tribunal souligne la grande qualité des </w:t>
      </w:r>
      <w:r w:rsidR="00127FB9">
        <w:rPr>
          <w:rFonts w:cs="Arial"/>
        </w:rPr>
        <w:t>procédures</w:t>
      </w:r>
      <w:r w:rsidR="00292930">
        <w:rPr>
          <w:rFonts w:cs="Arial"/>
        </w:rPr>
        <w:t xml:space="preserve"> </w:t>
      </w:r>
      <w:r w:rsidR="00127FB9">
        <w:rPr>
          <w:rFonts w:cs="Arial"/>
        </w:rPr>
        <w:t>et des plaidoiries</w:t>
      </w:r>
      <w:r w:rsidR="00292930">
        <w:rPr>
          <w:rFonts w:cs="Arial"/>
        </w:rPr>
        <w:t xml:space="preserve"> des avocats et avocates agissant pour </w:t>
      </w:r>
      <w:r w:rsidR="00127FB9">
        <w:rPr>
          <w:rFonts w:cs="Arial"/>
        </w:rPr>
        <w:t>chacune de</w:t>
      </w:r>
      <w:r w:rsidR="00292930">
        <w:rPr>
          <w:rFonts w:cs="Arial"/>
        </w:rPr>
        <w:t>s parties.</w:t>
      </w:r>
    </w:p>
    <w:p w14:paraId="71B17814" w14:textId="747AF8BD" w:rsidR="00B26028" w:rsidRPr="00266A84" w:rsidRDefault="00B26028" w:rsidP="00AE4080">
      <w:pPr>
        <w:pStyle w:val="Paragraphe"/>
        <w:keepNext/>
        <w:numPr>
          <w:ilvl w:val="0"/>
          <w:numId w:val="0"/>
        </w:numPr>
        <w:spacing w:line="240" w:lineRule="auto"/>
        <w:rPr>
          <w:rFonts w:cs="Arial"/>
          <w:b/>
          <w:bCs/>
        </w:rPr>
      </w:pPr>
      <w:r w:rsidRPr="00266A84">
        <w:rPr>
          <w:rFonts w:cs="Arial"/>
          <w:b/>
          <w:bCs/>
        </w:rPr>
        <w:t>POUR CES MOTIFS, LE TRIBUNAL :</w:t>
      </w:r>
    </w:p>
    <w:p w14:paraId="1F184765" w14:textId="17B7B429" w:rsidR="00B26028" w:rsidRDefault="00E030A5" w:rsidP="00AE4080">
      <w:pPr>
        <w:pStyle w:val="Paragraphe"/>
        <w:keepNext/>
        <w:tabs>
          <w:tab w:val="clear" w:pos="2204"/>
        </w:tabs>
        <w:spacing w:line="240" w:lineRule="auto"/>
        <w:ind w:left="0"/>
        <w:rPr>
          <w:rFonts w:cs="Arial"/>
        </w:rPr>
      </w:pPr>
      <w:r w:rsidRPr="00A30473">
        <w:rPr>
          <w:b/>
          <w:bCs/>
          <w:szCs w:val="24"/>
        </w:rPr>
        <w:t>ACCUEILLE</w:t>
      </w:r>
      <w:r w:rsidRPr="00DE726B">
        <w:rPr>
          <w:szCs w:val="24"/>
        </w:rPr>
        <w:t xml:space="preserve"> </w:t>
      </w:r>
      <w:r w:rsidR="0052075D">
        <w:rPr>
          <w:szCs w:val="24"/>
        </w:rPr>
        <w:t xml:space="preserve">en partie </w:t>
      </w:r>
      <w:r w:rsidR="00B26028" w:rsidRPr="00DE726B">
        <w:rPr>
          <w:szCs w:val="24"/>
        </w:rPr>
        <w:t>le pourvoi en contrôle judiciaire de l’Université</w:t>
      </w:r>
      <w:r w:rsidR="00B26028">
        <w:rPr>
          <w:rFonts w:cs="Arial"/>
        </w:rPr>
        <w:t xml:space="preserve"> McGill;</w:t>
      </w:r>
    </w:p>
    <w:p w14:paraId="22D5E4CA" w14:textId="6C45053F" w:rsidR="00E030A5" w:rsidRPr="00E030A5" w:rsidRDefault="00E030A5" w:rsidP="00BF716E">
      <w:pPr>
        <w:pStyle w:val="Paragraphe"/>
        <w:tabs>
          <w:tab w:val="clear" w:pos="2204"/>
        </w:tabs>
        <w:spacing w:line="240" w:lineRule="auto"/>
        <w:ind w:left="0"/>
      </w:pPr>
      <w:r w:rsidRPr="00266A84">
        <w:rPr>
          <w:b/>
          <w:bCs/>
        </w:rPr>
        <w:t>ACCUEILLE</w:t>
      </w:r>
      <w:r>
        <w:t xml:space="preserve"> </w:t>
      </w:r>
      <w:r w:rsidR="0052075D">
        <w:t xml:space="preserve">en partie </w:t>
      </w:r>
      <w:r w:rsidR="000900C7">
        <w:rPr>
          <w:rFonts w:cs="Arial"/>
        </w:rPr>
        <w:t>le</w:t>
      </w:r>
      <w:r>
        <w:t xml:space="preserve"> pourvoi en contrôle judiciaire de l’Université Concordia et Lucas Meldrum;</w:t>
      </w:r>
    </w:p>
    <w:p w14:paraId="747860AD" w14:textId="03601520" w:rsidR="00B26028" w:rsidRPr="00E32B07" w:rsidRDefault="00B26028" w:rsidP="00BF716E">
      <w:pPr>
        <w:pStyle w:val="Paragraphe"/>
        <w:tabs>
          <w:tab w:val="clear" w:pos="2204"/>
        </w:tabs>
        <w:spacing w:line="240" w:lineRule="auto"/>
        <w:ind w:left="0"/>
        <w:rPr>
          <w:rFonts w:cs="Arial"/>
        </w:rPr>
      </w:pPr>
      <w:bookmarkStart w:id="85" w:name="_Hlk191040424"/>
      <w:r w:rsidRPr="00E32B07">
        <w:rPr>
          <w:rFonts w:cs="Arial"/>
          <w:b/>
          <w:bCs/>
        </w:rPr>
        <w:t>DÉCLARE DÉRAISONNABLE</w:t>
      </w:r>
      <w:r w:rsidR="00436830">
        <w:rPr>
          <w:rFonts w:cs="Arial"/>
          <w:b/>
          <w:bCs/>
        </w:rPr>
        <w:t>S</w:t>
      </w:r>
      <w:r w:rsidR="00114660" w:rsidRPr="00E32B07">
        <w:rPr>
          <w:rFonts w:cs="Arial"/>
        </w:rPr>
        <w:t xml:space="preserve">, pour les motifs qu’elle invoque, </w:t>
      </w:r>
      <w:r w:rsidR="00266A84" w:rsidRPr="00E32B07">
        <w:rPr>
          <w:rFonts w:cs="Arial"/>
        </w:rPr>
        <w:t>et par conséquent</w:t>
      </w:r>
      <w:r w:rsidR="00266A84" w:rsidRPr="00E32B07">
        <w:rPr>
          <w:rFonts w:cs="Arial"/>
          <w:b/>
          <w:bCs/>
        </w:rPr>
        <w:t xml:space="preserve"> INVALIDE</w:t>
      </w:r>
      <w:r w:rsidRPr="00E32B07">
        <w:rPr>
          <w:rFonts w:cs="Arial"/>
        </w:rPr>
        <w:t xml:space="preserve"> l</w:t>
      </w:r>
      <w:r w:rsidR="00436830">
        <w:rPr>
          <w:rFonts w:cs="Arial"/>
        </w:rPr>
        <w:t>es</w:t>
      </w:r>
      <w:r w:rsidRPr="00E32B07">
        <w:rPr>
          <w:rFonts w:cs="Arial"/>
        </w:rPr>
        <w:t xml:space="preserve"> décision</w:t>
      </w:r>
      <w:r w:rsidR="00436830">
        <w:rPr>
          <w:rFonts w:cs="Arial"/>
        </w:rPr>
        <w:t>s</w:t>
      </w:r>
      <w:r w:rsidRPr="00E32B07">
        <w:rPr>
          <w:rFonts w:cs="Arial"/>
        </w:rPr>
        <w:t xml:space="preserve"> </w:t>
      </w:r>
      <w:bookmarkEnd w:id="85"/>
      <w:r w:rsidRPr="00E32B07">
        <w:rPr>
          <w:rFonts w:cs="Arial"/>
        </w:rPr>
        <w:t xml:space="preserve">de la </w:t>
      </w:r>
      <w:r w:rsidR="00114660" w:rsidRPr="00E32B07">
        <w:rPr>
          <w:rFonts w:cs="Arial"/>
        </w:rPr>
        <w:t>ministre de l’Enseignement</w:t>
      </w:r>
      <w:r w:rsidR="00202A2C" w:rsidRPr="00E32B07">
        <w:rPr>
          <w:rFonts w:cs="Arial"/>
        </w:rPr>
        <w:t xml:space="preserve"> supérieur</w:t>
      </w:r>
      <w:r w:rsidR="00114660" w:rsidRPr="00E32B07">
        <w:rPr>
          <w:rFonts w:cs="Arial"/>
        </w:rPr>
        <w:t xml:space="preserve"> </w:t>
      </w:r>
      <w:r w:rsidRPr="00E32B07">
        <w:rPr>
          <w:rFonts w:cs="Arial"/>
        </w:rPr>
        <w:t xml:space="preserve">de modifier </w:t>
      </w:r>
      <w:r w:rsidR="00A85EF0" w:rsidRPr="00E32B07">
        <w:rPr>
          <w:rFonts w:cs="Arial"/>
        </w:rPr>
        <w:t xml:space="preserve">la règle 3.4 </w:t>
      </w:r>
      <w:r w:rsidR="00436830" w:rsidRPr="00E32B07">
        <w:rPr>
          <w:rFonts w:cs="Arial"/>
        </w:rPr>
        <w:t xml:space="preserve">des </w:t>
      </w:r>
      <w:r w:rsidR="00436830" w:rsidRPr="00E32B07">
        <w:rPr>
          <w:rFonts w:cs="Arial"/>
          <w:i/>
          <w:iCs/>
        </w:rPr>
        <w:t>Règles budgétaires et calcul des subventions de fonctionnement aux universités du Québec, année universitaire 2023-2024</w:t>
      </w:r>
      <w:r w:rsidR="00436830">
        <w:rPr>
          <w:rFonts w:cs="Arial"/>
          <w:i/>
          <w:iCs/>
        </w:rPr>
        <w:t xml:space="preserve"> </w:t>
      </w:r>
      <w:r w:rsidR="00A85EF0" w:rsidRPr="00E32B07">
        <w:rPr>
          <w:rFonts w:cs="Arial"/>
        </w:rPr>
        <w:t xml:space="preserve">et </w:t>
      </w:r>
      <w:r w:rsidR="003077A4" w:rsidRPr="00DF51A6">
        <w:rPr>
          <w:rFonts w:cs="Arial"/>
        </w:rPr>
        <w:t>de prévoir</w:t>
      </w:r>
      <w:r w:rsidR="003077A4">
        <w:rPr>
          <w:rFonts w:cs="Arial"/>
        </w:rPr>
        <w:t xml:space="preserve"> </w:t>
      </w:r>
      <w:r w:rsidR="00C3008E">
        <w:rPr>
          <w:rFonts w:cs="Arial"/>
        </w:rPr>
        <w:t xml:space="preserve">le </w:t>
      </w:r>
      <w:r w:rsidR="00C3008E" w:rsidRPr="00E32B07">
        <w:rPr>
          <w:rFonts w:cs="Arial"/>
        </w:rPr>
        <w:t>taux de 80</w:t>
      </w:r>
      <w:r w:rsidR="00174E59">
        <w:rPr>
          <w:rFonts w:cs="Arial"/>
        </w:rPr>
        <w:t> </w:t>
      </w:r>
      <w:r w:rsidR="00C3008E" w:rsidRPr="00E32B07">
        <w:rPr>
          <w:rFonts w:cs="Arial"/>
        </w:rPr>
        <w:t xml:space="preserve">% </w:t>
      </w:r>
      <w:r w:rsidR="00C3008E">
        <w:rPr>
          <w:rFonts w:cs="Arial"/>
        </w:rPr>
        <w:t>à</w:t>
      </w:r>
      <w:r w:rsidR="00A85EF0" w:rsidRPr="00E32B07">
        <w:rPr>
          <w:rFonts w:cs="Arial"/>
        </w:rPr>
        <w:t xml:space="preserve"> la règle 2.5.2 d</w:t>
      </w:r>
      <w:r w:rsidRPr="00E32B07">
        <w:rPr>
          <w:rFonts w:cs="Arial"/>
        </w:rPr>
        <w:t xml:space="preserve">es </w:t>
      </w:r>
      <w:r w:rsidR="00140F52" w:rsidRPr="00E32B07">
        <w:rPr>
          <w:rFonts w:cs="Arial"/>
          <w:i/>
          <w:iCs/>
        </w:rPr>
        <w:t>Règles budgétaires et calcul des subventions de fonctionnement aux universités du Québec, année universitaire 2024-202</w:t>
      </w:r>
      <w:r w:rsidR="00436830">
        <w:rPr>
          <w:rFonts w:cs="Arial"/>
          <w:i/>
          <w:iCs/>
        </w:rPr>
        <w:t>5</w:t>
      </w:r>
      <w:r w:rsidR="000900C7" w:rsidRPr="00E32B07">
        <w:rPr>
          <w:rFonts w:cs="Arial"/>
        </w:rPr>
        <w:t>;</w:t>
      </w:r>
    </w:p>
    <w:p w14:paraId="5E8D5816" w14:textId="29ED0702" w:rsidR="000900C7" w:rsidRPr="00E32B07" w:rsidRDefault="000900C7" w:rsidP="00BF716E">
      <w:pPr>
        <w:pStyle w:val="Paragraphe"/>
        <w:tabs>
          <w:tab w:val="clear" w:pos="2204"/>
        </w:tabs>
        <w:spacing w:line="240" w:lineRule="auto"/>
        <w:ind w:left="0"/>
        <w:rPr>
          <w:rFonts w:cs="Arial"/>
        </w:rPr>
      </w:pPr>
      <w:r w:rsidRPr="00E32B07">
        <w:rPr>
          <w:rFonts w:cs="Arial"/>
          <w:b/>
          <w:bCs/>
        </w:rPr>
        <w:t xml:space="preserve">DÉCLARE DÉRAISONNABLE </w:t>
      </w:r>
      <w:r w:rsidRPr="00E32B07">
        <w:rPr>
          <w:rFonts w:cs="Arial"/>
        </w:rPr>
        <w:t>et par conséquent</w:t>
      </w:r>
      <w:r w:rsidRPr="00E32B07">
        <w:rPr>
          <w:rFonts w:cs="Arial"/>
          <w:b/>
          <w:bCs/>
        </w:rPr>
        <w:t xml:space="preserve"> INVALIDE</w:t>
      </w:r>
      <w:r w:rsidRPr="00E32B07">
        <w:rPr>
          <w:rFonts w:cs="Arial"/>
        </w:rPr>
        <w:t xml:space="preserve"> </w:t>
      </w:r>
      <w:r w:rsidR="00A85EF0" w:rsidRPr="00E32B07">
        <w:rPr>
          <w:rFonts w:cs="Arial"/>
        </w:rPr>
        <w:t xml:space="preserve">la modification de la règle 3.4 </w:t>
      </w:r>
      <w:r w:rsidRPr="00E32B07">
        <w:rPr>
          <w:rFonts w:cs="Arial"/>
        </w:rPr>
        <w:t xml:space="preserve">des </w:t>
      </w:r>
      <w:r w:rsidR="00140F52" w:rsidRPr="00E32B07">
        <w:rPr>
          <w:rFonts w:cs="Arial"/>
          <w:i/>
          <w:iCs/>
        </w:rPr>
        <w:t>Règles budgétaires et calcul des subventions de fonctionnement aux universités du Québec, année universitaire 2023-2024</w:t>
      </w:r>
      <w:r w:rsidRPr="00E32B07">
        <w:rPr>
          <w:rFonts w:cs="Arial"/>
        </w:rPr>
        <w:t>;</w:t>
      </w:r>
    </w:p>
    <w:p w14:paraId="49B0B259" w14:textId="0D76AA8F" w:rsidR="00266A84" w:rsidRPr="00E32B07" w:rsidRDefault="00B26028" w:rsidP="00BF716E">
      <w:pPr>
        <w:pStyle w:val="Paragraphe"/>
        <w:tabs>
          <w:tab w:val="clear" w:pos="2204"/>
        </w:tabs>
        <w:spacing w:line="240" w:lineRule="auto"/>
        <w:ind w:left="0"/>
        <w:rPr>
          <w:rFonts w:cs="Arial"/>
        </w:rPr>
      </w:pPr>
      <w:r w:rsidRPr="00E32B07">
        <w:rPr>
          <w:rFonts w:cs="Arial"/>
          <w:b/>
          <w:bCs/>
        </w:rPr>
        <w:t>DÉCLARE DÉRAISONNABLE</w:t>
      </w:r>
      <w:r w:rsidRPr="00E32B07">
        <w:rPr>
          <w:rFonts w:cs="Arial"/>
        </w:rPr>
        <w:t xml:space="preserve"> </w:t>
      </w:r>
      <w:r w:rsidR="00266A84" w:rsidRPr="00E32B07">
        <w:rPr>
          <w:rFonts w:cs="Arial"/>
        </w:rPr>
        <w:t>et par conséquent</w:t>
      </w:r>
      <w:r w:rsidR="00266A84" w:rsidRPr="00E32B07">
        <w:rPr>
          <w:rFonts w:cs="Arial"/>
          <w:b/>
          <w:bCs/>
        </w:rPr>
        <w:t xml:space="preserve"> INVALIDE</w:t>
      </w:r>
      <w:r w:rsidR="00266A84" w:rsidRPr="00E32B07">
        <w:rPr>
          <w:rFonts w:cs="Arial"/>
        </w:rPr>
        <w:t xml:space="preserve"> </w:t>
      </w:r>
      <w:r w:rsidR="00A85EF0" w:rsidRPr="00E32B07">
        <w:rPr>
          <w:rFonts w:cs="Arial"/>
        </w:rPr>
        <w:t>l</w:t>
      </w:r>
      <w:r w:rsidR="00C3008E">
        <w:rPr>
          <w:rFonts w:cs="Arial"/>
        </w:rPr>
        <w:t xml:space="preserve">e </w:t>
      </w:r>
      <w:r w:rsidR="00C3008E" w:rsidRPr="00E32B07">
        <w:rPr>
          <w:rFonts w:cs="Arial"/>
        </w:rPr>
        <w:t>taux de 80</w:t>
      </w:r>
      <w:r w:rsidR="00691619">
        <w:rPr>
          <w:rFonts w:cs="Arial"/>
        </w:rPr>
        <w:t> </w:t>
      </w:r>
      <w:r w:rsidR="00C3008E" w:rsidRPr="00E32B07">
        <w:rPr>
          <w:rFonts w:cs="Arial"/>
        </w:rPr>
        <w:t xml:space="preserve">% </w:t>
      </w:r>
      <w:r w:rsidR="00A30473" w:rsidRPr="00E32B07">
        <w:rPr>
          <w:rFonts w:cs="Arial"/>
        </w:rPr>
        <w:t>d’acquisition de compétences</w:t>
      </w:r>
      <w:r w:rsidR="00114660" w:rsidRPr="00E32B07">
        <w:rPr>
          <w:rFonts w:cs="Arial"/>
        </w:rPr>
        <w:t xml:space="preserve"> en français</w:t>
      </w:r>
      <w:r w:rsidR="00C3008E">
        <w:rPr>
          <w:rFonts w:cs="Arial"/>
        </w:rPr>
        <w:t>, tel</w:t>
      </w:r>
      <w:r w:rsidR="000900C7" w:rsidRPr="00E32B07">
        <w:rPr>
          <w:rFonts w:cs="Arial"/>
        </w:rPr>
        <w:t xml:space="preserve"> que </w:t>
      </w:r>
      <w:r w:rsidR="00C3008E">
        <w:rPr>
          <w:rFonts w:cs="Arial"/>
        </w:rPr>
        <w:t>prévu</w:t>
      </w:r>
      <w:r w:rsidR="000900C7" w:rsidRPr="00E32B07">
        <w:rPr>
          <w:rFonts w:cs="Arial"/>
        </w:rPr>
        <w:t xml:space="preserve"> à </w:t>
      </w:r>
      <w:r w:rsidR="00A85EF0" w:rsidRPr="00E32B07">
        <w:rPr>
          <w:rFonts w:cs="Arial"/>
        </w:rPr>
        <w:t xml:space="preserve">la règle 2.5.2 </w:t>
      </w:r>
      <w:r w:rsidR="00140F52" w:rsidRPr="00E32B07">
        <w:rPr>
          <w:rFonts w:cs="Arial"/>
        </w:rPr>
        <w:t xml:space="preserve">des </w:t>
      </w:r>
      <w:r w:rsidR="00140F52" w:rsidRPr="00E32B07">
        <w:rPr>
          <w:rFonts w:cs="Arial"/>
          <w:i/>
          <w:iCs/>
        </w:rPr>
        <w:t xml:space="preserve">Règles budgétaires et calcul des subventions de fonctionnement aux universités du Québec, année universitaire </w:t>
      </w:r>
      <w:r w:rsidR="00A85EF0" w:rsidRPr="00E32B07">
        <w:rPr>
          <w:rFonts w:cs="Arial"/>
          <w:i/>
          <w:iCs/>
        </w:rPr>
        <w:t>2024-2025</w:t>
      </w:r>
      <w:r w:rsidR="00140F52" w:rsidRPr="00E32B07">
        <w:rPr>
          <w:rFonts w:cs="Arial"/>
          <w:i/>
          <w:iCs/>
        </w:rPr>
        <w:t>;</w:t>
      </w:r>
    </w:p>
    <w:p w14:paraId="2CCBAB8D" w14:textId="4CBA1030" w:rsidR="00A30473" w:rsidRPr="00E32B07" w:rsidRDefault="00A30473" w:rsidP="00BF716E">
      <w:pPr>
        <w:pStyle w:val="Paragraphe"/>
        <w:tabs>
          <w:tab w:val="clear" w:pos="2204"/>
        </w:tabs>
        <w:spacing w:line="240" w:lineRule="auto"/>
        <w:ind w:left="0"/>
        <w:rPr>
          <w:rFonts w:cs="Arial"/>
        </w:rPr>
      </w:pPr>
      <w:r w:rsidRPr="00E32B07">
        <w:rPr>
          <w:rFonts w:cs="Arial"/>
          <w:b/>
          <w:bCs/>
        </w:rPr>
        <w:t>RETOURNE</w:t>
      </w:r>
      <w:r w:rsidRPr="00E32B07">
        <w:rPr>
          <w:rFonts w:cs="Arial"/>
        </w:rPr>
        <w:t xml:space="preserve"> l’affaire à la </w:t>
      </w:r>
      <w:r w:rsidR="00114660" w:rsidRPr="00E32B07">
        <w:rPr>
          <w:rFonts w:cs="Arial"/>
        </w:rPr>
        <w:t>ministre de l’Enseignement</w:t>
      </w:r>
      <w:r w:rsidR="00140F52" w:rsidRPr="00E32B07">
        <w:rPr>
          <w:rFonts w:cs="Arial"/>
        </w:rPr>
        <w:t xml:space="preserve"> supérieur</w:t>
      </w:r>
      <w:r w:rsidRPr="00E32B07">
        <w:rPr>
          <w:rFonts w:cs="Arial"/>
        </w:rPr>
        <w:t xml:space="preserve"> afin qu’elle conçoive des modifications aux Règles budgétaires respectueuses des présents motifs;</w:t>
      </w:r>
    </w:p>
    <w:p w14:paraId="5519365C" w14:textId="040CA714" w:rsidR="00114660" w:rsidRPr="00E32B07" w:rsidRDefault="00114660" w:rsidP="00BF716E">
      <w:pPr>
        <w:pStyle w:val="Paragraphe"/>
        <w:tabs>
          <w:tab w:val="clear" w:pos="2204"/>
        </w:tabs>
        <w:spacing w:line="240" w:lineRule="auto"/>
        <w:ind w:left="0"/>
        <w:rPr>
          <w:rFonts w:cs="Arial"/>
        </w:rPr>
      </w:pPr>
      <w:r w:rsidRPr="00E32B07">
        <w:rPr>
          <w:rFonts w:cs="Arial"/>
          <w:b/>
          <w:bCs/>
        </w:rPr>
        <w:t xml:space="preserve">DÉCLARE QUE </w:t>
      </w:r>
      <w:r w:rsidR="00CA799C" w:rsidRPr="00E32B07">
        <w:rPr>
          <w:rFonts w:cs="Arial"/>
        </w:rPr>
        <w:t>la règle 3.4 d</w:t>
      </w:r>
      <w:r w:rsidRPr="00E32B07">
        <w:rPr>
          <w:rFonts w:cs="Arial"/>
        </w:rPr>
        <w:t xml:space="preserve">es </w:t>
      </w:r>
      <w:r w:rsidRPr="00E32B07">
        <w:rPr>
          <w:rFonts w:cs="Arial"/>
          <w:i/>
          <w:iCs/>
        </w:rPr>
        <w:t>Règles budgétaires et calcul des subventions de fonctionnement aux universités du Québec</w:t>
      </w:r>
      <w:r w:rsidRPr="00E32B07">
        <w:rPr>
          <w:rFonts w:cs="Arial"/>
        </w:rPr>
        <w:t>,</w:t>
      </w:r>
      <w:r w:rsidRPr="00C9575B">
        <w:rPr>
          <w:i/>
        </w:rPr>
        <w:t xml:space="preserve"> </w:t>
      </w:r>
      <w:r w:rsidR="00436830" w:rsidRPr="00E32B07">
        <w:rPr>
          <w:rFonts w:cs="Arial"/>
          <w:i/>
          <w:iCs/>
        </w:rPr>
        <w:t>année universitaire 2023-2024</w:t>
      </w:r>
      <w:r w:rsidR="00436830">
        <w:rPr>
          <w:rFonts w:cs="Arial"/>
        </w:rPr>
        <w:t>,</w:t>
      </w:r>
      <w:r w:rsidRPr="00E32B07">
        <w:rPr>
          <w:rFonts w:cs="Arial"/>
        </w:rPr>
        <w:t xml:space="preserve"> demeure en vigueur malgré le présent jugement et ce, jusqu’à </w:t>
      </w:r>
      <w:r w:rsidR="0082319E" w:rsidRPr="00E32B07">
        <w:rPr>
          <w:rFonts w:cs="Arial"/>
        </w:rPr>
        <w:t xml:space="preserve">la prochaine </w:t>
      </w:r>
      <w:r w:rsidRPr="00E32B07">
        <w:rPr>
          <w:rFonts w:cs="Arial"/>
        </w:rPr>
        <w:t>modification qu’apportera la ministre de l’Enseignement supérieur</w:t>
      </w:r>
      <w:r w:rsidR="0082319E" w:rsidRPr="00E32B07">
        <w:rPr>
          <w:rFonts w:cs="Arial"/>
        </w:rPr>
        <w:t xml:space="preserve"> en fonction du présent jugement</w:t>
      </w:r>
      <w:r w:rsidR="00436830">
        <w:rPr>
          <w:rFonts w:cs="Arial"/>
        </w:rPr>
        <w:t xml:space="preserve"> dans un délai maximal de </w:t>
      </w:r>
      <w:r w:rsidR="00857865">
        <w:rPr>
          <w:rFonts w:cs="Arial"/>
        </w:rPr>
        <w:t>neuf</w:t>
      </w:r>
      <w:r w:rsidR="00436830">
        <w:rPr>
          <w:rFonts w:cs="Arial"/>
        </w:rPr>
        <w:t xml:space="preserve"> (</w:t>
      </w:r>
      <w:r w:rsidR="00857865">
        <w:rPr>
          <w:rFonts w:cs="Arial"/>
        </w:rPr>
        <w:t>9</w:t>
      </w:r>
      <w:r w:rsidR="00436830">
        <w:rPr>
          <w:rFonts w:cs="Arial"/>
        </w:rPr>
        <w:t>) mois</w:t>
      </w:r>
      <w:r w:rsidR="008A17C9">
        <w:rPr>
          <w:rFonts w:cs="Arial"/>
        </w:rPr>
        <w:t xml:space="preserve"> à compter d’aujourd’hui</w:t>
      </w:r>
      <w:r w:rsidR="00720C3F" w:rsidRPr="00E32B07">
        <w:rPr>
          <w:rFonts w:cs="Arial"/>
        </w:rPr>
        <w:t>;</w:t>
      </w:r>
    </w:p>
    <w:p w14:paraId="480D01FC" w14:textId="3340600C" w:rsidR="00720C3F" w:rsidRDefault="00720C3F" w:rsidP="00BF716E">
      <w:pPr>
        <w:pStyle w:val="Paragraphe"/>
        <w:tabs>
          <w:tab w:val="clear" w:pos="2204"/>
        </w:tabs>
        <w:spacing w:line="240" w:lineRule="auto"/>
        <w:ind w:left="0"/>
        <w:rPr>
          <w:rFonts w:cs="Arial"/>
        </w:rPr>
      </w:pPr>
      <w:r w:rsidRPr="00E32B07">
        <w:rPr>
          <w:rFonts w:cs="Arial"/>
          <w:b/>
          <w:bCs/>
        </w:rPr>
        <w:t>DÉCLARE QUE</w:t>
      </w:r>
      <w:r w:rsidR="00CA799C" w:rsidRPr="00C9575B">
        <w:rPr>
          <w:b/>
        </w:rPr>
        <w:t xml:space="preserve"> </w:t>
      </w:r>
      <w:r w:rsidR="00CA799C" w:rsidRPr="00E32B07">
        <w:rPr>
          <w:rFonts w:cs="Arial"/>
        </w:rPr>
        <w:t xml:space="preserve">la règle 2.5.2 </w:t>
      </w:r>
      <w:r w:rsidRPr="00E32B07">
        <w:rPr>
          <w:rFonts w:cs="Arial"/>
        </w:rPr>
        <w:t xml:space="preserve">des </w:t>
      </w:r>
      <w:r w:rsidRPr="00E32B07">
        <w:rPr>
          <w:rFonts w:cs="Arial"/>
          <w:i/>
          <w:iCs/>
        </w:rPr>
        <w:t>Règles budgétaires et calcul des subventions de fonctionnement aux universités</w:t>
      </w:r>
      <w:r w:rsidRPr="00281A81">
        <w:rPr>
          <w:rFonts w:cs="Arial"/>
          <w:i/>
          <w:iCs/>
        </w:rPr>
        <w:t xml:space="preserve"> du Québec</w:t>
      </w:r>
      <w:r>
        <w:rPr>
          <w:rFonts w:cs="Arial"/>
        </w:rPr>
        <w:t xml:space="preserve"> </w:t>
      </w:r>
      <w:r w:rsidR="00207197" w:rsidRPr="00E32B07">
        <w:rPr>
          <w:rFonts w:cs="Arial"/>
          <w:i/>
          <w:iCs/>
        </w:rPr>
        <w:t>année universitaire 2024-2025</w:t>
      </w:r>
      <w:r w:rsidR="00207197">
        <w:rPr>
          <w:rFonts w:cs="Arial"/>
          <w:i/>
          <w:iCs/>
        </w:rPr>
        <w:t xml:space="preserve"> </w:t>
      </w:r>
      <w:r>
        <w:rPr>
          <w:rFonts w:cs="Arial"/>
        </w:rPr>
        <w:t xml:space="preserve">relative à l’acquisition de compétences en français </w:t>
      </w:r>
      <w:r w:rsidR="000F3D97" w:rsidRPr="00DF51A6">
        <w:rPr>
          <w:rFonts w:cs="Arial"/>
        </w:rPr>
        <w:t>par 80</w:t>
      </w:r>
      <w:r w:rsidR="00023828">
        <w:rPr>
          <w:rFonts w:cs="Arial"/>
        </w:rPr>
        <w:t> </w:t>
      </w:r>
      <w:r w:rsidR="000F3D97" w:rsidRPr="00DF51A6">
        <w:rPr>
          <w:rFonts w:cs="Arial"/>
        </w:rPr>
        <w:t xml:space="preserve">% des étudiants non québécois inscrits à un programme de grade de premier cycle offert en anglais </w:t>
      </w:r>
      <w:r>
        <w:rPr>
          <w:rFonts w:cs="Arial"/>
        </w:rPr>
        <w:t>cesse d’avoir effet immédiatement;</w:t>
      </w:r>
    </w:p>
    <w:p w14:paraId="02C3853E" w14:textId="6E51FCA8" w:rsidR="00266A84" w:rsidRDefault="00266A84" w:rsidP="00BF716E">
      <w:pPr>
        <w:pStyle w:val="Paragraphe"/>
        <w:tabs>
          <w:tab w:val="clear" w:pos="2204"/>
        </w:tabs>
        <w:spacing w:line="240" w:lineRule="auto"/>
        <w:ind w:left="0"/>
        <w:rPr>
          <w:rFonts w:cs="Arial"/>
        </w:rPr>
      </w:pPr>
      <w:r w:rsidRPr="00266A84">
        <w:rPr>
          <w:rFonts w:cs="Arial"/>
          <w:b/>
          <w:bCs/>
        </w:rPr>
        <w:t>LE TOUT</w:t>
      </w:r>
      <w:r>
        <w:rPr>
          <w:rFonts w:cs="Arial"/>
        </w:rPr>
        <w:t xml:space="preserve">, avec frais de justice </w:t>
      </w:r>
      <w:r w:rsidR="00436830">
        <w:rPr>
          <w:rFonts w:cs="Arial"/>
        </w:rPr>
        <w:t>à la charge du P</w:t>
      </w:r>
      <w:r w:rsidR="00DF51A6">
        <w:rPr>
          <w:rFonts w:cs="Arial"/>
        </w:rPr>
        <w:t xml:space="preserve">rocureur général du </w:t>
      </w:r>
      <w:r w:rsidR="00436830">
        <w:rPr>
          <w:rFonts w:cs="Arial"/>
        </w:rPr>
        <w:t>Q</w:t>
      </w:r>
      <w:r w:rsidR="00DF51A6">
        <w:rPr>
          <w:rFonts w:cs="Arial"/>
        </w:rPr>
        <w:t>uébec</w:t>
      </w:r>
      <w:r w:rsidR="00436830">
        <w:rPr>
          <w:rFonts w:cs="Arial"/>
        </w:rPr>
        <w:t xml:space="preserve"> </w:t>
      </w:r>
      <w:r>
        <w:rPr>
          <w:rFonts w:cs="Arial"/>
        </w:rPr>
        <w:t>en faveur de chacun</w:t>
      </w:r>
      <w:r w:rsidR="00857865">
        <w:rPr>
          <w:rFonts w:cs="Arial"/>
        </w:rPr>
        <w:t>e</w:t>
      </w:r>
      <w:r>
        <w:rPr>
          <w:rFonts w:cs="Arial"/>
        </w:rPr>
        <w:t xml:space="preserve"> des </w:t>
      </w:r>
      <w:r w:rsidR="00857865">
        <w:rPr>
          <w:rFonts w:cs="Arial"/>
        </w:rPr>
        <w:t>parties</w:t>
      </w:r>
      <w:r>
        <w:rPr>
          <w:rFonts w:cs="Arial"/>
        </w:rPr>
        <w:t xml:space="preserve"> demander</w:t>
      </w:r>
      <w:r w:rsidR="00857865">
        <w:rPr>
          <w:rFonts w:cs="Arial"/>
        </w:rPr>
        <w:t>esse</w:t>
      </w:r>
      <w:r>
        <w:rPr>
          <w:rFonts w:cs="Arial"/>
        </w:rPr>
        <w:t>s.</w:t>
      </w:r>
    </w:p>
    <w:p w14:paraId="45FDD366" w14:textId="5188DAB8" w:rsidR="00AF4B13" w:rsidRPr="00023828" w:rsidRDefault="00AF4B13">
      <w:pPr>
        <w:rPr>
          <w:bCs/>
          <w:kern w:val="28"/>
        </w:rPr>
      </w:pPr>
    </w:p>
    <w:p w14:paraId="7EB921B0" w14:textId="77777777" w:rsidR="00BC62D1" w:rsidRPr="00023828" w:rsidRDefault="00BC62D1" w:rsidP="00A826A1">
      <w:pPr>
        <w:pStyle w:val="Paragraphe"/>
        <w:numPr>
          <w:ilvl w:val="0"/>
          <w:numId w:val="0"/>
        </w:numPr>
        <w:spacing w:before="0" w:after="0" w:line="240" w:lineRule="auto"/>
        <w:rPr>
          <w:bCs/>
        </w:rPr>
      </w:pPr>
    </w:p>
    <w:p w14:paraId="6AFE7CDF" w14:textId="77777777" w:rsidR="003F4C2E" w:rsidRPr="00023828" w:rsidRDefault="003F4C2E">
      <w:pPr>
        <w:rPr>
          <w:rFonts w:cs="Arial"/>
          <w:bCs/>
        </w:rPr>
      </w:pPr>
    </w:p>
    <w:p w14:paraId="1F4E5C78" w14:textId="285CBB36" w:rsidR="00BC62D1" w:rsidRPr="00A826A1" w:rsidRDefault="00BC62D1" w:rsidP="00C9575B">
      <w:pPr>
        <w:pStyle w:val="Paragraphe"/>
        <w:numPr>
          <w:ilvl w:val="0"/>
          <w:numId w:val="0"/>
        </w:numPr>
        <w:spacing w:before="0" w:after="0" w:line="240" w:lineRule="auto"/>
        <w:ind w:left="4404"/>
        <w:rPr>
          <w:b/>
          <w:bCs/>
        </w:rPr>
      </w:pPr>
      <w:r w:rsidRPr="00A826A1">
        <w:rPr>
          <w:b/>
          <w:bCs/>
        </w:rPr>
        <w:t xml:space="preserve">__________________________________ </w:t>
      </w:r>
    </w:p>
    <w:p w14:paraId="5F032F42" w14:textId="74733D28" w:rsidR="00BC62D1" w:rsidRPr="001B0EDD" w:rsidRDefault="00BC62D1" w:rsidP="001B0EDD">
      <w:pPr>
        <w:pStyle w:val="Paragraphe"/>
        <w:numPr>
          <w:ilvl w:val="0"/>
          <w:numId w:val="0"/>
        </w:numPr>
        <w:spacing w:before="0" w:after="0" w:line="240" w:lineRule="auto"/>
        <w:ind w:left="4404"/>
        <w:rPr>
          <w:b/>
        </w:rPr>
      </w:pPr>
      <w:r w:rsidRPr="00A826A1">
        <w:rPr>
          <w:b/>
          <w:bCs/>
        </w:rPr>
        <w:t>ÉRIC DUFOUR, J.C.S.</w:t>
      </w:r>
    </w:p>
    <w:p w14:paraId="33278CBC" w14:textId="77777777" w:rsidR="00281B67" w:rsidRDefault="00281B67" w:rsidP="00281B67">
      <w:pPr>
        <w:rPr>
          <w:rFonts w:cs="Arial"/>
        </w:rPr>
      </w:pPr>
    </w:p>
    <w:p w14:paraId="1838E32D" w14:textId="132AF1F0" w:rsidR="00BC62D1" w:rsidRDefault="00BC62D1" w:rsidP="00C9575B">
      <w:pPr>
        <w:pStyle w:val="Paragraphe"/>
        <w:numPr>
          <w:ilvl w:val="0"/>
          <w:numId w:val="0"/>
        </w:numPr>
        <w:spacing w:before="0" w:after="0" w:line="240" w:lineRule="auto"/>
      </w:pPr>
      <w:r>
        <w:t xml:space="preserve">Dates </w:t>
      </w:r>
      <w:r w:rsidR="00281B67">
        <w:rPr>
          <w:rFonts w:cs="Arial"/>
        </w:rPr>
        <w:t>d’audition</w:t>
      </w:r>
      <w:r>
        <w:t> : 16</w:t>
      </w:r>
      <w:r w:rsidR="00C9575B">
        <w:rPr>
          <w:rFonts w:cs="Arial"/>
        </w:rPr>
        <w:t xml:space="preserve"> </w:t>
      </w:r>
      <w:r>
        <w:t>au 20</w:t>
      </w:r>
      <w:r w:rsidR="00026BDB">
        <w:t> </w:t>
      </w:r>
      <w:r>
        <w:t>décembre</w:t>
      </w:r>
      <w:r w:rsidR="00026BDB">
        <w:t> </w:t>
      </w:r>
      <w:r>
        <w:t>2024</w:t>
      </w:r>
    </w:p>
    <w:p w14:paraId="715C2E3C" w14:textId="4C65ECD4" w:rsidR="00281B67" w:rsidRDefault="00281B67" w:rsidP="00C9575B">
      <w:pPr>
        <w:rPr>
          <w:rFonts w:cs="Arial"/>
        </w:rPr>
      </w:pPr>
    </w:p>
    <w:p w14:paraId="36ED252F" w14:textId="77777777" w:rsidR="00BC62D1" w:rsidRDefault="00BC62D1" w:rsidP="00BC62D1">
      <w:pPr>
        <w:pStyle w:val="Paragraphe"/>
        <w:numPr>
          <w:ilvl w:val="0"/>
          <w:numId w:val="0"/>
        </w:numPr>
        <w:spacing w:before="0" w:after="0" w:line="240" w:lineRule="auto"/>
      </w:pPr>
      <w:r>
        <w:t>Me Marc-André Fabien</w:t>
      </w:r>
    </w:p>
    <w:p w14:paraId="3548FDBB" w14:textId="77777777" w:rsidR="00BC62D1" w:rsidRDefault="00BC62D1" w:rsidP="00BC62D1">
      <w:pPr>
        <w:pStyle w:val="Paragraphe"/>
        <w:numPr>
          <w:ilvl w:val="0"/>
          <w:numId w:val="0"/>
        </w:numPr>
        <w:spacing w:before="0" w:after="0" w:line="240" w:lineRule="auto"/>
      </w:pPr>
      <w:r>
        <w:t>Me Michael Shortt</w:t>
      </w:r>
    </w:p>
    <w:p w14:paraId="4C3ACA92" w14:textId="77777777" w:rsidR="00BC62D1" w:rsidRDefault="00BC62D1" w:rsidP="00BC62D1">
      <w:pPr>
        <w:pStyle w:val="Paragraphe"/>
        <w:numPr>
          <w:ilvl w:val="0"/>
          <w:numId w:val="0"/>
        </w:numPr>
        <w:spacing w:before="0" w:after="0" w:line="240" w:lineRule="auto"/>
      </w:pPr>
      <w:r>
        <w:t>Me Claudie Fréchette</w:t>
      </w:r>
    </w:p>
    <w:p w14:paraId="067A2280" w14:textId="77777777" w:rsidR="00BC62D1" w:rsidRPr="00411695" w:rsidRDefault="00BC62D1" w:rsidP="00BC62D1">
      <w:pPr>
        <w:pStyle w:val="Paragraphe"/>
        <w:numPr>
          <w:ilvl w:val="0"/>
          <w:numId w:val="0"/>
        </w:numPr>
        <w:spacing w:before="0" w:after="0" w:line="240" w:lineRule="auto"/>
        <w:rPr>
          <w:b/>
          <w:bCs/>
        </w:rPr>
      </w:pPr>
      <w:r w:rsidRPr="001C1FD1">
        <w:rPr>
          <w:rFonts w:cs="Arial"/>
          <w:smallCaps/>
          <w:color w:val="1A1C21"/>
          <w:sz w:val="20"/>
          <w:shd w:val="clear" w:color="auto" w:fill="FFFFFF"/>
        </w:rPr>
        <w:t>Fasken Martineau DuMoulin SENCRL</w:t>
      </w:r>
    </w:p>
    <w:p w14:paraId="168A4BB7" w14:textId="77777777" w:rsidR="00BC62D1" w:rsidRDefault="00BC62D1" w:rsidP="00BC62D1">
      <w:pPr>
        <w:pStyle w:val="Paragraphe"/>
        <w:numPr>
          <w:ilvl w:val="0"/>
          <w:numId w:val="0"/>
        </w:numPr>
        <w:spacing w:before="0" w:after="0" w:line="240" w:lineRule="auto"/>
      </w:pPr>
      <w:r>
        <w:t>Avocat(e)s pour l’Institution Royale pour l’avancement des sciences (Université McGill)</w:t>
      </w:r>
    </w:p>
    <w:p w14:paraId="52875C55" w14:textId="77777777" w:rsidR="00BC62D1" w:rsidRDefault="00BC62D1" w:rsidP="00BC62D1">
      <w:pPr>
        <w:pStyle w:val="Paragraphe"/>
        <w:numPr>
          <w:ilvl w:val="0"/>
          <w:numId w:val="0"/>
        </w:numPr>
        <w:spacing w:before="0" w:after="0" w:line="240" w:lineRule="auto"/>
      </w:pPr>
    </w:p>
    <w:p w14:paraId="438570EC" w14:textId="77777777" w:rsidR="00BC62D1" w:rsidRPr="000F0CD8" w:rsidRDefault="00BC62D1" w:rsidP="00BC62D1">
      <w:pPr>
        <w:pStyle w:val="Paragraphe"/>
        <w:numPr>
          <w:ilvl w:val="0"/>
          <w:numId w:val="0"/>
        </w:numPr>
        <w:spacing w:before="0" w:after="0" w:line="240" w:lineRule="auto"/>
        <w:rPr>
          <w:lang w:val="en-CA"/>
        </w:rPr>
      </w:pPr>
      <w:r w:rsidRPr="000F0CD8">
        <w:rPr>
          <w:lang w:val="en-CA"/>
        </w:rPr>
        <w:t>Me Audrey Mayrand</w:t>
      </w:r>
    </w:p>
    <w:p w14:paraId="7149E2C6" w14:textId="77777777" w:rsidR="00BC62D1" w:rsidRPr="000F0CD8" w:rsidRDefault="00BC62D1" w:rsidP="00BC62D1">
      <w:pPr>
        <w:pStyle w:val="Paragraphe"/>
        <w:numPr>
          <w:ilvl w:val="0"/>
          <w:numId w:val="0"/>
        </w:numPr>
        <w:spacing w:before="0" w:after="0" w:line="240" w:lineRule="auto"/>
        <w:rPr>
          <w:lang w:val="en-CA"/>
        </w:rPr>
      </w:pPr>
      <w:r w:rsidRPr="000F0CD8">
        <w:rPr>
          <w:lang w:val="en-CA"/>
        </w:rPr>
        <w:t>Me Mark Power</w:t>
      </w:r>
    </w:p>
    <w:p w14:paraId="3A8DCC5A" w14:textId="77777777" w:rsidR="00BC62D1" w:rsidRDefault="00BC62D1" w:rsidP="00BC62D1">
      <w:pPr>
        <w:pStyle w:val="Paragraphe"/>
        <w:numPr>
          <w:ilvl w:val="0"/>
          <w:numId w:val="0"/>
        </w:numPr>
        <w:spacing w:before="0" w:after="0" w:line="240" w:lineRule="auto"/>
      </w:pPr>
      <w:r w:rsidRPr="00A07B18">
        <w:t>Me</w:t>
      </w:r>
      <w:r>
        <w:t xml:space="preserve"> Perri Ravon</w:t>
      </w:r>
    </w:p>
    <w:p w14:paraId="6B2BD9F9" w14:textId="1CCDA8A0" w:rsidR="00D14125" w:rsidRPr="00C36F08" w:rsidRDefault="00D14125" w:rsidP="00BC62D1">
      <w:pPr>
        <w:pStyle w:val="Paragraphe"/>
        <w:numPr>
          <w:ilvl w:val="0"/>
          <w:numId w:val="0"/>
        </w:numPr>
        <w:spacing w:before="0" w:after="0" w:line="240" w:lineRule="auto"/>
      </w:pPr>
      <w:r w:rsidRPr="00C36F08">
        <w:t>Me Emily Michelin</w:t>
      </w:r>
    </w:p>
    <w:p w14:paraId="6CE56D70" w14:textId="77777777" w:rsidR="00BC62D1" w:rsidRPr="008262E4" w:rsidRDefault="00BC62D1" w:rsidP="00BC62D1">
      <w:pPr>
        <w:pStyle w:val="Paragraphe"/>
        <w:numPr>
          <w:ilvl w:val="0"/>
          <w:numId w:val="0"/>
        </w:numPr>
        <w:spacing w:before="0" w:after="0" w:line="240" w:lineRule="auto"/>
        <w:rPr>
          <w:smallCaps/>
          <w:sz w:val="20"/>
        </w:rPr>
      </w:pPr>
      <w:r w:rsidRPr="008262E4">
        <w:rPr>
          <w:smallCaps/>
          <w:sz w:val="20"/>
        </w:rPr>
        <w:t>Juristes Power</w:t>
      </w:r>
    </w:p>
    <w:p w14:paraId="38A44C3C" w14:textId="77777777" w:rsidR="00BC62D1" w:rsidRPr="007A01F0" w:rsidRDefault="00BC62D1" w:rsidP="00BC62D1">
      <w:pPr>
        <w:pStyle w:val="Paragraphe"/>
        <w:numPr>
          <w:ilvl w:val="0"/>
          <w:numId w:val="0"/>
        </w:numPr>
        <w:spacing w:before="0" w:after="0" w:line="240" w:lineRule="auto"/>
      </w:pPr>
      <w:r>
        <w:t>Avocat(e)s pour l’Université Concordia et Lucas Meldrum</w:t>
      </w:r>
    </w:p>
    <w:p w14:paraId="7980212B" w14:textId="77777777" w:rsidR="00BC62D1" w:rsidRDefault="00BC62D1" w:rsidP="00BC62D1">
      <w:pPr>
        <w:pStyle w:val="Paragraphe"/>
        <w:numPr>
          <w:ilvl w:val="0"/>
          <w:numId w:val="0"/>
        </w:numPr>
        <w:spacing w:before="0" w:after="0" w:line="240" w:lineRule="auto"/>
      </w:pPr>
    </w:p>
    <w:p w14:paraId="2DEE1334" w14:textId="77777777" w:rsidR="00BC62D1" w:rsidRDefault="00BC62D1" w:rsidP="00BC62D1">
      <w:pPr>
        <w:pStyle w:val="Paragraphe"/>
        <w:numPr>
          <w:ilvl w:val="0"/>
          <w:numId w:val="0"/>
        </w:numPr>
        <w:spacing w:before="0" w:after="0" w:line="240" w:lineRule="auto"/>
      </w:pPr>
      <w:r w:rsidRPr="00A07B18">
        <w:t>Me</w:t>
      </w:r>
      <w:r>
        <w:t xml:space="preserve"> Charles Gravel</w:t>
      </w:r>
    </w:p>
    <w:p w14:paraId="21638211" w14:textId="77777777" w:rsidR="00BC62D1" w:rsidRDefault="00BC62D1" w:rsidP="00BC62D1">
      <w:pPr>
        <w:pStyle w:val="Paragraphe"/>
        <w:numPr>
          <w:ilvl w:val="0"/>
          <w:numId w:val="0"/>
        </w:numPr>
        <w:spacing w:before="0" w:after="0" w:line="240" w:lineRule="auto"/>
      </w:pPr>
      <w:r>
        <w:t>Me François-Alexandre Gagné</w:t>
      </w:r>
    </w:p>
    <w:p w14:paraId="007C9AD5" w14:textId="696F5125" w:rsidR="008709E8" w:rsidRPr="00A07B18" w:rsidRDefault="008709E8" w:rsidP="00BC62D1">
      <w:pPr>
        <w:pStyle w:val="Paragraphe"/>
        <w:numPr>
          <w:ilvl w:val="0"/>
          <w:numId w:val="0"/>
        </w:numPr>
        <w:spacing w:before="0" w:after="0" w:line="240" w:lineRule="auto"/>
      </w:pPr>
      <w:r>
        <w:t xml:space="preserve">Me </w:t>
      </w:r>
      <w:r w:rsidRPr="008709E8">
        <w:t>Anne-Sophie Brassard</w:t>
      </w:r>
    </w:p>
    <w:p w14:paraId="0181874B" w14:textId="77777777" w:rsidR="00BC62D1" w:rsidRPr="00822551" w:rsidRDefault="00BC62D1" w:rsidP="00BC62D1">
      <w:pPr>
        <w:pStyle w:val="Paragraphe"/>
        <w:numPr>
          <w:ilvl w:val="0"/>
          <w:numId w:val="0"/>
        </w:numPr>
        <w:spacing w:before="0" w:after="0" w:line="240" w:lineRule="auto"/>
        <w:rPr>
          <w:smallCaps/>
          <w:sz w:val="20"/>
        </w:rPr>
      </w:pPr>
      <w:r>
        <w:rPr>
          <w:smallCaps/>
          <w:sz w:val="20"/>
        </w:rPr>
        <w:t>Bernard, Roy (Justice-Québec)</w:t>
      </w:r>
    </w:p>
    <w:p w14:paraId="612FF5CD" w14:textId="1C33CF2B" w:rsidR="00BC62D1" w:rsidRDefault="00BC62D1" w:rsidP="00BC62D1">
      <w:pPr>
        <w:pStyle w:val="Paragraphe"/>
        <w:numPr>
          <w:ilvl w:val="0"/>
          <w:numId w:val="0"/>
        </w:numPr>
        <w:spacing w:before="0" w:after="0" w:line="240" w:lineRule="auto"/>
      </w:pPr>
      <w:r>
        <w:t>Avocat</w:t>
      </w:r>
      <w:r w:rsidR="00A826A1">
        <w:t>(e)</w:t>
      </w:r>
      <w:r>
        <w:t>s pour le ministre de l’Enseignement supérieur et le Procureur général du Québec</w:t>
      </w:r>
    </w:p>
    <w:p w14:paraId="2EE412FC" w14:textId="77777777" w:rsidR="00BC62D1" w:rsidRPr="00C9575B" w:rsidRDefault="00BC62D1">
      <w:pPr>
        <w:rPr>
          <w:b/>
          <w:kern w:val="28"/>
        </w:rPr>
      </w:pPr>
    </w:p>
    <w:sectPr w:rsidR="00BC62D1" w:rsidRPr="00C9575B" w:rsidSect="00AD364D">
      <w:headerReference w:type="default" r:id="rId10"/>
      <w:footerReference w:type="even" r:id="rId11"/>
      <w:footnotePr>
        <w:numRestart w:val="eachSect"/>
      </w:footnotePr>
      <w:pgSz w:w="12242" w:h="15842" w:code="1"/>
      <w:pgMar w:top="1440" w:right="1008" w:bottom="1260" w:left="1872" w:header="1440" w:footer="7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89261" w14:textId="77777777" w:rsidR="006A75FC" w:rsidRDefault="006A75FC">
      <w:r>
        <w:separator/>
      </w:r>
    </w:p>
  </w:endnote>
  <w:endnote w:type="continuationSeparator" w:id="0">
    <w:p w14:paraId="4D2C79A5" w14:textId="77777777" w:rsidR="006A75FC" w:rsidRDefault="006A75FC">
      <w:r>
        <w:continuationSeparator/>
      </w:r>
    </w:p>
  </w:endnote>
  <w:endnote w:type="continuationNotice" w:id="1">
    <w:p w14:paraId="5C0DB0BF" w14:textId="77777777" w:rsidR="006A75FC" w:rsidRDefault="006A75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alibri (corps)">
    <w:altName w:val="Calibr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6CE51" w14:textId="77777777" w:rsidR="0090655D" w:rsidRDefault="0090655D">
    <w:pPr>
      <w:framePr w:wrap="around" w:vAnchor="text" w:hAnchor="margin" w:xAlign="right" w:y="1"/>
    </w:pPr>
    <w:r>
      <w:fldChar w:fldCharType="begin"/>
    </w:r>
    <w:r>
      <w:instrText xml:space="preserve">PAGE  </w:instrText>
    </w:r>
    <w:r>
      <w:fldChar w:fldCharType="separate"/>
    </w:r>
    <w:r w:rsidR="002F2666">
      <w:rPr>
        <w:noProof/>
      </w:rPr>
      <w:t>7</w:t>
    </w:r>
    <w:r>
      <w:fldChar w:fldCharType="end"/>
    </w:r>
  </w:p>
  <w:p w14:paraId="2075D9A3" w14:textId="77777777" w:rsidR="0090655D" w:rsidRDefault="0090655D">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02174" w14:textId="77777777" w:rsidR="006A75FC" w:rsidRDefault="006A75FC">
      <w:r>
        <w:separator/>
      </w:r>
    </w:p>
  </w:footnote>
  <w:footnote w:type="continuationSeparator" w:id="0">
    <w:p w14:paraId="133AD74D" w14:textId="77777777" w:rsidR="006A75FC" w:rsidRDefault="006A75FC">
      <w:r>
        <w:continuationSeparator/>
      </w:r>
    </w:p>
  </w:footnote>
  <w:footnote w:type="continuationNotice" w:id="1">
    <w:p w14:paraId="32ED9F6F" w14:textId="77777777" w:rsidR="006A75FC" w:rsidRDefault="006A75FC"/>
  </w:footnote>
  <w:footnote w:id="2">
    <w:p w14:paraId="471CA65D" w14:textId="7953FCF9" w:rsidR="00372B24" w:rsidRDefault="00372B24">
      <w:pPr>
        <w:pStyle w:val="Notedebasdepage"/>
      </w:pPr>
      <w:r>
        <w:rPr>
          <w:rStyle w:val="Appelnotedebasdep"/>
        </w:rPr>
        <w:footnoteRef/>
      </w:r>
      <w:r>
        <w:tab/>
      </w:r>
      <w:r w:rsidRPr="0076154D">
        <w:rPr>
          <w:rFonts w:cs="Arial"/>
        </w:rPr>
        <w:t xml:space="preserve">La ministre et le ministère de l’Enseignement supérieur, de la Recherche, de la Science et de la Technologie sont désignés </w:t>
      </w:r>
      <w:r w:rsidRPr="00A826A1">
        <w:rPr>
          <w:i/>
        </w:rPr>
        <w:t>ministre</w:t>
      </w:r>
      <w:r w:rsidRPr="0076154D">
        <w:rPr>
          <w:rFonts w:cs="Arial"/>
        </w:rPr>
        <w:t xml:space="preserve"> et </w:t>
      </w:r>
      <w:r w:rsidRPr="00A826A1">
        <w:rPr>
          <w:i/>
        </w:rPr>
        <w:t>ministère de l’Enseignement supérieur</w:t>
      </w:r>
      <w:r w:rsidR="00900ABC">
        <w:rPr>
          <w:rFonts w:cs="Arial"/>
        </w:rPr>
        <w:t xml:space="preserve"> suivant le</w:t>
      </w:r>
      <w:r w:rsidRPr="0076154D">
        <w:rPr>
          <w:rFonts w:cs="Arial"/>
        </w:rPr>
        <w:t xml:space="preserve"> Décret</w:t>
      </w:r>
      <w:r w:rsidR="004E146A">
        <w:rPr>
          <w:rFonts w:cs="Arial"/>
        </w:rPr>
        <w:t> </w:t>
      </w:r>
      <w:r w:rsidRPr="0076154D">
        <w:rPr>
          <w:rFonts w:cs="Arial"/>
        </w:rPr>
        <w:t>1644</w:t>
      </w:r>
      <w:r w:rsidR="004E146A">
        <w:rPr>
          <w:rFonts w:cs="Arial"/>
        </w:rPr>
        <w:noBreakHyphen/>
      </w:r>
      <w:r w:rsidRPr="0076154D">
        <w:rPr>
          <w:rFonts w:cs="Arial"/>
        </w:rPr>
        <w:t>2022 du 20 octobre 2022, (2022) 154 G.O. 2, 6517.</w:t>
      </w:r>
    </w:p>
  </w:footnote>
  <w:footnote w:id="3">
    <w:p w14:paraId="7ED0F35D" w14:textId="32E94313" w:rsidR="00EF3282" w:rsidRDefault="00EF3282">
      <w:pPr>
        <w:pStyle w:val="Notedebasdepage"/>
      </w:pPr>
      <w:r>
        <w:rPr>
          <w:rStyle w:val="Appelnotedebasdep"/>
        </w:rPr>
        <w:footnoteRef/>
      </w:r>
      <w:r w:rsidRPr="000764D5">
        <w:tab/>
        <w:t>Pièce PGQ-2</w:t>
      </w:r>
      <w:r w:rsidR="00592572" w:rsidRPr="000764D5">
        <w:t xml:space="preserve">, </w:t>
      </w:r>
      <w:r w:rsidR="008C3E98" w:rsidRPr="000764D5">
        <w:t>Règles budgétaires et calcul des subventions de fonctionnement aux universités du Québec pour l’année universitaire 2023-2024.</w:t>
      </w:r>
    </w:p>
  </w:footnote>
  <w:footnote w:id="4">
    <w:p w14:paraId="705E39A3" w14:textId="5A170199" w:rsidR="002F0E39" w:rsidRDefault="002F0E39">
      <w:pPr>
        <w:pStyle w:val="Notedebasdepage"/>
      </w:pPr>
      <w:r>
        <w:rPr>
          <w:rStyle w:val="Appelnotedebasdep"/>
        </w:rPr>
        <w:footnoteRef/>
      </w:r>
      <w:r>
        <w:tab/>
        <w:t xml:space="preserve">Lorsque le texte s’y prête et qu’il ne s’avère pas nécessaire de les individualiser, le Tribunal désigne les Règles budgétaires et la Règle d’acquisition de compétence en français comme étant les </w:t>
      </w:r>
      <w:r w:rsidRPr="002F0E39">
        <w:rPr>
          <w:b/>
          <w:bCs/>
        </w:rPr>
        <w:t>Règles contestées</w:t>
      </w:r>
      <w:r>
        <w:t>.</w:t>
      </w:r>
    </w:p>
  </w:footnote>
  <w:footnote w:id="5">
    <w:p w14:paraId="13E57F52" w14:textId="1EC60058" w:rsidR="00AE570C" w:rsidRDefault="00AE570C">
      <w:pPr>
        <w:pStyle w:val="Notedebasdepage"/>
      </w:pPr>
      <w:r w:rsidRPr="00F1389E">
        <w:rPr>
          <w:rStyle w:val="Appelnotedebasdep"/>
        </w:rPr>
        <w:footnoteRef/>
      </w:r>
      <w:r w:rsidRPr="00F1389E">
        <w:tab/>
      </w:r>
      <w:r w:rsidRPr="00F1389E">
        <w:rPr>
          <w:i/>
          <w:iCs/>
        </w:rPr>
        <w:t>Loi constitutionnelle de 1982</w:t>
      </w:r>
      <w:r w:rsidRPr="00F1389E">
        <w:t xml:space="preserve">, </w:t>
      </w:r>
      <w:r w:rsidR="00F1389E" w:rsidRPr="00F1389E">
        <w:t>Annexe B de la Loi de 1982 sur le Canada (R-U), 1982, c</w:t>
      </w:r>
      <w:r w:rsidR="00F1389E">
        <w:t>.</w:t>
      </w:r>
      <w:r w:rsidR="00F1389E" w:rsidRPr="00F1389E">
        <w:t xml:space="preserve"> 11</w:t>
      </w:r>
      <w:r w:rsidR="00D55F36">
        <w:t xml:space="preserve"> </w:t>
      </w:r>
      <w:r w:rsidR="00D55F36" w:rsidRPr="0076154D">
        <w:t>(</w:t>
      </w:r>
      <w:r w:rsidR="00D55F36" w:rsidRPr="0076154D">
        <w:rPr>
          <w:b/>
          <w:bCs/>
        </w:rPr>
        <w:t>Charte</w:t>
      </w:r>
      <w:r w:rsidR="00396808">
        <w:rPr>
          <w:b/>
          <w:bCs/>
        </w:rPr>
        <w:t xml:space="preserve"> </w:t>
      </w:r>
      <w:r w:rsidR="00D55F36" w:rsidRPr="0076154D">
        <w:rPr>
          <w:b/>
          <w:bCs/>
        </w:rPr>
        <w:t>canadienne</w:t>
      </w:r>
      <w:r w:rsidR="00D55F36" w:rsidRPr="0076154D">
        <w:t>)</w:t>
      </w:r>
      <w:r w:rsidR="00F1389E" w:rsidRPr="0076154D">
        <w:t>.</w:t>
      </w:r>
    </w:p>
  </w:footnote>
  <w:footnote w:id="6">
    <w:p w14:paraId="2BD0A7A2" w14:textId="749051A9" w:rsidR="005E59C8" w:rsidRDefault="005E59C8" w:rsidP="005E59C8">
      <w:pPr>
        <w:pStyle w:val="Notedebasdepage"/>
      </w:pPr>
      <w:r>
        <w:rPr>
          <w:rStyle w:val="Appelnotedebasdep"/>
        </w:rPr>
        <w:footnoteRef/>
      </w:r>
      <w:r>
        <w:tab/>
        <w:t>RLRQ, c</w:t>
      </w:r>
      <w:r w:rsidR="007A276B">
        <w:t>. C-12</w:t>
      </w:r>
      <w:r w:rsidR="00D55F36">
        <w:t xml:space="preserve"> </w:t>
      </w:r>
      <w:r w:rsidR="00D55F36" w:rsidRPr="004B2CE3">
        <w:t>(</w:t>
      </w:r>
      <w:r w:rsidR="00D55F36" w:rsidRPr="004B2CE3">
        <w:rPr>
          <w:b/>
          <w:bCs/>
        </w:rPr>
        <w:t>Charte québécoise</w:t>
      </w:r>
      <w:r w:rsidR="00D55F36" w:rsidRPr="004B2CE3">
        <w:t>)</w:t>
      </w:r>
      <w:r w:rsidRPr="004B2CE3">
        <w:t>.</w:t>
      </w:r>
    </w:p>
  </w:footnote>
  <w:footnote w:id="7">
    <w:p w14:paraId="19B084FD" w14:textId="5D93D0BE" w:rsidR="00D24DA1" w:rsidRDefault="00D24DA1" w:rsidP="00D24DA1">
      <w:pPr>
        <w:pStyle w:val="Notedebasdepage"/>
      </w:pPr>
      <w:r>
        <w:rPr>
          <w:rStyle w:val="Appelnotedebasdep"/>
        </w:rPr>
        <w:footnoteRef/>
      </w:r>
      <w:r>
        <w:tab/>
      </w:r>
      <w:r w:rsidRPr="00FA5208">
        <w:rPr>
          <w:i/>
          <w:iCs/>
        </w:rPr>
        <w:t>Loi constitutionnelle de 1867</w:t>
      </w:r>
      <w:r w:rsidRPr="00FA5208">
        <w:t>, 30 &amp; 31 Vict., c. 3 (R.-U.)</w:t>
      </w:r>
      <w:r>
        <w:t xml:space="preserve"> (</w:t>
      </w:r>
      <w:r>
        <w:rPr>
          <w:b/>
          <w:bCs/>
        </w:rPr>
        <w:t>LC 1867</w:t>
      </w:r>
      <w:r>
        <w:t>).</w:t>
      </w:r>
    </w:p>
  </w:footnote>
  <w:footnote w:id="8">
    <w:p w14:paraId="69AEF743" w14:textId="162C61F8" w:rsidR="00D06367" w:rsidRDefault="00D06367">
      <w:pPr>
        <w:pStyle w:val="Notedebasdepage"/>
      </w:pPr>
      <w:r>
        <w:rPr>
          <w:rStyle w:val="Appelnotedebasdep"/>
        </w:rPr>
        <w:footnoteRef/>
      </w:r>
      <w:r>
        <w:tab/>
        <w:t>RLRQ, c</w:t>
      </w:r>
      <w:r w:rsidR="006052AB">
        <w:t xml:space="preserve">. </w:t>
      </w:r>
      <w:r>
        <w:t>M-</w:t>
      </w:r>
      <w:r w:rsidR="004708BD">
        <w:t>15.1.0.1.</w:t>
      </w:r>
    </w:p>
  </w:footnote>
  <w:footnote w:id="9">
    <w:p w14:paraId="5379352B" w14:textId="16C46FD4" w:rsidR="00F3106F" w:rsidRDefault="00F3106F">
      <w:pPr>
        <w:pStyle w:val="Notedebasdepage"/>
      </w:pPr>
      <w:r>
        <w:rPr>
          <w:rStyle w:val="Appelnotedebasdep"/>
        </w:rPr>
        <w:footnoteRef/>
      </w:r>
      <w:r>
        <w:tab/>
      </w:r>
      <w:r w:rsidR="00FF3BB8" w:rsidRPr="00B50AD5">
        <w:rPr>
          <w:i/>
          <w:iCs/>
        </w:rPr>
        <w:t>Doré</w:t>
      </w:r>
      <w:r>
        <w:t xml:space="preserve"> c.</w:t>
      </w:r>
      <w:r w:rsidR="00B50AD5">
        <w:t xml:space="preserve"> </w:t>
      </w:r>
      <w:r w:rsidR="00B50AD5" w:rsidRPr="00B50AD5">
        <w:rPr>
          <w:i/>
          <w:iCs/>
        </w:rPr>
        <w:t>Barreau du Québec</w:t>
      </w:r>
      <w:r w:rsidR="00B50AD5">
        <w:t xml:space="preserve">, </w:t>
      </w:r>
      <w:r w:rsidR="00B50AD5" w:rsidRPr="00B50AD5">
        <w:t xml:space="preserve">[2012] 1 </w:t>
      </w:r>
      <w:r w:rsidR="00B50AD5">
        <w:t xml:space="preserve">R.C.S. </w:t>
      </w:r>
      <w:r w:rsidR="00B50AD5" w:rsidRPr="00B50AD5">
        <w:t>395</w:t>
      </w:r>
      <w:r w:rsidR="00856632">
        <w:t xml:space="preserve"> </w:t>
      </w:r>
      <w:r w:rsidR="00856632" w:rsidRPr="00856632">
        <w:rPr>
          <w:b/>
          <w:bCs/>
        </w:rPr>
        <w:t>(Doré)</w:t>
      </w:r>
      <w:r>
        <w:t>.</w:t>
      </w:r>
    </w:p>
  </w:footnote>
  <w:footnote w:id="10">
    <w:p w14:paraId="15ED2ADB" w14:textId="083A6A40" w:rsidR="004232F4" w:rsidRPr="00B3257E" w:rsidRDefault="004232F4">
      <w:pPr>
        <w:pStyle w:val="Notedebasdepage"/>
      </w:pPr>
      <w:r>
        <w:rPr>
          <w:rStyle w:val="Appelnotedebasdep"/>
        </w:rPr>
        <w:footnoteRef/>
      </w:r>
      <w:r>
        <w:tab/>
      </w:r>
      <w:r w:rsidR="000D25E0" w:rsidRPr="00B3257E">
        <w:rPr>
          <w:i/>
          <w:iCs/>
        </w:rPr>
        <w:t>Commission scolaire francophone des Territoires du Nord-Ouest</w:t>
      </w:r>
      <w:r w:rsidR="000D25E0" w:rsidRPr="00B3257E">
        <w:t xml:space="preserve"> c. </w:t>
      </w:r>
      <w:r w:rsidR="000D25E0" w:rsidRPr="00B3257E">
        <w:rPr>
          <w:i/>
          <w:iCs/>
        </w:rPr>
        <w:t>Territoires du Nord-Ouest (Éducation, Culture et Formation)</w:t>
      </w:r>
      <w:r w:rsidR="000D25E0" w:rsidRPr="00B3257E">
        <w:t xml:space="preserve">, </w:t>
      </w:r>
      <w:r w:rsidRPr="00B3257E">
        <w:t>2023 CSC 31</w:t>
      </w:r>
      <w:r w:rsidR="00E001EE" w:rsidRPr="00B3257E">
        <w:t xml:space="preserve"> (</w:t>
      </w:r>
      <w:r w:rsidR="00E001EE" w:rsidRPr="00B3257E">
        <w:rPr>
          <w:b/>
          <w:bCs/>
        </w:rPr>
        <w:t>CSFTNO</w:t>
      </w:r>
      <w:r w:rsidR="00E001EE" w:rsidRPr="00B3257E">
        <w:t>)</w:t>
      </w:r>
      <w:r w:rsidRPr="00B3257E">
        <w:t>.</w:t>
      </w:r>
    </w:p>
  </w:footnote>
  <w:footnote w:id="11">
    <w:p w14:paraId="507166AA" w14:textId="77777777" w:rsidR="00B146E3" w:rsidRDefault="00B146E3">
      <w:pPr>
        <w:pStyle w:val="Notedebasdepage"/>
      </w:pPr>
      <w:r w:rsidRPr="00B3257E">
        <w:rPr>
          <w:rStyle w:val="Appelnotedebasdep"/>
        </w:rPr>
        <w:footnoteRef/>
      </w:r>
      <w:r w:rsidRPr="00B3257E">
        <w:tab/>
      </w:r>
      <w:r w:rsidR="00E676DA" w:rsidRPr="00B3257E">
        <w:rPr>
          <w:i/>
          <w:iCs/>
        </w:rPr>
        <w:t>Ruel</w:t>
      </w:r>
      <w:r w:rsidR="00E676DA" w:rsidRPr="00B3257E">
        <w:t xml:space="preserve"> c. </w:t>
      </w:r>
      <w:r w:rsidR="00E676DA" w:rsidRPr="00B3257E">
        <w:rPr>
          <w:i/>
          <w:iCs/>
        </w:rPr>
        <w:t>Québec (Éducation)</w:t>
      </w:r>
      <w:r w:rsidR="00E676DA" w:rsidRPr="00B3257E">
        <w:t xml:space="preserve">, </w:t>
      </w:r>
      <w:r w:rsidR="00EE6221" w:rsidRPr="00B3257E">
        <w:t>2001 CanLII 27967 (QC CA)</w:t>
      </w:r>
      <w:r w:rsidR="00A52896" w:rsidRPr="00B3257E">
        <w:t xml:space="preserve"> (</w:t>
      </w:r>
      <w:r w:rsidR="00A52896" w:rsidRPr="00B3257E">
        <w:rPr>
          <w:b/>
          <w:bCs/>
        </w:rPr>
        <w:t>Ruel</w:t>
      </w:r>
      <w:r w:rsidR="00A52896" w:rsidRPr="00B3257E">
        <w:t>)</w:t>
      </w:r>
      <w:r w:rsidRPr="00B3257E">
        <w:t>.</w:t>
      </w:r>
    </w:p>
  </w:footnote>
  <w:footnote w:id="12">
    <w:p w14:paraId="75D00C80" w14:textId="55471DEA" w:rsidR="007179A8" w:rsidRPr="004D0068" w:rsidRDefault="007179A8" w:rsidP="007179A8">
      <w:pPr>
        <w:pStyle w:val="Notedebasdepage"/>
      </w:pPr>
      <w:r>
        <w:rPr>
          <w:rStyle w:val="Appelnotedebasdep"/>
        </w:rPr>
        <w:footnoteRef/>
      </w:r>
      <w:r>
        <w:tab/>
      </w:r>
      <w:r w:rsidRPr="00000586">
        <w:rPr>
          <w:i/>
          <w:iCs/>
        </w:rPr>
        <w:t>Doré</w:t>
      </w:r>
      <w:r w:rsidRPr="00000586">
        <w:t xml:space="preserve">, préc., note </w:t>
      </w:r>
      <w:r w:rsidRPr="00000586">
        <w:fldChar w:fldCharType="begin"/>
      </w:r>
      <w:r w:rsidRPr="00000586">
        <w:instrText xml:space="preserve"> NOTEREF _Ref193982739 \h </w:instrText>
      </w:r>
      <w:r w:rsidR="00000586">
        <w:instrText xml:space="preserve"> \* MERGEFORMAT </w:instrText>
      </w:r>
      <w:r w:rsidRPr="00000586">
        <w:fldChar w:fldCharType="separate"/>
      </w:r>
      <w:r w:rsidR="0014558C">
        <w:t>8</w:t>
      </w:r>
      <w:r w:rsidRPr="00000586">
        <w:fldChar w:fldCharType="end"/>
      </w:r>
      <w:r w:rsidRPr="00000586">
        <w:t>.</w:t>
      </w:r>
    </w:p>
  </w:footnote>
  <w:footnote w:id="13">
    <w:p w14:paraId="0425602D" w14:textId="4BC07749" w:rsidR="00213F4C" w:rsidRDefault="00213F4C">
      <w:pPr>
        <w:pStyle w:val="Notedebasdepage"/>
      </w:pPr>
      <w:r>
        <w:rPr>
          <w:rStyle w:val="Appelnotedebasdep"/>
        </w:rPr>
        <w:footnoteRef/>
      </w:r>
      <w:r w:rsidRPr="00D81B8B">
        <w:tab/>
      </w:r>
      <w:r w:rsidR="00EF6096" w:rsidRPr="00B3257E">
        <w:rPr>
          <w:i/>
          <w:iCs/>
        </w:rPr>
        <w:t>R.</w:t>
      </w:r>
      <w:r w:rsidR="00EF6096" w:rsidRPr="00B3257E">
        <w:t xml:space="preserve"> c. </w:t>
      </w:r>
      <w:r w:rsidR="00EF6096" w:rsidRPr="00B3257E">
        <w:rPr>
          <w:i/>
          <w:iCs/>
        </w:rPr>
        <w:t>Oakes</w:t>
      </w:r>
      <w:r w:rsidR="00EF6096" w:rsidRPr="00B3257E">
        <w:t>, [1986] 1 R.C.S. 103</w:t>
      </w:r>
      <w:r w:rsidRPr="00B3257E">
        <w:t>.</w:t>
      </w:r>
    </w:p>
  </w:footnote>
  <w:footnote w:id="14">
    <w:p w14:paraId="5635CE0B" w14:textId="74EC6B3F" w:rsidR="007E5423" w:rsidRPr="004952FA" w:rsidRDefault="007E5423">
      <w:pPr>
        <w:pStyle w:val="Notedebasdepage"/>
      </w:pPr>
      <w:r w:rsidRPr="004952FA">
        <w:rPr>
          <w:rStyle w:val="Appelnotedebasdep"/>
        </w:rPr>
        <w:footnoteRef/>
      </w:r>
      <w:r w:rsidRPr="004952FA">
        <w:tab/>
      </w:r>
      <w:r w:rsidRPr="004952FA">
        <w:rPr>
          <w:i/>
          <w:iCs/>
        </w:rPr>
        <w:t>Ruel</w:t>
      </w:r>
      <w:r w:rsidRPr="004952FA">
        <w:t xml:space="preserve">, préc., note </w:t>
      </w:r>
      <w:r w:rsidR="00325C29">
        <w:t>10.</w:t>
      </w:r>
    </w:p>
  </w:footnote>
  <w:footnote w:id="15">
    <w:p w14:paraId="49EE299C" w14:textId="05FB2B4A" w:rsidR="007E5423" w:rsidRPr="004952FA" w:rsidRDefault="007E5423">
      <w:pPr>
        <w:pStyle w:val="Notedebasdepage"/>
      </w:pPr>
      <w:r w:rsidRPr="004952FA">
        <w:rPr>
          <w:rStyle w:val="Appelnotedebasdep"/>
        </w:rPr>
        <w:footnoteRef/>
      </w:r>
      <w:r w:rsidRPr="004952FA">
        <w:tab/>
      </w:r>
      <w:r w:rsidRPr="004952FA">
        <w:rPr>
          <w:i/>
          <w:iCs/>
        </w:rPr>
        <w:t>Canada (Ministre de la Citoyenneté et de l’Immigration)</w:t>
      </w:r>
      <w:r w:rsidRPr="004952FA">
        <w:t xml:space="preserve"> c. </w:t>
      </w:r>
      <w:r w:rsidRPr="004952FA">
        <w:rPr>
          <w:i/>
          <w:iCs/>
        </w:rPr>
        <w:t>Vavilov</w:t>
      </w:r>
      <w:r w:rsidRPr="004952FA">
        <w:t>, 2019 CSC 65.</w:t>
      </w:r>
    </w:p>
  </w:footnote>
  <w:footnote w:id="16">
    <w:p w14:paraId="4FF5C732" w14:textId="1868F0CB" w:rsidR="00D849B1" w:rsidRPr="004952FA" w:rsidRDefault="00D849B1">
      <w:pPr>
        <w:pStyle w:val="Notedebasdepage"/>
        <w:rPr>
          <w:lang w:val="en-CA"/>
        </w:rPr>
      </w:pPr>
      <w:r w:rsidRPr="004952FA">
        <w:rPr>
          <w:rStyle w:val="Appelnotedebasdep"/>
        </w:rPr>
        <w:footnoteRef/>
      </w:r>
      <w:r w:rsidRPr="004952FA">
        <w:rPr>
          <w:lang w:val="en-CA"/>
        </w:rPr>
        <w:tab/>
      </w:r>
      <w:r w:rsidR="00953E19" w:rsidRPr="004952FA">
        <w:rPr>
          <w:i/>
          <w:iCs/>
          <w:lang w:val="en-CA"/>
        </w:rPr>
        <w:t>TransAlta Generation Partnership</w:t>
      </w:r>
      <w:r w:rsidR="00953E19" w:rsidRPr="004952FA">
        <w:rPr>
          <w:lang w:val="en-CA"/>
        </w:rPr>
        <w:t xml:space="preserve"> c. </w:t>
      </w:r>
      <w:r w:rsidR="00953E19" w:rsidRPr="004952FA">
        <w:rPr>
          <w:i/>
          <w:iCs/>
          <w:lang w:val="en-CA"/>
        </w:rPr>
        <w:t>Alberta</w:t>
      </w:r>
      <w:r w:rsidR="00953E19" w:rsidRPr="004952FA">
        <w:rPr>
          <w:lang w:val="en-CA"/>
        </w:rPr>
        <w:t>, 2024 CSC 37</w:t>
      </w:r>
      <w:r w:rsidRPr="004952FA">
        <w:rPr>
          <w:lang w:val="en-CA"/>
        </w:rPr>
        <w:t>.</w:t>
      </w:r>
    </w:p>
  </w:footnote>
  <w:footnote w:id="17">
    <w:p w14:paraId="69CDBD1E" w14:textId="0FB86158" w:rsidR="007E5423" w:rsidRDefault="007E5423">
      <w:pPr>
        <w:pStyle w:val="Notedebasdepage"/>
      </w:pPr>
      <w:r w:rsidRPr="004952FA">
        <w:rPr>
          <w:rStyle w:val="Appelnotedebasdep"/>
        </w:rPr>
        <w:footnoteRef/>
      </w:r>
      <w:r w:rsidRPr="004952FA">
        <w:tab/>
      </w:r>
      <w:r w:rsidRPr="004952FA">
        <w:rPr>
          <w:i/>
          <w:iCs/>
        </w:rPr>
        <w:t>Auer</w:t>
      </w:r>
      <w:r w:rsidRPr="004952FA">
        <w:t xml:space="preserve"> c. </w:t>
      </w:r>
      <w:r w:rsidRPr="004952FA">
        <w:rPr>
          <w:i/>
          <w:iCs/>
        </w:rPr>
        <w:t>Auer</w:t>
      </w:r>
      <w:r w:rsidRPr="004952FA">
        <w:t>, 2024 CSC 36.</w:t>
      </w:r>
    </w:p>
  </w:footnote>
  <w:footnote w:id="18">
    <w:p w14:paraId="7FBF0903" w14:textId="0127A918" w:rsidR="00E22121" w:rsidRDefault="00E22121">
      <w:pPr>
        <w:pStyle w:val="Notedebasdepage"/>
      </w:pPr>
      <w:r>
        <w:rPr>
          <w:rStyle w:val="Appelnotedebasdep"/>
        </w:rPr>
        <w:footnoteRef/>
      </w:r>
      <w:r>
        <w:tab/>
      </w:r>
      <w:r w:rsidR="007E0F56" w:rsidRPr="007E0F56">
        <w:t>[1959] RCS 121</w:t>
      </w:r>
      <w:r>
        <w:t>.</w:t>
      </w:r>
    </w:p>
  </w:footnote>
  <w:footnote w:id="19">
    <w:p w14:paraId="6C766885" w14:textId="0FC2742F" w:rsidR="00147784" w:rsidRDefault="00147784">
      <w:pPr>
        <w:pStyle w:val="Notedebasdepage"/>
      </w:pPr>
      <w:r>
        <w:rPr>
          <w:rStyle w:val="Appelnotedebasdep"/>
        </w:rPr>
        <w:footnoteRef/>
      </w:r>
      <w:r>
        <w:tab/>
      </w:r>
      <w:r w:rsidRPr="004952FA">
        <w:rPr>
          <w:i/>
          <w:iCs/>
        </w:rPr>
        <w:t>Baker</w:t>
      </w:r>
      <w:r w:rsidRPr="004952FA">
        <w:t xml:space="preserve"> c. </w:t>
      </w:r>
      <w:r w:rsidRPr="004952FA">
        <w:rPr>
          <w:i/>
          <w:iCs/>
        </w:rPr>
        <w:t>Canada (Ministre de la Citoyenneté et de l'Immigration)</w:t>
      </w:r>
      <w:r w:rsidRPr="004952FA">
        <w:t>, [1999] 2 RCS 817.</w:t>
      </w:r>
    </w:p>
  </w:footnote>
  <w:footnote w:id="20">
    <w:p w14:paraId="18EC9E92" w14:textId="2FDF471F" w:rsidR="00412C73" w:rsidRDefault="00412C73">
      <w:pPr>
        <w:pStyle w:val="Notedebasdepage"/>
      </w:pPr>
      <w:r>
        <w:rPr>
          <w:rStyle w:val="Appelnotedebasdep"/>
        </w:rPr>
        <w:footnoteRef/>
      </w:r>
      <w:r>
        <w:tab/>
      </w:r>
      <w:r w:rsidR="005C3B37" w:rsidRPr="001579F2">
        <w:t>RLRQ</w:t>
      </w:r>
      <w:r w:rsidR="00B91531">
        <w:t>, c. A-6.01</w:t>
      </w:r>
      <w:r w:rsidR="005C3B37">
        <w:t>.</w:t>
      </w:r>
    </w:p>
  </w:footnote>
  <w:footnote w:id="21">
    <w:p w14:paraId="382BA28F" w14:textId="299B0BE5" w:rsidR="0027402A" w:rsidRDefault="0027402A">
      <w:pPr>
        <w:pStyle w:val="Notedebasdepage"/>
      </w:pPr>
      <w:r>
        <w:rPr>
          <w:rStyle w:val="Appelnotedebasdep"/>
        </w:rPr>
        <w:footnoteRef/>
      </w:r>
      <w:r>
        <w:tab/>
        <w:t>C</w:t>
      </w:r>
      <w:r w:rsidRPr="0027402A">
        <w:t>ette désignation provient des articles 88.0.1 de la</w:t>
      </w:r>
      <w:r w:rsidR="00B91531">
        <w:t xml:space="preserve"> </w:t>
      </w:r>
      <w:r w:rsidRPr="0027402A">
        <w:rPr>
          <w:i/>
          <w:iCs/>
        </w:rPr>
        <w:t>Charte de la langue française</w:t>
      </w:r>
      <w:r w:rsidRPr="0027402A">
        <w:t>, RLRQ</w:t>
      </w:r>
      <w:r w:rsidR="00686FBB">
        <w:t>,</w:t>
      </w:r>
      <w:r w:rsidRPr="0027402A">
        <w:t xml:space="preserve"> c</w:t>
      </w:r>
      <w:r w:rsidR="00B91531">
        <w:t>.</w:t>
      </w:r>
      <w:r w:rsidRPr="0027402A">
        <w:t xml:space="preserve"> C-11,</w:t>
      </w:r>
      <w:r w:rsidR="00B91531">
        <w:t xml:space="preserve"> </w:t>
      </w:r>
      <w:r w:rsidRPr="0027402A">
        <w:t>et</w:t>
      </w:r>
      <w:r w:rsidR="00B91531">
        <w:t xml:space="preserve"> </w:t>
      </w:r>
      <w:r w:rsidRPr="0027402A">
        <w:t>194</w:t>
      </w:r>
      <w:r w:rsidR="00B91531">
        <w:t xml:space="preserve"> </w:t>
      </w:r>
      <w:r w:rsidRPr="0027402A">
        <w:t>de la</w:t>
      </w:r>
      <w:r w:rsidR="00B91531">
        <w:t xml:space="preserve"> </w:t>
      </w:r>
      <w:r w:rsidRPr="0027402A">
        <w:rPr>
          <w:i/>
          <w:iCs/>
        </w:rPr>
        <w:t>Loi sur la langue officielle et commune du Québec, le français</w:t>
      </w:r>
      <w:r w:rsidRPr="0027402A">
        <w:t>, L.Q. 2022, c. 14.</w:t>
      </w:r>
    </w:p>
  </w:footnote>
  <w:footnote w:id="22">
    <w:p w14:paraId="14C66C8B" w14:textId="6FEF4C87" w:rsidR="0037178A" w:rsidRDefault="0037178A">
      <w:pPr>
        <w:pStyle w:val="Notedebasdepage"/>
      </w:pPr>
      <w:r>
        <w:rPr>
          <w:rStyle w:val="Appelnotedebasdep"/>
        </w:rPr>
        <w:footnoteRef/>
      </w:r>
      <w:r>
        <w:tab/>
        <w:t>L’</w:t>
      </w:r>
      <w:r w:rsidR="006F65F5" w:rsidRPr="006F65F5">
        <w:t>Institut de tourisme et d'hôtellerie du Québec</w:t>
      </w:r>
      <w:r>
        <w:t xml:space="preserve"> </w:t>
      </w:r>
      <w:r w:rsidR="00E437E5">
        <w:t>n’est</w:t>
      </w:r>
      <w:r>
        <w:t xml:space="preserve"> pas </w:t>
      </w:r>
      <w:r w:rsidR="00E437E5">
        <w:t>affecté</w:t>
      </w:r>
      <w:r>
        <w:t xml:space="preserve"> par </w:t>
      </w:r>
      <w:r w:rsidRPr="00A826A1">
        <w:t>les</w:t>
      </w:r>
      <w:r>
        <w:t xml:space="preserve"> </w:t>
      </w:r>
      <w:r w:rsidR="00E437E5">
        <w:t>modifications aux</w:t>
      </w:r>
      <w:r>
        <w:t xml:space="preserve"> Règles budgétaires.</w:t>
      </w:r>
    </w:p>
  </w:footnote>
  <w:footnote w:id="23">
    <w:p w14:paraId="7578D0D6" w14:textId="7F9941AA" w:rsidR="009F3DF5" w:rsidRDefault="009F3DF5">
      <w:pPr>
        <w:pStyle w:val="Notedebasdepage"/>
      </w:pPr>
      <w:r>
        <w:rPr>
          <w:rStyle w:val="Appelnotedebasdep"/>
        </w:rPr>
        <w:footnoteRef/>
      </w:r>
      <w:r>
        <w:tab/>
      </w:r>
      <w:r w:rsidR="00C30C12" w:rsidRPr="00C30C12">
        <w:rPr>
          <w:i/>
          <w:iCs/>
        </w:rPr>
        <w:t>Institution royale pour l'avancement des sciences (Université McGill)</w:t>
      </w:r>
      <w:r w:rsidR="00C30C12">
        <w:t xml:space="preserve"> c. </w:t>
      </w:r>
      <w:r w:rsidR="00C30C12" w:rsidRPr="00C30C12">
        <w:rPr>
          <w:i/>
          <w:iCs/>
        </w:rPr>
        <w:t>Ministre de l'Enseignement</w:t>
      </w:r>
      <w:r w:rsidR="00C30C12">
        <w:t xml:space="preserve"> </w:t>
      </w:r>
      <w:r w:rsidR="00C30C12" w:rsidRPr="00C30C12">
        <w:rPr>
          <w:i/>
          <w:iCs/>
        </w:rPr>
        <w:t>supérieur</w:t>
      </w:r>
      <w:r>
        <w:t>, 2024 QCCS 2632.</w:t>
      </w:r>
    </w:p>
  </w:footnote>
  <w:footnote w:id="24">
    <w:p w14:paraId="327A4DAF" w14:textId="6F1B8795" w:rsidR="009E7F62" w:rsidRPr="00C07ED7" w:rsidRDefault="009E7F62">
      <w:pPr>
        <w:pStyle w:val="Notedebasdepage"/>
      </w:pPr>
      <w:r>
        <w:rPr>
          <w:rStyle w:val="Appelnotedebasdep"/>
        </w:rPr>
        <w:footnoteRef/>
      </w:r>
      <w:r>
        <w:tab/>
      </w:r>
      <w:r w:rsidRPr="00C07ED7">
        <w:t xml:space="preserve">Pièce PGQ-2, </w:t>
      </w:r>
      <w:r w:rsidR="00592572" w:rsidRPr="00C07ED7">
        <w:t xml:space="preserve">Règles budgétaires et calcul des subventions de fonctionnement aux universités du Québec pour l’année universitaire 2023-2024, </w:t>
      </w:r>
      <w:r w:rsidRPr="00C07ED7">
        <w:t>à la p. 33.</w:t>
      </w:r>
    </w:p>
  </w:footnote>
  <w:footnote w:id="25">
    <w:p w14:paraId="75AB3D95" w14:textId="199654E4" w:rsidR="007D3BBC" w:rsidRDefault="007D3BBC">
      <w:pPr>
        <w:pStyle w:val="Notedebasdepage"/>
      </w:pPr>
      <w:r w:rsidRPr="00C07ED7">
        <w:rPr>
          <w:rStyle w:val="Appelnotedebasdep"/>
        </w:rPr>
        <w:footnoteRef/>
      </w:r>
      <w:r w:rsidRPr="00C07ED7">
        <w:tab/>
      </w:r>
      <w:r w:rsidRPr="00C07ED7">
        <w:rPr>
          <w:i/>
          <w:iCs/>
        </w:rPr>
        <w:t>Id.</w:t>
      </w:r>
      <w:r w:rsidRPr="00C07ED7">
        <w:t xml:space="preserve">, </w:t>
      </w:r>
      <w:r w:rsidR="00E73324" w:rsidRPr="00C07ED7">
        <w:t>aux</w:t>
      </w:r>
      <w:r w:rsidRPr="00C07ED7">
        <w:t xml:space="preserve"> p. 34-35.</w:t>
      </w:r>
    </w:p>
  </w:footnote>
  <w:footnote w:id="26">
    <w:p w14:paraId="448A4DCF" w14:textId="534F76B8" w:rsidR="008F5D93" w:rsidRPr="00367A76" w:rsidRDefault="008F5D93">
      <w:pPr>
        <w:pStyle w:val="Notedebasdepage"/>
      </w:pPr>
      <w:r w:rsidRPr="002022DE">
        <w:rPr>
          <w:rStyle w:val="Appelnotedebasdep"/>
        </w:rPr>
        <w:footnoteRef/>
      </w:r>
      <w:r w:rsidRPr="002022DE">
        <w:tab/>
        <w:t>Pièce PGQ-2</w:t>
      </w:r>
      <w:r w:rsidRPr="00367A76">
        <w:t xml:space="preserve">, </w:t>
      </w:r>
      <w:r w:rsidR="00592572" w:rsidRPr="00367A76">
        <w:t xml:space="preserve">Règles budgétaires et calcul des subventions de fonctionnement aux universités du Québec pour l’année universitaire 2023-2024, </w:t>
      </w:r>
      <w:r w:rsidR="00CA7F24" w:rsidRPr="00367A76">
        <w:t>janvier</w:t>
      </w:r>
      <w:r w:rsidR="00550343" w:rsidRPr="00367A76">
        <w:t> </w:t>
      </w:r>
      <w:r w:rsidR="00CA7F24" w:rsidRPr="00367A76">
        <w:t xml:space="preserve">2024, </w:t>
      </w:r>
      <w:r w:rsidRPr="00367A76">
        <w:t>à la p. 117.</w:t>
      </w:r>
    </w:p>
  </w:footnote>
  <w:footnote w:id="27">
    <w:p w14:paraId="53E1E37F" w14:textId="56EBA81B" w:rsidR="00586069" w:rsidRPr="00367A76" w:rsidRDefault="00586069">
      <w:pPr>
        <w:pStyle w:val="Notedebasdepage"/>
      </w:pPr>
      <w:r w:rsidRPr="00367A76">
        <w:rPr>
          <w:rStyle w:val="Appelnotedebasdep"/>
        </w:rPr>
        <w:footnoteRef/>
      </w:r>
      <w:r w:rsidRPr="00367A76">
        <w:tab/>
      </w:r>
      <w:r w:rsidR="001303A3" w:rsidRPr="00367A76">
        <w:t xml:space="preserve">Pièce PGQ-22, </w:t>
      </w:r>
      <w:r w:rsidRPr="00367A76">
        <w:t xml:space="preserve">Règles budgétaires et calcul des subventions de fonctionnement aux universités du Québec - année universitaire 2024-2025, </w:t>
      </w:r>
      <w:r w:rsidR="001303A3" w:rsidRPr="00367A76">
        <w:t>m</w:t>
      </w:r>
      <w:r w:rsidRPr="00367A76">
        <w:t>ai</w:t>
      </w:r>
      <w:r w:rsidR="00550343" w:rsidRPr="00367A76">
        <w:t> </w:t>
      </w:r>
      <w:r w:rsidRPr="00367A76">
        <w:t>2024, à la p. 118.</w:t>
      </w:r>
    </w:p>
  </w:footnote>
  <w:footnote w:id="28">
    <w:p w14:paraId="415D4711" w14:textId="6402B705" w:rsidR="00586069" w:rsidRPr="00367A76" w:rsidRDefault="00586069">
      <w:pPr>
        <w:pStyle w:val="Notedebasdepage"/>
      </w:pPr>
      <w:r w:rsidRPr="00367A76">
        <w:rPr>
          <w:rStyle w:val="Appelnotedebasdep"/>
        </w:rPr>
        <w:footnoteRef/>
      </w:r>
      <w:r w:rsidRPr="00367A76">
        <w:tab/>
        <w:t xml:space="preserve">Pièce PGQ-2, </w:t>
      </w:r>
      <w:r w:rsidR="001303A3" w:rsidRPr="00367A76">
        <w:t xml:space="preserve">Règles budgétaires et calcul des subventions de fonctionnement aux universités du Québec pour l’année universitaire 2023-2024, </w:t>
      </w:r>
      <w:r w:rsidRPr="00367A76">
        <w:t>à la p. 117.</w:t>
      </w:r>
    </w:p>
  </w:footnote>
  <w:footnote w:id="29">
    <w:p w14:paraId="5BD085B0" w14:textId="775B0088" w:rsidR="00586069" w:rsidRPr="00367A76" w:rsidRDefault="00586069">
      <w:pPr>
        <w:pStyle w:val="Notedebasdepage"/>
      </w:pPr>
      <w:r w:rsidRPr="00367A76">
        <w:rPr>
          <w:rStyle w:val="Appelnotedebasdep"/>
        </w:rPr>
        <w:footnoteRef/>
      </w:r>
      <w:r w:rsidRPr="00367A76">
        <w:tab/>
        <w:t>2 880,90 $ (droits de scolarité de base) + 6 111 $ (montant forfaitaire) = 8 991,90 $</w:t>
      </w:r>
    </w:p>
  </w:footnote>
  <w:footnote w:id="30">
    <w:p w14:paraId="7AD038B0" w14:textId="22F73527" w:rsidR="00AF1859" w:rsidRPr="00367A76" w:rsidRDefault="00AF1859">
      <w:pPr>
        <w:pStyle w:val="Notedebasdepage"/>
      </w:pPr>
      <w:r w:rsidRPr="00367A76">
        <w:rPr>
          <w:rStyle w:val="Appelnotedebasdep"/>
        </w:rPr>
        <w:footnoteRef/>
      </w:r>
      <w:r w:rsidRPr="00367A76">
        <w:tab/>
        <w:t xml:space="preserve">Ce montant est indexé de 3 % dès l’année universitaire 2024-2025, le montant forfaitaire indexé étant de 313,09 $ par unité (9 392,70 $ pour 30 unités). Voir Pièce PGQ-22, </w:t>
      </w:r>
      <w:r w:rsidR="001303A3" w:rsidRPr="00367A76">
        <w:t xml:space="preserve">Règles budgétaires et calcul des subventions de fonctionnement aux universités du Québec - année universitaire 2024-2025, mai 2024, </w:t>
      </w:r>
      <w:r w:rsidRPr="00367A76">
        <w:t>à la p. 122.</w:t>
      </w:r>
    </w:p>
  </w:footnote>
  <w:footnote w:id="31">
    <w:p w14:paraId="6B022C96" w14:textId="7D96FC2B" w:rsidR="001453B8" w:rsidRPr="002022DE" w:rsidRDefault="001453B8">
      <w:pPr>
        <w:pStyle w:val="Notedebasdepage"/>
      </w:pPr>
      <w:r w:rsidRPr="00367A76">
        <w:rPr>
          <w:rStyle w:val="Appelnotedebasdep"/>
        </w:rPr>
        <w:footnoteRef/>
      </w:r>
      <w:r w:rsidRPr="00367A76">
        <w:tab/>
        <w:t xml:space="preserve">Pièce PGQ-2, </w:t>
      </w:r>
      <w:r w:rsidR="00592572" w:rsidRPr="00367A76">
        <w:t xml:space="preserve">Règles budgétaires et calcul des subventions de fonctionnement aux universités du Québec pour l’année universitaire 2023-2024, </w:t>
      </w:r>
      <w:r w:rsidRPr="00367A76">
        <w:t>janvier</w:t>
      </w:r>
      <w:r w:rsidR="00550343" w:rsidRPr="00367A76">
        <w:t> </w:t>
      </w:r>
      <w:r w:rsidRPr="00367A76">
        <w:t xml:space="preserve">2024, </w:t>
      </w:r>
      <w:r w:rsidR="00592572" w:rsidRPr="00367A76">
        <w:t xml:space="preserve">à la </w:t>
      </w:r>
      <w:r w:rsidRPr="00367A76">
        <w:t>p. 117.</w:t>
      </w:r>
    </w:p>
  </w:footnote>
  <w:footnote w:id="32">
    <w:p w14:paraId="4DBBB0BB" w14:textId="36B358A2" w:rsidR="002B0B7D" w:rsidRDefault="002B0B7D">
      <w:pPr>
        <w:pStyle w:val="Notedebasdepage"/>
      </w:pPr>
      <w:r w:rsidRPr="002022DE">
        <w:rPr>
          <w:rStyle w:val="Appelnotedebasdep"/>
        </w:rPr>
        <w:footnoteRef/>
      </w:r>
      <w:r w:rsidRPr="002022DE">
        <w:tab/>
        <w:t>2 967,30 $ (droits de scolarité de base) + 9 392,70 $ (montant forfaitaire) = 12 360,00 $</w:t>
      </w:r>
      <w:r w:rsidR="00747E3D">
        <w:t>.</w:t>
      </w:r>
    </w:p>
  </w:footnote>
  <w:footnote w:id="33">
    <w:p w14:paraId="5F8EBB3D" w14:textId="3208E45E" w:rsidR="00A312CB" w:rsidRPr="00B72ACF" w:rsidRDefault="00A312CB">
      <w:pPr>
        <w:pStyle w:val="Notedebasdepage"/>
        <w:rPr>
          <w:strike/>
        </w:rPr>
      </w:pPr>
      <w:r w:rsidRPr="00B72ACF">
        <w:rPr>
          <w:rStyle w:val="Appelnotedebasdep"/>
        </w:rPr>
        <w:footnoteRef/>
      </w:r>
      <w:r w:rsidRPr="00B72ACF">
        <w:tab/>
      </w:r>
      <w:r w:rsidR="001303A3" w:rsidRPr="00B72ACF">
        <w:t xml:space="preserve">Pièce PGQ-2, Règles budgétaires et calcul des subventions de fonctionnement aux universités du Québec pour l’année universitaire 2023-2024, </w:t>
      </w:r>
      <w:r w:rsidR="00CA7F24" w:rsidRPr="00B72ACF">
        <w:t>janvier</w:t>
      </w:r>
      <w:r w:rsidR="002239BB" w:rsidRPr="00B72ACF">
        <w:t> </w:t>
      </w:r>
      <w:r w:rsidR="00CA7F24" w:rsidRPr="00B72ACF">
        <w:t xml:space="preserve">2024, </w:t>
      </w:r>
      <w:r w:rsidR="001303A3" w:rsidRPr="00B72ACF">
        <w:t xml:space="preserve">à la p. </w:t>
      </w:r>
      <w:r w:rsidR="008E69ED" w:rsidRPr="00B72ACF">
        <w:t>120.</w:t>
      </w:r>
    </w:p>
  </w:footnote>
  <w:footnote w:id="34">
    <w:p w14:paraId="2B94E129" w14:textId="3216CD4B" w:rsidR="00DA4859" w:rsidRPr="00E72D3B" w:rsidRDefault="00DA4859">
      <w:pPr>
        <w:pStyle w:val="Notedebasdepage"/>
        <w:rPr>
          <w:highlight w:val="magenta"/>
        </w:rPr>
      </w:pPr>
      <w:r w:rsidRPr="00B72ACF">
        <w:rPr>
          <w:rStyle w:val="Appelnotedebasdep"/>
        </w:rPr>
        <w:footnoteRef/>
      </w:r>
      <w:r w:rsidRPr="00B72ACF">
        <w:tab/>
      </w:r>
      <w:r w:rsidR="001303A3" w:rsidRPr="00B72ACF">
        <w:t xml:space="preserve">Pièce PGQ-4, </w:t>
      </w:r>
      <w:r w:rsidRPr="00B72ACF">
        <w:t xml:space="preserve">Règles budgétaires et calcul des subventions de fonctionnement aux universités du Québec - année universitaire 2018-2019, </w:t>
      </w:r>
      <w:r w:rsidR="001303A3" w:rsidRPr="00B72ACF">
        <w:t>j</w:t>
      </w:r>
      <w:r w:rsidRPr="00B72ACF">
        <w:t>uillet</w:t>
      </w:r>
      <w:r w:rsidR="002239BB" w:rsidRPr="00B72ACF">
        <w:t> </w:t>
      </w:r>
      <w:r w:rsidRPr="00B72ACF">
        <w:t>2018, à la p. 52.</w:t>
      </w:r>
    </w:p>
  </w:footnote>
  <w:footnote w:id="35">
    <w:p w14:paraId="67EA8373" w14:textId="5757A7B3" w:rsidR="00C4665A" w:rsidRPr="005B1883" w:rsidRDefault="00C4665A">
      <w:pPr>
        <w:pStyle w:val="Notedebasdepage"/>
      </w:pPr>
      <w:r w:rsidRPr="005B1883">
        <w:rPr>
          <w:rStyle w:val="Appelnotedebasdep"/>
        </w:rPr>
        <w:footnoteRef/>
      </w:r>
      <w:r w:rsidRPr="005B1883">
        <w:tab/>
      </w:r>
      <w:r w:rsidR="00E90036" w:rsidRPr="005B1883">
        <w:t xml:space="preserve">Pièce PGQ-5, </w:t>
      </w:r>
      <w:r w:rsidRPr="005B1883">
        <w:t xml:space="preserve">Règles budgétaires et calcul des subventions de fonctionnement aux universités du Québec - année universitaire 2019-2020, </w:t>
      </w:r>
      <w:r w:rsidR="00E90036" w:rsidRPr="005B1883">
        <w:t>j</w:t>
      </w:r>
      <w:r w:rsidRPr="005B1883">
        <w:t>uin</w:t>
      </w:r>
      <w:r w:rsidR="007D207E">
        <w:t> </w:t>
      </w:r>
      <w:r w:rsidRPr="005B1883">
        <w:t>2019, à la p. 75.</w:t>
      </w:r>
    </w:p>
  </w:footnote>
  <w:footnote w:id="36">
    <w:p w14:paraId="311BE51B" w14:textId="0E9BADB4" w:rsidR="00FB19E1" w:rsidRPr="00B72ACF" w:rsidRDefault="00FB19E1">
      <w:pPr>
        <w:pStyle w:val="Notedebasdepage"/>
      </w:pPr>
      <w:r w:rsidRPr="005B1883">
        <w:rPr>
          <w:rStyle w:val="Appelnotedebasdep"/>
        </w:rPr>
        <w:footnoteRef/>
      </w:r>
      <w:r w:rsidRPr="005B1883">
        <w:tab/>
        <w:t>Pièce PGQ-</w:t>
      </w:r>
      <w:r w:rsidRPr="00B72ACF">
        <w:t xml:space="preserve">2, </w:t>
      </w:r>
      <w:r w:rsidR="00CA7F24" w:rsidRPr="00B72ACF">
        <w:t>Règles budgétaires et calcul des subventions de fonctionnement aux universités du Québec pour l’année universitaire 2023-2024, janvier</w:t>
      </w:r>
      <w:r w:rsidR="007D207E" w:rsidRPr="00B72ACF">
        <w:t> </w:t>
      </w:r>
      <w:r w:rsidR="00CA7F24" w:rsidRPr="00B72ACF">
        <w:t xml:space="preserve">2024, </w:t>
      </w:r>
      <w:r w:rsidRPr="00B72ACF">
        <w:t>à la p. 120.</w:t>
      </w:r>
    </w:p>
  </w:footnote>
  <w:footnote w:id="37">
    <w:p w14:paraId="08C28DBF" w14:textId="54876D6D" w:rsidR="00365E6E" w:rsidRPr="00B72ACF" w:rsidRDefault="00365E6E">
      <w:pPr>
        <w:pStyle w:val="Notedebasdepage"/>
      </w:pPr>
      <w:r w:rsidRPr="00B72ACF">
        <w:rPr>
          <w:rStyle w:val="Appelnotedebasdep"/>
        </w:rPr>
        <w:footnoteRef/>
      </w:r>
      <w:r w:rsidR="003B4E49" w:rsidRPr="00B72ACF">
        <w:tab/>
        <w:t>2 967,30 $ (droits de scolarité de base) + 18 269,10 $ (montant forfaitaire) = 21 236,40 $</w:t>
      </w:r>
      <w:r w:rsidR="00CF54AD" w:rsidRPr="00B72ACF">
        <w:t>.</w:t>
      </w:r>
    </w:p>
  </w:footnote>
  <w:footnote w:id="38">
    <w:p w14:paraId="0E3949B1" w14:textId="12354028" w:rsidR="00D15FBB" w:rsidRDefault="00D15FBB">
      <w:pPr>
        <w:pStyle w:val="Notedebasdepage"/>
      </w:pPr>
      <w:r w:rsidRPr="00B72ACF">
        <w:rPr>
          <w:rStyle w:val="Appelnotedebasdep"/>
        </w:rPr>
        <w:footnoteRef/>
      </w:r>
      <w:r w:rsidRPr="00B72ACF">
        <w:tab/>
        <w:t xml:space="preserve">Pièce PGQ-2, </w:t>
      </w:r>
      <w:r w:rsidR="00CA7F24" w:rsidRPr="00B72ACF">
        <w:t>Règles budgétaires et calcul des subventions de fonctionnement aux universités du Québec pour l’année universitaire 2023-2024, janvier</w:t>
      </w:r>
      <w:r w:rsidR="007D207E" w:rsidRPr="00B72ACF">
        <w:t> </w:t>
      </w:r>
      <w:r w:rsidR="00CA7F24" w:rsidRPr="00B72ACF">
        <w:t xml:space="preserve">2024, </w:t>
      </w:r>
      <w:r w:rsidRPr="00B72ACF">
        <w:t>à la p. 125.</w:t>
      </w:r>
    </w:p>
  </w:footnote>
  <w:footnote w:id="39">
    <w:p w14:paraId="0255EAD8" w14:textId="5C960899" w:rsidR="00CE421E" w:rsidRPr="00876922" w:rsidRDefault="00CE421E">
      <w:pPr>
        <w:pStyle w:val="Notedebasdepage"/>
      </w:pPr>
      <w:r w:rsidRPr="00F903CF">
        <w:rPr>
          <w:rStyle w:val="Appelnotedebasdep"/>
        </w:rPr>
        <w:footnoteRef/>
      </w:r>
      <w:r w:rsidRPr="00F903CF">
        <w:tab/>
      </w:r>
      <w:r w:rsidRPr="00876922">
        <w:t xml:space="preserve">Pièce PGQ-22, </w:t>
      </w:r>
      <w:r w:rsidR="00CA7F24" w:rsidRPr="00876922">
        <w:t>Règles budgétaires et calcul des subventions de fonctionnement aux universités du Québec - année universitaire 2024-2025, mai</w:t>
      </w:r>
      <w:r w:rsidR="00550343" w:rsidRPr="00876922">
        <w:t> </w:t>
      </w:r>
      <w:r w:rsidR="00CA7F24" w:rsidRPr="00876922">
        <w:t xml:space="preserve">2024, </w:t>
      </w:r>
      <w:r w:rsidRPr="00876922">
        <w:t>à la p. 126.</w:t>
      </w:r>
    </w:p>
  </w:footnote>
  <w:footnote w:id="40">
    <w:p w14:paraId="3FF0517D" w14:textId="4A24DFCE" w:rsidR="002C0B59" w:rsidRPr="00BC0E57" w:rsidRDefault="002C0B59" w:rsidP="002C0B59">
      <w:pPr>
        <w:pStyle w:val="Notedebasdepage"/>
      </w:pPr>
      <w:r w:rsidRPr="00876922">
        <w:rPr>
          <w:rStyle w:val="Appelnotedebasdep"/>
        </w:rPr>
        <w:footnoteRef/>
      </w:r>
      <w:r w:rsidRPr="00876922">
        <w:tab/>
        <w:t>Pièce PGQ-22</w:t>
      </w:r>
      <w:r w:rsidR="00C566F3" w:rsidRPr="00876922">
        <w:t>, Règles budgétaires et calcul des subventions de fonctionnement aux universités du Québec - année universitaire 2024-2025, mai</w:t>
      </w:r>
      <w:r w:rsidR="00550343" w:rsidRPr="00876922">
        <w:t> </w:t>
      </w:r>
      <w:r w:rsidR="00C566F3" w:rsidRPr="00876922">
        <w:t>2024</w:t>
      </w:r>
      <w:r w:rsidRPr="00876922">
        <w:t>.</w:t>
      </w:r>
    </w:p>
  </w:footnote>
  <w:footnote w:id="41">
    <w:p w14:paraId="52E1D538" w14:textId="30CA5090" w:rsidR="002C0B59" w:rsidRPr="00D6515E" w:rsidRDefault="002C0B59" w:rsidP="002C0B59">
      <w:pPr>
        <w:pStyle w:val="Notedebasdepage"/>
      </w:pPr>
      <w:r w:rsidRPr="00BC0E57">
        <w:rPr>
          <w:rStyle w:val="Appelnotedebasdep"/>
        </w:rPr>
        <w:footnoteRef/>
      </w:r>
      <w:r w:rsidRPr="00BC0E57">
        <w:tab/>
      </w:r>
      <w:r w:rsidRPr="00D6515E">
        <w:t xml:space="preserve">Pièce PGQ-22, </w:t>
      </w:r>
      <w:r w:rsidR="00C566F3" w:rsidRPr="00D6515E">
        <w:t>Règles budgétaires et calcul des subventions de fonctionnement aux universités du Québec - année universitaire 2024-2025, mai</w:t>
      </w:r>
      <w:r w:rsidR="00D6515E" w:rsidRPr="00D6515E">
        <w:t> </w:t>
      </w:r>
      <w:r w:rsidR="00C566F3" w:rsidRPr="00D6515E">
        <w:t xml:space="preserve">2024, aux </w:t>
      </w:r>
      <w:r w:rsidRPr="00D6515E">
        <w:t>p. 103-104.</w:t>
      </w:r>
    </w:p>
  </w:footnote>
  <w:footnote w:id="42">
    <w:p w14:paraId="57BFFE40" w14:textId="35BECBBF" w:rsidR="00F12192" w:rsidRDefault="00F12192" w:rsidP="00F12192">
      <w:pPr>
        <w:pStyle w:val="Notedebasdepage"/>
      </w:pPr>
      <w:r w:rsidRPr="00D6515E">
        <w:rPr>
          <w:rStyle w:val="Appelnotedebasdep"/>
        </w:rPr>
        <w:footnoteRef/>
      </w:r>
      <w:r w:rsidRPr="00D6515E">
        <w:tab/>
        <w:t xml:space="preserve">Pièce PGQ-22, </w:t>
      </w:r>
      <w:r w:rsidR="00C566F3" w:rsidRPr="00D6515E">
        <w:t>Règles budgétaires et calcul des subventions de fonctionnement aux universités du Québec - année universitaire 2024-2025, mai</w:t>
      </w:r>
      <w:r w:rsidR="00D6515E" w:rsidRPr="00D6515E">
        <w:t> </w:t>
      </w:r>
      <w:r w:rsidR="00C566F3" w:rsidRPr="00D6515E">
        <w:t xml:space="preserve">2024, à la </w:t>
      </w:r>
      <w:r w:rsidRPr="00D6515E">
        <w:t>p. 104.</w:t>
      </w:r>
    </w:p>
  </w:footnote>
  <w:footnote w:id="43">
    <w:p w14:paraId="1B73E478" w14:textId="1D981F7F" w:rsidR="003A7581" w:rsidRDefault="003A7581">
      <w:pPr>
        <w:pStyle w:val="Notedebasdepage"/>
      </w:pPr>
      <w:r>
        <w:rPr>
          <w:rStyle w:val="Appelnotedebasdep"/>
        </w:rPr>
        <w:footnoteRef/>
      </w:r>
      <w:r>
        <w:tab/>
        <w:t>Mémoire de McGill du 8</w:t>
      </w:r>
      <w:r w:rsidR="00723A05" w:rsidRPr="00FB19E1">
        <w:rPr>
          <w:rFonts w:cs="Arial"/>
          <w:color w:val="000016"/>
          <w:spacing w:val="2"/>
          <w:lang w:eastAsia="fr-CA"/>
        </w:rPr>
        <w:t> </w:t>
      </w:r>
      <w:r>
        <w:t>novembre</w:t>
      </w:r>
      <w:r w:rsidR="00723A05" w:rsidRPr="00FB19E1">
        <w:rPr>
          <w:rFonts w:cs="Arial"/>
          <w:color w:val="000016"/>
          <w:spacing w:val="2"/>
          <w:lang w:eastAsia="fr-CA"/>
        </w:rPr>
        <w:t> </w:t>
      </w:r>
      <w:r>
        <w:t>2024, au par. 7.</w:t>
      </w:r>
    </w:p>
  </w:footnote>
  <w:footnote w:id="44">
    <w:p w14:paraId="793DF168" w14:textId="0193D103" w:rsidR="00EE6221" w:rsidRPr="00000586" w:rsidRDefault="00EE6221">
      <w:pPr>
        <w:pStyle w:val="Notedebasdepage"/>
      </w:pPr>
      <w:r w:rsidRPr="00BF1EBC">
        <w:rPr>
          <w:rStyle w:val="Appelnotedebasdep"/>
        </w:rPr>
        <w:footnoteRef/>
      </w:r>
      <w:r w:rsidRPr="00000586">
        <w:tab/>
      </w:r>
      <w:r w:rsidR="004443F4" w:rsidRPr="00000586">
        <w:rPr>
          <w:i/>
          <w:iCs/>
        </w:rPr>
        <w:t>R.</w:t>
      </w:r>
      <w:r w:rsidR="004443F4" w:rsidRPr="00000586">
        <w:t xml:space="preserve"> c. </w:t>
      </w:r>
      <w:r w:rsidR="004443F4" w:rsidRPr="00000586">
        <w:rPr>
          <w:i/>
          <w:iCs/>
        </w:rPr>
        <w:t>Oakes</w:t>
      </w:r>
      <w:r w:rsidR="004443F4" w:rsidRPr="00000586">
        <w:t xml:space="preserve">, </w:t>
      </w:r>
      <w:r w:rsidR="00665060" w:rsidRPr="00000586">
        <w:t>préc., note 12</w:t>
      </w:r>
      <w:r w:rsidR="004443F4" w:rsidRPr="00000586">
        <w:t>.</w:t>
      </w:r>
    </w:p>
  </w:footnote>
  <w:footnote w:id="45">
    <w:p w14:paraId="34AECFBB" w14:textId="4B8218C9" w:rsidR="003A7581" w:rsidRPr="008B1225" w:rsidRDefault="003A7581">
      <w:pPr>
        <w:pStyle w:val="Notedebasdepage"/>
      </w:pPr>
      <w:r w:rsidRPr="008B1225">
        <w:rPr>
          <w:rStyle w:val="Appelnotedebasdep"/>
        </w:rPr>
        <w:footnoteRef/>
      </w:r>
      <w:r w:rsidRPr="008B1225">
        <w:tab/>
        <w:t xml:space="preserve">Mémoire </w:t>
      </w:r>
      <w:r w:rsidR="00A1636E" w:rsidRPr="008B1225">
        <w:t xml:space="preserve">modifié </w:t>
      </w:r>
      <w:r w:rsidRPr="008B1225">
        <w:t xml:space="preserve">de Concordia et Meldrum du </w:t>
      </w:r>
      <w:r w:rsidR="00A1636E" w:rsidRPr="008B1225">
        <w:t>21</w:t>
      </w:r>
      <w:r w:rsidR="008B1225" w:rsidRPr="008B1225">
        <w:t> </w:t>
      </w:r>
      <w:r w:rsidR="00F61AD6" w:rsidRPr="008B1225">
        <w:t>novembre</w:t>
      </w:r>
      <w:r w:rsidR="008B1225" w:rsidRPr="008B1225">
        <w:t> </w:t>
      </w:r>
      <w:r w:rsidR="00F61AD6" w:rsidRPr="008B1225">
        <w:t>2024</w:t>
      </w:r>
      <w:r w:rsidRPr="008B1225">
        <w:t xml:space="preserve">, au par. </w:t>
      </w:r>
      <w:r w:rsidR="00F61AD6" w:rsidRPr="008B1225">
        <w:t>1-2</w:t>
      </w:r>
      <w:r w:rsidRPr="008B1225">
        <w:t>.</w:t>
      </w:r>
    </w:p>
  </w:footnote>
  <w:footnote w:id="46">
    <w:p w14:paraId="4F3AFF5D" w14:textId="570CEDCC" w:rsidR="004443F4" w:rsidRDefault="004443F4">
      <w:pPr>
        <w:pStyle w:val="Notedebasdepage"/>
      </w:pPr>
      <w:r w:rsidRPr="008B1225">
        <w:rPr>
          <w:rStyle w:val="Appelnotedebasdep"/>
        </w:rPr>
        <w:footnoteRef/>
      </w:r>
      <w:r w:rsidRPr="008B1225">
        <w:tab/>
        <w:t>Préc., note</w:t>
      </w:r>
      <w:r w:rsidR="00F61AD6" w:rsidRPr="008B1225">
        <w:t xml:space="preserve"> </w:t>
      </w:r>
      <w:r w:rsidR="00F61AD6" w:rsidRPr="008B1225">
        <w:fldChar w:fldCharType="begin"/>
      </w:r>
      <w:r w:rsidR="00F61AD6" w:rsidRPr="008B1225">
        <w:instrText xml:space="preserve"> NOTEREF _Ref194065368 \h </w:instrText>
      </w:r>
      <w:r w:rsidR="00BF1EBC" w:rsidRPr="008B1225">
        <w:instrText xml:space="preserve"> \* MERGEFORMAT </w:instrText>
      </w:r>
      <w:r w:rsidR="00F61AD6" w:rsidRPr="008B1225">
        <w:fldChar w:fldCharType="separate"/>
      </w:r>
      <w:r w:rsidR="0014558C">
        <w:t>9</w:t>
      </w:r>
      <w:r w:rsidR="00F61AD6" w:rsidRPr="008B1225">
        <w:fldChar w:fldCharType="end"/>
      </w:r>
      <w:r w:rsidRPr="008B1225">
        <w:t>.</w:t>
      </w:r>
    </w:p>
  </w:footnote>
  <w:footnote w:id="47">
    <w:p w14:paraId="2F502E9B" w14:textId="7353F70E" w:rsidR="00923DD2" w:rsidRDefault="00923DD2">
      <w:pPr>
        <w:pStyle w:val="Notedebasdepage"/>
      </w:pPr>
      <w:r w:rsidRPr="000C38BD">
        <w:rPr>
          <w:rStyle w:val="Appelnotedebasdep"/>
        </w:rPr>
        <w:footnoteRef/>
      </w:r>
      <w:r w:rsidRPr="000C38BD">
        <w:tab/>
      </w:r>
      <w:r w:rsidR="00EE6221" w:rsidRPr="000C38BD">
        <w:t>Préc</w:t>
      </w:r>
      <w:r w:rsidR="00D73E06" w:rsidRPr="000C38BD">
        <w:t>.,</w:t>
      </w:r>
      <w:r w:rsidR="00EE6221" w:rsidRPr="000C38BD">
        <w:t xml:space="preserve"> note</w:t>
      </w:r>
      <w:r w:rsidR="00747E3D">
        <w:t xml:space="preserve"> 10</w:t>
      </w:r>
      <w:r w:rsidR="00EE6221" w:rsidRPr="000C38BD">
        <w:t>.</w:t>
      </w:r>
    </w:p>
  </w:footnote>
  <w:footnote w:id="48">
    <w:p w14:paraId="717A80A2" w14:textId="10F56951" w:rsidR="006E6C28" w:rsidRDefault="006E6C28">
      <w:pPr>
        <w:pStyle w:val="Notedebasdepage"/>
      </w:pPr>
      <w:r>
        <w:rPr>
          <w:rStyle w:val="Appelnotedebasdep"/>
        </w:rPr>
        <w:footnoteRef/>
      </w:r>
      <w:r>
        <w:tab/>
      </w:r>
      <w:r w:rsidRPr="00D57789">
        <w:rPr>
          <w:i/>
          <w:iCs/>
        </w:rPr>
        <w:t>Vavilov</w:t>
      </w:r>
      <w:r w:rsidRPr="00D57789">
        <w:t>,</w:t>
      </w:r>
      <w:r w:rsidR="00093E77" w:rsidRPr="00D57789">
        <w:t xml:space="preserve"> préc., note </w:t>
      </w:r>
      <w:r w:rsidR="00093E77" w:rsidRPr="00D57789">
        <w:fldChar w:fldCharType="begin"/>
      </w:r>
      <w:r w:rsidR="00093E77" w:rsidRPr="00D57789">
        <w:instrText xml:space="preserve"> NOTEREF _Ref194175098 \h  \* MERGEFORMAT </w:instrText>
      </w:r>
      <w:r w:rsidR="00093E77" w:rsidRPr="00D57789">
        <w:fldChar w:fldCharType="separate"/>
      </w:r>
      <w:r w:rsidR="0014558C">
        <w:t>14</w:t>
      </w:r>
      <w:r w:rsidR="00093E77" w:rsidRPr="00D57789">
        <w:fldChar w:fldCharType="end"/>
      </w:r>
      <w:r w:rsidRPr="00D57789">
        <w:t>.</w:t>
      </w:r>
    </w:p>
  </w:footnote>
  <w:footnote w:id="49">
    <w:p w14:paraId="171A4146" w14:textId="5E3D82D2" w:rsidR="00D00946" w:rsidRDefault="00D00946" w:rsidP="00D00946">
      <w:pPr>
        <w:pStyle w:val="Notedebasdepage"/>
      </w:pPr>
      <w:r>
        <w:rPr>
          <w:rStyle w:val="Appelnotedebasdep"/>
        </w:rPr>
        <w:footnoteRef/>
      </w:r>
      <w:r>
        <w:tab/>
        <w:t>SBC 2004, c. 45</w:t>
      </w:r>
      <w:r w:rsidR="00141590">
        <w:t>, articles 58-59</w:t>
      </w:r>
      <w:r>
        <w:t>.</w:t>
      </w:r>
    </w:p>
  </w:footnote>
  <w:footnote w:id="50">
    <w:p w14:paraId="4842C8B8" w14:textId="7C18FCF6" w:rsidR="00CA09B8" w:rsidRDefault="00CA09B8" w:rsidP="00CA09B8">
      <w:pPr>
        <w:pStyle w:val="Notedebasdepage"/>
      </w:pPr>
      <w:r w:rsidRPr="000C38BD">
        <w:rPr>
          <w:rStyle w:val="Appelnotedebasdep"/>
        </w:rPr>
        <w:footnoteRef/>
      </w:r>
      <w:r w:rsidRPr="000C38BD">
        <w:tab/>
        <w:t xml:space="preserve">RLRQ, </w:t>
      </w:r>
      <w:r w:rsidR="00A86EB7" w:rsidRPr="000C38BD">
        <w:t>c.</w:t>
      </w:r>
      <w:r w:rsidRPr="000C38BD">
        <w:t xml:space="preserve"> T-15.01. Voir aussi les articles 58 et 59 de </w:t>
      </w:r>
      <w:bookmarkStart w:id="37" w:name="_Hlk190782498"/>
      <w:r w:rsidR="00D57D5B" w:rsidRPr="000C38BD">
        <w:rPr>
          <w:szCs w:val="24"/>
        </w:rPr>
        <w:t>l’</w:t>
      </w:r>
      <w:r w:rsidR="00D57D5B" w:rsidRPr="000C38BD">
        <w:rPr>
          <w:i/>
          <w:iCs/>
          <w:szCs w:val="24"/>
        </w:rPr>
        <w:t>Administrative Tribunals Act</w:t>
      </w:r>
      <w:r w:rsidRPr="000C38BD">
        <w:t xml:space="preserve">, </w:t>
      </w:r>
      <w:r w:rsidR="00D57D5B" w:rsidRPr="000C38BD">
        <w:t>préc., note</w:t>
      </w:r>
      <w:r w:rsidR="005D5A04" w:rsidRPr="000C38BD">
        <w:t xml:space="preserve"> </w:t>
      </w:r>
      <w:r w:rsidR="005D5A04" w:rsidRPr="000C38BD">
        <w:fldChar w:fldCharType="begin"/>
      </w:r>
      <w:r w:rsidR="005D5A04" w:rsidRPr="000C38BD">
        <w:instrText xml:space="preserve"> NOTEREF _Ref194174107 \h </w:instrText>
      </w:r>
      <w:r w:rsidR="000C38BD">
        <w:instrText xml:space="preserve"> \* MERGEFORMAT </w:instrText>
      </w:r>
      <w:r w:rsidR="005D5A04" w:rsidRPr="000C38BD">
        <w:fldChar w:fldCharType="separate"/>
      </w:r>
      <w:r w:rsidR="0014558C">
        <w:t>48</w:t>
      </w:r>
      <w:r w:rsidR="005D5A04" w:rsidRPr="000C38BD">
        <w:fldChar w:fldCharType="end"/>
      </w:r>
      <w:r w:rsidRPr="000C38BD">
        <w:t>.</w:t>
      </w:r>
    </w:p>
    <w:bookmarkEnd w:id="37"/>
  </w:footnote>
  <w:footnote w:id="51">
    <w:p w14:paraId="451B1F66" w14:textId="6F30BE8F" w:rsidR="00CA09B8" w:rsidRDefault="00CA09B8" w:rsidP="00CA09B8">
      <w:pPr>
        <w:pStyle w:val="Notedebasdepage"/>
      </w:pPr>
      <w:r>
        <w:rPr>
          <w:rStyle w:val="Appelnotedebasdep"/>
        </w:rPr>
        <w:footnoteRef/>
      </w:r>
      <w:r>
        <w:tab/>
        <w:t>2002 CSC 33.</w:t>
      </w:r>
    </w:p>
  </w:footnote>
  <w:footnote w:id="52">
    <w:p w14:paraId="52A96391" w14:textId="490E13E8" w:rsidR="00396D86" w:rsidRDefault="00396D86" w:rsidP="00396D86">
      <w:pPr>
        <w:pStyle w:val="Notedebasdepage"/>
      </w:pPr>
      <w:r w:rsidRPr="000C38BD">
        <w:rPr>
          <w:rStyle w:val="Appelnotedebasdep"/>
        </w:rPr>
        <w:footnoteRef/>
      </w:r>
      <w:r w:rsidRPr="000C38BD">
        <w:tab/>
      </w:r>
      <w:r w:rsidRPr="000C38BD">
        <w:rPr>
          <w:i/>
          <w:iCs/>
        </w:rPr>
        <w:t>Vavilov</w:t>
      </w:r>
      <w:r w:rsidRPr="000C38BD">
        <w:t xml:space="preserve">, </w:t>
      </w:r>
      <w:r w:rsidR="008E003C" w:rsidRPr="000C38BD">
        <w:t xml:space="preserve">préc., note </w:t>
      </w:r>
      <w:r w:rsidR="00093E77" w:rsidRPr="000C38BD">
        <w:fldChar w:fldCharType="begin"/>
      </w:r>
      <w:r w:rsidR="00093E77" w:rsidRPr="000C38BD">
        <w:instrText xml:space="preserve"> NOTEREF _Ref194175098 \h </w:instrText>
      </w:r>
      <w:r w:rsidR="000C38BD">
        <w:instrText xml:space="preserve"> \* MERGEFORMAT </w:instrText>
      </w:r>
      <w:r w:rsidR="00093E77" w:rsidRPr="000C38BD">
        <w:fldChar w:fldCharType="separate"/>
      </w:r>
      <w:r w:rsidR="0014558C">
        <w:t>14</w:t>
      </w:r>
      <w:r w:rsidR="00093E77" w:rsidRPr="000C38BD">
        <w:fldChar w:fldCharType="end"/>
      </w:r>
      <w:r w:rsidR="008E003C" w:rsidRPr="000C38BD">
        <w:t xml:space="preserve">, </w:t>
      </w:r>
      <w:r w:rsidRPr="000C38BD">
        <w:t>au par. 35.</w:t>
      </w:r>
    </w:p>
  </w:footnote>
  <w:footnote w:id="53">
    <w:p w14:paraId="475D921C" w14:textId="2B4BD738" w:rsidR="00396D86" w:rsidRPr="00F02353" w:rsidRDefault="00396D86" w:rsidP="00396D86">
      <w:pPr>
        <w:pStyle w:val="Notedebasdepage"/>
        <w:rPr>
          <w:lang w:val="en-CA"/>
        </w:rPr>
      </w:pPr>
      <w:r>
        <w:rPr>
          <w:rStyle w:val="Appelnotedebasdep"/>
        </w:rPr>
        <w:footnoteRef/>
      </w:r>
      <w:r>
        <w:tab/>
      </w:r>
      <w:r w:rsidRPr="003516AF">
        <w:rPr>
          <w:i/>
          <w:iCs/>
        </w:rPr>
        <w:t xml:space="preserve">Ward </w:t>
      </w:r>
      <w:r w:rsidRPr="003516AF">
        <w:t xml:space="preserve">c. </w:t>
      </w:r>
      <w:r w:rsidRPr="003516AF">
        <w:rPr>
          <w:i/>
          <w:iCs/>
        </w:rPr>
        <w:t>Québec (Commission des droits de la personne et des droits de la jeunesse)</w:t>
      </w:r>
      <w:r>
        <w:t xml:space="preserve">, [2021] 3 R.C.S. 176. </w:t>
      </w:r>
      <w:r w:rsidRPr="00F02353">
        <w:rPr>
          <w:lang w:val="en-CA"/>
        </w:rPr>
        <w:t xml:space="preserve">Voir aussi </w:t>
      </w:r>
      <w:r w:rsidRPr="00F02353">
        <w:rPr>
          <w:i/>
          <w:iCs/>
          <w:lang w:val="en-CA"/>
        </w:rPr>
        <w:t>Law Society of Saskatchewan</w:t>
      </w:r>
      <w:r w:rsidRPr="00F02353">
        <w:rPr>
          <w:lang w:val="en-CA"/>
        </w:rPr>
        <w:t xml:space="preserve"> c</w:t>
      </w:r>
      <w:r>
        <w:rPr>
          <w:lang w:val="en-CA"/>
        </w:rPr>
        <w:t xml:space="preserve">. </w:t>
      </w:r>
      <w:r w:rsidRPr="00F02353">
        <w:rPr>
          <w:i/>
          <w:iCs/>
          <w:lang w:val="en-CA"/>
        </w:rPr>
        <w:t>Abrametz</w:t>
      </w:r>
      <w:r>
        <w:rPr>
          <w:lang w:val="en-CA"/>
        </w:rPr>
        <w:t xml:space="preserve">, </w:t>
      </w:r>
      <w:r w:rsidR="00091A79">
        <w:rPr>
          <w:lang w:val="en-CA"/>
        </w:rPr>
        <w:t>[</w:t>
      </w:r>
      <w:r>
        <w:rPr>
          <w:lang w:val="en-CA"/>
        </w:rPr>
        <w:t>2022</w:t>
      </w:r>
      <w:r w:rsidR="00091A79">
        <w:rPr>
          <w:lang w:val="en-CA"/>
        </w:rPr>
        <w:t>]</w:t>
      </w:r>
      <w:r>
        <w:rPr>
          <w:lang w:val="en-CA"/>
        </w:rPr>
        <w:t xml:space="preserve"> </w:t>
      </w:r>
      <w:r w:rsidR="00091A79">
        <w:rPr>
          <w:lang w:val="en-CA"/>
        </w:rPr>
        <w:t xml:space="preserve">2 R.C.S. </w:t>
      </w:r>
      <w:r>
        <w:rPr>
          <w:lang w:val="en-CA"/>
        </w:rPr>
        <w:t>2</w:t>
      </w:r>
      <w:r w:rsidR="00091A79">
        <w:rPr>
          <w:lang w:val="en-CA"/>
        </w:rPr>
        <w:t>20</w:t>
      </w:r>
      <w:r>
        <w:rPr>
          <w:lang w:val="en-CA"/>
        </w:rPr>
        <w:t>, par. 29-30.</w:t>
      </w:r>
    </w:p>
  </w:footnote>
  <w:footnote w:id="54">
    <w:p w14:paraId="111AB632" w14:textId="77EF089A" w:rsidR="00FE499C" w:rsidRDefault="00FE499C" w:rsidP="00FE499C">
      <w:pPr>
        <w:pStyle w:val="Notedebasdepage"/>
      </w:pPr>
      <w:r>
        <w:rPr>
          <w:rStyle w:val="Appelnotedebasdep"/>
        </w:rPr>
        <w:footnoteRef/>
      </w:r>
      <w:r>
        <w:tab/>
      </w:r>
      <w:r w:rsidRPr="000D6A26">
        <w:rPr>
          <w:i/>
          <w:iCs/>
        </w:rPr>
        <w:t>Yatar</w:t>
      </w:r>
      <w:r>
        <w:t xml:space="preserve"> c. </w:t>
      </w:r>
      <w:r w:rsidRPr="000D6A26">
        <w:rPr>
          <w:i/>
          <w:iCs/>
        </w:rPr>
        <w:t>TD Assurance Meloche Monnex</w:t>
      </w:r>
      <w:r>
        <w:t>, 2024 CSC 8.</w:t>
      </w:r>
    </w:p>
  </w:footnote>
  <w:footnote w:id="55">
    <w:p w14:paraId="6A1BC591" w14:textId="79982B6C" w:rsidR="007D4BAE" w:rsidRPr="00D9254B" w:rsidRDefault="007D4BAE">
      <w:pPr>
        <w:pStyle w:val="Notedebasdepage"/>
      </w:pPr>
      <w:r w:rsidRPr="000C38BD">
        <w:rPr>
          <w:rStyle w:val="Appelnotedebasdep"/>
        </w:rPr>
        <w:footnoteRef/>
      </w:r>
      <w:r w:rsidRPr="000C38BD">
        <w:tab/>
      </w:r>
      <w:r w:rsidRPr="000C38BD">
        <w:rPr>
          <w:i/>
          <w:iCs/>
        </w:rPr>
        <w:t>Vavilov</w:t>
      </w:r>
      <w:r w:rsidRPr="000C38BD">
        <w:t>,</w:t>
      </w:r>
      <w:r w:rsidR="008E003C" w:rsidRPr="000C38BD">
        <w:t xml:space="preserve"> préc., note </w:t>
      </w:r>
      <w:r w:rsidR="00093E77" w:rsidRPr="000C38BD">
        <w:fldChar w:fldCharType="begin"/>
      </w:r>
      <w:r w:rsidR="00093E77" w:rsidRPr="000C38BD">
        <w:instrText xml:space="preserve"> NOTEREF _Ref194175098 \h </w:instrText>
      </w:r>
      <w:r w:rsidR="000C38BD">
        <w:instrText xml:space="preserve"> \* MERGEFORMAT </w:instrText>
      </w:r>
      <w:r w:rsidR="00093E77" w:rsidRPr="000C38BD">
        <w:fldChar w:fldCharType="separate"/>
      </w:r>
      <w:r w:rsidR="0014558C">
        <w:t>14</w:t>
      </w:r>
      <w:r w:rsidR="00093E77" w:rsidRPr="000C38BD">
        <w:fldChar w:fldCharType="end"/>
      </w:r>
      <w:r w:rsidR="008E003C" w:rsidRPr="000C38BD">
        <w:t>,</w:t>
      </w:r>
      <w:r w:rsidRPr="000C38BD">
        <w:t xml:space="preserve"> au par. 83.</w:t>
      </w:r>
    </w:p>
  </w:footnote>
  <w:footnote w:id="56">
    <w:p w14:paraId="004C6D90" w14:textId="7BBAB409" w:rsidR="00E477E5" w:rsidRDefault="00E477E5">
      <w:pPr>
        <w:pStyle w:val="Notedebasdepage"/>
      </w:pPr>
      <w:r>
        <w:rPr>
          <w:rStyle w:val="Appelnotedebasdep"/>
        </w:rPr>
        <w:footnoteRef/>
      </w:r>
      <w:r>
        <w:tab/>
      </w:r>
      <w:r w:rsidRPr="007F0962">
        <w:rPr>
          <w:i/>
          <w:iCs/>
        </w:rPr>
        <w:t>Id</w:t>
      </w:r>
      <w:r w:rsidR="007F0962" w:rsidRPr="007F0962">
        <w:rPr>
          <w:i/>
          <w:iCs/>
        </w:rPr>
        <w:t>.</w:t>
      </w:r>
      <w:r>
        <w:t>, aux par. 91 à 102.</w:t>
      </w:r>
    </w:p>
  </w:footnote>
  <w:footnote w:id="57">
    <w:p w14:paraId="45C41A0B" w14:textId="4D662FBE" w:rsidR="00B45686" w:rsidRDefault="00B45686">
      <w:pPr>
        <w:pStyle w:val="Notedebasdepage"/>
      </w:pPr>
      <w:r>
        <w:rPr>
          <w:rStyle w:val="Appelnotedebasdep"/>
        </w:rPr>
        <w:footnoteRef/>
      </w:r>
      <w:r>
        <w:tab/>
      </w:r>
      <w:r w:rsidR="0060681A">
        <w:rPr>
          <w:rFonts w:cs="Arial"/>
          <w:i/>
          <w:iCs/>
          <w:szCs w:val="24"/>
        </w:rPr>
        <w:t>Baker c. Canada (Ministre de la Citoyenneté et de l'Immigration)</w:t>
      </w:r>
      <w:r w:rsidR="0060681A">
        <w:t xml:space="preserve">, </w:t>
      </w:r>
      <w:r w:rsidR="00015DC2">
        <w:t>préc., note 18</w:t>
      </w:r>
      <w:r>
        <w:t>.</w:t>
      </w:r>
    </w:p>
  </w:footnote>
  <w:footnote w:id="58">
    <w:p w14:paraId="16CD316D" w14:textId="29A18E0A" w:rsidR="0003621F" w:rsidRDefault="0003621F">
      <w:pPr>
        <w:pStyle w:val="Notedebasdepage"/>
      </w:pPr>
      <w:r>
        <w:rPr>
          <w:rStyle w:val="Appelnotedebasdep"/>
        </w:rPr>
        <w:footnoteRef/>
      </w:r>
      <w:r>
        <w:tab/>
      </w:r>
      <w:r w:rsidR="00E97D22" w:rsidRPr="00E97D22">
        <w:rPr>
          <w:i/>
          <w:iCs/>
        </w:rPr>
        <w:t>Dunsmuir</w:t>
      </w:r>
      <w:r w:rsidR="00E97D22" w:rsidRPr="00E97D22">
        <w:t xml:space="preserve"> c. </w:t>
      </w:r>
      <w:r w:rsidR="00E97D22" w:rsidRPr="00E97D22">
        <w:rPr>
          <w:i/>
          <w:iCs/>
        </w:rPr>
        <w:t>Nouveau-Brunswick</w:t>
      </w:r>
      <w:r w:rsidR="00E97D22">
        <w:t xml:space="preserve">, </w:t>
      </w:r>
      <w:r w:rsidR="00E97D22" w:rsidRPr="00E97D22">
        <w:t>2008 CSC 9</w:t>
      </w:r>
      <w:r>
        <w:t>.</w:t>
      </w:r>
    </w:p>
  </w:footnote>
  <w:footnote w:id="59">
    <w:p w14:paraId="276EC85B" w14:textId="2E4697E2" w:rsidR="003C473A" w:rsidRDefault="003C473A">
      <w:pPr>
        <w:pStyle w:val="Notedebasdepage"/>
      </w:pPr>
      <w:r w:rsidRPr="000C38BD">
        <w:rPr>
          <w:rStyle w:val="Appelnotedebasdep"/>
        </w:rPr>
        <w:footnoteRef/>
      </w:r>
      <w:r w:rsidRPr="000C38BD">
        <w:tab/>
      </w:r>
      <w:r w:rsidR="00FA0C9B" w:rsidRPr="000C38BD">
        <w:rPr>
          <w:i/>
          <w:iCs/>
        </w:rPr>
        <w:t>Vavilov</w:t>
      </w:r>
      <w:r w:rsidR="00FA0C9B" w:rsidRPr="000C38BD">
        <w:t>, préc., note</w:t>
      </w:r>
      <w:r w:rsidR="00093E77" w:rsidRPr="000C38BD">
        <w:t xml:space="preserve"> </w:t>
      </w:r>
      <w:r w:rsidR="00093E77" w:rsidRPr="000C38BD">
        <w:fldChar w:fldCharType="begin"/>
      </w:r>
      <w:r w:rsidR="00093E77" w:rsidRPr="000C38BD">
        <w:instrText xml:space="preserve"> NOTEREF _Ref194175098 \h </w:instrText>
      </w:r>
      <w:r w:rsidR="000C38BD">
        <w:instrText xml:space="preserve"> \* MERGEFORMAT </w:instrText>
      </w:r>
      <w:r w:rsidR="00093E77" w:rsidRPr="000C38BD">
        <w:fldChar w:fldCharType="separate"/>
      </w:r>
      <w:r w:rsidR="0014558C">
        <w:t>14</w:t>
      </w:r>
      <w:r w:rsidR="00093E77" w:rsidRPr="000C38BD">
        <w:fldChar w:fldCharType="end"/>
      </w:r>
      <w:r w:rsidR="00CE5DB6" w:rsidRPr="000C38BD">
        <w:t xml:space="preserve">, </w:t>
      </w:r>
      <w:r w:rsidRPr="000C38BD">
        <w:t>aux par. 84 et 91.</w:t>
      </w:r>
    </w:p>
  </w:footnote>
  <w:footnote w:id="60">
    <w:p w14:paraId="2592479F" w14:textId="4F5CC7D1" w:rsidR="00E401A3" w:rsidRDefault="00E401A3">
      <w:pPr>
        <w:pStyle w:val="Notedebasdepage"/>
      </w:pPr>
      <w:r>
        <w:rPr>
          <w:rStyle w:val="Appelnotedebasdep"/>
        </w:rPr>
        <w:footnoteRef/>
      </w:r>
      <w:r>
        <w:tab/>
      </w:r>
      <w:r w:rsidR="00837DBE" w:rsidRPr="00837DBE">
        <w:rPr>
          <w:i/>
          <w:iCs/>
        </w:rPr>
        <w:t>Id</w:t>
      </w:r>
      <w:r>
        <w:t>.</w:t>
      </w:r>
    </w:p>
  </w:footnote>
  <w:footnote w:id="61">
    <w:p w14:paraId="6B6C3916" w14:textId="4232C667" w:rsidR="004930C5" w:rsidRDefault="004930C5">
      <w:pPr>
        <w:pStyle w:val="Notedebasdepage"/>
      </w:pPr>
      <w:r>
        <w:rPr>
          <w:rStyle w:val="Appelnotedebasdep"/>
        </w:rPr>
        <w:footnoteRef/>
      </w:r>
      <w:r>
        <w:tab/>
      </w:r>
      <w:r w:rsidR="00895F54">
        <w:rPr>
          <w:i/>
          <w:iCs/>
        </w:rPr>
        <w:t>Id.</w:t>
      </w:r>
      <w:r>
        <w:t>, au par. 53.</w:t>
      </w:r>
    </w:p>
  </w:footnote>
  <w:footnote w:id="62">
    <w:p w14:paraId="18B44C29" w14:textId="64427C0A" w:rsidR="00AF1E11" w:rsidRDefault="00AF1E11">
      <w:pPr>
        <w:pStyle w:val="Notedebasdepage"/>
      </w:pPr>
      <w:r w:rsidRPr="000C38BD">
        <w:rPr>
          <w:rStyle w:val="Appelnotedebasdep"/>
        </w:rPr>
        <w:footnoteRef/>
      </w:r>
      <w:r w:rsidRPr="000C38BD">
        <w:tab/>
      </w:r>
      <w:r w:rsidRPr="000C38BD">
        <w:rPr>
          <w:i/>
          <w:iCs/>
        </w:rPr>
        <w:t>Dunsmuir</w:t>
      </w:r>
      <w:r w:rsidRPr="000C38BD">
        <w:t xml:space="preserve">, </w:t>
      </w:r>
      <w:r w:rsidR="008509C9" w:rsidRPr="000C38BD">
        <w:t>préc</w:t>
      </w:r>
      <w:r w:rsidR="00015DC2">
        <w:t>.</w:t>
      </w:r>
      <w:r w:rsidR="008509C9" w:rsidRPr="000C38BD">
        <w:t xml:space="preserve">, note </w:t>
      </w:r>
      <w:r w:rsidR="00093E77" w:rsidRPr="000C38BD">
        <w:fldChar w:fldCharType="begin"/>
      </w:r>
      <w:r w:rsidR="00093E77" w:rsidRPr="000C38BD">
        <w:instrText xml:space="preserve"> NOTEREF _Ref194175030 \h </w:instrText>
      </w:r>
      <w:r w:rsidR="000C38BD">
        <w:instrText xml:space="preserve"> \* MERGEFORMAT </w:instrText>
      </w:r>
      <w:r w:rsidR="00093E77" w:rsidRPr="000C38BD">
        <w:fldChar w:fldCharType="separate"/>
      </w:r>
      <w:r w:rsidR="0014558C">
        <w:t>57</w:t>
      </w:r>
      <w:r w:rsidR="00093E77" w:rsidRPr="000C38BD">
        <w:fldChar w:fldCharType="end"/>
      </w:r>
      <w:r w:rsidR="008509C9" w:rsidRPr="000C38BD">
        <w:t xml:space="preserve">, </w:t>
      </w:r>
      <w:r w:rsidRPr="000C38BD">
        <w:t>au par. 50.</w:t>
      </w:r>
    </w:p>
  </w:footnote>
  <w:footnote w:id="63">
    <w:p w14:paraId="1401F5FA" w14:textId="5CA01BC4" w:rsidR="00666E53" w:rsidRDefault="00666E53" w:rsidP="00666E53">
      <w:pPr>
        <w:pStyle w:val="Notedebasdepage"/>
      </w:pPr>
      <w:r w:rsidRPr="000C38BD">
        <w:rPr>
          <w:rStyle w:val="Appelnotedebasdep"/>
        </w:rPr>
        <w:footnoteRef/>
      </w:r>
      <w:r w:rsidRPr="000C38BD">
        <w:tab/>
      </w:r>
      <w:r w:rsidRPr="000C38BD">
        <w:rPr>
          <w:i/>
          <w:iCs/>
        </w:rPr>
        <w:t>Vavilov</w:t>
      </w:r>
      <w:r w:rsidRPr="000C38BD">
        <w:t xml:space="preserve">, </w:t>
      </w:r>
      <w:r w:rsidR="00854106" w:rsidRPr="000C38BD">
        <w:t xml:space="preserve">préc., note </w:t>
      </w:r>
      <w:r w:rsidR="00093E77" w:rsidRPr="000C38BD">
        <w:fldChar w:fldCharType="begin"/>
      </w:r>
      <w:r w:rsidR="00093E77" w:rsidRPr="000C38BD">
        <w:instrText xml:space="preserve"> NOTEREF _Ref194175098 \h </w:instrText>
      </w:r>
      <w:r w:rsidR="000C38BD">
        <w:instrText xml:space="preserve"> \* MERGEFORMAT </w:instrText>
      </w:r>
      <w:r w:rsidR="00093E77" w:rsidRPr="000C38BD">
        <w:fldChar w:fldCharType="separate"/>
      </w:r>
      <w:r w:rsidR="0014558C">
        <w:t>14</w:t>
      </w:r>
      <w:r w:rsidR="00093E77" w:rsidRPr="000C38BD">
        <w:fldChar w:fldCharType="end"/>
      </w:r>
      <w:r w:rsidR="00854106" w:rsidRPr="000C38BD">
        <w:t xml:space="preserve">, </w:t>
      </w:r>
      <w:r w:rsidRPr="000C38BD">
        <w:t>au par. 70.</w:t>
      </w:r>
    </w:p>
  </w:footnote>
  <w:footnote w:id="64">
    <w:p w14:paraId="3FD4D954" w14:textId="788AFE22" w:rsidR="00E31F48" w:rsidRDefault="00E31F48" w:rsidP="00E31F48">
      <w:pPr>
        <w:pStyle w:val="Notedebasdepage"/>
      </w:pPr>
      <w:r>
        <w:rPr>
          <w:rStyle w:val="Appelnotedebasdep"/>
        </w:rPr>
        <w:footnoteRef/>
      </w:r>
      <w:r>
        <w:tab/>
        <w:t>Demande modifiée de pourvoi en contrôle judiciaire en déclaration d’invalidité et d’inconstitutionnalité de McGill, par. 24-27.</w:t>
      </w:r>
    </w:p>
  </w:footnote>
  <w:footnote w:id="65">
    <w:p w14:paraId="3369CE84" w14:textId="7F0D1910" w:rsidR="00F7522A" w:rsidRDefault="00F7522A">
      <w:pPr>
        <w:pStyle w:val="Notedebasdepage"/>
      </w:pPr>
      <w:r>
        <w:rPr>
          <w:rStyle w:val="Appelnotedebasdep"/>
        </w:rPr>
        <w:footnoteRef/>
      </w:r>
      <w:r>
        <w:tab/>
      </w:r>
      <w:r w:rsidR="00622E3B" w:rsidRPr="00622E3B">
        <w:t xml:space="preserve">2024 NBBR 58 </w:t>
      </w:r>
      <w:r>
        <w:t>(CanLII).</w:t>
      </w:r>
    </w:p>
  </w:footnote>
  <w:footnote w:id="66">
    <w:p w14:paraId="7B99D393" w14:textId="50122495" w:rsidR="008E74C0" w:rsidRPr="002B5193" w:rsidRDefault="008E74C0" w:rsidP="008E74C0">
      <w:pPr>
        <w:pStyle w:val="Notedebasdepage"/>
        <w:rPr>
          <w:rFonts w:cs="Arial"/>
        </w:rPr>
      </w:pPr>
      <w:r w:rsidRPr="003E6384">
        <w:rPr>
          <w:rStyle w:val="Appelnotedebasdep"/>
          <w:rFonts w:cs="Arial"/>
        </w:rPr>
        <w:footnoteRef/>
      </w:r>
      <w:r w:rsidRPr="003E6384">
        <w:rPr>
          <w:rFonts w:cs="Arial"/>
          <w:i/>
          <w:iCs/>
        </w:rPr>
        <w:tab/>
      </w:r>
      <w:r w:rsidRPr="003E6384">
        <w:rPr>
          <w:i/>
        </w:rPr>
        <w:t xml:space="preserve">Doré </w:t>
      </w:r>
      <w:r w:rsidRPr="003E6384">
        <w:t>c.</w:t>
      </w:r>
      <w:r w:rsidRPr="003E6384">
        <w:rPr>
          <w:i/>
        </w:rPr>
        <w:t xml:space="preserve"> Barreau du Québec</w:t>
      </w:r>
      <w:r w:rsidR="00856632" w:rsidRPr="003E6384">
        <w:rPr>
          <w:rFonts w:cs="Arial"/>
        </w:rPr>
        <w:t xml:space="preserve">, </w:t>
      </w:r>
      <w:r w:rsidR="008217F2" w:rsidRPr="003E6384">
        <w:rPr>
          <w:rFonts w:cs="Arial"/>
        </w:rPr>
        <w:t>pr</w:t>
      </w:r>
      <w:r w:rsidR="00856632" w:rsidRPr="003E6384">
        <w:rPr>
          <w:rFonts w:cs="Arial"/>
        </w:rPr>
        <w:t xml:space="preserve">éc., note </w:t>
      </w:r>
      <w:r w:rsidR="00856632" w:rsidRPr="003E6384">
        <w:rPr>
          <w:rFonts w:cs="Arial"/>
        </w:rPr>
        <w:fldChar w:fldCharType="begin"/>
      </w:r>
      <w:r w:rsidR="00856632" w:rsidRPr="003E6384">
        <w:rPr>
          <w:rFonts w:cs="Arial"/>
        </w:rPr>
        <w:instrText xml:space="preserve"> NOTEREF _Ref196117284 \h  \* MERGEFORMAT </w:instrText>
      </w:r>
      <w:r w:rsidR="00856632" w:rsidRPr="003E6384">
        <w:rPr>
          <w:rFonts w:cs="Arial"/>
        </w:rPr>
      </w:r>
      <w:r w:rsidR="00856632" w:rsidRPr="003E6384">
        <w:rPr>
          <w:rFonts w:cs="Arial"/>
        </w:rPr>
        <w:fldChar w:fldCharType="separate"/>
      </w:r>
      <w:r w:rsidR="0014558C">
        <w:rPr>
          <w:rFonts w:cs="Arial"/>
        </w:rPr>
        <w:t>8</w:t>
      </w:r>
      <w:r w:rsidR="00856632" w:rsidRPr="003E6384">
        <w:rPr>
          <w:rFonts w:cs="Arial"/>
        </w:rPr>
        <w:fldChar w:fldCharType="end"/>
      </w:r>
      <w:r w:rsidRPr="003E6384">
        <w:rPr>
          <w:rFonts w:cs="Arial"/>
        </w:rPr>
        <w:t>.</w:t>
      </w:r>
    </w:p>
  </w:footnote>
  <w:footnote w:id="67">
    <w:p w14:paraId="5756BA25" w14:textId="75AF8C9E" w:rsidR="008E74C0" w:rsidRPr="002B5193" w:rsidRDefault="008E74C0" w:rsidP="008E74C0">
      <w:pPr>
        <w:pStyle w:val="Notedebasdepage"/>
        <w:rPr>
          <w:rFonts w:cs="Arial"/>
        </w:rPr>
      </w:pPr>
      <w:r w:rsidRPr="002B5193">
        <w:rPr>
          <w:rStyle w:val="Appelnotedebasdep"/>
          <w:rFonts w:cs="Arial"/>
        </w:rPr>
        <w:footnoteRef/>
      </w:r>
      <w:r>
        <w:rPr>
          <w:rFonts w:cs="Arial"/>
          <w:i/>
          <w:iCs/>
        </w:rPr>
        <w:tab/>
      </w:r>
      <w:r w:rsidRPr="00101EA0">
        <w:rPr>
          <w:rFonts w:cs="Arial"/>
          <w:i/>
          <w:iCs/>
        </w:rPr>
        <w:t xml:space="preserve">École secondaire Loyola </w:t>
      </w:r>
      <w:r w:rsidRPr="00101EA0">
        <w:rPr>
          <w:rFonts w:cs="Arial"/>
        </w:rPr>
        <w:t>c</w:t>
      </w:r>
      <w:r w:rsidRPr="00101EA0">
        <w:rPr>
          <w:rFonts w:cs="Arial"/>
          <w:i/>
          <w:iCs/>
        </w:rPr>
        <w:t>. Québec (Procureur général)</w:t>
      </w:r>
      <w:r w:rsidRPr="00101EA0">
        <w:rPr>
          <w:rFonts w:cs="Arial"/>
        </w:rPr>
        <w:t xml:space="preserve">, </w:t>
      </w:r>
      <w:r w:rsidRPr="009B4F4B">
        <w:rPr>
          <w:rFonts w:cs="Arial"/>
        </w:rPr>
        <w:t>2015 CSC 12</w:t>
      </w:r>
      <w:r w:rsidRPr="002B5193">
        <w:rPr>
          <w:rFonts w:cs="Arial"/>
        </w:rPr>
        <w:t>.</w:t>
      </w:r>
    </w:p>
  </w:footnote>
  <w:footnote w:id="68">
    <w:p w14:paraId="352FF9AE" w14:textId="6AB28C72" w:rsidR="008E74C0" w:rsidRPr="002B5193" w:rsidRDefault="008E74C0" w:rsidP="008E74C0">
      <w:pPr>
        <w:pStyle w:val="Notedebasdepage"/>
        <w:rPr>
          <w:rFonts w:cs="Arial"/>
          <w:lang w:val="en-CA"/>
        </w:rPr>
      </w:pPr>
      <w:r w:rsidRPr="002B5193">
        <w:rPr>
          <w:rStyle w:val="Appelnotedebasdep"/>
          <w:rFonts w:cs="Arial"/>
        </w:rPr>
        <w:footnoteRef/>
      </w:r>
      <w:r>
        <w:rPr>
          <w:rFonts w:cs="Arial"/>
          <w:lang w:val="en-CA"/>
        </w:rPr>
        <w:tab/>
      </w:r>
      <w:r w:rsidRPr="00101EA0">
        <w:rPr>
          <w:rFonts w:cs="Arial"/>
          <w:i/>
          <w:iCs/>
          <w:lang w:val="en-CA"/>
        </w:rPr>
        <w:t xml:space="preserve">Law Society of British Columbia </w:t>
      </w:r>
      <w:r w:rsidRPr="00101EA0">
        <w:rPr>
          <w:rFonts w:cs="Arial"/>
          <w:lang w:val="en-CA"/>
        </w:rPr>
        <w:t>c.</w:t>
      </w:r>
      <w:r w:rsidRPr="00101EA0">
        <w:rPr>
          <w:rFonts w:cs="Arial"/>
          <w:i/>
          <w:iCs/>
          <w:lang w:val="en-CA"/>
        </w:rPr>
        <w:t xml:space="preserve"> Trinity Western University</w:t>
      </w:r>
      <w:r w:rsidRPr="00101EA0">
        <w:rPr>
          <w:rFonts w:cs="Arial"/>
          <w:lang w:val="en-CA"/>
        </w:rPr>
        <w:t xml:space="preserve">, </w:t>
      </w:r>
      <w:r w:rsidRPr="00217126">
        <w:rPr>
          <w:rFonts w:cs="Arial"/>
          <w:lang w:val="en-CA"/>
        </w:rPr>
        <w:t>2018 CSC 32</w:t>
      </w:r>
      <w:r w:rsidRPr="002B5193">
        <w:rPr>
          <w:rFonts w:cs="Arial"/>
          <w:lang w:val="en-CA"/>
        </w:rPr>
        <w:t>.</w:t>
      </w:r>
    </w:p>
  </w:footnote>
  <w:footnote w:id="69">
    <w:p w14:paraId="0C8A52B1" w14:textId="4EE1141C" w:rsidR="008E74C0" w:rsidRPr="002B5193" w:rsidRDefault="008E74C0" w:rsidP="008E74C0">
      <w:pPr>
        <w:pStyle w:val="Notedebasdepage"/>
        <w:rPr>
          <w:rFonts w:cs="Arial"/>
        </w:rPr>
      </w:pPr>
      <w:r w:rsidRPr="003E6384">
        <w:rPr>
          <w:rStyle w:val="Appelnotedebasdep"/>
          <w:rFonts w:cs="Arial"/>
        </w:rPr>
        <w:footnoteRef/>
      </w:r>
      <w:r w:rsidR="001C15F7" w:rsidRPr="003E6384">
        <w:rPr>
          <w:rFonts w:cs="Arial"/>
          <w:i/>
          <w:iCs/>
        </w:rPr>
        <w:tab/>
      </w:r>
      <w:r w:rsidRPr="003E6384">
        <w:rPr>
          <w:i/>
        </w:rPr>
        <w:t xml:space="preserve">Commission scolaire francophone des Territoires du Nord-Ouest </w:t>
      </w:r>
      <w:r w:rsidRPr="003E6384">
        <w:t>c</w:t>
      </w:r>
      <w:r w:rsidRPr="003E6384">
        <w:rPr>
          <w:i/>
        </w:rPr>
        <w:t>. Territoires du Nord-Ouest (Éducation, Culture et Formation)</w:t>
      </w:r>
      <w:r w:rsidRPr="003E6384">
        <w:t>,</w:t>
      </w:r>
      <w:r w:rsidR="009A7167" w:rsidRPr="003E6384">
        <w:rPr>
          <w:rFonts w:cs="Arial"/>
        </w:rPr>
        <w:t xml:space="preserve"> </w:t>
      </w:r>
      <w:r w:rsidR="008217F2" w:rsidRPr="003E6384">
        <w:rPr>
          <w:rFonts w:cs="Arial"/>
        </w:rPr>
        <w:t>p</w:t>
      </w:r>
      <w:r w:rsidR="009A7167" w:rsidRPr="003E6384">
        <w:rPr>
          <w:rFonts w:cs="Arial"/>
        </w:rPr>
        <w:t xml:space="preserve">réc., note </w:t>
      </w:r>
      <w:r w:rsidR="00B12A24" w:rsidRPr="003E6384">
        <w:rPr>
          <w:rFonts w:cs="Arial"/>
        </w:rPr>
        <w:fldChar w:fldCharType="begin"/>
      </w:r>
      <w:r w:rsidR="00B12A24" w:rsidRPr="003E6384">
        <w:rPr>
          <w:rFonts w:cs="Arial"/>
        </w:rPr>
        <w:instrText xml:space="preserve"> NOTEREF _Ref194065368 \h </w:instrText>
      </w:r>
      <w:r w:rsidR="003E6384">
        <w:rPr>
          <w:rFonts w:cs="Arial"/>
        </w:rPr>
        <w:instrText xml:space="preserve"> \* MERGEFORMAT </w:instrText>
      </w:r>
      <w:r w:rsidR="00B12A24" w:rsidRPr="003E6384">
        <w:rPr>
          <w:rFonts w:cs="Arial"/>
        </w:rPr>
      </w:r>
      <w:r w:rsidR="00B12A24" w:rsidRPr="003E6384">
        <w:rPr>
          <w:rFonts w:cs="Arial"/>
        </w:rPr>
        <w:fldChar w:fldCharType="separate"/>
      </w:r>
      <w:r w:rsidR="0014558C">
        <w:rPr>
          <w:rFonts w:cs="Arial"/>
        </w:rPr>
        <w:t>9</w:t>
      </w:r>
      <w:r w:rsidR="00B12A24" w:rsidRPr="003E6384">
        <w:rPr>
          <w:rFonts w:cs="Arial"/>
        </w:rPr>
        <w:fldChar w:fldCharType="end"/>
      </w:r>
      <w:r w:rsidRPr="003E6384">
        <w:rPr>
          <w:rFonts w:cs="Arial"/>
        </w:rPr>
        <w:t>.</w:t>
      </w:r>
    </w:p>
  </w:footnote>
  <w:footnote w:id="70">
    <w:p w14:paraId="319318E8" w14:textId="38274260" w:rsidR="008E74C0" w:rsidRDefault="008E74C0" w:rsidP="008E74C0">
      <w:pPr>
        <w:pStyle w:val="Notedebasdepage"/>
      </w:pPr>
      <w:r>
        <w:rPr>
          <w:rStyle w:val="Appelnotedebasdep"/>
        </w:rPr>
        <w:footnoteRef/>
      </w:r>
      <w:r>
        <w:tab/>
        <w:t>Mémoire du PGQ, à la p. 26.</w:t>
      </w:r>
    </w:p>
  </w:footnote>
  <w:footnote w:id="71">
    <w:p w14:paraId="3EB8BF56" w14:textId="37BDAB83" w:rsidR="00247ECF" w:rsidRPr="003A2CB2" w:rsidRDefault="00247ECF">
      <w:pPr>
        <w:pStyle w:val="Notedebasdepage"/>
        <w:rPr>
          <w:lang w:val="en-CA"/>
        </w:rPr>
      </w:pPr>
      <w:r w:rsidRPr="003A2CB2">
        <w:rPr>
          <w:rStyle w:val="Appelnotedebasdep"/>
        </w:rPr>
        <w:footnoteRef/>
      </w:r>
      <w:r w:rsidRPr="003A2CB2">
        <w:rPr>
          <w:lang w:val="en-CA"/>
        </w:rPr>
        <w:tab/>
      </w:r>
      <w:r w:rsidRPr="003A2CB2">
        <w:rPr>
          <w:i/>
          <w:iCs/>
          <w:lang w:val="en-CA"/>
        </w:rPr>
        <w:t>Canadian Federation of Students</w:t>
      </w:r>
      <w:r w:rsidRPr="003A2CB2">
        <w:rPr>
          <w:lang w:val="en-CA"/>
        </w:rPr>
        <w:t xml:space="preserve"> v. </w:t>
      </w:r>
      <w:r w:rsidRPr="003A2CB2">
        <w:rPr>
          <w:i/>
          <w:iCs/>
          <w:lang w:val="en-CA"/>
        </w:rPr>
        <w:t>Ontario (Colleges and Universities)</w:t>
      </w:r>
      <w:r w:rsidRPr="003A2CB2">
        <w:rPr>
          <w:lang w:val="en-CA"/>
        </w:rPr>
        <w:t>, 2021 ONCA 553, par. 66.</w:t>
      </w:r>
    </w:p>
  </w:footnote>
  <w:footnote w:id="72">
    <w:p w14:paraId="340D8A23" w14:textId="7F358CBD" w:rsidR="00D34B4D" w:rsidRDefault="00D34B4D">
      <w:pPr>
        <w:pStyle w:val="Notedebasdepage"/>
      </w:pPr>
      <w:r w:rsidRPr="003A2CB2">
        <w:rPr>
          <w:rStyle w:val="Appelnotedebasdep"/>
        </w:rPr>
        <w:footnoteRef/>
      </w:r>
      <w:r w:rsidRPr="003A2CB2">
        <w:tab/>
      </w:r>
      <w:r w:rsidRPr="003A2CB2">
        <w:rPr>
          <w:i/>
          <w:iCs/>
        </w:rPr>
        <w:t>Auer</w:t>
      </w:r>
      <w:r w:rsidRPr="003A2CB2">
        <w:t xml:space="preserve"> c. </w:t>
      </w:r>
      <w:r w:rsidRPr="003A2CB2">
        <w:rPr>
          <w:i/>
          <w:iCs/>
        </w:rPr>
        <w:t>Auer</w:t>
      </w:r>
      <w:r w:rsidR="00B769F4" w:rsidRPr="003A2CB2">
        <w:t xml:space="preserve">, préc., note </w:t>
      </w:r>
      <w:r w:rsidR="00B769F4" w:rsidRPr="003A2CB2">
        <w:fldChar w:fldCharType="begin"/>
      </w:r>
      <w:r w:rsidR="00B769F4" w:rsidRPr="003A2CB2">
        <w:instrText xml:space="preserve"> NOTEREF _Ref194178095 \h  \* MERGEFORMAT </w:instrText>
      </w:r>
      <w:r w:rsidR="00B769F4" w:rsidRPr="003A2CB2">
        <w:fldChar w:fldCharType="separate"/>
      </w:r>
      <w:r w:rsidR="0014558C">
        <w:t>16</w:t>
      </w:r>
      <w:r w:rsidR="00B769F4" w:rsidRPr="003A2CB2">
        <w:fldChar w:fldCharType="end"/>
      </w:r>
      <w:r w:rsidRPr="003A2CB2">
        <w:t>.</w:t>
      </w:r>
    </w:p>
  </w:footnote>
  <w:footnote w:id="73">
    <w:p w14:paraId="1ACCA9EB" w14:textId="31E28AF0" w:rsidR="007F5968" w:rsidRPr="003E6384" w:rsidRDefault="007F5968">
      <w:pPr>
        <w:pStyle w:val="Notedebasdepage"/>
      </w:pPr>
      <w:r>
        <w:rPr>
          <w:rStyle w:val="Appelnotedebasdep"/>
        </w:rPr>
        <w:footnoteRef/>
      </w:r>
      <w:r>
        <w:tab/>
      </w:r>
      <w:r w:rsidRPr="003E6384">
        <w:t>Préc</w:t>
      </w:r>
      <w:r w:rsidR="00FD0220">
        <w:t>.</w:t>
      </w:r>
      <w:r w:rsidR="008279DE" w:rsidRPr="003E6384">
        <w:t>,</w:t>
      </w:r>
      <w:r w:rsidRPr="003E6384">
        <w:t xml:space="preserve"> note </w:t>
      </w:r>
      <w:r w:rsidR="008279DE" w:rsidRPr="003E6384">
        <w:fldChar w:fldCharType="begin"/>
      </w:r>
      <w:r w:rsidR="008279DE" w:rsidRPr="003E6384">
        <w:instrText xml:space="preserve"> NOTEREF _Ref194178027 \h  \* MERGEFORMAT </w:instrText>
      </w:r>
      <w:r w:rsidR="008279DE" w:rsidRPr="003E6384">
        <w:fldChar w:fldCharType="separate"/>
      </w:r>
      <w:r w:rsidR="0014558C">
        <w:t>15</w:t>
      </w:r>
      <w:r w:rsidR="008279DE" w:rsidRPr="003E6384">
        <w:fldChar w:fldCharType="end"/>
      </w:r>
      <w:r w:rsidRPr="003E6384">
        <w:t>.</w:t>
      </w:r>
    </w:p>
  </w:footnote>
  <w:footnote w:id="74">
    <w:p w14:paraId="0EA259EF" w14:textId="3E4CAAA5" w:rsidR="008E50B4" w:rsidRDefault="008E50B4">
      <w:pPr>
        <w:pStyle w:val="Notedebasdepage"/>
      </w:pPr>
      <w:r w:rsidRPr="003E6384">
        <w:rPr>
          <w:rStyle w:val="Appelnotedebasdep"/>
        </w:rPr>
        <w:footnoteRef/>
      </w:r>
      <w:r w:rsidRPr="003E6384">
        <w:tab/>
      </w:r>
      <w:r w:rsidR="007F5968" w:rsidRPr="003E6384">
        <w:t>Préc</w:t>
      </w:r>
      <w:r w:rsidR="00FD0220">
        <w:t>.</w:t>
      </w:r>
      <w:r w:rsidR="008279DE" w:rsidRPr="003E6384">
        <w:t>,</w:t>
      </w:r>
      <w:r w:rsidR="007F5968" w:rsidRPr="003E6384">
        <w:t xml:space="preserve"> note </w:t>
      </w:r>
      <w:r w:rsidR="008279DE" w:rsidRPr="003E6384">
        <w:fldChar w:fldCharType="begin"/>
      </w:r>
      <w:r w:rsidR="008279DE" w:rsidRPr="003E6384">
        <w:instrText xml:space="preserve"> NOTEREF _Ref194178095 \h  \* MERGEFORMAT </w:instrText>
      </w:r>
      <w:r w:rsidR="008279DE" w:rsidRPr="003E6384">
        <w:fldChar w:fldCharType="separate"/>
      </w:r>
      <w:r w:rsidR="0014558C">
        <w:t>16</w:t>
      </w:r>
      <w:r w:rsidR="008279DE" w:rsidRPr="003E6384">
        <w:fldChar w:fldCharType="end"/>
      </w:r>
      <w:r w:rsidR="007F5968" w:rsidRPr="003E6384">
        <w:t>.</w:t>
      </w:r>
    </w:p>
  </w:footnote>
  <w:footnote w:id="75">
    <w:p w14:paraId="1625F3E0" w14:textId="23F9C849" w:rsidR="00CE2175" w:rsidRDefault="00CE2175" w:rsidP="00CE2175">
      <w:pPr>
        <w:pStyle w:val="Notedebasdepage"/>
      </w:pPr>
      <w:r>
        <w:rPr>
          <w:rStyle w:val="Appelnotedebasdep"/>
        </w:rPr>
        <w:footnoteRef/>
      </w:r>
      <w:r>
        <w:tab/>
      </w:r>
      <w:r w:rsidR="00275C79" w:rsidRPr="004E388D">
        <w:t>RLRQ, c. R-18.1</w:t>
      </w:r>
      <w:r w:rsidRPr="004E388D">
        <w:t>.</w:t>
      </w:r>
    </w:p>
  </w:footnote>
  <w:footnote w:id="76">
    <w:p w14:paraId="408F25BB" w14:textId="5AF23709" w:rsidR="00D9744F" w:rsidRDefault="00D9744F">
      <w:pPr>
        <w:pStyle w:val="Notedebasdepage"/>
      </w:pPr>
      <w:r>
        <w:rPr>
          <w:rStyle w:val="Appelnotedebasdep"/>
        </w:rPr>
        <w:footnoteRef/>
      </w:r>
      <w:r>
        <w:tab/>
      </w:r>
      <w:r w:rsidRPr="00E67975">
        <w:rPr>
          <w:i/>
          <w:iCs/>
        </w:rPr>
        <w:t>Auer</w:t>
      </w:r>
      <w:r>
        <w:t xml:space="preserve">, </w:t>
      </w:r>
      <w:r w:rsidR="00C63234" w:rsidRPr="003E6384">
        <w:t xml:space="preserve">préc., note </w:t>
      </w:r>
      <w:r w:rsidR="00404A73" w:rsidRPr="003E6384">
        <w:fldChar w:fldCharType="begin"/>
      </w:r>
      <w:r w:rsidR="00404A73" w:rsidRPr="003E6384">
        <w:instrText xml:space="preserve"> NOTEREF _Ref194178095 \h </w:instrText>
      </w:r>
      <w:r w:rsidR="003E6384">
        <w:instrText xml:space="preserve"> \* MERGEFORMAT </w:instrText>
      </w:r>
      <w:r w:rsidR="00404A73" w:rsidRPr="003E6384">
        <w:fldChar w:fldCharType="separate"/>
      </w:r>
      <w:r w:rsidR="0014558C">
        <w:t>16</w:t>
      </w:r>
      <w:r w:rsidR="00404A73" w:rsidRPr="003E6384">
        <w:fldChar w:fldCharType="end"/>
      </w:r>
      <w:r w:rsidR="00C63234" w:rsidRPr="003E6384">
        <w:t xml:space="preserve">, </w:t>
      </w:r>
      <w:r w:rsidRPr="003E6384">
        <w:t>au</w:t>
      </w:r>
      <w:r>
        <w:t xml:space="preserve"> par. 26, référant à </w:t>
      </w:r>
      <w:r w:rsidRPr="008934BC">
        <w:rPr>
          <w:i/>
          <w:iCs/>
        </w:rPr>
        <w:t>Vavilov</w:t>
      </w:r>
      <w:r>
        <w:t xml:space="preserve">, aux par. 67-69 et 109. Voir aussi </w:t>
      </w:r>
      <w:r w:rsidRPr="00D9744F">
        <w:rPr>
          <w:i/>
          <w:iCs/>
          <w:color w:val="000000"/>
        </w:rPr>
        <w:t xml:space="preserve">Catalyst Paper Corp. </w:t>
      </w:r>
      <w:r w:rsidRPr="00C63234">
        <w:rPr>
          <w:color w:val="000000"/>
        </w:rPr>
        <w:t>c.</w:t>
      </w:r>
      <w:r w:rsidRPr="00D9744F">
        <w:rPr>
          <w:i/>
          <w:iCs/>
          <w:color w:val="000000"/>
        </w:rPr>
        <w:t xml:space="preserve"> North Cowichan (District)</w:t>
      </w:r>
      <w:r w:rsidRPr="00D9744F">
        <w:rPr>
          <w:color w:val="000000"/>
        </w:rPr>
        <w:t>, [2012] 1 R.C.S. 5</w:t>
      </w:r>
      <w:r>
        <w:rPr>
          <w:color w:val="000000"/>
        </w:rPr>
        <w:t>.</w:t>
      </w:r>
    </w:p>
  </w:footnote>
  <w:footnote w:id="77">
    <w:p w14:paraId="00A0FC45" w14:textId="4DD32282" w:rsidR="007F772A" w:rsidRPr="003E6384" w:rsidRDefault="007F772A">
      <w:pPr>
        <w:pStyle w:val="Notedebasdepage"/>
      </w:pPr>
      <w:r>
        <w:rPr>
          <w:rStyle w:val="Appelnotedebasdep"/>
        </w:rPr>
        <w:footnoteRef/>
      </w:r>
      <w:r>
        <w:tab/>
      </w:r>
      <w:r w:rsidR="008934BC" w:rsidRPr="008934BC">
        <w:rPr>
          <w:i/>
          <w:iCs/>
        </w:rPr>
        <w:t xml:space="preserve">Institution royale pour l'avancement des sciences (Université McGill) </w:t>
      </w:r>
      <w:r w:rsidR="008934BC" w:rsidRPr="008934BC">
        <w:t>c.</w:t>
      </w:r>
      <w:r w:rsidR="008934BC" w:rsidRPr="008934BC">
        <w:rPr>
          <w:i/>
          <w:iCs/>
        </w:rPr>
        <w:t xml:space="preserve"> Ministre de l'Enseignement supérieur</w:t>
      </w:r>
      <w:r>
        <w:t xml:space="preserve">, </w:t>
      </w:r>
      <w:r w:rsidR="009A7167" w:rsidRPr="003E6384">
        <w:t xml:space="preserve">préc., note </w:t>
      </w:r>
      <w:r w:rsidR="00404A73" w:rsidRPr="003E6384">
        <w:fldChar w:fldCharType="begin"/>
      </w:r>
      <w:r w:rsidR="00404A73" w:rsidRPr="003E6384">
        <w:instrText xml:space="preserve"> NOTEREF _Ref194264917 \h </w:instrText>
      </w:r>
      <w:r w:rsidR="003E6384">
        <w:instrText xml:space="preserve"> \* MERGEFORMAT </w:instrText>
      </w:r>
      <w:r w:rsidR="00404A73" w:rsidRPr="003E6384">
        <w:fldChar w:fldCharType="separate"/>
      </w:r>
      <w:r w:rsidR="0014558C">
        <w:t>22</w:t>
      </w:r>
      <w:r w:rsidR="00404A73" w:rsidRPr="003E6384">
        <w:fldChar w:fldCharType="end"/>
      </w:r>
      <w:r w:rsidRPr="003E6384">
        <w:t>, au par. 90.</w:t>
      </w:r>
    </w:p>
  </w:footnote>
  <w:footnote w:id="78">
    <w:p w14:paraId="4CA17D37" w14:textId="1C5D0490" w:rsidR="00CC15DE" w:rsidRPr="003E6384" w:rsidRDefault="00CC15DE">
      <w:pPr>
        <w:pStyle w:val="Notedebasdepage"/>
      </w:pPr>
      <w:r w:rsidRPr="003E6384">
        <w:rPr>
          <w:rStyle w:val="Appelnotedebasdep"/>
        </w:rPr>
        <w:footnoteRef/>
      </w:r>
      <w:r w:rsidRPr="003E6384">
        <w:tab/>
      </w:r>
      <w:r w:rsidR="006C4577" w:rsidRPr="003E6384">
        <w:t xml:space="preserve">Préc., note </w:t>
      </w:r>
      <w:r w:rsidR="00404A73" w:rsidRPr="003E6384">
        <w:fldChar w:fldCharType="begin"/>
      </w:r>
      <w:r w:rsidR="00404A73" w:rsidRPr="003E6384">
        <w:instrText xml:space="preserve"> NOTEREF _Ref194175098 \h </w:instrText>
      </w:r>
      <w:r w:rsidR="003E6384" w:rsidRPr="003E6384">
        <w:instrText xml:space="preserve"> \* MERGEFORMAT </w:instrText>
      </w:r>
      <w:r w:rsidR="00404A73" w:rsidRPr="003E6384">
        <w:fldChar w:fldCharType="separate"/>
      </w:r>
      <w:r w:rsidR="0014558C">
        <w:t>14</w:t>
      </w:r>
      <w:r w:rsidR="00404A73" w:rsidRPr="003E6384">
        <w:fldChar w:fldCharType="end"/>
      </w:r>
      <w:r w:rsidR="006C4577" w:rsidRPr="003E6384">
        <w:t>, a</w:t>
      </w:r>
      <w:r w:rsidRPr="003E6384">
        <w:t>u par. 116.</w:t>
      </w:r>
    </w:p>
  </w:footnote>
  <w:footnote w:id="79">
    <w:p w14:paraId="2E51C5FD" w14:textId="7EA5B231" w:rsidR="00770FAE" w:rsidRPr="003E6384" w:rsidRDefault="00770FAE">
      <w:pPr>
        <w:pStyle w:val="Notedebasdepage"/>
      </w:pPr>
      <w:r w:rsidRPr="003E6384">
        <w:rPr>
          <w:rStyle w:val="Appelnotedebasdep"/>
        </w:rPr>
        <w:footnoteRef/>
      </w:r>
      <w:r w:rsidRPr="003E6384">
        <w:tab/>
      </w:r>
      <w:r w:rsidRPr="003E6384">
        <w:rPr>
          <w:i/>
          <w:iCs/>
        </w:rPr>
        <w:t>Roncarelli</w:t>
      </w:r>
      <w:r w:rsidRPr="003E6384">
        <w:t xml:space="preserve"> c. </w:t>
      </w:r>
      <w:r w:rsidRPr="003E6384">
        <w:rPr>
          <w:i/>
          <w:iCs/>
        </w:rPr>
        <w:t>Duplessis</w:t>
      </w:r>
      <w:r w:rsidRPr="003E6384">
        <w:t xml:space="preserve">, </w:t>
      </w:r>
      <w:r w:rsidR="007943DF" w:rsidRPr="003E6384">
        <w:t xml:space="preserve">préc., note </w:t>
      </w:r>
      <w:r w:rsidR="00404A73" w:rsidRPr="003E6384">
        <w:fldChar w:fldCharType="begin"/>
      </w:r>
      <w:r w:rsidR="00404A73" w:rsidRPr="003E6384">
        <w:instrText xml:space="preserve"> NOTEREF _Ref194265045 \h </w:instrText>
      </w:r>
      <w:r w:rsidR="003E6384">
        <w:instrText xml:space="preserve"> \* MERGEFORMAT </w:instrText>
      </w:r>
      <w:r w:rsidR="00404A73" w:rsidRPr="003E6384">
        <w:fldChar w:fldCharType="separate"/>
      </w:r>
      <w:r w:rsidR="0014558C">
        <w:t>17</w:t>
      </w:r>
      <w:r w:rsidR="00404A73" w:rsidRPr="003E6384">
        <w:fldChar w:fldCharType="end"/>
      </w:r>
      <w:r w:rsidR="007202F0" w:rsidRPr="003E6384">
        <w:t>, à la p. 140 (les motifs du juge Rand)</w:t>
      </w:r>
      <w:r w:rsidRPr="003E6384">
        <w:t>.</w:t>
      </w:r>
    </w:p>
  </w:footnote>
  <w:footnote w:id="80">
    <w:p w14:paraId="130E779E" w14:textId="151E55FB" w:rsidR="00A26479" w:rsidRDefault="00A26479">
      <w:pPr>
        <w:pStyle w:val="Notedebasdepage"/>
      </w:pPr>
      <w:r w:rsidRPr="003E6384">
        <w:rPr>
          <w:rStyle w:val="Appelnotedebasdep"/>
        </w:rPr>
        <w:footnoteRef/>
      </w:r>
      <w:r w:rsidRPr="003E6384">
        <w:tab/>
        <w:t xml:space="preserve">Article 96, </w:t>
      </w:r>
      <w:r w:rsidRPr="003E6384">
        <w:rPr>
          <w:i/>
          <w:iCs/>
        </w:rPr>
        <w:t>Loi constitutionnelle de 1867</w:t>
      </w:r>
      <w:r w:rsidRPr="003E6384">
        <w:t>.</w:t>
      </w:r>
    </w:p>
  </w:footnote>
  <w:footnote w:id="81">
    <w:p w14:paraId="0FD1FB7E" w14:textId="7C9678F2" w:rsidR="00C75C56" w:rsidRDefault="00C75C56">
      <w:pPr>
        <w:pStyle w:val="Notedebasdepage"/>
      </w:pPr>
      <w:r>
        <w:rPr>
          <w:rStyle w:val="Appelnotedebasdep"/>
        </w:rPr>
        <w:footnoteRef/>
      </w:r>
      <w:r>
        <w:tab/>
        <w:t>RLRQ, c</w:t>
      </w:r>
      <w:r w:rsidR="00E9557C">
        <w:t>.</w:t>
      </w:r>
      <w:r>
        <w:t xml:space="preserve"> E-14.1.</w:t>
      </w:r>
    </w:p>
  </w:footnote>
  <w:footnote w:id="82">
    <w:p w14:paraId="0026BFFB" w14:textId="1FC34BBA" w:rsidR="006F5F9A" w:rsidRPr="008217F2" w:rsidRDefault="006F5F9A">
      <w:pPr>
        <w:pStyle w:val="Notedebasdepage"/>
      </w:pPr>
      <w:r>
        <w:rPr>
          <w:rStyle w:val="Appelnotedebasdep"/>
        </w:rPr>
        <w:footnoteRef/>
      </w:r>
      <w:r>
        <w:tab/>
      </w:r>
      <w:r w:rsidR="00976B50" w:rsidRPr="008217F2">
        <w:t xml:space="preserve">Pièce PGQ-1, </w:t>
      </w:r>
      <w:r w:rsidRPr="008217F2">
        <w:t>Déclaration sous serment du 17</w:t>
      </w:r>
      <w:r w:rsidR="00323815" w:rsidRPr="008217F2">
        <w:rPr>
          <w:rFonts w:cs="Arial"/>
        </w:rPr>
        <w:t> </w:t>
      </w:r>
      <w:r w:rsidRPr="008217F2">
        <w:t>mai</w:t>
      </w:r>
      <w:r w:rsidR="00323815" w:rsidRPr="008217F2">
        <w:rPr>
          <w:rFonts w:cs="Arial"/>
        </w:rPr>
        <w:t> </w:t>
      </w:r>
      <w:r w:rsidRPr="008217F2">
        <w:t>2024 de François Leclerc, sous-ministre adjoint au financement, au budget et aux infrastructures du ministère de l’Enseignement supérieur, au par. 11.</w:t>
      </w:r>
    </w:p>
  </w:footnote>
  <w:footnote w:id="83">
    <w:p w14:paraId="309D8BED" w14:textId="17EC4571" w:rsidR="006F5F9A" w:rsidRPr="008217F2" w:rsidRDefault="006F5F9A">
      <w:pPr>
        <w:pStyle w:val="Notedebasdepage"/>
      </w:pPr>
      <w:r w:rsidRPr="008217F2">
        <w:rPr>
          <w:rStyle w:val="Appelnotedebasdep"/>
        </w:rPr>
        <w:footnoteRef/>
      </w:r>
      <w:r w:rsidRPr="008217F2">
        <w:tab/>
      </w:r>
      <w:r w:rsidRPr="008217F2">
        <w:rPr>
          <w:i/>
          <w:iCs/>
        </w:rPr>
        <w:t>Id</w:t>
      </w:r>
      <w:r w:rsidR="00323815" w:rsidRPr="008217F2">
        <w:rPr>
          <w:i/>
          <w:iCs/>
        </w:rPr>
        <w:t>.</w:t>
      </w:r>
      <w:r w:rsidRPr="008217F2">
        <w:t xml:space="preserve">, au par. </w:t>
      </w:r>
      <w:r w:rsidR="00976B50" w:rsidRPr="008217F2">
        <w:t>12</w:t>
      </w:r>
      <w:r w:rsidRPr="008217F2">
        <w:t>.</w:t>
      </w:r>
    </w:p>
  </w:footnote>
  <w:footnote w:id="84">
    <w:p w14:paraId="06FD8001" w14:textId="59A2484F" w:rsidR="006F5F9A" w:rsidRPr="008217F2" w:rsidRDefault="006F5F9A">
      <w:pPr>
        <w:pStyle w:val="Notedebasdepage"/>
      </w:pPr>
      <w:r w:rsidRPr="008217F2">
        <w:rPr>
          <w:rStyle w:val="Appelnotedebasdep"/>
        </w:rPr>
        <w:footnoteRef/>
      </w:r>
      <w:r w:rsidRPr="008217F2">
        <w:tab/>
        <w:t>Pièce PGQ-2</w:t>
      </w:r>
      <w:r w:rsidR="00A81AC9" w:rsidRPr="008217F2">
        <w:t>, Règles budgétaires et calcul des subventions de fonctionnement aux universités du Québec pour l’année universitaire 2023-2024, janvier</w:t>
      </w:r>
      <w:r w:rsidR="0066094D" w:rsidRPr="008217F2">
        <w:t> </w:t>
      </w:r>
      <w:r w:rsidR="00A81AC9" w:rsidRPr="008217F2">
        <w:t>2024</w:t>
      </w:r>
      <w:r w:rsidRPr="008217F2">
        <w:t>.</w:t>
      </w:r>
    </w:p>
  </w:footnote>
  <w:footnote w:id="85">
    <w:p w14:paraId="24C810E6" w14:textId="08F7E9E4" w:rsidR="00B76D23" w:rsidRPr="008217F2" w:rsidRDefault="00B76D23" w:rsidP="00B76D23">
      <w:pPr>
        <w:pStyle w:val="Notedebasdepage"/>
      </w:pPr>
      <w:r w:rsidRPr="008217F2">
        <w:rPr>
          <w:rStyle w:val="Appelnotedebasdep"/>
        </w:rPr>
        <w:footnoteRef/>
      </w:r>
      <w:r w:rsidRPr="008217F2">
        <w:tab/>
        <w:t xml:space="preserve">Pièce P-63, </w:t>
      </w:r>
      <w:r w:rsidR="00CE2059" w:rsidRPr="008217F2">
        <w:t>Règles budgétaires de mai</w:t>
      </w:r>
      <w:r w:rsidR="0066094D" w:rsidRPr="008217F2">
        <w:t> </w:t>
      </w:r>
      <w:r w:rsidR="00CE2059" w:rsidRPr="008217F2">
        <w:t xml:space="preserve">2023, à la </w:t>
      </w:r>
      <w:r w:rsidRPr="008217F2">
        <w:t>p. 58.</w:t>
      </w:r>
    </w:p>
  </w:footnote>
  <w:footnote w:id="86">
    <w:p w14:paraId="73399F61" w14:textId="4519AECF" w:rsidR="00B13C25" w:rsidRPr="008217F2" w:rsidRDefault="00B13C25" w:rsidP="00B13C25">
      <w:pPr>
        <w:pStyle w:val="Notedebasdepage"/>
      </w:pPr>
      <w:r w:rsidRPr="008217F2">
        <w:rPr>
          <w:rStyle w:val="Appelnotedebasdep"/>
        </w:rPr>
        <w:footnoteRef/>
      </w:r>
      <w:r w:rsidRPr="008217F2">
        <w:tab/>
        <w:t>Pièce P-92</w:t>
      </w:r>
      <w:r w:rsidR="00DA52B1" w:rsidRPr="008217F2">
        <w:t>, Politique québécoise de financement des universités publiée le 10</w:t>
      </w:r>
      <w:r w:rsidR="00006D17" w:rsidRPr="008217F2">
        <w:t> </w:t>
      </w:r>
      <w:r w:rsidR="00DA52B1" w:rsidRPr="008217F2">
        <w:t>juin</w:t>
      </w:r>
      <w:r w:rsidR="00006D17" w:rsidRPr="008217F2">
        <w:t> </w:t>
      </w:r>
      <w:r w:rsidR="00DA52B1" w:rsidRPr="008217F2">
        <w:t>2024</w:t>
      </w:r>
      <w:r w:rsidRPr="008217F2">
        <w:t>.</w:t>
      </w:r>
    </w:p>
  </w:footnote>
  <w:footnote w:id="87">
    <w:p w14:paraId="13329048" w14:textId="7ADC29CE" w:rsidR="00B13C25" w:rsidRPr="008217F2" w:rsidRDefault="00B13C25">
      <w:pPr>
        <w:pStyle w:val="Notedebasdepage"/>
      </w:pPr>
      <w:r w:rsidRPr="008217F2">
        <w:rPr>
          <w:rStyle w:val="Appelnotedebasdep"/>
        </w:rPr>
        <w:footnoteRef/>
      </w:r>
      <w:r w:rsidRPr="008217F2">
        <w:tab/>
        <w:t>Pièce P-24-A</w:t>
      </w:r>
      <w:r w:rsidR="00206984" w:rsidRPr="008217F2">
        <w:t>, Politique québécoise de financement des universités de 2018-2019</w:t>
      </w:r>
      <w:r w:rsidRPr="008217F2">
        <w:t>.</w:t>
      </w:r>
    </w:p>
  </w:footnote>
  <w:footnote w:id="88">
    <w:p w14:paraId="79B462B5" w14:textId="565AD550" w:rsidR="00C51EFD" w:rsidRDefault="00C51EFD">
      <w:pPr>
        <w:pStyle w:val="Notedebasdepage"/>
      </w:pPr>
      <w:r w:rsidRPr="008217F2">
        <w:rPr>
          <w:rStyle w:val="Appelnotedebasdep"/>
        </w:rPr>
        <w:footnoteRef/>
      </w:r>
      <w:r w:rsidRPr="008217F2">
        <w:tab/>
        <w:t xml:space="preserve">Pièce P-30, </w:t>
      </w:r>
      <w:r w:rsidR="00790B22" w:rsidRPr="008217F2">
        <w:t>Documentation relative au comité de coordination formé de représentants du BCI, des universités et du Ministère, ainsi qu’à ses sous-comités datée de février</w:t>
      </w:r>
      <w:r w:rsidR="00981652" w:rsidRPr="008217F2">
        <w:t> </w:t>
      </w:r>
      <w:r w:rsidR="00790B22" w:rsidRPr="008217F2">
        <w:t xml:space="preserve">2023, à la </w:t>
      </w:r>
      <w:r w:rsidRPr="008217F2">
        <w:t>p. 002.</w:t>
      </w:r>
    </w:p>
  </w:footnote>
  <w:footnote w:id="89">
    <w:p w14:paraId="5E4B157A" w14:textId="04FC04FD" w:rsidR="00851728" w:rsidRPr="00784084" w:rsidRDefault="00851728">
      <w:pPr>
        <w:pStyle w:val="Notedebasdepage"/>
      </w:pPr>
      <w:r>
        <w:rPr>
          <w:rStyle w:val="Appelnotedebasdep"/>
        </w:rPr>
        <w:footnoteRef/>
      </w:r>
      <w:r>
        <w:tab/>
        <w:t>Pièce PGQ-6</w:t>
      </w:r>
      <w:r w:rsidR="00F21D87" w:rsidRPr="00784084">
        <w:t>, Communiqué de la ministre de l’Enseignement supérieur du 12</w:t>
      </w:r>
      <w:r w:rsidR="00784084" w:rsidRPr="00784084">
        <w:t> </w:t>
      </w:r>
      <w:r w:rsidR="00F21D87" w:rsidRPr="00784084">
        <w:t>mai</w:t>
      </w:r>
      <w:r w:rsidR="00784084" w:rsidRPr="00784084">
        <w:t> </w:t>
      </w:r>
      <w:r w:rsidR="00F21D87" w:rsidRPr="00784084">
        <w:t>2023 annonçant l’Appel à mémoires de mai</w:t>
      </w:r>
      <w:r w:rsidR="00784084" w:rsidRPr="00784084">
        <w:t> </w:t>
      </w:r>
      <w:r w:rsidR="00F21D87" w:rsidRPr="00784084">
        <w:t>2023</w:t>
      </w:r>
      <w:r w:rsidRPr="00784084">
        <w:t>.</w:t>
      </w:r>
    </w:p>
  </w:footnote>
  <w:footnote w:id="90">
    <w:p w14:paraId="46DBDF8C" w14:textId="5CFB25D3" w:rsidR="00851728" w:rsidRPr="00784084" w:rsidRDefault="00851728">
      <w:pPr>
        <w:pStyle w:val="Notedebasdepage"/>
      </w:pPr>
      <w:r w:rsidRPr="00784084">
        <w:rPr>
          <w:rStyle w:val="Appelnotedebasdep"/>
        </w:rPr>
        <w:footnoteRef/>
      </w:r>
      <w:r w:rsidRPr="00784084">
        <w:tab/>
        <w:t>Pièce PGQ-7</w:t>
      </w:r>
      <w:r w:rsidR="00F21D87" w:rsidRPr="00784084">
        <w:t xml:space="preserve">, </w:t>
      </w:r>
      <w:r w:rsidR="009D0C05" w:rsidRPr="00784084">
        <w:t>Document intitulé «</w:t>
      </w:r>
      <w:r w:rsidR="00784084" w:rsidRPr="00784084">
        <w:t> </w:t>
      </w:r>
      <w:r w:rsidR="009D0C05" w:rsidRPr="00784084">
        <w:t>Révision de la Politique québécoise de financement des universités, appel à mémoires, mai</w:t>
      </w:r>
      <w:r w:rsidR="00784084" w:rsidRPr="00784084">
        <w:t> </w:t>
      </w:r>
      <w:r w:rsidR="009D0C05" w:rsidRPr="00784084">
        <w:t>2023</w:t>
      </w:r>
      <w:r w:rsidR="00784084" w:rsidRPr="00784084">
        <w:t> </w:t>
      </w:r>
      <w:r w:rsidR="009D0C05" w:rsidRPr="00784084">
        <w:t>»</w:t>
      </w:r>
      <w:r w:rsidRPr="00784084">
        <w:t>.</w:t>
      </w:r>
    </w:p>
  </w:footnote>
  <w:footnote w:id="91">
    <w:p w14:paraId="33FEF54F" w14:textId="1924389A" w:rsidR="00BE0E37" w:rsidRPr="00784084" w:rsidRDefault="00BE0E37">
      <w:pPr>
        <w:pStyle w:val="Notedebasdepage"/>
      </w:pPr>
      <w:r w:rsidRPr="00784084">
        <w:rPr>
          <w:rStyle w:val="Appelnotedebasdep"/>
        </w:rPr>
        <w:footnoteRef/>
      </w:r>
      <w:r w:rsidRPr="00784084">
        <w:tab/>
        <w:t>Pièce PGQ-8</w:t>
      </w:r>
      <w:r w:rsidR="00D151B6" w:rsidRPr="00784084">
        <w:t>, Lettre de la ministre du 15</w:t>
      </w:r>
      <w:r w:rsidR="00784084" w:rsidRPr="00784084">
        <w:t> </w:t>
      </w:r>
      <w:r w:rsidR="00D151B6" w:rsidRPr="00784084">
        <w:t>mai</w:t>
      </w:r>
      <w:r w:rsidR="00784084" w:rsidRPr="00784084">
        <w:t> </w:t>
      </w:r>
      <w:r w:rsidR="00D151B6" w:rsidRPr="00784084">
        <w:t>2023 particularisant certaines considérations énoncées dans l’appel à mémoires</w:t>
      </w:r>
      <w:r w:rsidRPr="00784084">
        <w:t>.</w:t>
      </w:r>
    </w:p>
  </w:footnote>
  <w:footnote w:id="92">
    <w:p w14:paraId="4AA0D72C" w14:textId="3DE209C7" w:rsidR="00A72DD7" w:rsidRPr="00784084" w:rsidRDefault="00A72DD7">
      <w:pPr>
        <w:pStyle w:val="Notedebasdepage"/>
      </w:pPr>
      <w:r w:rsidRPr="00784084">
        <w:rPr>
          <w:rStyle w:val="Appelnotedebasdep"/>
        </w:rPr>
        <w:footnoteRef/>
      </w:r>
      <w:r w:rsidRPr="00784084">
        <w:tab/>
        <w:t>Pièce PGQ-9</w:t>
      </w:r>
      <w:r w:rsidR="009B1DB3" w:rsidRPr="00784084">
        <w:t>, Tableau intitulé «</w:t>
      </w:r>
      <w:r w:rsidR="00784084" w:rsidRPr="00784084">
        <w:t> </w:t>
      </w:r>
      <w:r w:rsidR="009B1DB3" w:rsidRPr="00784084">
        <w:t>Effectif étudiant dans les universités québécoises, à l’automne, selon le statut légal au Canada, le statut de résidence au Québec et l’établissement universitaire, pour les années universitaires 2019-2020 à 2023-2024</w:t>
      </w:r>
      <w:r w:rsidR="00784084" w:rsidRPr="00784084">
        <w:t> </w:t>
      </w:r>
      <w:r w:rsidR="009B1DB3" w:rsidRPr="00784084">
        <w:t>»</w:t>
      </w:r>
      <w:r w:rsidRPr="00784084">
        <w:t>.</w:t>
      </w:r>
    </w:p>
  </w:footnote>
  <w:footnote w:id="93">
    <w:p w14:paraId="4CC919D0" w14:textId="7F32245B" w:rsidR="00A72DD7" w:rsidRPr="00784084" w:rsidRDefault="00A72DD7">
      <w:pPr>
        <w:pStyle w:val="Notedebasdepage"/>
      </w:pPr>
      <w:r w:rsidRPr="00784084">
        <w:rPr>
          <w:rStyle w:val="Appelnotedebasdep"/>
        </w:rPr>
        <w:footnoteRef/>
      </w:r>
      <w:r w:rsidRPr="00784084">
        <w:tab/>
        <w:t>Pièce PGQ-10</w:t>
      </w:r>
      <w:r w:rsidR="00B30DD9" w:rsidRPr="00784084">
        <w:t>, Tableau intitulé «</w:t>
      </w:r>
      <w:r w:rsidR="00784084" w:rsidRPr="00784084">
        <w:t> </w:t>
      </w:r>
      <w:r w:rsidR="00B30DD9" w:rsidRPr="00784084">
        <w:t>Impacts de la déréglementation du point de vue des établissements</w:t>
      </w:r>
      <w:r w:rsidR="00784084">
        <w:t> :</w:t>
      </w:r>
      <w:r w:rsidR="00B30DD9" w:rsidRPr="00784084">
        <w:t xml:space="preserve"> cumulatif des années 2019-2020, 2020-2021 et 2021-2022</w:t>
      </w:r>
      <w:r w:rsidR="00784084" w:rsidRPr="00784084">
        <w:t> </w:t>
      </w:r>
      <w:r w:rsidR="00B30DD9" w:rsidRPr="00784084">
        <w:t>»</w:t>
      </w:r>
      <w:r w:rsidRPr="00784084">
        <w:t>.</w:t>
      </w:r>
    </w:p>
  </w:footnote>
  <w:footnote w:id="94">
    <w:p w14:paraId="5C833FA6" w14:textId="6FD5DD2F" w:rsidR="00AF45C0" w:rsidRDefault="00AF45C0">
      <w:pPr>
        <w:pStyle w:val="Notedebasdepage"/>
      </w:pPr>
      <w:r w:rsidRPr="00784084">
        <w:rPr>
          <w:rStyle w:val="Appelnotedebasdep"/>
        </w:rPr>
        <w:footnoteRef/>
      </w:r>
      <w:r w:rsidRPr="00784084">
        <w:tab/>
        <w:t>Pièce</w:t>
      </w:r>
      <w:r w:rsidR="008F6639" w:rsidRPr="00784084">
        <w:t>s</w:t>
      </w:r>
      <w:r w:rsidRPr="00784084">
        <w:t xml:space="preserve"> PGQ-11</w:t>
      </w:r>
      <w:r w:rsidR="003573C3" w:rsidRPr="00784084">
        <w:t xml:space="preserve"> et P-33</w:t>
      </w:r>
      <w:r w:rsidR="00B217AA" w:rsidRPr="00784084">
        <w:t>, Plan stratégique 2023-2027 du ministère de l’Enseignement supérieur</w:t>
      </w:r>
      <w:r w:rsidRPr="00784084">
        <w:t>.</w:t>
      </w:r>
    </w:p>
  </w:footnote>
  <w:footnote w:id="95">
    <w:p w14:paraId="575A279E" w14:textId="1957FF19" w:rsidR="00AA4FEC" w:rsidRDefault="00AA4FEC">
      <w:pPr>
        <w:pStyle w:val="Notedebasdepage"/>
      </w:pPr>
      <w:r>
        <w:rPr>
          <w:rStyle w:val="Appelnotedebasdep"/>
        </w:rPr>
        <w:footnoteRef/>
      </w:r>
      <w:r>
        <w:tab/>
      </w:r>
      <w:r w:rsidR="00C154B2" w:rsidRPr="0027402A">
        <w:t>L.Q. 2022, c. 14</w:t>
      </w:r>
      <w:r>
        <w:t>.</w:t>
      </w:r>
    </w:p>
  </w:footnote>
  <w:footnote w:id="96">
    <w:p w14:paraId="6C938D47" w14:textId="663FDA58" w:rsidR="005243BA" w:rsidRPr="00784084" w:rsidRDefault="005243BA">
      <w:pPr>
        <w:pStyle w:val="Notedebasdepage"/>
      </w:pPr>
      <w:r w:rsidRPr="0008501A">
        <w:rPr>
          <w:rStyle w:val="Appelnotedebasdep"/>
        </w:rPr>
        <w:footnoteRef/>
      </w:r>
      <w:r w:rsidRPr="0008501A">
        <w:tab/>
        <w:t xml:space="preserve">Pièces PGQ-11 </w:t>
      </w:r>
      <w:r w:rsidRPr="00784084">
        <w:t>et P-33</w:t>
      </w:r>
      <w:r w:rsidR="008C7B47" w:rsidRPr="00784084">
        <w:t>, Plan stratégique 2023-2027 du ministère de l’Enseignement supérieur</w:t>
      </w:r>
      <w:r w:rsidRPr="00784084">
        <w:t>.</w:t>
      </w:r>
    </w:p>
  </w:footnote>
  <w:footnote w:id="97">
    <w:p w14:paraId="3A9E2BF8" w14:textId="49111441" w:rsidR="001B4B9B" w:rsidRPr="00784084" w:rsidRDefault="001B4B9B">
      <w:pPr>
        <w:pStyle w:val="Notedebasdepage"/>
        <w:rPr>
          <w:i/>
        </w:rPr>
      </w:pPr>
      <w:r w:rsidRPr="00784084">
        <w:rPr>
          <w:rStyle w:val="Appelnotedebasdep"/>
        </w:rPr>
        <w:footnoteRef/>
      </w:r>
      <w:r w:rsidRPr="00784084">
        <w:tab/>
      </w:r>
      <w:r w:rsidR="008C7B47" w:rsidRPr="00784084">
        <w:rPr>
          <w:i/>
          <w:iCs/>
        </w:rPr>
        <w:t>Id.</w:t>
      </w:r>
    </w:p>
  </w:footnote>
  <w:footnote w:id="98">
    <w:p w14:paraId="75549EAF" w14:textId="36FA4CD1" w:rsidR="00686BB5" w:rsidRDefault="00686BB5">
      <w:pPr>
        <w:pStyle w:val="Notedebasdepage"/>
      </w:pPr>
      <w:r w:rsidRPr="00784084">
        <w:rPr>
          <w:rStyle w:val="Appelnotedebasdep"/>
        </w:rPr>
        <w:footnoteRef/>
      </w:r>
      <w:r w:rsidRPr="00784084">
        <w:tab/>
        <w:t>Pièce P-35</w:t>
      </w:r>
      <w:r w:rsidR="00D814DA" w:rsidRPr="00784084">
        <w:t>, Avis du CCAFE du 12</w:t>
      </w:r>
      <w:r w:rsidR="00E2730D" w:rsidRPr="00784084">
        <w:t> </w:t>
      </w:r>
      <w:r w:rsidR="00D814DA" w:rsidRPr="00784084">
        <w:t>juin</w:t>
      </w:r>
      <w:r w:rsidR="00E2730D" w:rsidRPr="00784084">
        <w:t> </w:t>
      </w:r>
      <w:r w:rsidR="00D814DA" w:rsidRPr="00784084">
        <w:t xml:space="preserve">2023 intitulé </w:t>
      </w:r>
      <w:r w:rsidR="00D814DA" w:rsidRPr="00784084">
        <w:rPr>
          <w:i/>
          <w:iCs/>
        </w:rPr>
        <w:t>Révision de la Politique québécoise de financement des universités</w:t>
      </w:r>
      <w:r w:rsidRPr="00784084">
        <w:t>.</w:t>
      </w:r>
    </w:p>
  </w:footnote>
  <w:footnote w:id="99">
    <w:p w14:paraId="2A2EAAB0" w14:textId="3AEEE996" w:rsidR="000B0D2F" w:rsidRPr="002F3A22" w:rsidRDefault="000B0D2F">
      <w:pPr>
        <w:pStyle w:val="Notedebasdepage"/>
      </w:pPr>
      <w:r>
        <w:rPr>
          <w:rStyle w:val="Appelnotedebasdep"/>
        </w:rPr>
        <w:footnoteRef/>
      </w:r>
      <w:r>
        <w:tab/>
        <w:t>Pièce P-36</w:t>
      </w:r>
      <w:r w:rsidR="005F2253">
        <w:t xml:space="preserve">, </w:t>
      </w:r>
      <w:r w:rsidR="005F2253" w:rsidRPr="002F3A22">
        <w:t xml:space="preserve">Mémoire de McGill intitulé </w:t>
      </w:r>
      <w:r w:rsidR="005F2253" w:rsidRPr="002F3A22">
        <w:rPr>
          <w:i/>
          <w:iCs/>
        </w:rPr>
        <w:t>L’Université McGill, une institution québécoise à part entière – Protéger le français tout en favorisant le développement de toutes nos universités</w:t>
      </w:r>
      <w:r w:rsidRPr="002F3A22">
        <w:t>.</w:t>
      </w:r>
    </w:p>
  </w:footnote>
  <w:footnote w:id="100">
    <w:p w14:paraId="4D553789" w14:textId="43269A01" w:rsidR="00047328" w:rsidRPr="002F3A22" w:rsidRDefault="00047328">
      <w:pPr>
        <w:pStyle w:val="Notedebasdepage"/>
      </w:pPr>
      <w:r w:rsidRPr="002F3A22">
        <w:rPr>
          <w:rStyle w:val="Appelnotedebasdep"/>
        </w:rPr>
        <w:footnoteRef/>
      </w:r>
      <w:r w:rsidRPr="002F3A22">
        <w:tab/>
        <w:t>Pièce UC-4</w:t>
      </w:r>
      <w:r w:rsidR="00FA10F1" w:rsidRPr="002F3A22">
        <w:t>/DC-4</w:t>
      </w:r>
      <w:r w:rsidR="00C63EA5" w:rsidRPr="002F3A22">
        <w:t xml:space="preserve">, </w:t>
      </w:r>
      <w:r w:rsidR="00FA10F1" w:rsidRPr="002F3A22">
        <w:t>Mémoire sur la politique de financement des universités, Université Concordia, 20 juin 2023</w:t>
      </w:r>
      <w:r w:rsidRPr="002F3A22">
        <w:t>.</w:t>
      </w:r>
    </w:p>
  </w:footnote>
  <w:footnote w:id="101">
    <w:p w14:paraId="3FACB223" w14:textId="787704AA" w:rsidR="00A644A1" w:rsidRPr="002F3A22" w:rsidRDefault="00A644A1">
      <w:pPr>
        <w:pStyle w:val="Notedebasdepage"/>
      </w:pPr>
      <w:r w:rsidRPr="002F3A22">
        <w:rPr>
          <w:rStyle w:val="Appelnotedebasdep"/>
        </w:rPr>
        <w:footnoteRef/>
      </w:r>
      <w:r w:rsidRPr="002F3A22">
        <w:tab/>
        <w:t>Pièce PGQ-14b</w:t>
      </w:r>
      <w:r w:rsidR="00C63EA5" w:rsidRPr="002F3A22">
        <w:t>, Lettre de la Ministre du 14</w:t>
      </w:r>
      <w:r w:rsidR="00F75C45" w:rsidRPr="002F3A22">
        <w:t> </w:t>
      </w:r>
      <w:r w:rsidR="00C63EA5" w:rsidRPr="002F3A22">
        <w:t>décembre</w:t>
      </w:r>
      <w:r w:rsidR="00F75C45" w:rsidRPr="002F3A22">
        <w:t> </w:t>
      </w:r>
      <w:r w:rsidR="00C63EA5" w:rsidRPr="002F3A22">
        <w:t>2023 adressée aux universités McGill, Concordia et Bishop’s</w:t>
      </w:r>
      <w:r w:rsidRPr="002F3A22">
        <w:t>.</w:t>
      </w:r>
    </w:p>
  </w:footnote>
  <w:footnote w:id="102">
    <w:p w14:paraId="72A68578" w14:textId="17144221" w:rsidR="00A644A1" w:rsidRDefault="00A644A1">
      <w:pPr>
        <w:pStyle w:val="Notedebasdepage"/>
      </w:pPr>
      <w:r w:rsidRPr="002F3A22">
        <w:rPr>
          <w:rStyle w:val="Appelnotedebasdep"/>
        </w:rPr>
        <w:footnoteRef/>
      </w:r>
      <w:r w:rsidRPr="002F3A22">
        <w:tab/>
        <w:t>Pièce PGQ-17</w:t>
      </w:r>
      <w:r w:rsidR="003532C5" w:rsidRPr="002F3A22">
        <w:t>, Lettre de la Ministre au CCAFE datée du 14</w:t>
      </w:r>
      <w:r w:rsidR="00F75C45" w:rsidRPr="002F3A22">
        <w:t> </w:t>
      </w:r>
      <w:r w:rsidR="003532C5" w:rsidRPr="002F3A22">
        <w:t>décembre</w:t>
      </w:r>
      <w:r w:rsidR="00F75C45" w:rsidRPr="002F3A22">
        <w:t> </w:t>
      </w:r>
      <w:r w:rsidR="003532C5" w:rsidRPr="002F3A22">
        <w:t xml:space="preserve">2023 détaillant la nouvelle grille de tarification applicable aux étudiants CNRQ et internationaux de </w:t>
      </w:r>
      <w:r w:rsidR="00D15241" w:rsidRPr="002F3A22">
        <w:t>1</w:t>
      </w:r>
      <w:r w:rsidR="00D15241" w:rsidRPr="002F3A22">
        <w:rPr>
          <w:vertAlign w:val="superscript"/>
        </w:rPr>
        <w:t>er</w:t>
      </w:r>
      <w:r w:rsidR="00D15241" w:rsidRPr="002F3A22">
        <w:t xml:space="preserve"> </w:t>
      </w:r>
      <w:r w:rsidR="003532C5" w:rsidRPr="002F3A22">
        <w:t xml:space="preserve">cycle et de </w:t>
      </w:r>
      <w:r w:rsidR="00D15241" w:rsidRPr="002F3A22">
        <w:t>2</w:t>
      </w:r>
      <w:r w:rsidR="00D15241" w:rsidRPr="002F3A22">
        <w:rPr>
          <w:vertAlign w:val="superscript"/>
        </w:rPr>
        <w:t>e</w:t>
      </w:r>
      <w:r w:rsidR="00D15241" w:rsidRPr="002F3A22">
        <w:t xml:space="preserve"> </w:t>
      </w:r>
      <w:r w:rsidR="003532C5" w:rsidRPr="002F3A22">
        <w:t>cycle professionnel à partir du trimestre d’automne 2024</w:t>
      </w:r>
      <w:r w:rsidRPr="002F3A22">
        <w:t>.</w:t>
      </w:r>
    </w:p>
  </w:footnote>
  <w:footnote w:id="103">
    <w:p w14:paraId="538F85D4" w14:textId="3994CAA3" w:rsidR="0092553A" w:rsidRPr="00B705CC" w:rsidRDefault="0092553A" w:rsidP="0092553A">
      <w:pPr>
        <w:pStyle w:val="Notedebasdepage"/>
      </w:pPr>
      <w:r>
        <w:rPr>
          <w:rStyle w:val="Appelnotedebasdep"/>
        </w:rPr>
        <w:footnoteRef/>
      </w:r>
      <w:r>
        <w:t xml:space="preserve"> </w:t>
      </w:r>
      <w:r>
        <w:tab/>
        <w:t>Pièce P-57</w:t>
      </w:r>
      <w:r w:rsidR="00E67EDB">
        <w:t xml:space="preserve">, </w:t>
      </w:r>
      <w:r w:rsidR="00E67EDB" w:rsidRPr="00B705CC">
        <w:t>Avis du CCAFE du 19</w:t>
      </w:r>
      <w:r w:rsidR="0081190A" w:rsidRPr="00B705CC">
        <w:t> </w:t>
      </w:r>
      <w:r w:rsidR="00E67EDB" w:rsidRPr="00B705CC">
        <w:t>janvier</w:t>
      </w:r>
      <w:r w:rsidR="0081190A" w:rsidRPr="00B705CC">
        <w:t> </w:t>
      </w:r>
      <w:r w:rsidR="00E67EDB" w:rsidRPr="00B705CC">
        <w:t>2024 sur la nouvelle tarification</w:t>
      </w:r>
      <w:r w:rsidRPr="00B705CC">
        <w:t>.</w:t>
      </w:r>
    </w:p>
  </w:footnote>
  <w:footnote w:id="104">
    <w:p w14:paraId="36691F29" w14:textId="3593A8A8" w:rsidR="00FE4C33" w:rsidRPr="00B705CC" w:rsidRDefault="00FE4C33">
      <w:pPr>
        <w:pStyle w:val="Notedebasdepage"/>
      </w:pPr>
      <w:r w:rsidRPr="00B705CC">
        <w:rPr>
          <w:rStyle w:val="Appelnotedebasdep"/>
        </w:rPr>
        <w:footnoteRef/>
      </w:r>
      <w:r w:rsidRPr="00B705CC">
        <w:tab/>
        <w:t>Pièce PGQ-21</w:t>
      </w:r>
      <w:r w:rsidR="00F81167" w:rsidRPr="00B705CC">
        <w:t>, Tableau intitulé «</w:t>
      </w:r>
      <w:r w:rsidR="00B705CC" w:rsidRPr="00B705CC">
        <w:t> </w:t>
      </w:r>
      <w:r w:rsidR="00F81167" w:rsidRPr="00B705CC">
        <w:t>Impact détaillé de la nouvelle tarification CNRQ/EI</w:t>
      </w:r>
      <w:r w:rsidR="00B705CC" w:rsidRPr="00B705CC">
        <w:t> </w:t>
      </w:r>
      <w:r w:rsidR="00F81167" w:rsidRPr="00B705CC">
        <w:t>»</w:t>
      </w:r>
      <w:r w:rsidRPr="00B705CC">
        <w:t>.</w:t>
      </w:r>
    </w:p>
  </w:footnote>
  <w:footnote w:id="105">
    <w:p w14:paraId="07BF3915" w14:textId="4C20EFBE" w:rsidR="007D035A" w:rsidRPr="00B705CC" w:rsidRDefault="007D035A">
      <w:pPr>
        <w:pStyle w:val="Notedebasdepage"/>
      </w:pPr>
      <w:r w:rsidRPr="00B705CC">
        <w:rPr>
          <w:rStyle w:val="Appelnotedebasdep"/>
        </w:rPr>
        <w:footnoteRef/>
      </w:r>
      <w:r w:rsidRPr="00B705CC">
        <w:tab/>
      </w:r>
      <w:r w:rsidR="00F81167" w:rsidRPr="00B705CC">
        <w:rPr>
          <w:i/>
          <w:iCs/>
        </w:rPr>
        <w:t>Id</w:t>
      </w:r>
      <w:r w:rsidRPr="00B705CC">
        <w:rPr>
          <w:i/>
        </w:rPr>
        <w:t>.</w:t>
      </w:r>
    </w:p>
  </w:footnote>
  <w:footnote w:id="106">
    <w:p w14:paraId="31783307" w14:textId="30AEC698" w:rsidR="00934D71" w:rsidRDefault="00934D71">
      <w:pPr>
        <w:pStyle w:val="Notedebasdepage"/>
      </w:pPr>
      <w:r w:rsidRPr="00B705CC">
        <w:rPr>
          <w:rStyle w:val="Appelnotedebasdep"/>
        </w:rPr>
        <w:footnoteRef/>
      </w:r>
      <w:r w:rsidRPr="00B705CC">
        <w:tab/>
      </w:r>
      <w:r w:rsidR="002C53D4" w:rsidRPr="00B705CC">
        <w:t>Pièce PGQ-39,</w:t>
      </w:r>
      <w:r w:rsidR="002C53D4">
        <w:t xml:space="preserve"> </w:t>
      </w:r>
      <w:r>
        <w:t>Déclaration sous serment de François Leclerc du 4</w:t>
      </w:r>
      <w:r w:rsidR="002B1B1E">
        <w:t> </w:t>
      </w:r>
      <w:r>
        <w:t>octobre</w:t>
      </w:r>
      <w:r w:rsidR="002B1B1E">
        <w:t> </w:t>
      </w:r>
      <w:r>
        <w:t>2024, au par. 15.</w:t>
      </w:r>
    </w:p>
  </w:footnote>
  <w:footnote w:id="107">
    <w:p w14:paraId="5170D2C3" w14:textId="19F52508" w:rsidR="00D46455" w:rsidRPr="00B705CC" w:rsidRDefault="00D46455">
      <w:pPr>
        <w:pStyle w:val="Notedebasdepage"/>
      </w:pPr>
      <w:r>
        <w:rPr>
          <w:rStyle w:val="Appelnotedebasdep"/>
        </w:rPr>
        <w:footnoteRef/>
      </w:r>
      <w:r>
        <w:tab/>
        <w:t>Pièce PGQ-40</w:t>
      </w:r>
      <w:r w:rsidR="00D028E6">
        <w:t xml:space="preserve">, </w:t>
      </w:r>
      <w:r w:rsidR="00D028E6" w:rsidRPr="00B705CC">
        <w:t>Échelle québécoise des niveaux de compétence en français</w:t>
      </w:r>
      <w:r w:rsidRPr="00B705CC">
        <w:t>.</w:t>
      </w:r>
    </w:p>
  </w:footnote>
  <w:footnote w:id="108">
    <w:p w14:paraId="09E7F77F" w14:textId="7EF9ED14" w:rsidR="00457557" w:rsidRPr="00B705CC" w:rsidRDefault="00457557">
      <w:pPr>
        <w:pStyle w:val="Notedebasdepage"/>
      </w:pPr>
      <w:r w:rsidRPr="00B705CC">
        <w:rPr>
          <w:rStyle w:val="Appelnotedebasdep"/>
        </w:rPr>
        <w:footnoteRef/>
      </w:r>
      <w:r w:rsidRPr="00B705CC">
        <w:tab/>
        <w:t>Pièce PGQ-43, Déclaration sous serment de Sylvain Périgny du 4</w:t>
      </w:r>
      <w:r w:rsidR="00192689" w:rsidRPr="00B705CC">
        <w:t> </w:t>
      </w:r>
      <w:r w:rsidRPr="00B705CC">
        <w:t>octobre</w:t>
      </w:r>
      <w:r w:rsidR="00192689" w:rsidRPr="00B705CC">
        <w:t> </w:t>
      </w:r>
      <w:r w:rsidRPr="00B705CC">
        <w:t>2024.</w:t>
      </w:r>
    </w:p>
  </w:footnote>
  <w:footnote w:id="109">
    <w:p w14:paraId="25FE07A2" w14:textId="7D2803CD" w:rsidR="00DD1A7F" w:rsidRDefault="00DD1A7F">
      <w:pPr>
        <w:pStyle w:val="Notedebasdepage"/>
      </w:pPr>
      <w:r w:rsidRPr="00B705CC">
        <w:rPr>
          <w:rStyle w:val="Appelnotedebasdep"/>
        </w:rPr>
        <w:footnoteRef/>
      </w:r>
      <w:r w:rsidRPr="00B705CC">
        <w:tab/>
        <w:t>Pièces PGQ-44</w:t>
      </w:r>
      <w:r w:rsidR="00457557" w:rsidRPr="00B705CC">
        <w:t>, Lettre de la sous-ministre Paule De Blois du 23</w:t>
      </w:r>
      <w:r w:rsidR="00192689" w:rsidRPr="00B705CC">
        <w:t> </w:t>
      </w:r>
      <w:r w:rsidR="00457557" w:rsidRPr="00B705CC">
        <w:t>janvier</w:t>
      </w:r>
      <w:r w:rsidR="00192689" w:rsidRPr="00B705CC">
        <w:t> </w:t>
      </w:r>
      <w:r w:rsidR="00457557" w:rsidRPr="00B705CC">
        <w:t>2024, PGQ-45, Lettre de l’Université McGill du 30</w:t>
      </w:r>
      <w:r w:rsidR="00192689" w:rsidRPr="00B705CC">
        <w:t> </w:t>
      </w:r>
      <w:r w:rsidR="00457557" w:rsidRPr="00B705CC">
        <w:t>janvier</w:t>
      </w:r>
      <w:r w:rsidR="00192689" w:rsidRPr="00B705CC">
        <w:t> </w:t>
      </w:r>
      <w:r w:rsidR="00457557" w:rsidRPr="00B705CC">
        <w:t>2024, PGQ-46, Lettre de l’Université Concordia du 30</w:t>
      </w:r>
      <w:r w:rsidR="00192689" w:rsidRPr="00B705CC">
        <w:t> </w:t>
      </w:r>
      <w:r w:rsidR="00457557" w:rsidRPr="00B705CC">
        <w:t>janvier</w:t>
      </w:r>
      <w:r w:rsidR="00192689" w:rsidRPr="00B705CC">
        <w:t> </w:t>
      </w:r>
      <w:r w:rsidR="00457557" w:rsidRPr="00B705CC">
        <w:t>2024 et</w:t>
      </w:r>
      <w:r w:rsidRPr="00B705CC">
        <w:t xml:space="preserve"> PGQ-47</w:t>
      </w:r>
      <w:r w:rsidR="00457557" w:rsidRPr="00B705CC">
        <w:t>, Plan de travail du groupe de travail à jour au 27</w:t>
      </w:r>
      <w:r w:rsidR="00345E2E" w:rsidRPr="00B705CC">
        <w:t> </w:t>
      </w:r>
      <w:r w:rsidR="00457557" w:rsidRPr="00B705CC">
        <w:t>mars</w:t>
      </w:r>
      <w:r w:rsidR="00345E2E" w:rsidRPr="00B705CC">
        <w:t> </w:t>
      </w:r>
      <w:r w:rsidR="00457557" w:rsidRPr="00B705CC">
        <w:t>2024</w:t>
      </w:r>
      <w:r w:rsidRPr="00B705CC">
        <w:t>.</w:t>
      </w:r>
    </w:p>
  </w:footnote>
  <w:footnote w:id="110">
    <w:p w14:paraId="3D2EAC9D" w14:textId="2E7B7AF2" w:rsidR="00455CCC" w:rsidRDefault="00455CCC">
      <w:pPr>
        <w:pStyle w:val="Notedebasdepage"/>
      </w:pPr>
      <w:r>
        <w:rPr>
          <w:rStyle w:val="Appelnotedebasdep"/>
        </w:rPr>
        <w:footnoteRef/>
      </w:r>
      <w:r>
        <w:tab/>
        <w:t>Pièce P-49</w:t>
      </w:r>
      <w:r w:rsidR="007C35C6">
        <w:t xml:space="preserve">, </w:t>
      </w:r>
      <w:r w:rsidR="007C35C6" w:rsidRPr="00B705CC">
        <w:t>Lettre de la Ministre aux universités anglophones datée du 14</w:t>
      </w:r>
      <w:r w:rsidR="00516510" w:rsidRPr="00B705CC">
        <w:t> </w:t>
      </w:r>
      <w:r w:rsidR="007C35C6" w:rsidRPr="00B705CC">
        <w:t>décembre</w:t>
      </w:r>
      <w:r w:rsidR="00516510" w:rsidRPr="00B705CC">
        <w:t> </w:t>
      </w:r>
      <w:r w:rsidR="007C35C6" w:rsidRPr="00B705CC">
        <w:t>2023</w:t>
      </w:r>
      <w:r w:rsidRPr="00B705CC">
        <w:t>.</w:t>
      </w:r>
    </w:p>
  </w:footnote>
  <w:footnote w:id="111">
    <w:p w14:paraId="2992928F" w14:textId="3DB2E076" w:rsidR="00455CCC" w:rsidRDefault="00455CCC">
      <w:pPr>
        <w:pStyle w:val="Notedebasdepage"/>
      </w:pPr>
      <w:r>
        <w:rPr>
          <w:rStyle w:val="Appelnotedebasdep"/>
        </w:rPr>
        <w:footnoteRef/>
      </w:r>
      <w:r>
        <w:tab/>
        <w:t xml:space="preserve">Respectivement les </w:t>
      </w:r>
      <w:r w:rsidRPr="00B705CC">
        <w:t>pièces P-56</w:t>
      </w:r>
      <w:r w:rsidR="0066702A" w:rsidRPr="00B705CC">
        <w:t>, Lettre de la Ministre datée du 14</w:t>
      </w:r>
      <w:r w:rsidR="00516510" w:rsidRPr="00B705CC">
        <w:t> </w:t>
      </w:r>
      <w:r w:rsidR="0066702A" w:rsidRPr="00B705CC">
        <w:t>décembre</w:t>
      </w:r>
      <w:r w:rsidR="00516510" w:rsidRPr="00B705CC">
        <w:t> </w:t>
      </w:r>
      <w:r w:rsidR="0066702A" w:rsidRPr="00B705CC">
        <w:t>2023 demandant un avis consultatif au CCAFE concernant les Modifications attaquées</w:t>
      </w:r>
      <w:r w:rsidRPr="00B705CC">
        <w:t xml:space="preserve"> et P-61</w:t>
      </w:r>
      <w:r w:rsidR="0066702A" w:rsidRPr="00B705CC">
        <w:t>, Lettre de la Ministre datée du 24</w:t>
      </w:r>
      <w:r w:rsidR="005D353E" w:rsidRPr="00B705CC">
        <w:t> </w:t>
      </w:r>
      <w:r w:rsidR="0066702A" w:rsidRPr="00B705CC">
        <w:t>janvier</w:t>
      </w:r>
      <w:r w:rsidR="005D353E" w:rsidRPr="00B705CC">
        <w:t> </w:t>
      </w:r>
      <w:r w:rsidR="0066702A" w:rsidRPr="00B705CC">
        <w:t>2024</w:t>
      </w:r>
      <w:r w:rsidRPr="00B705CC">
        <w:t>.</w:t>
      </w:r>
    </w:p>
  </w:footnote>
  <w:footnote w:id="112">
    <w:p w14:paraId="0FE7BC6F" w14:textId="02AB2F9B" w:rsidR="008929C3" w:rsidRDefault="008929C3">
      <w:pPr>
        <w:pStyle w:val="Notedebasdepage"/>
      </w:pPr>
      <w:r>
        <w:rPr>
          <w:rStyle w:val="Appelnotedebasdep"/>
        </w:rPr>
        <w:footnoteRef/>
      </w:r>
      <w:r>
        <w:tab/>
        <w:t>Pièce P-49</w:t>
      </w:r>
      <w:r w:rsidR="001B34F0">
        <w:t xml:space="preserve">, </w:t>
      </w:r>
      <w:r w:rsidR="001B34F0" w:rsidRPr="001B34F0">
        <w:t xml:space="preserve">Lettre de la </w:t>
      </w:r>
      <w:r w:rsidR="001B34F0">
        <w:t>M</w:t>
      </w:r>
      <w:r w:rsidR="001B34F0" w:rsidRPr="001B34F0">
        <w:t xml:space="preserve">inistre aux universités </w:t>
      </w:r>
      <w:r w:rsidR="001B34F0">
        <w:t>a</w:t>
      </w:r>
      <w:r w:rsidR="001B34F0" w:rsidRPr="001B34F0">
        <w:t>nglophones datée du 14</w:t>
      </w:r>
      <w:r w:rsidR="00F564DF">
        <w:t> </w:t>
      </w:r>
      <w:r w:rsidR="001B34F0" w:rsidRPr="001B34F0">
        <w:t>décembre</w:t>
      </w:r>
      <w:r w:rsidR="00F564DF">
        <w:t> </w:t>
      </w:r>
      <w:r w:rsidR="001B34F0" w:rsidRPr="001B34F0">
        <w:t>2023</w:t>
      </w:r>
      <w:r>
        <w:t>.</w:t>
      </w:r>
    </w:p>
  </w:footnote>
  <w:footnote w:id="113">
    <w:p w14:paraId="26C77E42" w14:textId="46C7C3A9" w:rsidR="008929C3" w:rsidRDefault="008929C3">
      <w:pPr>
        <w:pStyle w:val="Notedebasdepage"/>
      </w:pPr>
      <w:r>
        <w:rPr>
          <w:rStyle w:val="Appelnotedebasdep"/>
        </w:rPr>
        <w:footnoteRef/>
      </w:r>
      <w:r>
        <w:tab/>
        <w:t xml:space="preserve">Pièce PGQ-1, </w:t>
      </w:r>
      <w:r w:rsidR="003B5CCC" w:rsidRPr="00B705CC">
        <w:t>Déclaration sous serment de François Leclerc datée du 17</w:t>
      </w:r>
      <w:r w:rsidR="00756E2C" w:rsidRPr="00B705CC">
        <w:t> </w:t>
      </w:r>
      <w:r w:rsidR="003B5CCC" w:rsidRPr="00B705CC">
        <w:t>mai</w:t>
      </w:r>
      <w:r w:rsidR="00756E2C" w:rsidRPr="00B705CC">
        <w:t> </w:t>
      </w:r>
      <w:r w:rsidR="003B5CCC" w:rsidRPr="00B705CC">
        <w:t xml:space="preserve">2024, </w:t>
      </w:r>
      <w:r w:rsidRPr="00B705CC">
        <w:t>aux</w:t>
      </w:r>
      <w:r>
        <w:t xml:space="preserve"> par. 48 et 56.</w:t>
      </w:r>
    </w:p>
  </w:footnote>
  <w:footnote w:id="114">
    <w:p w14:paraId="238FF110" w14:textId="26F4AF7C" w:rsidR="00762068" w:rsidRPr="00B705CC" w:rsidRDefault="00762068">
      <w:pPr>
        <w:pStyle w:val="Notedebasdepage"/>
      </w:pPr>
      <w:r>
        <w:rPr>
          <w:rStyle w:val="Appelnotedebasdep"/>
        </w:rPr>
        <w:footnoteRef/>
      </w:r>
      <w:r>
        <w:tab/>
      </w:r>
      <w:r w:rsidR="00954E20">
        <w:t xml:space="preserve">Pièce </w:t>
      </w:r>
      <w:r>
        <w:t>PGQ-1</w:t>
      </w:r>
      <w:r w:rsidR="00B863BD">
        <w:t xml:space="preserve">, </w:t>
      </w:r>
      <w:r w:rsidR="00B863BD" w:rsidRPr="00B705CC">
        <w:t>Déclaration sous serment de François Leclerc datée du 17</w:t>
      </w:r>
      <w:r w:rsidR="00604CCF" w:rsidRPr="00B705CC">
        <w:t> </w:t>
      </w:r>
      <w:r w:rsidR="00B863BD" w:rsidRPr="00B705CC">
        <w:t>mai</w:t>
      </w:r>
      <w:r w:rsidR="00604CCF" w:rsidRPr="00B705CC">
        <w:t> </w:t>
      </w:r>
      <w:r w:rsidR="00B863BD" w:rsidRPr="00B705CC">
        <w:t>2024</w:t>
      </w:r>
      <w:r w:rsidRPr="00B705CC">
        <w:t>.</w:t>
      </w:r>
    </w:p>
  </w:footnote>
  <w:footnote w:id="115">
    <w:p w14:paraId="2BF9987E" w14:textId="58A84045" w:rsidR="00C041CD" w:rsidRDefault="00C041CD">
      <w:pPr>
        <w:pStyle w:val="Notedebasdepage"/>
      </w:pPr>
      <w:r w:rsidRPr="00B705CC">
        <w:rPr>
          <w:rStyle w:val="Appelnotedebasdep"/>
        </w:rPr>
        <w:footnoteRef/>
      </w:r>
      <w:r w:rsidRPr="00B705CC">
        <w:tab/>
        <w:t>Pièce P-25</w:t>
      </w:r>
      <w:r w:rsidR="00B863BD" w:rsidRPr="00B705CC">
        <w:t>, Avis du CCAFÉ du 1</w:t>
      </w:r>
      <w:r w:rsidR="00604CCF" w:rsidRPr="00B705CC">
        <w:rPr>
          <w:vertAlign w:val="superscript"/>
        </w:rPr>
        <w:t>er</w:t>
      </w:r>
      <w:r w:rsidR="00604CCF" w:rsidRPr="00B705CC">
        <w:t> </w:t>
      </w:r>
      <w:r w:rsidR="00B863BD" w:rsidRPr="00B705CC">
        <w:t>avril</w:t>
      </w:r>
      <w:r w:rsidR="00604CCF" w:rsidRPr="00B705CC">
        <w:t> </w:t>
      </w:r>
      <w:r w:rsidR="00B863BD" w:rsidRPr="00B705CC">
        <w:t>2019</w:t>
      </w:r>
      <w:r w:rsidRPr="00B705CC">
        <w:t>.</w:t>
      </w:r>
    </w:p>
  </w:footnote>
  <w:footnote w:id="116">
    <w:p w14:paraId="2232ED3C" w14:textId="22F7BA39" w:rsidR="008F7F63" w:rsidRPr="00B705CC" w:rsidRDefault="008F7F63">
      <w:pPr>
        <w:pStyle w:val="Notedebasdepage"/>
      </w:pPr>
      <w:r>
        <w:rPr>
          <w:rStyle w:val="Appelnotedebasdep"/>
        </w:rPr>
        <w:footnoteRef/>
      </w:r>
      <w:r>
        <w:tab/>
        <w:t>Pièce P-35</w:t>
      </w:r>
      <w:r w:rsidR="006017F8">
        <w:t xml:space="preserve">, </w:t>
      </w:r>
      <w:r w:rsidR="006017F8" w:rsidRPr="00B705CC">
        <w:t>Avis du CCAFÉ du 12</w:t>
      </w:r>
      <w:r w:rsidR="006153E8" w:rsidRPr="00B705CC">
        <w:t> </w:t>
      </w:r>
      <w:r w:rsidR="006017F8" w:rsidRPr="00B705CC">
        <w:t>juin</w:t>
      </w:r>
      <w:r w:rsidR="006153E8" w:rsidRPr="00B705CC">
        <w:t> </w:t>
      </w:r>
      <w:r w:rsidR="006017F8" w:rsidRPr="00B705CC">
        <w:t xml:space="preserve">2023 intitulé </w:t>
      </w:r>
      <w:r w:rsidR="006017F8" w:rsidRPr="00B705CC">
        <w:rPr>
          <w:i/>
          <w:iCs/>
        </w:rPr>
        <w:t>Révision de la Politique québécoise de financement des universités</w:t>
      </w:r>
      <w:r w:rsidRPr="00B705CC">
        <w:t>.</w:t>
      </w:r>
    </w:p>
  </w:footnote>
  <w:footnote w:id="117">
    <w:p w14:paraId="1DFF9A33" w14:textId="0845990D" w:rsidR="00E46590" w:rsidRPr="00B705CC" w:rsidRDefault="00E46590" w:rsidP="00E46590">
      <w:pPr>
        <w:pStyle w:val="Notedebasdepage"/>
      </w:pPr>
      <w:r w:rsidRPr="00B705CC">
        <w:rPr>
          <w:rStyle w:val="Appelnotedebasdep"/>
        </w:rPr>
        <w:footnoteRef/>
      </w:r>
      <w:r w:rsidRPr="00B705CC">
        <w:tab/>
      </w:r>
      <w:r w:rsidR="00016CF9" w:rsidRPr="00B705CC">
        <w:rPr>
          <w:i/>
          <w:iCs/>
        </w:rPr>
        <w:t>Id</w:t>
      </w:r>
      <w:r w:rsidRPr="00B705CC">
        <w:t>.</w:t>
      </w:r>
    </w:p>
  </w:footnote>
  <w:footnote w:id="118">
    <w:p w14:paraId="304387EF" w14:textId="2AA55AB3" w:rsidR="004F7B53" w:rsidRDefault="004F7B53">
      <w:pPr>
        <w:pStyle w:val="Notedebasdepage"/>
      </w:pPr>
      <w:r w:rsidRPr="00B705CC">
        <w:rPr>
          <w:rStyle w:val="Appelnotedebasdep"/>
        </w:rPr>
        <w:footnoteRef/>
      </w:r>
      <w:r w:rsidRPr="00B705CC">
        <w:tab/>
      </w:r>
      <w:r w:rsidR="00E11E93" w:rsidRPr="00B705CC">
        <w:t>Pièce UC-12, Déclaration sous serment #2 de Denis Cossette du 7</w:t>
      </w:r>
      <w:r w:rsidR="00AE79ED" w:rsidRPr="00B705CC">
        <w:t> </w:t>
      </w:r>
      <w:r w:rsidR="00E11E93" w:rsidRPr="00B705CC">
        <w:t>juin</w:t>
      </w:r>
      <w:r w:rsidR="00AE79ED" w:rsidRPr="00B705CC">
        <w:t> </w:t>
      </w:r>
      <w:r w:rsidR="00E11E93" w:rsidRPr="00B705CC">
        <w:t>2024.</w:t>
      </w:r>
    </w:p>
  </w:footnote>
  <w:footnote w:id="119">
    <w:p w14:paraId="36249B84" w14:textId="2F9728F8" w:rsidR="00A4543F" w:rsidRPr="00F34835" w:rsidRDefault="00A4543F">
      <w:pPr>
        <w:pStyle w:val="Notedebasdepage"/>
      </w:pPr>
      <w:r>
        <w:rPr>
          <w:rStyle w:val="Appelnotedebasdep"/>
        </w:rPr>
        <w:footnoteRef/>
      </w:r>
      <w:r>
        <w:tab/>
        <w:t>Pièce UC-</w:t>
      </w:r>
      <w:r w:rsidRPr="00F34835">
        <w:t>12</w:t>
      </w:r>
      <w:r w:rsidR="00D66C0F" w:rsidRPr="00F34835">
        <w:t>, Déclaration sous serment #2 de Denis Cossette du 7</w:t>
      </w:r>
      <w:r w:rsidR="00A253C0" w:rsidRPr="00F34835">
        <w:t> </w:t>
      </w:r>
      <w:r w:rsidR="00D66C0F" w:rsidRPr="00F34835">
        <w:t>juin</w:t>
      </w:r>
      <w:r w:rsidR="00A253C0" w:rsidRPr="00F34835">
        <w:t> </w:t>
      </w:r>
      <w:r w:rsidR="00D66C0F" w:rsidRPr="00F34835">
        <w:t>2024.</w:t>
      </w:r>
    </w:p>
  </w:footnote>
  <w:footnote w:id="120">
    <w:p w14:paraId="493027B6" w14:textId="54F71FC8" w:rsidR="004318EE" w:rsidRDefault="004318EE">
      <w:pPr>
        <w:pStyle w:val="Notedebasdepage"/>
      </w:pPr>
      <w:r w:rsidRPr="00F34835">
        <w:rPr>
          <w:rStyle w:val="Appelnotedebasdep"/>
        </w:rPr>
        <w:footnoteRef/>
      </w:r>
      <w:r w:rsidRPr="00F34835">
        <w:tab/>
      </w:r>
      <w:r w:rsidR="00D66C0F" w:rsidRPr="00F34835">
        <w:t xml:space="preserve">Pièce UC-29, </w:t>
      </w:r>
      <w:r w:rsidRPr="00F34835">
        <w:t xml:space="preserve">Déclaration sous serment </w:t>
      </w:r>
      <w:r w:rsidR="00D66C0F" w:rsidRPr="00F34835">
        <w:t xml:space="preserve">#4 </w:t>
      </w:r>
      <w:r w:rsidRPr="00F34835">
        <w:t>de Denis Cossette du 23</w:t>
      </w:r>
      <w:r w:rsidR="00A253C0" w:rsidRPr="00F34835">
        <w:t> </w:t>
      </w:r>
      <w:r w:rsidRPr="00F34835">
        <w:t>août</w:t>
      </w:r>
      <w:r w:rsidR="00A253C0" w:rsidRPr="00F34835">
        <w:t> </w:t>
      </w:r>
      <w:r w:rsidRPr="00F34835">
        <w:t xml:space="preserve">2024, </w:t>
      </w:r>
      <w:r w:rsidR="00D66C0F" w:rsidRPr="00F34835">
        <w:t>au</w:t>
      </w:r>
      <w:r w:rsidRPr="00F34835">
        <w:t xml:space="preserve"> par. 27.</w:t>
      </w:r>
    </w:p>
  </w:footnote>
  <w:footnote w:id="121">
    <w:p w14:paraId="37D2B71B" w14:textId="7B5F7851" w:rsidR="009445E3" w:rsidRDefault="009445E3">
      <w:pPr>
        <w:pStyle w:val="Notedebasdepage"/>
      </w:pPr>
      <w:r>
        <w:rPr>
          <w:rStyle w:val="Appelnotedebasdep"/>
        </w:rPr>
        <w:footnoteRef/>
      </w:r>
      <w:r>
        <w:tab/>
      </w:r>
      <w:r w:rsidRPr="004765AC">
        <w:t xml:space="preserve">Pièce </w:t>
      </w:r>
      <w:r w:rsidR="000F7FC3" w:rsidRPr="004765AC">
        <w:t>PGQ-33, Plan de redressement de l’Université Concordia du mois de novembre</w:t>
      </w:r>
      <w:r w:rsidR="002427FF" w:rsidRPr="004765AC">
        <w:t> </w:t>
      </w:r>
      <w:r w:rsidR="000F7FC3" w:rsidRPr="004765AC">
        <w:t>2023 (sous pli confidentiel)</w:t>
      </w:r>
      <w:r w:rsidRPr="004765AC">
        <w:t>.</w:t>
      </w:r>
    </w:p>
  </w:footnote>
  <w:footnote w:id="122">
    <w:p w14:paraId="538FB106" w14:textId="5B950CD4" w:rsidR="00F17781" w:rsidRPr="00D9451E" w:rsidRDefault="00F17781">
      <w:pPr>
        <w:pStyle w:val="Notedebasdepage"/>
      </w:pPr>
      <w:r w:rsidRPr="00584AD0">
        <w:rPr>
          <w:rStyle w:val="Appelnotedebasdep"/>
        </w:rPr>
        <w:footnoteRef/>
      </w:r>
      <w:r w:rsidRPr="00584AD0">
        <w:tab/>
        <w:t>Pièce UC-4</w:t>
      </w:r>
      <w:r w:rsidR="00B22DD1" w:rsidRPr="00584AD0">
        <w:t>/</w:t>
      </w:r>
      <w:r w:rsidR="00584AD0" w:rsidRPr="00584AD0">
        <w:t>DC-4</w:t>
      </w:r>
      <w:r w:rsidR="00B249E2">
        <w:t xml:space="preserve">, </w:t>
      </w:r>
      <w:r w:rsidR="00B249E2" w:rsidRPr="00D9451E">
        <w:t>Mémoire sur la politique de financement des universités, Université Concordia, 20 juin</w:t>
      </w:r>
      <w:r w:rsidR="00A153D7" w:rsidRPr="00D9451E">
        <w:t> </w:t>
      </w:r>
      <w:r w:rsidR="00B249E2" w:rsidRPr="00D9451E">
        <w:t>2023</w:t>
      </w:r>
      <w:r w:rsidR="00B22DD1" w:rsidRPr="00D9451E">
        <w:t>.</w:t>
      </w:r>
    </w:p>
  </w:footnote>
  <w:footnote w:id="123">
    <w:p w14:paraId="6477C878" w14:textId="606E7CEF" w:rsidR="00C8520B" w:rsidRPr="00D9451E" w:rsidRDefault="00C8520B">
      <w:pPr>
        <w:pStyle w:val="Notedebasdepage"/>
      </w:pPr>
      <w:r w:rsidRPr="00D9451E">
        <w:rPr>
          <w:rStyle w:val="Appelnotedebasdep"/>
        </w:rPr>
        <w:footnoteRef/>
      </w:r>
      <w:r w:rsidRPr="00D9451E">
        <w:tab/>
        <w:t>Pièce P-53</w:t>
      </w:r>
      <w:r w:rsidR="002A3149" w:rsidRPr="00D9451E">
        <w:t>, Articles de presse concernant la mobilisation face aux mesures annoncées, en liasse</w:t>
      </w:r>
      <w:r w:rsidRPr="00D9451E">
        <w:t>.</w:t>
      </w:r>
    </w:p>
  </w:footnote>
  <w:footnote w:id="124">
    <w:p w14:paraId="7C36CD13" w14:textId="0D42784A" w:rsidR="00B07DC4" w:rsidRDefault="00B07DC4" w:rsidP="00B07DC4">
      <w:pPr>
        <w:pStyle w:val="Notedebasdepage"/>
      </w:pPr>
      <w:r w:rsidRPr="00D9451E">
        <w:rPr>
          <w:rStyle w:val="Appelnotedebasdep"/>
        </w:rPr>
        <w:footnoteRef/>
      </w:r>
      <w:r w:rsidRPr="00D9451E">
        <w:tab/>
        <w:t>Mémoire de McGill du 8</w:t>
      </w:r>
      <w:r w:rsidR="00531E9E" w:rsidRPr="00D9451E">
        <w:rPr>
          <w:rFonts w:cs="Arial"/>
        </w:rPr>
        <w:t> </w:t>
      </w:r>
      <w:r w:rsidRPr="00D9451E">
        <w:t>novembre</w:t>
      </w:r>
      <w:r w:rsidR="00531E9E" w:rsidRPr="00D9451E">
        <w:rPr>
          <w:rFonts w:cs="Arial"/>
        </w:rPr>
        <w:t> </w:t>
      </w:r>
      <w:r w:rsidRPr="00D9451E">
        <w:t>2024, au par. 29.</w:t>
      </w:r>
    </w:p>
  </w:footnote>
  <w:footnote w:id="125">
    <w:p w14:paraId="1485C4EB" w14:textId="0B36E627" w:rsidR="00B07DC4" w:rsidRDefault="00B07DC4">
      <w:pPr>
        <w:pStyle w:val="Notedebasdepage"/>
      </w:pPr>
      <w:r>
        <w:rPr>
          <w:rStyle w:val="Appelnotedebasdep"/>
        </w:rPr>
        <w:footnoteRef/>
      </w:r>
      <w:r>
        <w:tab/>
      </w:r>
      <w:r w:rsidRPr="006E07E9">
        <w:rPr>
          <w:i/>
          <w:iCs/>
        </w:rPr>
        <w:t>I</w:t>
      </w:r>
      <w:r w:rsidR="006E07E9" w:rsidRPr="006E07E9">
        <w:rPr>
          <w:i/>
          <w:iCs/>
        </w:rPr>
        <w:t>d.</w:t>
      </w:r>
      <w:r>
        <w:t>, au par. 33.</w:t>
      </w:r>
    </w:p>
  </w:footnote>
  <w:footnote w:id="126">
    <w:p w14:paraId="265B21F3" w14:textId="26E91D21" w:rsidR="003459FA" w:rsidRPr="00D9451E" w:rsidRDefault="003459FA">
      <w:pPr>
        <w:pStyle w:val="Notedebasdepage"/>
      </w:pPr>
      <w:r>
        <w:rPr>
          <w:rStyle w:val="Appelnotedebasdep"/>
        </w:rPr>
        <w:footnoteRef/>
      </w:r>
      <w:r>
        <w:tab/>
        <w:t xml:space="preserve">Pièce P-27, </w:t>
      </w:r>
      <w:r w:rsidR="002D48FC" w:rsidRPr="00D9451E">
        <w:t xml:space="preserve">Étude de </w:t>
      </w:r>
      <w:r w:rsidR="00D9451E" w:rsidRPr="00D9451E">
        <w:t>m</w:t>
      </w:r>
      <w:r w:rsidR="002D48FC" w:rsidRPr="00D9451E">
        <w:t xml:space="preserve">onsieur Pierre Fortin intitulée </w:t>
      </w:r>
      <w:r w:rsidR="002D48FC" w:rsidRPr="00D9451E">
        <w:rPr>
          <w:i/>
          <w:iCs/>
        </w:rPr>
        <w:t>L’insuffisance de la scolarisation universitaire au Québec et le sous-financement comparé des universités québécoises</w:t>
      </w:r>
      <w:r w:rsidR="002D48FC" w:rsidRPr="00D9451E">
        <w:t xml:space="preserve">, </w:t>
      </w:r>
      <w:r w:rsidRPr="00D9451E">
        <w:t>à la p. 47.</w:t>
      </w:r>
    </w:p>
  </w:footnote>
  <w:footnote w:id="127">
    <w:p w14:paraId="0690C7A0" w14:textId="7B31BCB6" w:rsidR="00FE4376" w:rsidRPr="00D9451E" w:rsidRDefault="00FE4376">
      <w:pPr>
        <w:pStyle w:val="Notedebasdepage"/>
      </w:pPr>
      <w:r w:rsidRPr="00D9451E">
        <w:rPr>
          <w:rStyle w:val="Appelnotedebasdep"/>
        </w:rPr>
        <w:footnoteRef/>
      </w:r>
      <w:r w:rsidRPr="00D9451E">
        <w:t xml:space="preserve"> </w:t>
      </w:r>
      <w:r w:rsidRPr="00D9451E">
        <w:tab/>
        <w:t>Pièce P-35</w:t>
      </w:r>
      <w:r w:rsidR="00EA67CD" w:rsidRPr="00D9451E">
        <w:t>, Avis du CCAFE du 12</w:t>
      </w:r>
      <w:r w:rsidR="00D9451E" w:rsidRPr="00D9451E">
        <w:t> </w:t>
      </w:r>
      <w:r w:rsidR="00EA67CD" w:rsidRPr="00D9451E">
        <w:t>juin</w:t>
      </w:r>
      <w:r w:rsidR="00D9451E" w:rsidRPr="00D9451E">
        <w:t> </w:t>
      </w:r>
      <w:r w:rsidR="00EA67CD" w:rsidRPr="00D9451E">
        <w:t xml:space="preserve">2023 intitulé </w:t>
      </w:r>
      <w:r w:rsidR="00EA67CD" w:rsidRPr="00D9451E">
        <w:rPr>
          <w:i/>
          <w:iCs/>
        </w:rPr>
        <w:t>Révision de la Politique québécoise de financement des universités</w:t>
      </w:r>
      <w:r w:rsidRPr="00D9451E">
        <w:t>.</w:t>
      </w:r>
    </w:p>
  </w:footnote>
  <w:footnote w:id="128">
    <w:p w14:paraId="2511C35E" w14:textId="1A87108E" w:rsidR="00FB6EC3" w:rsidRDefault="00FB6EC3">
      <w:pPr>
        <w:pStyle w:val="Notedebasdepage"/>
      </w:pPr>
      <w:r w:rsidRPr="00D9451E">
        <w:rPr>
          <w:rStyle w:val="Appelnotedebasdep"/>
        </w:rPr>
        <w:footnoteRef/>
      </w:r>
      <w:r w:rsidRPr="00D9451E">
        <w:tab/>
        <w:t xml:space="preserve">Pièce P-33, </w:t>
      </w:r>
      <w:r w:rsidR="008D5D36" w:rsidRPr="00D9451E">
        <w:t>Plan stratégique 2023-2027 du Ministère de l’Enseignement supérieur,</w:t>
      </w:r>
      <w:r w:rsidR="008D5D36">
        <w:t xml:space="preserve"> </w:t>
      </w:r>
      <w:r>
        <w:t>à la p. 7 (017).</w:t>
      </w:r>
    </w:p>
  </w:footnote>
  <w:footnote w:id="129">
    <w:p w14:paraId="61B5B15A" w14:textId="00B22A73" w:rsidR="00C06D26" w:rsidRDefault="00C06D26">
      <w:pPr>
        <w:pStyle w:val="Notedebasdepage"/>
      </w:pPr>
      <w:r w:rsidRPr="00D9451E">
        <w:rPr>
          <w:rStyle w:val="Appelnotedebasdep"/>
        </w:rPr>
        <w:footnoteRef/>
      </w:r>
      <w:r w:rsidRPr="00D9451E">
        <w:tab/>
      </w:r>
      <w:r w:rsidR="00E40457" w:rsidRPr="00D9451E">
        <w:t>Pièce P-49, Lettre de la Ministre aux universités anglophones datée du 14</w:t>
      </w:r>
      <w:r w:rsidR="004D5859" w:rsidRPr="00D9451E">
        <w:t> </w:t>
      </w:r>
      <w:r w:rsidR="00E40457" w:rsidRPr="00D9451E">
        <w:t>décembre</w:t>
      </w:r>
      <w:r w:rsidR="004D5859" w:rsidRPr="00D9451E">
        <w:t> </w:t>
      </w:r>
      <w:r w:rsidR="00E40457" w:rsidRPr="00D9451E">
        <w:t>2023.</w:t>
      </w:r>
    </w:p>
  </w:footnote>
  <w:footnote w:id="130">
    <w:p w14:paraId="08A4507F" w14:textId="20B01091" w:rsidR="00B92937" w:rsidRPr="00D9451E" w:rsidRDefault="00B92937" w:rsidP="00B92937">
      <w:pPr>
        <w:pStyle w:val="Notedebasdepage"/>
      </w:pPr>
      <w:r>
        <w:rPr>
          <w:rStyle w:val="Appelnotedebasdep"/>
        </w:rPr>
        <w:footnoteRef/>
      </w:r>
      <w:r>
        <w:tab/>
        <w:t>Pièce P-53</w:t>
      </w:r>
      <w:r w:rsidR="001C5D9A" w:rsidRPr="00D9451E">
        <w:t>, Articles de presse concernant la mobilisation face aux mesures annoncées, en liasse</w:t>
      </w:r>
      <w:r w:rsidRPr="00D9451E">
        <w:t>.</w:t>
      </w:r>
    </w:p>
  </w:footnote>
  <w:footnote w:id="131">
    <w:p w14:paraId="2A3A1AE2" w14:textId="2FDA750A" w:rsidR="008E40FE" w:rsidRPr="00D9451E" w:rsidRDefault="008E40FE" w:rsidP="008E40FE">
      <w:pPr>
        <w:pStyle w:val="Notedebasdepage"/>
      </w:pPr>
      <w:r w:rsidRPr="00D9451E">
        <w:rPr>
          <w:rStyle w:val="Appelnotedebasdep"/>
        </w:rPr>
        <w:footnoteRef/>
      </w:r>
      <w:r w:rsidRPr="00D9451E">
        <w:tab/>
        <w:t>Pièce P-38</w:t>
      </w:r>
      <w:r w:rsidR="001C5D9A" w:rsidRPr="00D9451E">
        <w:t>, Communiqué de presse du gouvernement du Québec daté du 13</w:t>
      </w:r>
      <w:r w:rsidR="004D5859" w:rsidRPr="00D9451E">
        <w:t> </w:t>
      </w:r>
      <w:r w:rsidR="001C5D9A" w:rsidRPr="00D9451E">
        <w:t>octobre</w:t>
      </w:r>
      <w:r w:rsidR="004D5859" w:rsidRPr="00D9451E">
        <w:t> </w:t>
      </w:r>
      <w:r w:rsidR="001C5D9A" w:rsidRPr="00D9451E">
        <w:t>2023</w:t>
      </w:r>
      <w:r w:rsidRPr="00D9451E">
        <w:t>.</w:t>
      </w:r>
    </w:p>
  </w:footnote>
  <w:footnote w:id="132">
    <w:p w14:paraId="2B756A65" w14:textId="37682165" w:rsidR="008E40FE" w:rsidRPr="00D9451E" w:rsidRDefault="008E40FE" w:rsidP="008E40FE">
      <w:pPr>
        <w:pStyle w:val="Notedebasdepage"/>
      </w:pPr>
      <w:r w:rsidRPr="00D9451E">
        <w:rPr>
          <w:rStyle w:val="Appelnotedebasdep"/>
        </w:rPr>
        <w:footnoteRef/>
      </w:r>
      <w:r w:rsidRPr="00D9451E">
        <w:tab/>
        <w:t>Pèce P-81</w:t>
      </w:r>
      <w:r w:rsidR="001C5D9A" w:rsidRPr="00D9451E">
        <w:t>, Article d’Anabelle Olivier daté du 17</w:t>
      </w:r>
      <w:r w:rsidR="004D5859" w:rsidRPr="00D9451E">
        <w:t> </w:t>
      </w:r>
      <w:r w:rsidR="001C5D9A" w:rsidRPr="00D9451E">
        <w:t>octobre</w:t>
      </w:r>
      <w:r w:rsidR="004D5859" w:rsidRPr="00D9451E">
        <w:t> </w:t>
      </w:r>
      <w:r w:rsidR="001C5D9A" w:rsidRPr="00D9451E">
        <w:t>2023 publié par Global News</w:t>
      </w:r>
      <w:r w:rsidRPr="00D9451E">
        <w:t>.</w:t>
      </w:r>
    </w:p>
  </w:footnote>
  <w:footnote w:id="133">
    <w:p w14:paraId="7DD196F2" w14:textId="352B5597" w:rsidR="009E19E1" w:rsidRPr="00D9451E" w:rsidRDefault="009E19E1" w:rsidP="009E19E1">
      <w:pPr>
        <w:pStyle w:val="Notedebasdepage"/>
      </w:pPr>
      <w:r w:rsidRPr="00D9451E">
        <w:rPr>
          <w:rStyle w:val="Appelnotedebasdep"/>
        </w:rPr>
        <w:footnoteRef/>
      </w:r>
      <w:r w:rsidRPr="00D9451E">
        <w:tab/>
        <w:t xml:space="preserve">Pièce UC-19, </w:t>
      </w:r>
      <w:r w:rsidR="001C5D9A" w:rsidRPr="00D9451E">
        <w:t>Transcription de l’interrogatoire</w:t>
      </w:r>
      <w:r w:rsidRPr="00D9451E">
        <w:t xml:space="preserve"> du 31 mai 2024 </w:t>
      </w:r>
      <w:r w:rsidR="001C5D9A" w:rsidRPr="00D9451E">
        <w:t>de François Leclerc</w:t>
      </w:r>
      <w:r w:rsidRPr="00D9451E">
        <w:t xml:space="preserve"> sur déclaration sous serment.</w:t>
      </w:r>
    </w:p>
  </w:footnote>
  <w:footnote w:id="134">
    <w:p w14:paraId="6C98AC16" w14:textId="20A29140" w:rsidR="009E19E1" w:rsidRDefault="009E19E1" w:rsidP="009E19E1">
      <w:pPr>
        <w:pStyle w:val="Notedebasdepage"/>
      </w:pPr>
      <w:r w:rsidRPr="00D9451E">
        <w:rPr>
          <w:rStyle w:val="Appelnotedebasdep"/>
        </w:rPr>
        <w:footnoteRef/>
      </w:r>
      <w:r w:rsidRPr="00D9451E">
        <w:tab/>
        <w:t>Pièce P-34</w:t>
      </w:r>
      <w:r w:rsidR="00C60B32" w:rsidRPr="00D9451E">
        <w:t>, Lettre du recteur de McGill à la Ministre datée du 8</w:t>
      </w:r>
      <w:r w:rsidR="004D5859" w:rsidRPr="00D9451E">
        <w:t> </w:t>
      </w:r>
      <w:r w:rsidR="00C60B32" w:rsidRPr="00D9451E">
        <w:t>juin</w:t>
      </w:r>
      <w:r w:rsidR="004D5859" w:rsidRPr="00D9451E">
        <w:t> </w:t>
      </w:r>
      <w:r w:rsidR="00C60B32" w:rsidRPr="00D9451E">
        <w:t>2023</w:t>
      </w:r>
      <w:r w:rsidRPr="00D9451E">
        <w:t>.</w:t>
      </w:r>
    </w:p>
  </w:footnote>
  <w:footnote w:id="135">
    <w:p w14:paraId="2ED813AC" w14:textId="16F91E55" w:rsidR="001649A7" w:rsidRPr="00D9451E" w:rsidRDefault="001649A7">
      <w:pPr>
        <w:pStyle w:val="Notedebasdepage"/>
        <w:rPr>
          <w:lang w:val="en-CA"/>
        </w:rPr>
      </w:pPr>
      <w:r>
        <w:rPr>
          <w:rStyle w:val="Appelnotedebasdep"/>
        </w:rPr>
        <w:footnoteRef/>
      </w:r>
      <w:r w:rsidRPr="00A826A1">
        <w:rPr>
          <w:lang w:val="en-CA"/>
        </w:rPr>
        <w:tab/>
        <w:t>Pièce UC-22</w:t>
      </w:r>
      <w:r w:rsidR="007F2638" w:rsidRPr="007F2638">
        <w:rPr>
          <w:lang w:val="en-CA"/>
        </w:rPr>
        <w:t>/</w:t>
      </w:r>
      <w:r w:rsidRPr="00A826A1">
        <w:rPr>
          <w:lang w:val="en-CA"/>
        </w:rPr>
        <w:t>GC-11</w:t>
      </w:r>
      <w:r w:rsidR="007F2638" w:rsidRPr="007F2638">
        <w:rPr>
          <w:lang w:val="en-CA"/>
        </w:rPr>
        <w:t xml:space="preserve">, </w:t>
      </w:r>
      <w:r w:rsidR="007F2638" w:rsidRPr="00D9451E">
        <w:rPr>
          <w:i/>
          <w:iCs/>
          <w:lang w:val="en-CA"/>
        </w:rPr>
        <w:t>Letter of June 8,</w:t>
      </w:r>
      <w:r w:rsidR="004D5859" w:rsidRPr="00D9451E">
        <w:rPr>
          <w:i/>
          <w:iCs/>
          <w:lang w:val="en-CA"/>
        </w:rPr>
        <w:t> </w:t>
      </w:r>
      <w:r w:rsidR="007F2638" w:rsidRPr="00D9451E">
        <w:rPr>
          <w:i/>
          <w:iCs/>
          <w:lang w:val="en-CA"/>
        </w:rPr>
        <w:t>2023, from G. Carr to the Minister</w:t>
      </w:r>
      <w:r w:rsidRPr="00D9451E">
        <w:rPr>
          <w:lang w:val="en-CA"/>
        </w:rPr>
        <w:t>.</w:t>
      </w:r>
    </w:p>
  </w:footnote>
  <w:footnote w:id="136">
    <w:p w14:paraId="07FFAC18" w14:textId="60BD2235" w:rsidR="001D7236" w:rsidRPr="00D9451E" w:rsidRDefault="001D7236">
      <w:pPr>
        <w:pStyle w:val="Notedebasdepage"/>
      </w:pPr>
      <w:r w:rsidRPr="00D9451E">
        <w:rPr>
          <w:rStyle w:val="Appelnotedebasdep"/>
        </w:rPr>
        <w:footnoteRef/>
      </w:r>
      <w:r w:rsidRPr="00D9451E">
        <w:tab/>
        <w:t>Pièce UC-28</w:t>
      </w:r>
      <w:r w:rsidR="002D3246" w:rsidRPr="00D9451E">
        <w:t>/</w:t>
      </w:r>
      <w:r w:rsidRPr="00D9451E">
        <w:t xml:space="preserve">ADV-3, </w:t>
      </w:r>
      <w:r w:rsidR="002D3246" w:rsidRPr="00D9451E">
        <w:t>Statistiques Canada, Les étudiants étrangers comme source de main-d’œuvre. Un sommaire des tendances récentes, mars</w:t>
      </w:r>
      <w:r w:rsidR="00333DAE" w:rsidRPr="00D9451E">
        <w:t> </w:t>
      </w:r>
      <w:r w:rsidR="002D3246" w:rsidRPr="00D9451E">
        <w:t xml:space="preserve">2023, </w:t>
      </w:r>
      <w:r w:rsidRPr="00D9451E">
        <w:t>aux p. 5 et 6.</w:t>
      </w:r>
    </w:p>
  </w:footnote>
  <w:footnote w:id="137">
    <w:p w14:paraId="7801ADE0" w14:textId="0C5DBEBC" w:rsidR="001D7236" w:rsidRDefault="001D7236">
      <w:pPr>
        <w:pStyle w:val="Notedebasdepage"/>
      </w:pPr>
      <w:r w:rsidRPr="00D9451E">
        <w:rPr>
          <w:rStyle w:val="Appelnotedebasdep"/>
        </w:rPr>
        <w:footnoteRef/>
      </w:r>
      <w:r w:rsidRPr="00D9451E">
        <w:tab/>
        <w:t>Pièces UC-9</w:t>
      </w:r>
      <w:r w:rsidR="00A935E7" w:rsidRPr="00D9451E">
        <w:t>, Déclaration sous serment de Daniel Therrien</w:t>
      </w:r>
      <w:r w:rsidRPr="00D9451E">
        <w:t xml:space="preserve"> et UC-27</w:t>
      </w:r>
      <w:r w:rsidR="00A935E7" w:rsidRPr="00D9451E">
        <w:t xml:space="preserve">, </w:t>
      </w:r>
      <w:r w:rsidR="00A935E7" w:rsidRPr="00D9451E">
        <w:rPr>
          <w:i/>
          <w:iCs/>
        </w:rPr>
        <w:t>Sworn statement of Dominic Law</w:t>
      </w:r>
      <w:r w:rsidRPr="00D9451E">
        <w:t>.</w:t>
      </w:r>
    </w:p>
  </w:footnote>
  <w:footnote w:id="138">
    <w:p w14:paraId="1B652DDF" w14:textId="6777B695" w:rsidR="00361C3D" w:rsidRDefault="00361C3D">
      <w:pPr>
        <w:pStyle w:val="Notedebasdepage"/>
      </w:pPr>
      <w:r>
        <w:rPr>
          <w:rStyle w:val="Appelnotedebasdep"/>
        </w:rPr>
        <w:footnoteRef/>
      </w:r>
      <w:r>
        <w:tab/>
      </w:r>
      <w:r w:rsidR="004624EF">
        <w:t xml:space="preserve">Pièce UC-9, </w:t>
      </w:r>
      <w:r>
        <w:t>Déclaration sous serment de Daniel Therrien du 27</w:t>
      </w:r>
      <w:r w:rsidR="00E75451" w:rsidRPr="009976D6">
        <w:rPr>
          <w:rFonts w:cs="Arial"/>
        </w:rPr>
        <w:t> </w:t>
      </w:r>
      <w:r>
        <w:t>mars</w:t>
      </w:r>
      <w:r w:rsidR="00E75451" w:rsidRPr="009976D6">
        <w:rPr>
          <w:rFonts w:cs="Arial"/>
        </w:rPr>
        <w:t> </w:t>
      </w:r>
      <w:r>
        <w:t>2024, au par. 23.</w:t>
      </w:r>
    </w:p>
  </w:footnote>
  <w:footnote w:id="139">
    <w:p w14:paraId="2B169B84" w14:textId="03D10B6B" w:rsidR="00155987" w:rsidRDefault="00155987">
      <w:pPr>
        <w:pStyle w:val="Notedebasdepage"/>
      </w:pPr>
      <w:r>
        <w:rPr>
          <w:rStyle w:val="Appelnotedebasdep"/>
        </w:rPr>
        <w:footnoteRef/>
      </w:r>
      <w:r>
        <w:tab/>
        <w:t xml:space="preserve">Pièce UC-19, </w:t>
      </w:r>
      <w:r w:rsidR="009A6C4C" w:rsidRPr="00D9451E">
        <w:t>Transcription de l’interrogatoire du 31</w:t>
      </w:r>
      <w:r w:rsidR="009A6C4C" w:rsidRPr="00D9451E">
        <w:rPr>
          <w:rFonts w:cs="Arial"/>
        </w:rPr>
        <w:t> </w:t>
      </w:r>
      <w:r w:rsidR="009A6C4C" w:rsidRPr="00D9451E">
        <w:t>mai</w:t>
      </w:r>
      <w:r w:rsidR="009A6C4C" w:rsidRPr="00D9451E">
        <w:rPr>
          <w:rFonts w:cs="Arial"/>
        </w:rPr>
        <w:t> </w:t>
      </w:r>
      <w:r w:rsidR="009A6C4C" w:rsidRPr="00D9451E">
        <w:t xml:space="preserve">2024 de François Leclerc sur déclaration sous serment, </w:t>
      </w:r>
      <w:r w:rsidRPr="00D9451E">
        <w:t>p. 25 à 26 et 29 à 31.</w:t>
      </w:r>
    </w:p>
  </w:footnote>
  <w:footnote w:id="140">
    <w:p w14:paraId="5B0FD36F" w14:textId="0DD43CD8" w:rsidR="001F6D65" w:rsidRDefault="001F6D65">
      <w:pPr>
        <w:pStyle w:val="Notedebasdepage"/>
      </w:pPr>
      <w:r>
        <w:rPr>
          <w:rStyle w:val="Appelnotedebasdep"/>
        </w:rPr>
        <w:footnoteRef/>
      </w:r>
      <w:r>
        <w:tab/>
        <w:t xml:space="preserve">Pièce UC-36, </w:t>
      </w:r>
      <w:r w:rsidR="0070380D" w:rsidRPr="000764D5">
        <w:t xml:space="preserve">Rapport d'expertise de Diane Querrien, </w:t>
      </w:r>
      <w:r>
        <w:t>par. 38.</w:t>
      </w:r>
    </w:p>
  </w:footnote>
  <w:footnote w:id="141">
    <w:p w14:paraId="7978BBEE" w14:textId="4453FEAD" w:rsidR="001F6D65" w:rsidRDefault="001F6D65">
      <w:pPr>
        <w:pStyle w:val="Notedebasdepage"/>
      </w:pPr>
      <w:r>
        <w:rPr>
          <w:rStyle w:val="Appelnotedebasdep"/>
        </w:rPr>
        <w:footnoteRef/>
      </w:r>
      <w:r>
        <w:tab/>
      </w:r>
      <w:r w:rsidRPr="001F6D65">
        <w:rPr>
          <w:i/>
          <w:iCs/>
        </w:rPr>
        <w:t>Id.</w:t>
      </w:r>
      <w:r>
        <w:t>, par. 40.</w:t>
      </w:r>
    </w:p>
  </w:footnote>
  <w:footnote w:id="142">
    <w:p w14:paraId="1D329A06" w14:textId="4E2A9955" w:rsidR="009A0C6A" w:rsidRDefault="009A0C6A">
      <w:pPr>
        <w:pStyle w:val="Notedebasdepage"/>
      </w:pPr>
      <w:r>
        <w:rPr>
          <w:rStyle w:val="Appelnotedebasdep"/>
        </w:rPr>
        <w:footnoteRef/>
      </w:r>
      <w:r>
        <w:tab/>
        <w:t>Pièce PGQ-31</w:t>
      </w:r>
      <w:r w:rsidRPr="00880DEF">
        <w:t>b)</w:t>
      </w:r>
      <w:r w:rsidR="00F80B68" w:rsidRPr="00880DEF">
        <w:t>, Document intitulé « Tableau 2. Répartition des demandes d’admission, des candidats, des offres d’admissions, des étudiants admis et des étudiants inscrits à l’Université McGill, selon les domaines et les disciplines d’études, au 1er cycle, pour les trimestres d’automne 2019 à 2023 »</w:t>
      </w:r>
      <w:r w:rsidRPr="00880DEF">
        <w:t>.</w:t>
      </w:r>
    </w:p>
  </w:footnote>
  <w:footnote w:id="143">
    <w:p w14:paraId="0709594D" w14:textId="2569A83A" w:rsidR="00026268" w:rsidRPr="001D407C" w:rsidRDefault="00026268">
      <w:pPr>
        <w:pStyle w:val="Notedebasdepage"/>
      </w:pPr>
      <w:r>
        <w:rPr>
          <w:rStyle w:val="Appelnotedebasdep"/>
        </w:rPr>
        <w:footnoteRef/>
      </w:r>
      <w:r>
        <w:tab/>
      </w:r>
      <w:r w:rsidRPr="001D407C">
        <w:t>Pièce UC-25</w:t>
      </w:r>
      <w:r w:rsidR="00F80B68" w:rsidRPr="001D407C">
        <w:t>/</w:t>
      </w:r>
      <w:r w:rsidRPr="001D407C">
        <w:t>MPC-3</w:t>
      </w:r>
      <w:r w:rsidR="00F80B68" w:rsidRPr="001D407C">
        <w:t xml:space="preserve">, </w:t>
      </w:r>
      <w:r w:rsidR="00F80B68" w:rsidRPr="001D407C">
        <w:rPr>
          <w:i/>
          <w:iCs/>
        </w:rPr>
        <w:t>Concordia Student Census – Appendix 1, August</w:t>
      </w:r>
      <w:r w:rsidR="006260A9" w:rsidRPr="001D407C">
        <w:rPr>
          <w:i/>
          <w:iCs/>
        </w:rPr>
        <w:t> </w:t>
      </w:r>
      <w:r w:rsidR="00F80B68" w:rsidRPr="001D407C">
        <w:rPr>
          <w:i/>
          <w:iCs/>
        </w:rPr>
        <w:t>2024</w:t>
      </w:r>
      <w:r w:rsidRPr="001D407C">
        <w:t>. Les auteurs notent la fiabilité relative de leurs résultats, basés sur une auto-évaluation des personnes sondées.</w:t>
      </w:r>
    </w:p>
  </w:footnote>
  <w:footnote w:id="144">
    <w:p w14:paraId="0F445520" w14:textId="763B7791" w:rsidR="005A1DF4" w:rsidRPr="001D407C" w:rsidRDefault="005A1DF4" w:rsidP="005A1DF4">
      <w:pPr>
        <w:pStyle w:val="Notedebasdepage"/>
      </w:pPr>
      <w:r w:rsidRPr="001D407C">
        <w:rPr>
          <w:rStyle w:val="Appelnotedebasdep"/>
        </w:rPr>
        <w:footnoteRef/>
      </w:r>
      <w:r w:rsidRPr="001D407C">
        <w:tab/>
        <w:t xml:space="preserve">Pièces P-99, </w:t>
      </w:r>
      <w:r w:rsidR="00F80B68" w:rsidRPr="001D407C">
        <w:t xml:space="preserve">Extrait du site </w:t>
      </w:r>
      <w:r w:rsidR="001D407C" w:rsidRPr="001D407C">
        <w:t>I</w:t>
      </w:r>
      <w:r w:rsidR="00F80B68" w:rsidRPr="001D407C">
        <w:t xml:space="preserve">nternet de Concordia, </w:t>
      </w:r>
      <w:r w:rsidRPr="001D407C">
        <w:t>P-100</w:t>
      </w:r>
      <w:r w:rsidR="00F80B68" w:rsidRPr="001D407C">
        <w:t xml:space="preserve">, Extrait du site </w:t>
      </w:r>
      <w:r w:rsidR="001D407C" w:rsidRPr="001D407C">
        <w:t>I</w:t>
      </w:r>
      <w:r w:rsidR="00F80B68" w:rsidRPr="001D407C">
        <w:t xml:space="preserve">nternet de la Ville de Montréal </w:t>
      </w:r>
      <w:r w:rsidRPr="001D407C">
        <w:t>et P-133</w:t>
      </w:r>
      <w:r w:rsidR="00F80B68" w:rsidRPr="001D407C">
        <w:t>, Données sur la Communauté métropolitaine de Montréal publiées par le gouvernement du Québec</w:t>
      </w:r>
      <w:r w:rsidRPr="001D407C">
        <w:t>.</w:t>
      </w:r>
    </w:p>
  </w:footnote>
  <w:footnote w:id="145">
    <w:p w14:paraId="4B827228" w14:textId="7D34114A" w:rsidR="005A1DF4" w:rsidRDefault="005A1DF4" w:rsidP="005A1DF4">
      <w:pPr>
        <w:pStyle w:val="Notedebasdepage"/>
      </w:pPr>
      <w:r w:rsidRPr="001D407C">
        <w:rPr>
          <w:rStyle w:val="Appelnotedebasdep"/>
        </w:rPr>
        <w:footnoteRef/>
      </w:r>
      <w:r w:rsidRPr="001D407C">
        <w:tab/>
        <w:t>Pièce P-53</w:t>
      </w:r>
      <w:r w:rsidR="00F80B68" w:rsidRPr="001D407C">
        <w:t xml:space="preserve">, </w:t>
      </w:r>
      <w:r w:rsidR="005F75F1" w:rsidRPr="001D407C">
        <w:t>Articles de presse concernant la mobilisation face aux mesures annoncées, en liasse</w:t>
      </w:r>
      <w:r w:rsidRPr="001D407C">
        <w:t>.</w:t>
      </w:r>
    </w:p>
  </w:footnote>
  <w:footnote w:id="146">
    <w:p w14:paraId="710C0A5A" w14:textId="554F8BCD" w:rsidR="005F75F1" w:rsidRPr="006D2A6D" w:rsidRDefault="005F75F1">
      <w:pPr>
        <w:pStyle w:val="Notedebasdepage"/>
      </w:pPr>
      <w:r w:rsidRPr="006D2A6D">
        <w:rPr>
          <w:rStyle w:val="Appelnotedebasdep"/>
        </w:rPr>
        <w:footnoteRef/>
      </w:r>
      <w:r w:rsidRPr="006D2A6D">
        <w:tab/>
        <w:t>Pièce P-113, Déclaration sous serment de Natallia Liakina du 7</w:t>
      </w:r>
      <w:r w:rsidR="002F7AAC" w:rsidRPr="006D2A6D">
        <w:t> </w:t>
      </w:r>
      <w:r w:rsidRPr="006D2A6D">
        <w:t>novembre</w:t>
      </w:r>
      <w:r w:rsidR="002F7AAC" w:rsidRPr="006D2A6D">
        <w:t> </w:t>
      </w:r>
      <w:r w:rsidRPr="006D2A6D">
        <w:t>2024.</w:t>
      </w:r>
    </w:p>
  </w:footnote>
  <w:footnote w:id="147">
    <w:p w14:paraId="060A51BB" w14:textId="01920A85" w:rsidR="008F79C5" w:rsidRPr="006D2A6D" w:rsidRDefault="008F79C5">
      <w:pPr>
        <w:pStyle w:val="Notedebasdepage"/>
      </w:pPr>
      <w:r w:rsidRPr="006D2A6D">
        <w:rPr>
          <w:rStyle w:val="Appelnotedebasdep"/>
        </w:rPr>
        <w:footnoteRef/>
      </w:r>
      <w:r w:rsidRPr="006D2A6D">
        <w:tab/>
        <w:t>Pièce UC-16</w:t>
      </w:r>
      <w:r w:rsidR="007908FD" w:rsidRPr="006D2A6D">
        <w:t>/</w:t>
      </w:r>
      <w:r w:rsidRPr="006D2A6D">
        <w:t>GC-2</w:t>
      </w:r>
      <w:r w:rsidR="007908FD" w:rsidRPr="006D2A6D">
        <w:t xml:space="preserve">, Article de presse, </w:t>
      </w:r>
      <w:r w:rsidR="007908FD" w:rsidRPr="006D2A6D">
        <w:rPr>
          <w:i/>
          <w:iCs/>
        </w:rPr>
        <w:t xml:space="preserve">Québec haussera les tarifs pour les étudiants universitaires </w:t>
      </w:r>
      <w:r w:rsidR="003E6384" w:rsidRPr="006D2A6D">
        <w:rPr>
          <w:i/>
          <w:iCs/>
        </w:rPr>
        <w:t>non-résidents</w:t>
      </w:r>
      <w:r w:rsidR="007908FD" w:rsidRPr="006D2A6D">
        <w:t>, ICI Radio Canada, Jérôme Labbé, 13</w:t>
      </w:r>
      <w:r w:rsidR="00A27CA4" w:rsidRPr="006D2A6D">
        <w:t> </w:t>
      </w:r>
      <w:r w:rsidR="00EA60BA" w:rsidRPr="006D2A6D">
        <w:t>octobre</w:t>
      </w:r>
      <w:r w:rsidR="00A27CA4" w:rsidRPr="006D2A6D">
        <w:t> </w:t>
      </w:r>
      <w:r w:rsidR="007908FD" w:rsidRPr="006D2A6D">
        <w:t>2023</w:t>
      </w:r>
      <w:r w:rsidRPr="006D2A6D">
        <w:t>.</w:t>
      </w:r>
    </w:p>
  </w:footnote>
  <w:footnote w:id="148">
    <w:p w14:paraId="5BCC1929" w14:textId="214B4411" w:rsidR="001F55A1" w:rsidRDefault="001F55A1">
      <w:pPr>
        <w:pStyle w:val="Notedebasdepage"/>
      </w:pPr>
      <w:r w:rsidRPr="006D2A6D">
        <w:rPr>
          <w:rStyle w:val="Appelnotedebasdep"/>
        </w:rPr>
        <w:footnoteRef/>
      </w:r>
      <w:r w:rsidRPr="006D2A6D">
        <w:tab/>
        <w:t>Pièce UC-</w:t>
      </w:r>
      <w:r w:rsidR="00DF0303" w:rsidRPr="006D2A6D">
        <w:t>16</w:t>
      </w:r>
      <w:r w:rsidR="00255EE3" w:rsidRPr="006D2A6D">
        <w:t>/</w:t>
      </w:r>
      <w:r w:rsidR="00DF0303" w:rsidRPr="006D2A6D">
        <w:t>GC-</w:t>
      </w:r>
      <w:r w:rsidRPr="006D2A6D">
        <w:t>3</w:t>
      </w:r>
      <w:r w:rsidR="00255EE3" w:rsidRPr="006D2A6D">
        <w:t xml:space="preserve">, Extrait vidéo, Conférence de presse du </w:t>
      </w:r>
      <w:r w:rsidR="00B4605B" w:rsidRPr="006D2A6D">
        <w:t>P</w:t>
      </w:r>
      <w:r w:rsidR="00255EE3" w:rsidRPr="006D2A6D">
        <w:t>remier ministre François Legault, 17 octobre</w:t>
      </w:r>
      <w:r w:rsidR="0005197D" w:rsidRPr="006D2A6D">
        <w:t> </w:t>
      </w:r>
      <w:r w:rsidR="00255EE3" w:rsidRPr="006D2A6D">
        <w:t>2023</w:t>
      </w:r>
      <w:r w:rsidRPr="006D2A6D">
        <w:t>.</w:t>
      </w:r>
    </w:p>
  </w:footnote>
  <w:footnote w:id="149">
    <w:p w14:paraId="691496EB" w14:textId="606F2631" w:rsidR="00E80123" w:rsidRDefault="00E80123">
      <w:pPr>
        <w:pStyle w:val="Notedebasdepage"/>
      </w:pPr>
      <w:r>
        <w:rPr>
          <w:rStyle w:val="Appelnotedebasdep"/>
        </w:rPr>
        <w:footnoteRef/>
      </w:r>
      <w:r>
        <w:tab/>
      </w:r>
      <w:r w:rsidRPr="00DD2D62">
        <w:t>Pièce PGQ-15, Lettre du 14</w:t>
      </w:r>
      <w:r w:rsidR="00DD2D62">
        <w:t> </w:t>
      </w:r>
      <w:r w:rsidRPr="00DD2D62">
        <w:t>décembre</w:t>
      </w:r>
      <w:r w:rsidR="00DD2D62">
        <w:t> </w:t>
      </w:r>
      <w:r w:rsidRPr="00DD2D62">
        <w:t>2023 adressée à Sébastien Lebel-Grenier.</w:t>
      </w:r>
    </w:p>
  </w:footnote>
  <w:footnote w:id="150">
    <w:p w14:paraId="0A15A599" w14:textId="033D4C17" w:rsidR="004A712C" w:rsidRDefault="004A712C">
      <w:pPr>
        <w:pStyle w:val="Notedebasdepage"/>
      </w:pPr>
      <w:r>
        <w:rPr>
          <w:rStyle w:val="Appelnotedebasdep"/>
        </w:rPr>
        <w:footnoteRef/>
      </w:r>
      <w:r>
        <w:tab/>
        <w:t>Pièce P-86</w:t>
      </w:r>
      <w:r w:rsidR="00691E86">
        <w:t xml:space="preserve">, </w:t>
      </w:r>
      <w:r w:rsidR="00691E86" w:rsidRPr="00C90483">
        <w:t xml:space="preserve">Engagement E-11a) souscrit par </w:t>
      </w:r>
      <w:r w:rsidR="00C90483" w:rsidRPr="00C90483">
        <w:t>m</w:t>
      </w:r>
      <w:r w:rsidR="00691E86" w:rsidRPr="00C90483">
        <w:t>onsieur François Leclerc le 31</w:t>
      </w:r>
      <w:r w:rsidR="000004BB" w:rsidRPr="00C90483">
        <w:t> </w:t>
      </w:r>
      <w:r w:rsidR="00691E86" w:rsidRPr="00C90483">
        <w:t>mai</w:t>
      </w:r>
      <w:r w:rsidR="000004BB" w:rsidRPr="00C90483">
        <w:t> </w:t>
      </w:r>
      <w:r w:rsidR="00691E86" w:rsidRPr="00C90483">
        <w:t>2024 et estimations du nombre de semaines ou d’heures requises pour atteindre les niveaux 5 et 6 de compétence en français du ministère de l’Immigration, de la Francisation et de l’Intégration transmises en réponse à cet engagement, en liasse</w:t>
      </w:r>
      <w:r w:rsidRPr="00C90483">
        <w:t>.</w:t>
      </w:r>
    </w:p>
  </w:footnote>
  <w:footnote w:id="151">
    <w:p w14:paraId="6FB5CDB5" w14:textId="71F3B746" w:rsidR="004B03E1" w:rsidRDefault="004B03E1">
      <w:pPr>
        <w:pStyle w:val="Notedebasdepage"/>
      </w:pPr>
      <w:r>
        <w:rPr>
          <w:rStyle w:val="Appelnotedebasdep"/>
        </w:rPr>
        <w:footnoteRef/>
      </w:r>
      <w:r>
        <w:tab/>
        <w:t>2015 QCCA 747.</w:t>
      </w:r>
    </w:p>
  </w:footnote>
  <w:footnote w:id="152">
    <w:p w14:paraId="0156E7C8" w14:textId="2BE7880B" w:rsidR="00C06D26" w:rsidRDefault="00C06D26">
      <w:pPr>
        <w:pStyle w:val="Notedebasdepage"/>
      </w:pPr>
      <w:r>
        <w:rPr>
          <w:rStyle w:val="Appelnotedebasdep"/>
        </w:rPr>
        <w:footnoteRef/>
      </w:r>
      <w:r w:rsidRPr="00BE264E">
        <w:tab/>
        <w:t xml:space="preserve">Pièce P-36, </w:t>
      </w:r>
      <w:r w:rsidR="00DE1910" w:rsidRPr="00BE264E">
        <w:t xml:space="preserve">Mémoire de McGill intitulé </w:t>
      </w:r>
      <w:r w:rsidR="00DE1910" w:rsidRPr="00BE264E">
        <w:rPr>
          <w:i/>
          <w:iCs/>
        </w:rPr>
        <w:t>L’Université McGill, une institution québécoise à part entière – Protéger le français tout en favorisant le développement de toutes nos universités</w:t>
      </w:r>
      <w:r w:rsidR="00DE1910" w:rsidRPr="00BE264E">
        <w:t xml:space="preserve">, </w:t>
      </w:r>
      <w:r w:rsidRPr="00BE264E">
        <w:t>à la p. 6.</w:t>
      </w:r>
    </w:p>
  </w:footnote>
  <w:footnote w:id="153">
    <w:p w14:paraId="6F6A83BF" w14:textId="5590F5B4" w:rsidR="004316E0" w:rsidRDefault="004316E0" w:rsidP="00682EF1">
      <w:pPr>
        <w:pStyle w:val="Notedebasdepage"/>
      </w:pPr>
      <w:r w:rsidRPr="004316E0">
        <w:rPr>
          <w:rStyle w:val="Appelnotedebasdep"/>
          <w:bCs/>
          <w:iCs/>
        </w:rPr>
        <w:footnoteRef/>
      </w:r>
      <w:r w:rsidR="009A556F">
        <w:rPr>
          <w:b/>
          <w:bCs/>
          <w:i/>
          <w:iCs/>
        </w:rPr>
        <w:tab/>
      </w:r>
      <w:r w:rsidRPr="004316E0">
        <w:t>1993 CanLII 4067 (QC CA)</w:t>
      </w:r>
      <w:r w:rsidR="00682EF1">
        <w:t>.</w:t>
      </w:r>
    </w:p>
  </w:footnote>
  <w:footnote w:id="154">
    <w:p w14:paraId="084308D4" w14:textId="442BEEB7" w:rsidR="00537BC1" w:rsidRPr="00C90483" w:rsidRDefault="00537BC1" w:rsidP="00537BC1">
      <w:pPr>
        <w:pStyle w:val="Notedebasdepage"/>
      </w:pPr>
      <w:r>
        <w:rPr>
          <w:rStyle w:val="Appelnotedebasdep"/>
        </w:rPr>
        <w:footnoteRef/>
      </w:r>
      <w:r>
        <w:tab/>
        <w:t>Pièce PGQ-2</w:t>
      </w:r>
      <w:r w:rsidR="007F043C">
        <w:t xml:space="preserve">, </w:t>
      </w:r>
      <w:r w:rsidR="007F043C" w:rsidRPr="00C90483">
        <w:t>Règles budgétaires et calcul des subventions de fonctionnement aux universités du Québec pour l’année universitaire 2023-2024, janvier</w:t>
      </w:r>
      <w:r w:rsidR="006B7E48" w:rsidRPr="00C90483">
        <w:t> </w:t>
      </w:r>
      <w:r w:rsidR="007F043C" w:rsidRPr="00C90483">
        <w:t>2024</w:t>
      </w:r>
      <w:r w:rsidRPr="00C90483">
        <w:t>.</w:t>
      </w:r>
    </w:p>
  </w:footnote>
  <w:footnote w:id="155">
    <w:p w14:paraId="694585AA" w14:textId="53849042" w:rsidR="00F113A5" w:rsidRPr="00C90483" w:rsidRDefault="00F113A5">
      <w:pPr>
        <w:pStyle w:val="Notedebasdepage"/>
      </w:pPr>
      <w:r w:rsidRPr="00C90483">
        <w:rPr>
          <w:rStyle w:val="Appelnotedebasdep"/>
        </w:rPr>
        <w:footnoteRef/>
      </w:r>
      <w:r w:rsidRPr="00C90483">
        <w:tab/>
        <w:t xml:space="preserve">PiècePGQ-1, </w:t>
      </w:r>
      <w:r w:rsidR="00DB6F81" w:rsidRPr="00C90483">
        <w:t>Déclaration sous serment de François Leclerc du 17</w:t>
      </w:r>
      <w:r w:rsidR="00C7736C" w:rsidRPr="00C90483">
        <w:t> </w:t>
      </w:r>
      <w:r w:rsidR="00DB6F81" w:rsidRPr="00C90483">
        <w:t>mai</w:t>
      </w:r>
      <w:r w:rsidR="00C7736C" w:rsidRPr="00C90483">
        <w:t> </w:t>
      </w:r>
      <w:r w:rsidR="00DB6F81" w:rsidRPr="00C90483">
        <w:t xml:space="preserve">2024, </w:t>
      </w:r>
      <w:r w:rsidRPr="00C90483">
        <w:t>par. 68.</w:t>
      </w:r>
    </w:p>
  </w:footnote>
  <w:footnote w:id="156">
    <w:p w14:paraId="2A87FEED" w14:textId="2F46EBC6" w:rsidR="00CD55F1" w:rsidRPr="00A826A1" w:rsidRDefault="00CD55F1">
      <w:pPr>
        <w:pStyle w:val="Notedebasdepage"/>
        <w:rPr>
          <w:lang w:val="en-CA"/>
        </w:rPr>
      </w:pPr>
      <w:r w:rsidRPr="00C90483">
        <w:rPr>
          <w:rStyle w:val="Appelnotedebasdep"/>
        </w:rPr>
        <w:footnoteRef/>
      </w:r>
      <w:r w:rsidRPr="00C90483">
        <w:rPr>
          <w:lang w:val="en-CA"/>
        </w:rPr>
        <w:tab/>
        <w:t>Pièce UC-26</w:t>
      </w:r>
      <w:r w:rsidR="00DB6F81" w:rsidRPr="00C90483">
        <w:rPr>
          <w:lang w:val="en-CA"/>
        </w:rPr>
        <w:t xml:space="preserve">, </w:t>
      </w:r>
      <w:r w:rsidR="00DB6F81" w:rsidRPr="00096438">
        <w:rPr>
          <w:i/>
          <w:iCs/>
          <w:lang w:val="en-CA"/>
        </w:rPr>
        <w:t>Sworn statement #2 of Anne Whitelaw</w:t>
      </w:r>
      <w:r w:rsidRPr="00C90483">
        <w:rPr>
          <w:lang w:val="en-CA"/>
        </w:rPr>
        <w:t>.</w:t>
      </w:r>
    </w:p>
  </w:footnote>
  <w:footnote w:id="157">
    <w:p w14:paraId="7CA60F0E" w14:textId="5067C990" w:rsidR="00D954CF" w:rsidRPr="00C90483" w:rsidRDefault="00D954CF">
      <w:pPr>
        <w:pStyle w:val="Notedebasdepage"/>
      </w:pPr>
      <w:r>
        <w:rPr>
          <w:rStyle w:val="Appelnotedebasdep"/>
        </w:rPr>
        <w:footnoteRef/>
      </w:r>
      <w:r>
        <w:tab/>
        <w:t>Pièce P-</w:t>
      </w:r>
      <w:r w:rsidRPr="00C90483">
        <w:t>57</w:t>
      </w:r>
      <w:r w:rsidR="00BA2FF8" w:rsidRPr="00C90483">
        <w:t>, Avis du CCAFÉ du 19</w:t>
      </w:r>
      <w:r w:rsidR="00281F70" w:rsidRPr="00C90483">
        <w:t> </w:t>
      </w:r>
      <w:r w:rsidR="00BA2FF8" w:rsidRPr="00C90483">
        <w:t>janvier</w:t>
      </w:r>
      <w:r w:rsidR="00281F70" w:rsidRPr="00C90483">
        <w:t> </w:t>
      </w:r>
      <w:r w:rsidR="00BA2FF8" w:rsidRPr="00C90483">
        <w:t>2024 sur la nouvelle tarification</w:t>
      </w:r>
      <w:r w:rsidRPr="00C90483">
        <w:t>.</w:t>
      </w:r>
    </w:p>
  </w:footnote>
  <w:footnote w:id="158">
    <w:p w14:paraId="54608B83" w14:textId="77777777" w:rsidR="00F03E44" w:rsidRPr="00C90483" w:rsidRDefault="00F03E44" w:rsidP="00F03E44">
      <w:pPr>
        <w:pStyle w:val="Notedebasdepage"/>
      </w:pPr>
      <w:r w:rsidRPr="00C90483">
        <w:rPr>
          <w:rStyle w:val="Appelnotedebasdep"/>
        </w:rPr>
        <w:footnoteRef/>
      </w:r>
      <w:r w:rsidRPr="00C90483">
        <w:tab/>
        <w:t>Pièce P-2</w:t>
      </w:r>
      <w:r w:rsidR="0010587F" w:rsidRPr="00C90483">
        <w:t>, Charte royale du Roi George IV de 1821</w:t>
      </w:r>
      <w:r w:rsidRPr="00C90483">
        <w:t>.</w:t>
      </w:r>
    </w:p>
  </w:footnote>
  <w:footnote w:id="159">
    <w:p w14:paraId="16D510E9" w14:textId="77777777" w:rsidR="00F03E44" w:rsidRPr="00843E97" w:rsidRDefault="00F03E44" w:rsidP="00F03E44">
      <w:pPr>
        <w:pStyle w:val="Notedebasdepage"/>
      </w:pPr>
      <w:r w:rsidRPr="00C90483">
        <w:rPr>
          <w:rStyle w:val="Appelnotedebasdep"/>
        </w:rPr>
        <w:footnoteRef/>
      </w:r>
      <w:r w:rsidRPr="00C90483">
        <w:tab/>
        <w:t>Pièce P-3</w:t>
      </w:r>
      <w:r w:rsidR="0010587F" w:rsidRPr="00C90483">
        <w:t>, Charte royale de l’Université McGill de 1852</w:t>
      </w:r>
      <w:r w:rsidRPr="00C90483">
        <w:t>.</w:t>
      </w:r>
    </w:p>
  </w:footnote>
  <w:footnote w:id="160">
    <w:p w14:paraId="06F678D7" w14:textId="57532828" w:rsidR="00F03E44" w:rsidRPr="00257D6F" w:rsidRDefault="00F03E44" w:rsidP="00843E97">
      <w:pPr>
        <w:pStyle w:val="Notedebasdepage"/>
      </w:pPr>
      <w:r w:rsidRPr="004A0B84">
        <w:rPr>
          <w:rStyle w:val="Appelnotedebasdep"/>
        </w:rPr>
        <w:footnoteRef/>
      </w:r>
      <w:r w:rsidRPr="00843E97">
        <w:tab/>
      </w:r>
      <w:r w:rsidRPr="00843E97">
        <w:rPr>
          <w:i/>
          <w:iCs/>
        </w:rPr>
        <w:t xml:space="preserve">Bonanza Creek Gold Mining Co </w:t>
      </w:r>
      <w:r w:rsidRPr="0047022C">
        <w:t>v</w:t>
      </w:r>
      <w:r w:rsidRPr="00843E97">
        <w:rPr>
          <w:i/>
          <w:iCs/>
        </w:rPr>
        <w:t xml:space="preserve"> </w:t>
      </w:r>
      <w:r w:rsidR="009F4175" w:rsidRPr="0047022C">
        <w:rPr>
          <w:i/>
          <w:iCs/>
        </w:rPr>
        <w:t>The King and Another (Canada)</w:t>
      </w:r>
      <w:r w:rsidRPr="00843E97">
        <w:t>, [1916]</w:t>
      </w:r>
      <w:r w:rsidR="00D5306B">
        <w:t xml:space="preserve"> </w:t>
      </w:r>
      <w:r w:rsidR="00D5306B" w:rsidRPr="00C90483">
        <w:t>UKPC 11</w:t>
      </w:r>
      <w:r w:rsidRPr="00843E97">
        <w:t xml:space="preserve">, par. 13, 17, 19, 24 et 28; </w:t>
      </w:r>
      <w:r w:rsidR="00843E97" w:rsidRPr="00257D6F">
        <w:t xml:space="preserve">Andrée LAJOIE et Michelle GAMACHE, </w:t>
      </w:r>
      <w:r w:rsidR="00843E97" w:rsidRPr="00B87358">
        <w:rPr>
          <w:i/>
          <w:iCs/>
        </w:rPr>
        <w:t>Droit de l’enseignement supérieur</w:t>
      </w:r>
      <w:r w:rsidR="00843E97" w:rsidRPr="00257D6F">
        <w:t>, Montréal, Éditions Thémis, 1990, p. 200-202.</w:t>
      </w:r>
    </w:p>
  </w:footnote>
  <w:footnote w:id="161">
    <w:p w14:paraId="38867A71" w14:textId="5AAA431E" w:rsidR="00F03E44" w:rsidRPr="00D60EDB" w:rsidRDefault="00F03E44" w:rsidP="00F03E44">
      <w:pPr>
        <w:pStyle w:val="Notedebasdepage"/>
        <w:rPr>
          <w:lang w:val="en-CA"/>
        </w:rPr>
      </w:pPr>
      <w:r w:rsidRPr="00D60EDB">
        <w:rPr>
          <w:rStyle w:val="Appelnotedebasdep"/>
        </w:rPr>
        <w:footnoteRef/>
      </w:r>
      <w:r w:rsidRPr="00D60EDB">
        <w:rPr>
          <w:lang w:val="en-CA"/>
        </w:rPr>
        <w:tab/>
      </w:r>
      <w:r w:rsidRPr="00D60EDB">
        <w:rPr>
          <w:i/>
          <w:iCs/>
          <w:lang w:val="en-CA"/>
        </w:rPr>
        <w:t xml:space="preserve">La Reine </w:t>
      </w:r>
      <w:r w:rsidRPr="00D60EDB">
        <w:rPr>
          <w:lang w:val="en-CA"/>
        </w:rPr>
        <w:t>c.</w:t>
      </w:r>
      <w:r w:rsidRPr="00D60EDB">
        <w:rPr>
          <w:i/>
          <w:iCs/>
          <w:lang w:val="en-CA"/>
        </w:rPr>
        <w:t xml:space="preserve"> Operation Dismantle Inc.</w:t>
      </w:r>
      <w:r w:rsidRPr="00D60EDB">
        <w:rPr>
          <w:lang w:val="en-CA"/>
        </w:rPr>
        <w:t xml:space="preserve">, [1983] 1 C.F. 745, p. 779-780 (motifs du juge Marceau) (confirmé par: [1985] 1 R.C.S. 441); </w:t>
      </w:r>
      <w:r w:rsidRPr="00D60EDB">
        <w:rPr>
          <w:i/>
          <w:iCs/>
          <w:lang w:val="en-CA"/>
        </w:rPr>
        <w:t xml:space="preserve">The Liquidators of the Maritime Bank of Canada </w:t>
      </w:r>
      <w:r w:rsidRPr="00856959">
        <w:rPr>
          <w:lang w:val="en-CA"/>
        </w:rPr>
        <w:t>v</w:t>
      </w:r>
      <w:r w:rsidRPr="00D60EDB">
        <w:rPr>
          <w:i/>
          <w:iCs/>
          <w:lang w:val="en-CA"/>
        </w:rPr>
        <w:t xml:space="preserve"> New Brunswick (Receiver General)</w:t>
      </w:r>
      <w:r w:rsidRPr="00D60EDB">
        <w:rPr>
          <w:lang w:val="en-CA"/>
        </w:rPr>
        <w:t>, [1892] UKPC 34, p. 3.</w:t>
      </w:r>
    </w:p>
  </w:footnote>
  <w:footnote w:id="162">
    <w:p w14:paraId="1A140C95" w14:textId="0552CD68" w:rsidR="00F03E44" w:rsidRPr="00D60EDB" w:rsidRDefault="00F03E44" w:rsidP="00F03E44">
      <w:pPr>
        <w:pStyle w:val="Notedebasdepage"/>
        <w:rPr>
          <w:lang w:val="en-US"/>
        </w:rPr>
      </w:pPr>
      <w:r w:rsidRPr="00D60EDB">
        <w:rPr>
          <w:rStyle w:val="Appelnotedebasdep"/>
        </w:rPr>
        <w:footnoteRef/>
      </w:r>
      <w:r w:rsidRPr="00D60EDB">
        <w:rPr>
          <w:lang w:val="en-CA"/>
        </w:rPr>
        <w:tab/>
      </w:r>
      <w:r w:rsidRPr="00D60EDB">
        <w:rPr>
          <w:i/>
          <w:iCs/>
          <w:lang w:val="en-US"/>
        </w:rPr>
        <w:t xml:space="preserve">Blasser </w:t>
      </w:r>
      <w:r w:rsidRPr="00D60EDB">
        <w:rPr>
          <w:lang w:val="en-US"/>
        </w:rPr>
        <w:t>c.</w:t>
      </w:r>
      <w:r w:rsidRPr="00D60EDB">
        <w:rPr>
          <w:i/>
          <w:iCs/>
          <w:lang w:val="en-US"/>
        </w:rPr>
        <w:t xml:space="preserve"> Royal Institu</w:t>
      </w:r>
      <w:r w:rsidR="00EC7EED">
        <w:rPr>
          <w:i/>
          <w:iCs/>
          <w:lang w:val="en-US"/>
        </w:rPr>
        <w:t>te</w:t>
      </w:r>
      <w:r w:rsidRPr="00D60EDB">
        <w:rPr>
          <w:i/>
          <w:iCs/>
          <w:lang w:val="en-US"/>
        </w:rPr>
        <w:t xml:space="preserve"> for the Advancement of Learning</w:t>
      </w:r>
      <w:r w:rsidRPr="00D60EDB">
        <w:rPr>
          <w:lang w:val="en-US"/>
        </w:rPr>
        <w:t xml:space="preserve">, 1985 CanLII 3061 (C.A.), par. 11-26 et 35-36; </w:t>
      </w:r>
      <w:r w:rsidRPr="00D60EDB">
        <w:rPr>
          <w:i/>
          <w:iCs/>
          <w:lang w:val="en-US"/>
        </w:rPr>
        <w:t xml:space="preserve">Hafeez </w:t>
      </w:r>
      <w:r w:rsidRPr="00D60EDB">
        <w:rPr>
          <w:lang w:val="en-US"/>
        </w:rPr>
        <w:t>c.</w:t>
      </w:r>
      <w:r w:rsidRPr="00D60EDB">
        <w:rPr>
          <w:i/>
          <w:iCs/>
          <w:lang w:val="en-US"/>
        </w:rPr>
        <w:t xml:space="preserve"> Université McGill, </w:t>
      </w:r>
      <w:r w:rsidRPr="00D60EDB">
        <w:rPr>
          <w:lang w:val="en-US"/>
        </w:rPr>
        <w:t>[1996] J.Q. no 884 (C.S.), par.</w:t>
      </w:r>
      <w:r w:rsidRPr="00D60EDB">
        <w:rPr>
          <w:i/>
          <w:iCs/>
          <w:lang w:val="en-US"/>
        </w:rPr>
        <w:t xml:space="preserve"> </w:t>
      </w:r>
      <w:r w:rsidRPr="00D60EDB">
        <w:rPr>
          <w:lang w:val="en-US"/>
        </w:rPr>
        <w:t xml:space="preserve">6 et 22; </w:t>
      </w:r>
      <w:r w:rsidRPr="00D60EDB">
        <w:rPr>
          <w:i/>
          <w:iCs/>
          <w:lang w:val="en-US"/>
        </w:rPr>
        <w:t xml:space="preserve">Hazanavicius </w:t>
      </w:r>
      <w:r w:rsidRPr="00D60EDB">
        <w:rPr>
          <w:lang w:val="en-US"/>
        </w:rPr>
        <w:t>c</w:t>
      </w:r>
      <w:r w:rsidRPr="00D60EDB">
        <w:rPr>
          <w:i/>
          <w:iCs/>
          <w:lang w:val="en-US"/>
        </w:rPr>
        <w:t xml:space="preserve">. McGill University, </w:t>
      </w:r>
      <w:r w:rsidRPr="00D60EDB">
        <w:rPr>
          <w:lang w:val="en-US"/>
        </w:rPr>
        <w:t>2008 QCCS 1617, par. 68-71.</w:t>
      </w:r>
    </w:p>
  </w:footnote>
  <w:footnote w:id="163">
    <w:p w14:paraId="0E336734" w14:textId="77777777" w:rsidR="00F03E44" w:rsidRPr="00D60EDB" w:rsidRDefault="00F03E44" w:rsidP="00F03E44">
      <w:pPr>
        <w:pStyle w:val="Notedebasdepage"/>
        <w:rPr>
          <w:lang w:val="en-CA"/>
        </w:rPr>
      </w:pPr>
      <w:r w:rsidRPr="00D60EDB">
        <w:rPr>
          <w:rStyle w:val="Appelnotedebasdep"/>
        </w:rPr>
        <w:footnoteRef/>
      </w:r>
      <w:r w:rsidRPr="00D60EDB">
        <w:rPr>
          <w:lang w:val="en-CA"/>
        </w:rPr>
        <w:tab/>
      </w:r>
      <w:r w:rsidRPr="00D60EDB">
        <w:rPr>
          <w:i/>
          <w:iCs/>
          <w:lang w:val="en-US"/>
        </w:rPr>
        <w:t xml:space="preserve">Langlois </w:t>
      </w:r>
      <w:r w:rsidRPr="00D60EDB">
        <w:rPr>
          <w:lang w:val="en-US"/>
        </w:rPr>
        <w:t>v.</w:t>
      </w:r>
      <w:r w:rsidRPr="00D60EDB">
        <w:rPr>
          <w:i/>
          <w:iCs/>
          <w:lang w:val="en-US"/>
        </w:rPr>
        <w:t xml:space="preserve"> Rector and Members of Laval University</w:t>
      </w:r>
      <w:r w:rsidRPr="00D60EDB">
        <w:rPr>
          <w:lang w:val="en-US"/>
        </w:rPr>
        <w:t>, 1973 CanLII 2442, 47 DLR (3d) 674 (QC CA), p.</w:t>
      </w:r>
      <w:r w:rsidR="00D60EDB">
        <w:rPr>
          <w:lang w:val="en-US"/>
        </w:rPr>
        <w:t xml:space="preserve"> </w:t>
      </w:r>
      <w:r w:rsidRPr="00D60EDB">
        <w:rPr>
          <w:lang w:val="en-US"/>
        </w:rPr>
        <w:t>681-683.</w:t>
      </w:r>
    </w:p>
  </w:footnote>
  <w:footnote w:id="164">
    <w:p w14:paraId="650AFCC5" w14:textId="5DBFF45E" w:rsidR="00F03E44" w:rsidRPr="004A0B84" w:rsidRDefault="00F03E44" w:rsidP="00F03E44">
      <w:pPr>
        <w:pStyle w:val="Notedebasdepage"/>
        <w:rPr>
          <w:lang w:val="en-CA"/>
        </w:rPr>
      </w:pPr>
      <w:r w:rsidRPr="00D60EDB">
        <w:rPr>
          <w:rStyle w:val="Appelnotedebasdep"/>
        </w:rPr>
        <w:footnoteRef/>
      </w:r>
      <w:r w:rsidRPr="00D60EDB">
        <w:rPr>
          <w:lang w:val="en-CA"/>
        </w:rPr>
        <w:tab/>
      </w:r>
      <w:r w:rsidRPr="00D60EDB">
        <w:rPr>
          <w:i/>
          <w:iCs/>
          <w:lang w:val="en-CA"/>
        </w:rPr>
        <w:t xml:space="preserve">Canadian Federation of Students </w:t>
      </w:r>
      <w:r w:rsidRPr="00D60EDB">
        <w:rPr>
          <w:lang w:val="en-CA"/>
        </w:rPr>
        <w:t>v.</w:t>
      </w:r>
      <w:r w:rsidRPr="00D60EDB">
        <w:rPr>
          <w:i/>
          <w:iCs/>
          <w:lang w:val="en-CA"/>
        </w:rPr>
        <w:t xml:space="preserve"> Ontario (Colleges and Universities)</w:t>
      </w:r>
      <w:r w:rsidRPr="00D60EDB">
        <w:rPr>
          <w:lang w:val="en-CA"/>
        </w:rPr>
        <w:t xml:space="preserve">, </w:t>
      </w:r>
      <w:r w:rsidR="00EC7EED">
        <w:rPr>
          <w:lang w:val="en-CA"/>
        </w:rPr>
        <w:t>préc., note 70</w:t>
      </w:r>
      <w:r w:rsidRPr="00D60EDB">
        <w:rPr>
          <w:lang w:val="en-CA"/>
        </w:rPr>
        <w:t>, par. 27-29 et 61-68.</w:t>
      </w:r>
    </w:p>
  </w:footnote>
  <w:footnote w:id="165">
    <w:p w14:paraId="71900B52" w14:textId="77777777" w:rsidR="00F03E44" w:rsidRPr="007847AF" w:rsidRDefault="00F03E44" w:rsidP="00F03E44">
      <w:pPr>
        <w:pStyle w:val="Notedebasdepage"/>
      </w:pPr>
      <w:r w:rsidRPr="00D47EF0">
        <w:rPr>
          <w:rStyle w:val="Appelnotedebasdep"/>
        </w:rPr>
        <w:footnoteRef/>
      </w:r>
      <w:r w:rsidRPr="00D47EF0">
        <w:tab/>
      </w:r>
      <w:r w:rsidRPr="00D47EF0">
        <w:rPr>
          <w:i/>
          <w:iCs/>
        </w:rPr>
        <w:t xml:space="preserve">Conseil de la bande dénée de Ross River </w:t>
      </w:r>
      <w:r w:rsidRPr="00D47EF0">
        <w:t>c.</w:t>
      </w:r>
      <w:r w:rsidRPr="00D47EF0">
        <w:rPr>
          <w:i/>
          <w:iCs/>
        </w:rPr>
        <w:t xml:space="preserve"> Canada, </w:t>
      </w:r>
      <w:r w:rsidRPr="00D47EF0">
        <w:t>2002 CSC 54,</w:t>
      </w:r>
      <w:r w:rsidRPr="00D47EF0">
        <w:rPr>
          <w:i/>
          <w:iCs/>
        </w:rPr>
        <w:t xml:space="preserve"> </w:t>
      </w:r>
      <w:r w:rsidRPr="00D47EF0">
        <w:t>par. 54-58;</w:t>
      </w:r>
      <w:r w:rsidRPr="008139AB">
        <w:t xml:space="preserve"> </w:t>
      </w:r>
      <w:r w:rsidRPr="008139AB">
        <w:rPr>
          <w:i/>
          <w:iCs/>
        </w:rPr>
        <w:t xml:space="preserve">Khadr </w:t>
      </w:r>
      <w:r w:rsidRPr="008139AB">
        <w:t>c.</w:t>
      </w:r>
      <w:r w:rsidRPr="008139AB">
        <w:rPr>
          <w:i/>
          <w:iCs/>
        </w:rPr>
        <w:t xml:space="preserve"> Canada (Procureur général)</w:t>
      </w:r>
      <w:r w:rsidRPr="008139AB">
        <w:t xml:space="preserve">, 2006 CF 727, par. 91; </w:t>
      </w:r>
      <w:r w:rsidRPr="008139AB">
        <w:rPr>
          <w:i/>
          <w:iCs/>
        </w:rPr>
        <w:t>Hines</w:t>
      </w:r>
      <w:r w:rsidRPr="008139AB">
        <w:t xml:space="preserve">, p. 534 et 540; </w:t>
      </w:r>
      <w:r w:rsidRPr="008139AB">
        <w:rPr>
          <w:i/>
          <w:iCs/>
        </w:rPr>
        <w:t>Black v. Canada (Prime Minister)</w:t>
      </w:r>
      <w:r w:rsidRPr="008139AB">
        <w:t xml:space="preserve">, [2001] O.J. No. 1853 (Ont CA), par. 27; </w:t>
      </w:r>
      <w:r w:rsidRPr="00D47EF0">
        <w:rPr>
          <w:i/>
          <w:iCs/>
        </w:rPr>
        <w:t>Wong v. University of Toronto</w:t>
      </w:r>
      <w:r w:rsidRPr="00D47EF0">
        <w:t>, [1989] O.J. No. 979 (</w:t>
      </w:r>
      <w:r w:rsidRPr="00450180">
        <w:t>DistCt</w:t>
      </w:r>
      <w:r w:rsidRPr="00D47EF0">
        <w:t>), par. 27-47, dont particulièrement le par. 33</w:t>
      </w:r>
      <w:r w:rsidRPr="00D47EF0">
        <w:rPr>
          <w:rFonts w:cs="Arial"/>
        </w:rPr>
        <w:t>.</w:t>
      </w:r>
    </w:p>
  </w:footnote>
  <w:footnote w:id="166">
    <w:p w14:paraId="3E0F4F5C" w14:textId="418035C2" w:rsidR="00F03E44" w:rsidRPr="00D05125" w:rsidRDefault="00F03E44" w:rsidP="00F03E44">
      <w:pPr>
        <w:pStyle w:val="Notedebasdepage"/>
        <w:rPr>
          <w:rFonts w:cs="Arial"/>
        </w:rPr>
      </w:pPr>
      <w:r w:rsidRPr="00F9218A">
        <w:rPr>
          <w:rStyle w:val="Appelnotedebasdep"/>
          <w:rFonts w:cs="Arial"/>
        </w:rPr>
        <w:footnoteRef/>
      </w:r>
      <w:r w:rsidRPr="00F9218A">
        <w:rPr>
          <w:rFonts w:cs="Arial"/>
        </w:rPr>
        <w:tab/>
      </w:r>
      <w:r w:rsidRPr="004A0B84">
        <w:rPr>
          <w:rFonts w:cs="Arial"/>
          <w:i/>
          <w:iCs/>
        </w:rPr>
        <w:t>Ruel</w:t>
      </w:r>
      <w:r w:rsidRPr="00A826A1">
        <w:t>,</w:t>
      </w:r>
      <w:r w:rsidRPr="004A0B84">
        <w:rPr>
          <w:rFonts w:cs="Arial"/>
        </w:rPr>
        <w:t xml:space="preserve"> </w:t>
      </w:r>
      <w:r w:rsidR="009675E2" w:rsidRPr="003E6384">
        <w:rPr>
          <w:rFonts w:cs="Arial"/>
        </w:rPr>
        <w:t xml:space="preserve">préc., </w:t>
      </w:r>
      <w:r w:rsidRPr="003E6384">
        <w:rPr>
          <w:rFonts w:cs="Arial"/>
        </w:rPr>
        <w:t>note</w:t>
      </w:r>
      <w:r w:rsidR="00D443C7">
        <w:rPr>
          <w:rFonts w:cs="Arial"/>
        </w:rPr>
        <w:t xml:space="preserve"> 10</w:t>
      </w:r>
      <w:r w:rsidRPr="003E6384">
        <w:rPr>
          <w:rFonts w:cs="Arial"/>
        </w:rPr>
        <w:t>.</w:t>
      </w:r>
    </w:p>
  </w:footnote>
  <w:footnote w:id="167">
    <w:p w14:paraId="0E1C6085" w14:textId="3BBC3335" w:rsidR="006E58BF" w:rsidRPr="00C90483" w:rsidRDefault="006E58BF" w:rsidP="006E58BF">
      <w:pPr>
        <w:pStyle w:val="Notedebasdepage"/>
        <w:rPr>
          <w:rFonts w:cs="Arial"/>
        </w:rPr>
      </w:pPr>
      <w:r w:rsidRPr="002B5193">
        <w:rPr>
          <w:rStyle w:val="Appelnotedebasdep"/>
          <w:rFonts w:cs="Arial"/>
        </w:rPr>
        <w:footnoteRef/>
      </w:r>
      <w:r w:rsidR="00AB4107">
        <w:rPr>
          <w:rFonts w:cs="Arial"/>
        </w:rPr>
        <w:tab/>
      </w:r>
      <w:r w:rsidR="00AB0B3F" w:rsidRPr="00C90483">
        <w:rPr>
          <w:rFonts w:cs="Arial"/>
        </w:rPr>
        <w:t xml:space="preserve">Pièce PGQ-43, </w:t>
      </w:r>
      <w:r w:rsidRPr="00C90483">
        <w:rPr>
          <w:rFonts w:cs="Arial"/>
        </w:rPr>
        <w:t>Déclaration sous serment de Sylvain Périgny du 4</w:t>
      </w:r>
      <w:r w:rsidR="00DF28C7" w:rsidRPr="00C90483">
        <w:rPr>
          <w:rFonts w:cs="Arial"/>
        </w:rPr>
        <w:t> </w:t>
      </w:r>
      <w:r w:rsidRPr="00C90483">
        <w:rPr>
          <w:rFonts w:cs="Arial"/>
        </w:rPr>
        <w:t>octobre</w:t>
      </w:r>
      <w:r w:rsidR="00DF28C7" w:rsidRPr="00C90483">
        <w:rPr>
          <w:rFonts w:cs="Arial"/>
        </w:rPr>
        <w:t> </w:t>
      </w:r>
      <w:r w:rsidRPr="00C90483">
        <w:rPr>
          <w:rFonts w:cs="Arial"/>
        </w:rPr>
        <w:t xml:space="preserve">2024, </w:t>
      </w:r>
      <w:r w:rsidR="00AB0B3F" w:rsidRPr="00C90483">
        <w:rPr>
          <w:rFonts w:cs="Arial"/>
        </w:rPr>
        <w:t xml:space="preserve">au </w:t>
      </w:r>
      <w:r w:rsidRPr="00C90483">
        <w:rPr>
          <w:rFonts w:cs="Arial"/>
        </w:rPr>
        <w:t>par.</w:t>
      </w:r>
      <w:r w:rsidR="00D65E8E" w:rsidRPr="00C90483">
        <w:rPr>
          <w:rFonts w:cs="Arial"/>
        </w:rPr>
        <w:t xml:space="preserve"> </w:t>
      </w:r>
      <w:r w:rsidRPr="00C90483">
        <w:rPr>
          <w:rFonts w:cs="Arial"/>
        </w:rPr>
        <w:t>12.</w:t>
      </w:r>
    </w:p>
  </w:footnote>
  <w:footnote w:id="168">
    <w:p w14:paraId="71AF82C3" w14:textId="77777777" w:rsidR="006E58BF" w:rsidRPr="00C90483" w:rsidRDefault="006E58BF" w:rsidP="006E58BF">
      <w:pPr>
        <w:pStyle w:val="Notedebasdepage"/>
        <w:rPr>
          <w:rFonts w:cs="Arial"/>
        </w:rPr>
      </w:pPr>
      <w:r w:rsidRPr="00C90483">
        <w:rPr>
          <w:rStyle w:val="Appelnotedebasdep"/>
          <w:rFonts w:cs="Arial"/>
        </w:rPr>
        <w:footnoteRef/>
      </w:r>
      <w:r w:rsidR="00AB4107" w:rsidRPr="00C90483">
        <w:rPr>
          <w:rFonts w:cs="Arial"/>
        </w:rPr>
        <w:tab/>
      </w:r>
      <w:r w:rsidRPr="00C90483">
        <w:rPr>
          <w:rFonts w:cs="Arial"/>
          <w:i/>
          <w:iCs/>
        </w:rPr>
        <w:t>Id.</w:t>
      </w:r>
      <w:r w:rsidRPr="00C90483">
        <w:rPr>
          <w:rFonts w:cs="Arial"/>
        </w:rPr>
        <w:t xml:space="preserve">, </w:t>
      </w:r>
      <w:r w:rsidR="00AB0B3F" w:rsidRPr="00C90483">
        <w:rPr>
          <w:rFonts w:cs="Arial"/>
        </w:rPr>
        <w:t xml:space="preserve">aux </w:t>
      </w:r>
      <w:r w:rsidRPr="00C90483">
        <w:rPr>
          <w:rFonts w:cs="Arial"/>
        </w:rPr>
        <w:t>par.</w:t>
      </w:r>
      <w:r w:rsidR="00D65E8E" w:rsidRPr="00C90483">
        <w:rPr>
          <w:rFonts w:cs="Arial"/>
        </w:rPr>
        <w:t xml:space="preserve"> </w:t>
      </w:r>
      <w:r w:rsidRPr="00C90483">
        <w:rPr>
          <w:rFonts w:cs="Arial"/>
        </w:rPr>
        <w:t>28-29.</w:t>
      </w:r>
    </w:p>
  </w:footnote>
  <w:footnote w:id="169">
    <w:p w14:paraId="753878BC" w14:textId="2C4CCE4E" w:rsidR="00AB4107" w:rsidRDefault="00AB4107">
      <w:pPr>
        <w:pStyle w:val="Notedebasdepage"/>
      </w:pPr>
      <w:r w:rsidRPr="00C90483">
        <w:rPr>
          <w:rStyle w:val="Appelnotedebasdep"/>
        </w:rPr>
        <w:footnoteRef/>
      </w:r>
      <w:r w:rsidRPr="00C90483">
        <w:tab/>
        <w:t xml:space="preserve">Pièce PGQ-22, </w:t>
      </w:r>
      <w:r w:rsidR="00AB0B3F" w:rsidRPr="00C90483">
        <w:t>Règles budgétaires et calcul des subventions de fonctionnement aux universités du Québec – Année universitaire 2024-2025, mai</w:t>
      </w:r>
      <w:r w:rsidR="00DF28C7" w:rsidRPr="00C90483">
        <w:t> </w:t>
      </w:r>
      <w:r w:rsidR="00AB0B3F" w:rsidRPr="00C90483">
        <w:t>2024,</w:t>
      </w:r>
      <w:r w:rsidR="00AB0B3F">
        <w:t xml:space="preserve"> </w:t>
      </w:r>
      <w:r>
        <w:t>à la p. 161.</w:t>
      </w:r>
    </w:p>
  </w:footnote>
  <w:footnote w:id="170">
    <w:p w14:paraId="7DA29005" w14:textId="552D08EC" w:rsidR="00082651" w:rsidRDefault="00082651">
      <w:pPr>
        <w:pStyle w:val="Notedebasdepage"/>
      </w:pPr>
      <w:r>
        <w:rPr>
          <w:rStyle w:val="Appelnotedebasdep"/>
        </w:rPr>
        <w:footnoteRef/>
      </w:r>
      <w:r>
        <w:tab/>
      </w:r>
      <w:r w:rsidR="003C7DBB" w:rsidRPr="00C90483">
        <w:rPr>
          <w:i/>
          <w:iCs/>
        </w:rPr>
        <w:t>Id.</w:t>
      </w:r>
      <w:r w:rsidR="003C7DBB" w:rsidRPr="00C90483">
        <w:t>, à la</w:t>
      </w:r>
      <w:r w:rsidR="003C7DBB">
        <w:t xml:space="preserve"> </w:t>
      </w:r>
      <w:r>
        <w:t>p. 105.</w:t>
      </w:r>
    </w:p>
  </w:footnote>
  <w:footnote w:id="171">
    <w:p w14:paraId="7850C384" w14:textId="284C3600" w:rsidR="00366DCA" w:rsidRDefault="00366DCA" w:rsidP="00366DCA">
      <w:pPr>
        <w:pStyle w:val="Notedebasdepage"/>
      </w:pPr>
      <w:r>
        <w:rPr>
          <w:rStyle w:val="Appelnotedebasdep"/>
        </w:rPr>
        <w:footnoteRef/>
      </w:r>
      <w:r>
        <w:tab/>
        <w:t>Mémoire modifié de Concordia et Meldrum du 8</w:t>
      </w:r>
      <w:r w:rsidR="00F53645">
        <w:t> </w:t>
      </w:r>
      <w:r>
        <w:t>novembre</w:t>
      </w:r>
      <w:r w:rsidR="00F53645">
        <w:t> </w:t>
      </w:r>
      <w:r>
        <w:t>2024, au par. 29.</w:t>
      </w:r>
    </w:p>
  </w:footnote>
  <w:footnote w:id="172">
    <w:p w14:paraId="34A2AEBE" w14:textId="5D333BA6" w:rsidR="00640D53" w:rsidRDefault="00640D53">
      <w:pPr>
        <w:pStyle w:val="Notedebasdepage"/>
      </w:pPr>
      <w:r>
        <w:rPr>
          <w:rStyle w:val="Appelnotedebasdep"/>
        </w:rPr>
        <w:footnoteRef/>
      </w:r>
      <w:r>
        <w:tab/>
        <w:t>RLRQ, c</w:t>
      </w:r>
      <w:r w:rsidR="007F0F7B">
        <w:t>.</w:t>
      </w:r>
      <w:r>
        <w:t xml:space="preserve"> C-</w:t>
      </w:r>
      <w:r w:rsidR="007F0F7B">
        <w:t>11</w:t>
      </w:r>
      <w:r>
        <w:t>.</w:t>
      </w:r>
    </w:p>
  </w:footnote>
  <w:footnote w:id="173">
    <w:p w14:paraId="5985D032" w14:textId="7D53EEF7" w:rsidR="008A0260" w:rsidRDefault="008A0260">
      <w:pPr>
        <w:pStyle w:val="Notedebasdepage"/>
      </w:pPr>
      <w:r>
        <w:rPr>
          <w:rStyle w:val="Appelnotedebasdep"/>
        </w:rPr>
        <w:footnoteRef/>
      </w:r>
      <w:r>
        <w:tab/>
      </w:r>
      <w:r w:rsidR="00EC7EED">
        <w:t>Préc., note 94</w:t>
      </w:r>
      <w:r w:rsidR="00755EA4">
        <w:t>s</w:t>
      </w:r>
      <w:r>
        <w:t xml:space="preserve">. </w:t>
      </w:r>
      <w:r w:rsidR="004A2E00">
        <w:t>L</w:t>
      </w:r>
      <w:r>
        <w:t>’effet de certaines dispositions</w:t>
      </w:r>
      <w:r w:rsidR="004A2E00">
        <w:t xml:space="preserve"> de cette loi</w:t>
      </w:r>
      <w:r>
        <w:t xml:space="preserve"> est suspendu par jugements de la Cour supérieur</w:t>
      </w:r>
      <w:r w:rsidR="001A42C4">
        <w:t>e</w:t>
      </w:r>
      <w:r w:rsidR="004A2E00">
        <w:t xml:space="preserve"> jusqu’à jugement final.</w:t>
      </w:r>
    </w:p>
  </w:footnote>
  <w:footnote w:id="174">
    <w:p w14:paraId="1E65BB65" w14:textId="522B91CE" w:rsidR="00DD011A" w:rsidRDefault="00DD011A">
      <w:pPr>
        <w:pStyle w:val="Notedebasdepage"/>
      </w:pPr>
      <w:r>
        <w:rPr>
          <w:rStyle w:val="Appelnotedebasdep"/>
        </w:rPr>
        <w:footnoteRef/>
      </w:r>
      <w:r>
        <w:tab/>
      </w:r>
      <w:r w:rsidRPr="00AD4BE0">
        <w:rPr>
          <w:i/>
          <w:iCs/>
        </w:rPr>
        <w:t>Conseil de la magistrature</w:t>
      </w:r>
      <w:r w:rsidRPr="00AD4BE0">
        <w:t xml:space="preserve"> c. </w:t>
      </w:r>
      <w:r w:rsidRPr="00AD4BE0">
        <w:rPr>
          <w:i/>
          <w:iCs/>
        </w:rPr>
        <w:t>Ministre de la Justice du Québec</w:t>
      </w:r>
      <w:r w:rsidRPr="00AD4BE0">
        <w:t>, 2022 QCCS 266.</w:t>
      </w:r>
    </w:p>
  </w:footnote>
  <w:footnote w:id="175">
    <w:p w14:paraId="10FDF30F" w14:textId="445F24A1" w:rsidR="00786393" w:rsidRDefault="00786393">
      <w:pPr>
        <w:pStyle w:val="Notedebasdepage"/>
      </w:pPr>
      <w:r>
        <w:rPr>
          <w:rStyle w:val="Appelnotedebasdep"/>
        </w:rPr>
        <w:footnoteRef/>
      </w:r>
      <w:r>
        <w:tab/>
        <w:t xml:space="preserve">RLRQ, </w:t>
      </w:r>
      <w:r w:rsidR="00BC516B">
        <w:t>c.</w:t>
      </w:r>
      <w:r>
        <w:t xml:space="preserve"> I-16.</w:t>
      </w:r>
    </w:p>
  </w:footnote>
  <w:footnote w:id="176">
    <w:p w14:paraId="32C54C7D" w14:textId="188D4160" w:rsidR="00227D6C" w:rsidRPr="005A5284" w:rsidRDefault="00227D6C">
      <w:pPr>
        <w:pStyle w:val="Notedebasdepage"/>
      </w:pPr>
      <w:r>
        <w:rPr>
          <w:rStyle w:val="Appelnotedebasdep"/>
        </w:rPr>
        <w:footnoteRef/>
      </w:r>
      <w:r>
        <w:tab/>
        <w:t>Pièce P-25</w:t>
      </w:r>
      <w:r w:rsidR="00B62314">
        <w:t xml:space="preserve">, </w:t>
      </w:r>
      <w:r w:rsidR="00B62314" w:rsidRPr="005A5284">
        <w:t>Avis du CCAFÉ du 1</w:t>
      </w:r>
      <w:r w:rsidR="00B453DA" w:rsidRPr="005A5284">
        <w:t>er </w:t>
      </w:r>
      <w:r w:rsidR="00B62314" w:rsidRPr="005A5284">
        <w:t>avril</w:t>
      </w:r>
      <w:r w:rsidR="00B453DA" w:rsidRPr="005A5284">
        <w:t> </w:t>
      </w:r>
      <w:r w:rsidR="00B62314" w:rsidRPr="005A5284">
        <w:t>2019</w:t>
      </w:r>
      <w:r w:rsidRPr="005A5284">
        <w:t>.</w:t>
      </w:r>
    </w:p>
  </w:footnote>
  <w:footnote w:id="177">
    <w:p w14:paraId="7CD5FC98" w14:textId="6F6B6915" w:rsidR="00CD2257" w:rsidRDefault="00CD2257">
      <w:pPr>
        <w:pStyle w:val="Notedebasdepage"/>
      </w:pPr>
      <w:r w:rsidRPr="005A5284">
        <w:rPr>
          <w:rStyle w:val="Appelnotedebasdep"/>
        </w:rPr>
        <w:footnoteRef/>
      </w:r>
      <w:r w:rsidRPr="005A5284">
        <w:tab/>
        <w:t>Voir la pièce P-57</w:t>
      </w:r>
      <w:r w:rsidR="00B62314" w:rsidRPr="005A5284">
        <w:t>, Avis du CCAFÉ du 19</w:t>
      </w:r>
      <w:r w:rsidR="001A42C4" w:rsidRPr="005A5284">
        <w:t> </w:t>
      </w:r>
      <w:r w:rsidR="00B62314" w:rsidRPr="005A5284">
        <w:t>janvier</w:t>
      </w:r>
      <w:r w:rsidR="001A42C4" w:rsidRPr="005A5284">
        <w:t> </w:t>
      </w:r>
      <w:r w:rsidR="00B62314" w:rsidRPr="005A5284">
        <w:t>2024 sur la nouvelle tarification</w:t>
      </w:r>
      <w:r w:rsidRPr="005A5284">
        <w:t>.</w:t>
      </w:r>
    </w:p>
  </w:footnote>
  <w:footnote w:id="178">
    <w:p w14:paraId="787842EE" w14:textId="4BED704E" w:rsidR="00DC5A43" w:rsidRPr="005A5284" w:rsidRDefault="00DC5A43">
      <w:pPr>
        <w:pStyle w:val="Notedebasdepage"/>
      </w:pPr>
      <w:r>
        <w:rPr>
          <w:rStyle w:val="Appelnotedebasdep"/>
        </w:rPr>
        <w:footnoteRef/>
      </w:r>
      <w:r>
        <w:tab/>
      </w:r>
      <w:r w:rsidRPr="005A5284">
        <w:t>Mémoire de McGill du 8</w:t>
      </w:r>
      <w:r w:rsidR="000254D5" w:rsidRPr="005A5284">
        <w:t> </w:t>
      </w:r>
      <w:r w:rsidRPr="005A5284">
        <w:t>novembre</w:t>
      </w:r>
      <w:r w:rsidR="000254D5" w:rsidRPr="005A5284">
        <w:t> </w:t>
      </w:r>
      <w:r w:rsidRPr="005A5284">
        <w:t>2024, au par. 71. Voir aussi la pièce P-89</w:t>
      </w:r>
      <w:r w:rsidR="00B62314" w:rsidRPr="005A5284">
        <w:t xml:space="preserve">, </w:t>
      </w:r>
      <w:r w:rsidR="00B53E61" w:rsidRPr="005A5284">
        <w:t xml:space="preserve">Document E-12a transmis par </w:t>
      </w:r>
      <w:r w:rsidR="005A5284" w:rsidRPr="005A5284">
        <w:t>m</w:t>
      </w:r>
      <w:r w:rsidR="00B53E61" w:rsidRPr="005A5284">
        <w:t>onsieur François Leclerc en réponse à l’engagement E-12 souscrit le 31</w:t>
      </w:r>
      <w:r w:rsidR="00553E23" w:rsidRPr="005A5284">
        <w:t> </w:t>
      </w:r>
      <w:r w:rsidR="00B53E61" w:rsidRPr="005A5284">
        <w:t>mai</w:t>
      </w:r>
      <w:r w:rsidR="00553E23" w:rsidRPr="005A5284">
        <w:t> </w:t>
      </w:r>
      <w:r w:rsidR="00B53E61" w:rsidRPr="005A5284">
        <w:t>2024 (Courriel du 15</w:t>
      </w:r>
      <w:r w:rsidR="0069445A" w:rsidRPr="005A5284">
        <w:t> </w:t>
      </w:r>
      <w:r w:rsidR="00B53E61" w:rsidRPr="005A5284">
        <w:t>décembre</w:t>
      </w:r>
      <w:r w:rsidR="0069445A" w:rsidRPr="005A5284">
        <w:t> </w:t>
      </w:r>
      <w:r w:rsidR="00B53E61" w:rsidRPr="005A5284">
        <w:t>2023 transmis au secrétariat du Conseil du trésor par le Ministère et ses pièces jointes, en liasse)</w:t>
      </w:r>
      <w:r w:rsidRPr="005A5284">
        <w:t>.</w:t>
      </w:r>
    </w:p>
  </w:footnote>
  <w:footnote w:id="179">
    <w:p w14:paraId="2CE36D14" w14:textId="2692528A" w:rsidR="00DC5A43" w:rsidRPr="005A5284" w:rsidRDefault="00DC5A43">
      <w:pPr>
        <w:pStyle w:val="Notedebasdepage"/>
      </w:pPr>
      <w:r w:rsidRPr="005A5284">
        <w:rPr>
          <w:rStyle w:val="Appelnotedebasdep"/>
        </w:rPr>
        <w:footnoteRef/>
      </w:r>
      <w:r w:rsidRPr="005A5284">
        <w:tab/>
        <w:t xml:space="preserve">Pièce PGQ-1, </w:t>
      </w:r>
      <w:r w:rsidR="0077674D" w:rsidRPr="005A5284">
        <w:t>Déclaration sous serment de François Leclerc du 17</w:t>
      </w:r>
      <w:r w:rsidR="00754088" w:rsidRPr="005A5284">
        <w:t> </w:t>
      </w:r>
      <w:r w:rsidR="0077674D" w:rsidRPr="005A5284">
        <w:t>mai</w:t>
      </w:r>
      <w:r w:rsidR="00754088" w:rsidRPr="005A5284">
        <w:t> </w:t>
      </w:r>
      <w:r w:rsidR="0077674D" w:rsidRPr="005A5284">
        <w:t xml:space="preserve">2024, </w:t>
      </w:r>
      <w:r w:rsidRPr="005A5284">
        <w:t>au par. 45.</w:t>
      </w:r>
    </w:p>
  </w:footnote>
  <w:footnote w:id="180">
    <w:p w14:paraId="045D3F8D" w14:textId="17507849" w:rsidR="00D45E40" w:rsidRPr="005A5284" w:rsidRDefault="00D45E40">
      <w:pPr>
        <w:pStyle w:val="Notedebasdepage"/>
      </w:pPr>
      <w:r w:rsidRPr="005A5284">
        <w:rPr>
          <w:rStyle w:val="Appelnotedebasdep"/>
        </w:rPr>
        <w:footnoteRef/>
      </w:r>
      <w:r w:rsidRPr="005A5284">
        <w:tab/>
        <w:t>Pièce PGQ-18</w:t>
      </w:r>
      <w:r w:rsidR="0077674D" w:rsidRPr="005A5284">
        <w:t>, Lettre de demande de prolongation du CCAFE du 16</w:t>
      </w:r>
      <w:r w:rsidR="00754088" w:rsidRPr="005A5284">
        <w:t> </w:t>
      </w:r>
      <w:r w:rsidR="0077674D" w:rsidRPr="005A5284">
        <w:t>janvier</w:t>
      </w:r>
      <w:r w:rsidR="00754088" w:rsidRPr="005A5284">
        <w:t> </w:t>
      </w:r>
      <w:r w:rsidR="0077674D" w:rsidRPr="005A5284">
        <w:t>2024</w:t>
      </w:r>
      <w:r w:rsidRPr="005A5284">
        <w:t>.</w:t>
      </w:r>
    </w:p>
  </w:footnote>
  <w:footnote w:id="181">
    <w:p w14:paraId="25922DA6" w14:textId="69996253" w:rsidR="00F11FAC" w:rsidRDefault="00F11FAC">
      <w:pPr>
        <w:pStyle w:val="Notedebasdepage"/>
      </w:pPr>
      <w:r w:rsidRPr="005A5284">
        <w:rPr>
          <w:rStyle w:val="Appelnotedebasdep"/>
        </w:rPr>
        <w:footnoteRef/>
      </w:r>
      <w:r w:rsidRPr="005A5284">
        <w:tab/>
        <w:t xml:space="preserve">Pièce P-57, </w:t>
      </w:r>
      <w:r w:rsidR="0077674D" w:rsidRPr="005A5284">
        <w:t>Avis du CCAFÉ du 19</w:t>
      </w:r>
      <w:r w:rsidR="00754088" w:rsidRPr="005A5284">
        <w:t> </w:t>
      </w:r>
      <w:r w:rsidR="0077674D" w:rsidRPr="005A5284">
        <w:t>janvier</w:t>
      </w:r>
      <w:r w:rsidR="00754088" w:rsidRPr="005A5284">
        <w:t> </w:t>
      </w:r>
      <w:r w:rsidR="0077674D" w:rsidRPr="005A5284">
        <w:t xml:space="preserve">2024 sur la nouvelle tarification, à la </w:t>
      </w:r>
      <w:r w:rsidRPr="005A5284">
        <w:t>p. 4.</w:t>
      </w:r>
    </w:p>
  </w:footnote>
  <w:footnote w:id="182">
    <w:p w14:paraId="3D37D20D" w14:textId="544E2365" w:rsidR="00435FCD" w:rsidRDefault="00435FCD">
      <w:pPr>
        <w:pStyle w:val="Notedebasdepage"/>
      </w:pPr>
      <w:r w:rsidRPr="009B7687">
        <w:rPr>
          <w:rStyle w:val="Appelnotedebasdep"/>
        </w:rPr>
        <w:footnoteRef/>
      </w:r>
      <w:r w:rsidRPr="009B7687">
        <w:tab/>
        <w:t>2020 QCCS 5182.</w:t>
      </w:r>
      <w:r w:rsidR="00335A87" w:rsidRPr="009B7687">
        <w:t xml:space="preserve"> Voir aussi, au même effet : </w:t>
      </w:r>
      <w:r w:rsidR="00335A87" w:rsidRPr="009B7687">
        <w:rPr>
          <w:i/>
          <w:iCs/>
        </w:rPr>
        <w:t>Boyle</w:t>
      </w:r>
      <w:r w:rsidR="00335A87" w:rsidRPr="009B7687">
        <w:t xml:space="preserve"> c. </w:t>
      </w:r>
      <w:r w:rsidR="00335A87" w:rsidRPr="009B7687">
        <w:rPr>
          <w:i/>
          <w:iCs/>
        </w:rPr>
        <w:t>Commission scolaire English Montreal</w:t>
      </w:r>
      <w:r w:rsidR="00335A87" w:rsidRPr="009B7687">
        <w:t xml:space="preserve">, J.E. 2003-1597 (C.S.), par. 97-107 et 134-144; </w:t>
      </w:r>
      <w:r w:rsidR="00335A87" w:rsidRPr="009B7687">
        <w:rPr>
          <w:i/>
          <w:iCs/>
        </w:rPr>
        <w:t>St</w:t>
      </w:r>
      <w:r w:rsidR="00755EA4">
        <w:rPr>
          <w:i/>
          <w:iCs/>
        </w:rPr>
        <w:t xml:space="preserve">. </w:t>
      </w:r>
      <w:r w:rsidR="00335A87" w:rsidRPr="009B7687">
        <w:rPr>
          <w:i/>
          <w:iCs/>
        </w:rPr>
        <w:t>Patrick School Governing Board</w:t>
      </w:r>
      <w:r w:rsidR="00335A87" w:rsidRPr="009B7687">
        <w:t xml:space="preserve"> c.</w:t>
      </w:r>
      <w:r w:rsidR="00335A87" w:rsidRPr="009B7687">
        <w:rPr>
          <w:i/>
          <w:iCs/>
        </w:rPr>
        <w:t xml:space="preserve"> English Montreal School Board, </w:t>
      </w:r>
      <w:r w:rsidR="00335A87" w:rsidRPr="009B7687">
        <w:t xml:space="preserve">J.E. 99-1705 (C.S.), p. 7 (appel rejeté </w:t>
      </w:r>
      <w:r w:rsidR="003F1E8E" w:rsidRPr="009B7687">
        <w:t>à</w:t>
      </w:r>
      <w:r w:rsidR="00335A87" w:rsidRPr="009B7687">
        <w:t xml:space="preserve"> 500-09-008496-994); </w:t>
      </w:r>
      <w:r w:rsidR="00335A87" w:rsidRPr="009B7687">
        <w:rPr>
          <w:i/>
          <w:iCs/>
        </w:rPr>
        <w:t>Castonguay</w:t>
      </w:r>
      <w:r w:rsidR="00335A87" w:rsidRPr="009B7687">
        <w:t xml:space="preserve"> c. </w:t>
      </w:r>
      <w:r w:rsidR="00335A87" w:rsidRPr="009B7687">
        <w:rPr>
          <w:i/>
          <w:iCs/>
        </w:rPr>
        <w:t>Commission scolaire Jérôme-Le-Royer</w:t>
      </w:r>
      <w:r w:rsidR="00335A87" w:rsidRPr="009B7687">
        <w:t xml:space="preserve"> (C.S., 1992-07-06), J.E. 92-1219, p. 11.</w:t>
      </w:r>
    </w:p>
  </w:footnote>
  <w:footnote w:id="183">
    <w:p w14:paraId="1F38CAB0" w14:textId="04BB7355" w:rsidR="002467E0" w:rsidRDefault="002467E0">
      <w:pPr>
        <w:pStyle w:val="Notedebasdepage"/>
      </w:pPr>
      <w:r>
        <w:rPr>
          <w:rStyle w:val="Appelnotedebasdep"/>
        </w:rPr>
        <w:footnoteRef/>
      </w:r>
      <w:r>
        <w:tab/>
        <w:t>Mémoire de McGill, par. 16.</w:t>
      </w:r>
    </w:p>
  </w:footnote>
  <w:footnote w:id="184">
    <w:p w14:paraId="60C4727D" w14:textId="206AC626" w:rsidR="00355EB6" w:rsidRDefault="00355EB6">
      <w:pPr>
        <w:pStyle w:val="Notedebasdepage"/>
      </w:pPr>
      <w:r>
        <w:rPr>
          <w:rStyle w:val="Appelnotedebasdep"/>
        </w:rPr>
        <w:footnoteRef/>
      </w:r>
      <w:r>
        <w:tab/>
        <w:t>Pièce P-25</w:t>
      </w:r>
      <w:r w:rsidR="00B5226A">
        <w:t xml:space="preserve">, </w:t>
      </w:r>
      <w:r w:rsidR="00B5226A" w:rsidRPr="005A5284">
        <w:t xml:space="preserve">Avis du CCAFÉ du </w:t>
      </w:r>
      <w:r w:rsidR="0040163B" w:rsidRPr="005A5284">
        <w:t>1</w:t>
      </w:r>
      <w:r w:rsidR="0040163B" w:rsidRPr="005A5284">
        <w:rPr>
          <w:vertAlign w:val="superscript"/>
        </w:rPr>
        <w:t>er</w:t>
      </w:r>
      <w:r w:rsidR="0040163B" w:rsidRPr="005A5284">
        <w:t> </w:t>
      </w:r>
      <w:r w:rsidR="00B5226A" w:rsidRPr="005A5284">
        <w:t>avril</w:t>
      </w:r>
      <w:r w:rsidR="0040163B" w:rsidRPr="005A5284">
        <w:t> </w:t>
      </w:r>
      <w:r w:rsidR="00B5226A" w:rsidRPr="005A5284">
        <w:t>2019</w:t>
      </w:r>
      <w:r w:rsidRPr="005A5284">
        <w:t>.</w:t>
      </w:r>
    </w:p>
  </w:footnote>
  <w:footnote w:id="185">
    <w:p w14:paraId="57B8C07A" w14:textId="4C19F1B6" w:rsidR="00130BFE" w:rsidRDefault="00130BFE">
      <w:pPr>
        <w:pStyle w:val="Notedebasdepage"/>
      </w:pPr>
      <w:r>
        <w:rPr>
          <w:rStyle w:val="Appelnotedebasdep"/>
        </w:rPr>
        <w:footnoteRef/>
      </w:r>
      <w:r>
        <w:tab/>
        <w:t xml:space="preserve">Pièce UC-12, </w:t>
      </w:r>
      <w:r w:rsidR="00B1557B" w:rsidRPr="005A5284">
        <w:t>Déclaration sous serment #2 de Denis Cossette, au</w:t>
      </w:r>
      <w:r w:rsidR="00B1557B" w:rsidRPr="00B1557B">
        <w:t xml:space="preserve"> </w:t>
      </w:r>
      <w:r>
        <w:t>par. 32.</w:t>
      </w:r>
    </w:p>
  </w:footnote>
  <w:footnote w:id="186">
    <w:p w14:paraId="65BCECF2" w14:textId="3174D744" w:rsidR="004A6642" w:rsidRPr="00A826A1" w:rsidRDefault="004A6642">
      <w:pPr>
        <w:pStyle w:val="Notedebasdepage"/>
      </w:pPr>
      <w:r>
        <w:rPr>
          <w:rStyle w:val="Appelnotedebasdep"/>
        </w:rPr>
        <w:footnoteRef/>
      </w:r>
      <w:r w:rsidRPr="00A826A1">
        <w:tab/>
        <w:t>Pièce P-57</w:t>
      </w:r>
      <w:r w:rsidR="00266B44" w:rsidRPr="00603A58">
        <w:t>, Avis du CCAFÉ du 19</w:t>
      </w:r>
      <w:r w:rsidR="00904AD4">
        <w:t> </w:t>
      </w:r>
      <w:r w:rsidR="00266B44" w:rsidRPr="00603A58">
        <w:t>janvier</w:t>
      </w:r>
      <w:r w:rsidR="00904AD4">
        <w:t> </w:t>
      </w:r>
      <w:r w:rsidR="00266B44" w:rsidRPr="00603A58">
        <w:t>2024 sur la nouvelle tarification</w:t>
      </w:r>
      <w:r w:rsidRPr="00A826A1">
        <w:t>.</w:t>
      </w:r>
    </w:p>
  </w:footnote>
  <w:footnote w:id="187">
    <w:p w14:paraId="1BDAFDF2" w14:textId="77777777" w:rsidR="0079657E" w:rsidRPr="00A826A1" w:rsidRDefault="0079657E">
      <w:pPr>
        <w:pStyle w:val="Notedebasdepage"/>
      </w:pPr>
      <w:r>
        <w:rPr>
          <w:rStyle w:val="Appelnotedebasdep"/>
        </w:rPr>
        <w:footnoteRef/>
      </w:r>
      <w:r w:rsidRPr="00A826A1">
        <w:t xml:space="preserve"> </w:t>
      </w:r>
      <w:r w:rsidRPr="00A826A1">
        <w:tab/>
      </w:r>
      <w:r w:rsidRPr="003E6384">
        <w:rPr>
          <w:i/>
          <w:iCs/>
        </w:rPr>
        <w:t>Amended Application for Judicial Review</w:t>
      </w:r>
      <w:r w:rsidR="00266B44" w:rsidRPr="00D81B8B">
        <w:t xml:space="preserve"> de Concordia</w:t>
      </w:r>
      <w:r w:rsidRPr="00A826A1">
        <w:t>.</w:t>
      </w:r>
    </w:p>
  </w:footnote>
  <w:footnote w:id="188">
    <w:p w14:paraId="017BFFBC" w14:textId="4A691D51" w:rsidR="000E6871" w:rsidRPr="00D9254B" w:rsidRDefault="000E6871" w:rsidP="000E6871">
      <w:pPr>
        <w:pStyle w:val="Notedebasdepage"/>
      </w:pPr>
      <w:r>
        <w:rPr>
          <w:rStyle w:val="Appelnotedebasdep"/>
        </w:rPr>
        <w:footnoteRef/>
      </w:r>
      <w:r w:rsidRPr="00D9254B">
        <w:tab/>
      </w:r>
      <w:r w:rsidRPr="008E003C">
        <w:rPr>
          <w:i/>
          <w:iCs/>
        </w:rPr>
        <w:t>Vavilov</w:t>
      </w:r>
      <w:r w:rsidRPr="00D9254B">
        <w:t>,</w:t>
      </w:r>
      <w:r>
        <w:t xml:space="preserve"> </w:t>
      </w:r>
      <w:r w:rsidRPr="003E6384">
        <w:t xml:space="preserve">préc., note </w:t>
      </w:r>
      <w:r w:rsidRPr="003E6384">
        <w:fldChar w:fldCharType="begin"/>
      </w:r>
      <w:r w:rsidRPr="003E6384">
        <w:instrText xml:space="preserve"> NOTEREF _Ref194175098 \h </w:instrText>
      </w:r>
      <w:r w:rsidR="003E6384">
        <w:instrText xml:space="preserve"> \* MERGEFORMAT </w:instrText>
      </w:r>
      <w:r w:rsidRPr="003E6384">
        <w:fldChar w:fldCharType="separate"/>
      </w:r>
      <w:r w:rsidR="0014558C">
        <w:t>14</w:t>
      </w:r>
      <w:r w:rsidRPr="003E6384">
        <w:fldChar w:fldCharType="end"/>
      </w:r>
      <w:r w:rsidRPr="003E6384">
        <w:t>,</w:t>
      </w:r>
      <w:r w:rsidRPr="00D9254B">
        <w:t xml:space="preserve"> au par. 83.</w:t>
      </w:r>
    </w:p>
  </w:footnote>
  <w:footnote w:id="189">
    <w:p w14:paraId="58E8DAEE" w14:textId="77777777" w:rsidR="000E6871" w:rsidRDefault="000E6871" w:rsidP="000E6871">
      <w:pPr>
        <w:pStyle w:val="Notedebasdepage"/>
      </w:pPr>
      <w:r>
        <w:rPr>
          <w:rStyle w:val="Appelnotedebasdep"/>
        </w:rPr>
        <w:footnoteRef/>
      </w:r>
      <w:r>
        <w:tab/>
      </w:r>
      <w:r w:rsidRPr="007F0962">
        <w:rPr>
          <w:i/>
          <w:iCs/>
        </w:rPr>
        <w:t>Id.</w:t>
      </w:r>
      <w:r>
        <w:t>, aux par. 91 à 102.</w:t>
      </w:r>
    </w:p>
  </w:footnote>
  <w:footnote w:id="190">
    <w:p w14:paraId="522E550A" w14:textId="5081C934" w:rsidR="00D9254B" w:rsidRDefault="00D9254B">
      <w:pPr>
        <w:pStyle w:val="Notedebasdepage"/>
      </w:pPr>
      <w:r w:rsidRPr="003E6384">
        <w:rPr>
          <w:rStyle w:val="Appelnotedebasdep"/>
        </w:rPr>
        <w:footnoteRef/>
      </w:r>
      <w:r w:rsidRPr="003E6384">
        <w:tab/>
      </w:r>
      <w:r w:rsidR="0060681A" w:rsidRPr="003E6384">
        <w:rPr>
          <w:i/>
          <w:iCs/>
        </w:rPr>
        <w:t>Baker</w:t>
      </w:r>
      <w:r w:rsidR="0060681A" w:rsidRPr="003E6384">
        <w:t xml:space="preserve">, préc. </w:t>
      </w:r>
      <w:r w:rsidR="003E6384" w:rsidRPr="003E6384">
        <w:t xml:space="preserve">note </w:t>
      </w:r>
      <w:r w:rsidR="001161ED" w:rsidRPr="003E6384">
        <w:fldChar w:fldCharType="begin"/>
      </w:r>
      <w:r w:rsidR="001161ED" w:rsidRPr="003E6384">
        <w:instrText xml:space="preserve"> NOTEREF _Ref195012867 \h  \* MERGEFORMAT </w:instrText>
      </w:r>
      <w:r w:rsidR="001161ED" w:rsidRPr="003E6384">
        <w:fldChar w:fldCharType="separate"/>
      </w:r>
      <w:r w:rsidR="0014558C">
        <w:t>18</w:t>
      </w:r>
      <w:r w:rsidR="001161ED" w:rsidRPr="003E6384">
        <w:fldChar w:fldCharType="end"/>
      </w:r>
      <w:r w:rsidRPr="003E6384">
        <w:t>, au par. 11.</w:t>
      </w:r>
    </w:p>
  </w:footnote>
  <w:footnote w:id="191">
    <w:p w14:paraId="098D188D" w14:textId="2A710384" w:rsidR="00EF3CA8" w:rsidRPr="00015DC2" w:rsidRDefault="00EF3CA8">
      <w:pPr>
        <w:pStyle w:val="Notedebasdepage"/>
        <w:rPr>
          <w:lang w:val="en-CA"/>
        </w:rPr>
      </w:pPr>
      <w:r>
        <w:rPr>
          <w:rStyle w:val="Appelnotedebasdep"/>
        </w:rPr>
        <w:footnoteRef/>
      </w:r>
      <w:r w:rsidRPr="00015DC2">
        <w:rPr>
          <w:lang w:val="en-CA"/>
        </w:rPr>
        <w:tab/>
      </w:r>
      <w:r w:rsidR="006A026A" w:rsidRPr="00015DC2">
        <w:rPr>
          <w:rFonts w:cs="Arial"/>
          <w:i/>
          <w:iCs/>
          <w:color w:val="000000"/>
          <w:lang w:val="en-CA"/>
        </w:rPr>
        <w:t>Glassco</w:t>
      </w:r>
      <w:r w:rsidR="006A026A" w:rsidRPr="00015DC2">
        <w:rPr>
          <w:rFonts w:cs="Arial"/>
          <w:color w:val="000000"/>
          <w:lang w:val="en-CA"/>
        </w:rPr>
        <w:t xml:space="preserve"> c.</w:t>
      </w:r>
      <w:r w:rsidR="004B47BB" w:rsidRPr="00015DC2">
        <w:rPr>
          <w:rFonts w:cs="Arial"/>
          <w:color w:val="000000"/>
          <w:lang w:val="en-CA"/>
        </w:rPr>
        <w:t xml:space="preserve"> </w:t>
      </w:r>
      <w:r w:rsidR="006A026A" w:rsidRPr="00015DC2">
        <w:rPr>
          <w:rFonts w:cs="Arial"/>
          <w:i/>
          <w:iCs/>
          <w:color w:val="000000"/>
          <w:lang w:val="en-CA"/>
        </w:rPr>
        <w:t>Cumming</w:t>
      </w:r>
      <w:r w:rsidR="006A026A" w:rsidRPr="00015DC2">
        <w:rPr>
          <w:rFonts w:cs="Arial"/>
          <w:color w:val="000000"/>
          <w:lang w:val="en-CA"/>
        </w:rPr>
        <w:t>, [1978] 2 R.C.S. 605.</w:t>
      </w:r>
    </w:p>
  </w:footnote>
  <w:footnote w:id="192">
    <w:p w14:paraId="759C158A" w14:textId="675C930E" w:rsidR="007933D1" w:rsidRPr="007933D1" w:rsidRDefault="007933D1">
      <w:pPr>
        <w:pStyle w:val="Notedebasdepage"/>
      </w:pPr>
      <w:r>
        <w:rPr>
          <w:rStyle w:val="Appelnotedebasdep"/>
        </w:rPr>
        <w:footnoteRef/>
      </w:r>
      <w:r w:rsidRPr="007933D1">
        <w:tab/>
        <w:t>2024 QCCA 1472, au par.</w:t>
      </w:r>
      <w:r>
        <w:t xml:space="preserve"> 89.</w:t>
      </w:r>
    </w:p>
  </w:footnote>
  <w:footnote w:id="193">
    <w:p w14:paraId="6C25219D" w14:textId="3D0ACFFF" w:rsidR="00007A07" w:rsidRPr="005261CE" w:rsidRDefault="00007A07">
      <w:pPr>
        <w:pStyle w:val="Notedebasdepage"/>
      </w:pPr>
      <w:r>
        <w:rPr>
          <w:rStyle w:val="Appelnotedebasdep"/>
        </w:rPr>
        <w:footnoteRef/>
      </w:r>
      <w:r w:rsidRPr="005261CE">
        <w:tab/>
      </w:r>
      <w:r w:rsidR="00EE6C4D" w:rsidRPr="005C0633">
        <w:t xml:space="preserve">Peter W. HOGG, </w:t>
      </w:r>
      <w:r w:rsidR="00EE6C4D" w:rsidRPr="005C0633">
        <w:rPr>
          <w:i/>
          <w:iCs/>
        </w:rPr>
        <w:t>Constitutional Law of Canada</w:t>
      </w:r>
      <w:r w:rsidR="00EE6C4D" w:rsidRPr="005C0633">
        <w:t>, vol. 2, 5</w:t>
      </w:r>
      <w:r w:rsidR="00EE6C4D" w:rsidRPr="005C0633">
        <w:rPr>
          <w:vertAlign w:val="superscript"/>
        </w:rPr>
        <w:t>e</w:t>
      </w:r>
      <w:r w:rsidR="00EE6C4D" w:rsidRPr="005C0633">
        <w:t xml:space="preserve"> éd., feuilles mobiles, Toronto, Carswell, 2007, </w:t>
      </w:r>
      <w:r w:rsidR="008A67AA" w:rsidRPr="00D81B8B">
        <w:t>à jour en 2024,</w:t>
      </w:r>
      <w:r w:rsidR="00EE6C4D" w:rsidRPr="00D81B8B">
        <w:t xml:space="preserve"> </w:t>
      </w:r>
      <w:r w:rsidRPr="005C0633">
        <w:rPr>
          <w:rFonts w:cs="Arial"/>
        </w:rPr>
        <w:t>§</w:t>
      </w:r>
      <w:r w:rsidRPr="005C0633">
        <w:t> 37:4.</w:t>
      </w:r>
    </w:p>
  </w:footnote>
  <w:footnote w:id="194">
    <w:p w14:paraId="6E90A802" w14:textId="2E50E0B1" w:rsidR="00914D3B" w:rsidRPr="00914D3B" w:rsidRDefault="00914D3B">
      <w:pPr>
        <w:pStyle w:val="Notedebasdepage"/>
      </w:pPr>
      <w:r>
        <w:rPr>
          <w:rStyle w:val="Appelnotedebasdep"/>
        </w:rPr>
        <w:footnoteRef/>
      </w:r>
      <w:r w:rsidRPr="00914D3B">
        <w:tab/>
        <w:t xml:space="preserve">2001 CanLII17598 (QC CA), au par. </w:t>
      </w:r>
      <w:r>
        <w:t>91</w:t>
      </w:r>
      <w:r w:rsidRPr="00914D3B">
        <w:t>.</w:t>
      </w:r>
    </w:p>
  </w:footnote>
  <w:footnote w:id="195">
    <w:p w14:paraId="0CC989C7" w14:textId="36A969D7" w:rsidR="00154CFB" w:rsidRPr="00914D3B" w:rsidRDefault="00154CFB">
      <w:pPr>
        <w:pStyle w:val="Notedebasdepage"/>
        <w:rPr>
          <w:lang w:val="en-CA"/>
        </w:rPr>
      </w:pPr>
      <w:r>
        <w:rPr>
          <w:rStyle w:val="Appelnotedebasdep"/>
        </w:rPr>
        <w:footnoteRef/>
      </w:r>
      <w:r w:rsidRPr="00914D3B">
        <w:rPr>
          <w:lang w:val="en-CA"/>
        </w:rPr>
        <w:tab/>
      </w:r>
      <w:r w:rsidRPr="00914D3B">
        <w:rPr>
          <w:i/>
          <w:iCs/>
          <w:lang w:val="en-CA"/>
        </w:rPr>
        <w:t>R</w:t>
      </w:r>
      <w:r w:rsidRPr="00914D3B">
        <w:rPr>
          <w:lang w:val="en-CA"/>
        </w:rPr>
        <w:t xml:space="preserve">. c. </w:t>
      </w:r>
      <w:r w:rsidRPr="00914D3B">
        <w:rPr>
          <w:i/>
          <w:iCs/>
          <w:lang w:val="en-CA"/>
        </w:rPr>
        <w:t>Big M Drug Mart Ltd</w:t>
      </w:r>
      <w:r w:rsidRPr="00914D3B">
        <w:rPr>
          <w:lang w:val="en-CA"/>
        </w:rPr>
        <w:t>, [1985] 1 R.C.S. 295.</w:t>
      </w:r>
    </w:p>
  </w:footnote>
  <w:footnote w:id="196">
    <w:p w14:paraId="6D6FB9E4" w14:textId="6EE374E2" w:rsidR="00D14C78" w:rsidRPr="00D14C78" w:rsidRDefault="00D14C78">
      <w:pPr>
        <w:pStyle w:val="Notedebasdepage"/>
      </w:pPr>
      <w:r w:rsidRPr="00D14C78">
        <w:rPr>
          <w:rStyle w:val="Appelnotedebasdep"/>
        </w:rPr>
        <w:footnoteRef/>
      </w:r>
      <w:r w:rsidRPr="00D14C78">
        <w:tab/>
      </w:r>
      <w:r w:rsidRPr="00D14C78">
        <w:rPr>
          <w:rFonts w:eastAsiaTheme="minorHAnsi" w:cs="Arial"/>
          <w:i/>
          <w:iCs/>
          <w:lang w:eastAsia="en-US"/>
        </w:rPr>
        <w:t xml:space="preserve">Canada (Procureur général) </w:t>
      </w:r>
      <w:r w:rsidRPr="00D14C78">
        <w:rPr>
          <w:rFonts w:eastAsiaTheme="minorHAnsi" w:cs="Arial"/>
          <w:lang w:eastAsia="en-US"/>
        </w:rPr>
        <w:t xml:space="preserve">c. </w:t>
      </w:r>
      <w:r w:rsidRPr="00D14C78">
        <w:rPr>
          <w:rFonts w:eastAsiaTheme="minorHAnsi" w:cs="Arial"/>
          <w:i/>
          <w:iCs/>
          <w:lang w:eastAsia="en-US"/>
        </w:rPr>
        <w:t>Hislop</w:t>
      </w:r>
      <w:r w:rsidRPr="00D14C78">
        <w:rPr>
          <w:rFonts w:eastAsiaTheme="minorHAnsi" w:cs="Arial"/>
          <w:lang w:eastAsia="en-US"/>
        </w:rPr>
        <w:t xml:space="preserve">, </w:t>
      </w:r>
      <w:r w:rsidRPr="00C36B51">
        <w:rPr>
          <w:rFonts w:eastAsiaTheme="minorHAnsi" w:cs="Arial"/>
          <w:lang w:eastAsia="en-US"/>
        </w:rPr>
        <w:t>2007 CSC 10</w:t>
      </w:r>
      <w:r w:rsidRPr="00D14C78">
        <w:rPr>
          <w:rFonts w:eastAsiaTheme="minorHAnsi" w:cs="Arial"/>
          <w:lang w:eastAsia="en-US"/>
        </w:rPr>
        <w:t>, par.</w:t>
      </w:r>
      <w:r w:rsidR="00C36B51">
        <w:rPr>
          <w:rFonts w:eastAsiaTheme="minorHAnsi" w:cs="Arial"/>
          <w:lang w:eastAsia="en-US"/>
        </w:rPr>
        <w:t xml:space="preserve"> </w:t>
      </w:r>
      <w:r w:rsidRPr="00D14C78">
        <w:rPr>
          <w:rFonts w:eastAsiaTheme="minorHAnsi" w:cs="Arial"/>
          <w:lang w:eastAsia="en-US"/>
        </w:rPr>
        <w:t>72-73</w:t>
      </w:r>
      <w:r>
        <w:rPr>
          <w:rFonts w:eastAsiaTheme="minorHAnsi" w:cs="Arial"/>
          <w:lang w:eastAsia="en-US"/>
        </w:rPr>
        <w:t>.</w:t>
      </w:r>
    </w:p>
  </w:footnote>
  <w:footnote w:id="197">
    <w:p w14:paraId="651ED622" w14:textId="0A9FF08F" w:rsidR="006D1D77" w:rsidRPr="002B5193" w:rsidRDefault="006D1D77" w:rsidP="006D1D77">
      <w:pPr>
        <w:pStyle w:val="Notedebasdepage"/>
        <w:rPr>
          <w:rFonts w:cs="Arial"/>
        </w:rPr>
      </w:pPr>
      <w:r w:rsidRPr="002B5193">
        <w:rPr>
          <w:rStyle w:val="Appelnotedebasdep"/>
          <w:rFonts w:cs="Arial"/>
        </w:rPr>
        <w:footnoteRef/>
      </w:r>
      <w:r w:rsidR="00D67FA3">
        <w:rPr>
          <w:rFonts w:cs="Arial"/>
        </w:rPr>
        <w:tab/>
      </w:r>
      <w:r w:rsidRPr="00AA5F62">
        <w:rPr>
          <w:rFonts w:eastAsia="Calibri" w:cs="Arial"/>
          <w:i/>
          <w:iCs/>
        </w:rPr>
        <w:t>Québec (Commission des droits de la personne et des droits de la jeunesse)</w:t>
      </w:r>
      <w:r w:rsidRPr="00AA5F62">
        <w:rPr>
          <w:rFonts w:eastAsia="Calibri" w:cs="Arial"/>
        </w:rPr>
        <w:t xml:space="preserve"> c. </w:t>
      </w:r>
      <w:r w:rsidRPr="00AA5F62">
        <w:rPr>
          <w:rFonts w:eastAsia="Calibri" w:cs="Arial"/>
          <w:i/>
          <w:iCs/>
        </w:rPr>
        <w:t>Montréal (Ville);</w:t>
      </w:r>
      <w:r w:rsidRPr="009265E4">
        <w:rPr>
          <w:rFonts w:eastAsia="Calibri" w:cs="Arial"/>
          <w:i/>
          <w:iCs/>
        </w:rPr>
        <w:t xml:space="preserve"> Québec (Commission des droits de la personne et des droits de la jeunesse)</w:t>
      </w:r>
      <w:r w:rsidRPr="009265E4">
        <w:rPr>
          <w:rFonts w:eastAsia="Calibri" w:cs="Arial"/>
        </w:rPr>
        <w:t xml:space="preserve"> c. </w:t>
      </w:r>
      <w:r w:rsidRPr="009265E4">
        <w:rPr>
          <w:rFonts w:eastAsia="Calibri" w:cs="Arial"/>
          <w:i/>
          <w:iCs/>
        </w:rPr>
        <w:t>Boisbriand (Ville),</w:t>
      </w:r>
      <w:r w:rsidRPr="009265E4">
        <w:rPr>
          <w:rFonts w:eastAsia="Calibri" w:cs="Arial"/>
        </w:rPr>
        <w:t xml:space="preserve"> </w:t>
      </w:r>
      <w:r w:rsidRPr="003D379A">
        <w:rPr>
          <w:rFonts w:eastAsia="Calibri" w:cs="Arial"/>
        </w:rPr>
        <w:t>2000 CSC 27</w:t>
      </w:r>
      <w:r w:rsidRPr="002B5193">
        <w:rPr>
          <w:rFonts w:eastAsia="Calibri" w:cs="Arial"/>
        </w:rPr>
        <w:t>, par.</w:t>
      </w:r>
      <w:r w:rsidR="00471F9F">
        <w:rPr>
          <w:rFonts w:eastAsia="Calibri" w:cs="Arial"/>
        </w:rPr>
        <w:t xml:space="preserve"> </w:t>
      </w:r>
      <w:r w:rsidRPr="002B5193">
        <w:rPr>
          <w:rFonts w:eastAsia="Calibri" w:cs="Arial"/>
        </w:rPr>
        <w:t>34.</w:t>
      </w:r>
    </w:p>
  </w:footnote>
  <w:footnote w:id="198">
    <w:p w14:paraId="4B272A5A" w14:textId="5B1C0677" w:rsidR="00CC50A8" w:rsidRDefault="00CC50A8">
      <w:pPr>
        <w:pStyle w:val="Notedebasdepage"/>
      </w:pPr>
      <w:r>
        <w:rPr>
          <w:rStyle w:val="Appelnotedebasdep"/>
        </w:rPr>
        <w:footnoteRef/>
      </w:r>
      <w:r>
        <w:tab/>
      </w:r>
      <w:r w:rsidRPr="00CC50A8">
        <w:rPr>
          <w:i/>
          <w:iCs/>
        </w:rPr>
        <w:t>Motel Chute des pères inc</w:t>
      </w:r>
      <w:r>
        <w:t xml:space="preserve">. c. </w:t>
      </w:r>
      <w:r w:rsidRPr="00CC50A8">
        <w:rPr>
          <w:i/>
          <w:iCs/>
        </w:rPr>
        <w:t>Procureure générale du Québec</w:t>
      </w:r>
      <w:r>
        <w:t>, 2017 QCCA 1760, aux par. 48-49.</w:t>
      </w:r>
    </w:p>
  </w:footnote>
  <w:footnote w:id="199">
    <w:p w14:paraId="6CD49571" w14:textId="2F096351" w:rsidR="00203C8E" w:rsidRPr="002B5193" w:rsidRDefault="00203C8E" w:rsidP="00203C8E">
      <w:pPr>
        <w:pStyle w:val="Notedebasdepage"/>
        <w:rPr>
          <w:rFonts w:cs="Arial"/>
        </w:rPr>
      </w:pPr>
      <w:r w:rsidRPr="002B5193">
        <w:rPr>
          <w:rStyle w:val="Appelnotedebasdep"/>
          <w:rFonts w:cs="Arial"/>
        </w:rPr>
        <w:footnoteRef/>
      </w:r>
      <w:r w:rsidR="00172876">
        <w:rPr>
          <w:rFonts w:cs="Arial"/>
        </w:rPr>
        <w:tab/>
      </w:r>
      <w:r w:rsidRPr="007C53C6">
        <w:rPr>
          <w:rFonts w:cs="Arial"/>
          <w:i/>
          <w:iCs/>
        </w:rPr>
        <w:t xml:space="preserve">Colombie-Britannique (Procureur général) </w:t>
      </w:r>
      <w:r w:rsidRPr="007C53C6">
        <w:rPr>
          <w:rFonts w:cs="Arial"/>
        </w:rPr>
        <w:t xml:space="preserve">c. </w:t>
      </w:r>
      <w:r w:rsidRPr="007C53C6">
        <w:rPr>
          <w:rFonts w:cs="Arial"/>
          <w:i/>
          <w:iCs/>
        </w:rPr>
        <w:t xml:space="preserve">Conseil des </w:t>
      </w:r>
      <w:r w:rsidR="00172876">
        <w:rPr>
          <w:rFonts w:cs="Arial"/>
          <w:i/>
          <w:iCs/>
        </w:rPr>
        <w:t>C</w:t>
      </w:r>
      <w:r w:rsidRPr="007C53C6">
        <w:rPr>
          <w:rFonts w:cs="Arial"/>
          <w:i/>
          <w:iCs/>
        </w:rPr>
        <w:t>anadiens avec déficiences</w:t>
      </w:r>
      <w:r w:rsidRPr="007C53C6">
        <w:rPr>
          <w:rFonts w:cs="Arial"/>
        </w:rPr>
        <w:t xml:space="preserve">, </w:t>
      </w:r>
      <w:r w:rsidRPr="003D379A">
        <w:rPr>
          <w:rFonts w:cs="Arial"/>
        </w:rPr>
        <w:t>2022 CSC 27</w:t>
      </w:r>
      <w:r w:rsidRPr="002B5193">
        <w:rPr>
          <w:rFonts w:cs="Arial"/>
        </w:rPr>
        <w:t>, par.</w:t>
      </w:r>
      <w:r w:rsidR="00172876">
        <w:rPr>
          <w:rFonts w:cs="Arial"/>
        </w:rPr>
        <w:t xml:space="preserve"> </w:t>
      </w:r>
      <w:r w:rsidRPr="002B5193">
        <w:rPr>
          <w:rFonts w:cs="Arial"/>
        </w:rPr>
        <w:t xml:space="preserve">46, 53; voir également </w:t>
      </w:r>
      <w:r w:rsidRPr="007C53C6">
        <w:rPr>
          <w:rFonts w:cs="Arial"/>
          <w:i/>
          <w:iCs/>
        </w:rPr>
        <w:t>Corbiere</w:t>
      </w:r>
      <w:r w:rsidRPr="007C53C6">
        <w:rPr>
          <w:rFonts w:cs="Arial"/>
        </w:rPr>
        <w:t xml:space="preserve"> c. </w:t>
      </w:r>
      <w:r w:rsidRPr="007C53C6">
        <w:rPr>
          <w:rFonts w:cs="Arial"/>
          <w:i/>
          <w:iCs/>
        </w:rPr>
        <w:t xml:space="preserve">Canada (Ministre des </w:t>
      </w:r>
      <w:r w:rsidR="00172876">
        <w:rPr>
          <w:rFonts w:cs="Arial"/>
          <w:i/>
          <w:iCs/>
        </w:rPr>
        <w:t>A</w:t>
      </w:r>
      <w:r w:rsidRPr="007C53C6">
        <w:rPr>
          <w:rFonts w:cs="Arial"/>
          <w:i/>
          <w:iCs/>
        </w:rPr>
        <w:t>ffaires indiennes et du Nord canadien)</w:t>
      </w:r>
      <w:r w:rsidRPr="007C53C6">
        <w:rPr>
          <w:rFonts w:cs="Arial"/>
        </w:rPr>
        <w:t xml:space="preserve">, </w:t>
      </w:r>
      <w:r w:rsidRPr="003D379A">
        <w:rPr>
          <w:rFonts w:cs="Arial"/>
        </w:rPr>
        <w:t>[1999]</w:t>
      </w:r>
      <w:r w:rsidR="00172876">
        <w:rPr>
          <w:rFonts w:cs="Arial"/>
        </w:rPr>
        <w:t xml:space="preserve"> </w:t>
      </w:r>
      <w:r w:rsidRPr="003D379A">
        <w:rPr>
          <w:rFonts w:cs="Arial"/>
        </w:rPr>
        <w:t>2 RCS 203</w:t>
      </w:r>
      <w:r w:rsidRPr="002B5193">
        <w:rPr>
          <w:rFonts w:cs="Arial"/>
        </w:rPr>
        <w:t>, par.</w:t>
      </w:r>
      <w:r w:rsidR="00172876">
        <w:rPr>
          <w:rFonts w:cs="Arial"/>
        </w:rPr>
        <w:t xml:space="preserve"> </w:t>
      </w:r>
      <w:r w:rsidRPr="002B5193">
        <w:rPr>
          <w:rFonts w:cs="Arial"/>
        </w:rPr>
        <w:t>67.</w:t>
      </w:r>
    </w:p>
  </w:footnote>
  <w:footnote w:id="200">
    <w:p w14:paraId="36631FD5" w14:textId="52BDBE2D" w:rsidR="00154CFB" w:rsidRDefault="00154CFB">
      <w:pPr>
        <w:pStyle w:val="Notedebasdepage"/>
      </w:pPr>
      <w:r>
        <w:rPr>
          <w:rStyle w:val="Appelnotedebasdep"/>
        </w:rPr>
        <w:footnoteRef/>
      </w:r>
      <w:r w:rsidRPr="00154CFB">
        <w:rPr>
          <w:i/>
          <w:iCs/>
        </w:rPr>
        <w:tab/>
        <w:t>Gosselin (Tuteur de)</w:t>
      </w:r>
      <w:r>
        <w:t xml:space="preserve"> c. </w:t>
      </w:r>
      <w:r w:rsidRPr="00154CFB">
        <w:rPr>
          <w:i/>
          <w:iCs/>
        </w:rPr>
        <w:t>Québec (Procureur général),</w:t>
      </w:r>
      <w:r>
        <w:t xml:space="preserve"> [2005] 1 R.C.S. 238.</w:t>
      </w:r>
    </w:p>
  </w:footnote>
  <w:footnote w:id="201">
    <w:p w14:paraId="3FB96D19" w14:textId="7F7D91A6" w:rsidR="002C23FB" w:rsidRPr="002C23FB" w:rsidRDefault="002C23FB">
      <w:pPr>
        <w:pStyle w:val="Notedebasdepage"/>
      </w:pPr>
      <w:r>
        <w:rPr>
          <w:rStyle w:val="Appelnotedebasdep"/>
        </w:rPr>
        <w:footnoteRef/>
      </w:r>
      <w:r>
        <w:tab/>
      </w:r>
      <w:r w:rsidRPr="004F1954">
        <w:t xml:space="preserve">Alexandre MORIN, </w:t>
      </w:r>
      <w:r w:rsidRPr="004F1954">
        <w:rPr>
          <w:i/>
          <w:iCs/>
        </w:rPr>
        <w:t>Le droit à l’égalité au Canada</w:t>
      </w:r>
      <w:r w:rsidRPr="004F1954">
        <w:t>, 3</w:t>
      </w:r>
      <w:r w:rsidRPr="004F1954">
        <w:rPr>
          <w:vertAlign w:val="superscript"/>
        </w:rPr>
        <w:t>e</w:t>
      </w:r>
      <w:r w:rsidRPr="004F1954">
        <w:t xml:space="preserve"> éd., Montréal, LexisNexis, </w:t>
      </w:r>
      <w:r w:rsidR="00F34DF7">
        <w:t xml:space="preserve">à la </w:t>
      </w:r>
      <w:r w:rsidRPr="004F1954">
        <w:t>p. 191.</w:t>
      </w:r>
    </w:p>
  </w:footnote>
  <w:footnote w:id="202">
    <w:p w14:paraId="622357E2" w14:textId="3E041464" w:rsidR="00695538" w:rsidRPr="00187EDF" w:rsidRDefault="00695538">
      <w:pPr>
        <w:pStyle w:val="Notedebasdepage"/>
        <w:rPr>
          <w:rFonts w:cs="Arial"/>
        </w:rPr>
      </w:pPr>
      <w:r w:rsidRPr="00187EDF">
        <w:rPr>
          <w:rStyle w:val="Appelnotedebasdep"/>
          <w:rFonts w:cs="Arial"/>
        </w:rPr>
        <w:footnoteRef/>
      </w:r>
      <w:r w:rsidRPr="00187EDF">
        <w:rPr>
          <w:rFonts w:cs="Arial"/>
        </w:rPr>
        <w:tab/>
      </w:r>
      <w:r w:rsidR="00187EDF" w:rsidRPr="00187EDF">
        <w:rPr>
          <w:rFonts w:cs="Arial"/>
          <w:i/>
          <w:iCs/>
          <w:color w:val="000016"/>
          <w:spacing w:val="2"/>
          <w:shd w:val="clear" w:color="auto" w:fill="FFFFFF"/>
        </w:rPr>
        <w:t>Procureur général du Québec</w:t>
      </w:r>
      <w:r w:rsidR="00187EDF" w:rsidRPr="00187EDF">
        <w:rPr>
          <w:rFonts w:cs="Arial"/>
          <w:color w:val="000016"/>
          <w:spacing w:val="2"/>
          <w:shd w:val="clear" w:color="auto" w:fill="FFFFFF"/>
        </w:rPr>
        <w:t xml:space="preserve"> c. </w:t>
      </w:r>
      <w:r w:rsidR="00BB7465" w:rsidRPr="0057271D">
        <w:rPr>
          <w:rFonts w:cs="Arial"/>
          <w:i/>
          <w:iCs/>
          <w:color w:val="000016"/>
          <w:spacing w:val="2"/>
          <w:shd w:val="clear" w:color="auto" w:fill="FFFFFF"/>
        </w:rPr>
        <w:t>Quebec English School Board Association</w:t>
      </w:r>
      <w:r w:rsidR="00187EDF" w:rsidRPr="00187EDF">
        <w:rPr>
          <w:rFonts w:cs="Arial"/>
          <w:color w:val="000016"/>
          <w:spacing w:val="2"/>
          <w:shd w:val="clear" w:color="auto" w:fill="FFFFFF"/>
        </w:rPr>
        <w:t xml:space="preserve">, 2025 QCCA 383, </w:t>
      </w:r>
      <w:r w:rsidR="00F34DF7">
        <w:rPr>
          <w:rFonts w:cs="Arial"/>
          <w:color w:val="000016"/>
          <w:spacing w:val="2"/>
          <w:shd w:val="clear" w:color="auto" w:fill="FFFFFF"/>
        </w:rPr>
        <w:t xml:space="preserve">au </w:t>
      </w:r>
      <w:r w:rsidR="00187EDF" w:rsidRPr="00187EDF">
        <w:rPr>
          <w:rFonts w:cs="Arial"/>
          <w:color w:val="000016"/>
          <w:spacing w:val="2"/>
          <w:shd w:val="clear" w:color="auto" w:fill="FFFFFF"/>
        </w:rPr>
        <w:t>par. 107.</w:t>
      </w:r>
    </w:p>
  </w:footnote>
  <w:footnote w:id="203">
    <w:p w14:paraId="161D75FB" w14:textId="6CCA4444" w:rsidR="00D77937" w:rsidRPr="00D77937" w:rsidRDefault="00D77937">
      <w:pPr>
        <w:pStyle w:val="Notedebasdepage"/>
      </w:pPr>
      <w:r>
        <w:rPr>
          <w:rStyle w:val="Appelnotedebasdep"/>
        </w:rPr>
        <w:footnoteRef/>
      </w:r>
      <w:r w:rsidRPr="00D77937">
        <w:tab/>
      </w:r>
      <w:r w:rsidRPr="00F401E4">
        <w:rPr>
          <w:i/>
          <w:iCs/>
        </w:rPr>
        <w:t>Mahe</w:t>
      </w:r>
      <w:r w:rsidRPr="00D77937">
        <w:t xml:space="preserve"> c. </w:t>
      </w:r>
      <w:r w:rsidRPr="00F401E4">
        <w:rPr>
          <w:i/>
          <w:iCs/>
        </w:rPr>
        <w:t>Alberta</w:t>
      </w:r>
      <w:r w:rsidRPr="00D77937">
        <w:t>, [1990] 1 R.C.S. 342, à</w:t>
      </w:r>
      <w:r>
        <w:t xml:space="preserve"> la p. 364. Voir aussi </w:t>
      </w:r>
      <w:r w:rsidRPr="00D77937">
        <w:rPr>
          <w:i/>
          <w:iCs/>
        </w:rPr>
        <w:t>Procureur général du Québec</w:t>
      </w:r>
      <w:r>
        <w:t xml:space="preserve"> c. </w:t>
      </w:r>
      <w:r w:rsidR="00F401E4" w:rsidRPr="00F401E4">
        <w:rPr>
          <w:i/>
          <w:iCs/>
        </w:rPr>
        <w:t>Quebec</w:t>
      </w:r>
      <w:r w:rsidR="00F401E4">
        <w:t xml:space="preserve"> </w:t>
      </w:r>
      <w:r w:rsidRPr="00D77937">
        <w:rPr>
          <w:i/>
          <w:iCs/>
        </w:rPr>
        <w:t>English Scho</w:t>
      </w:r>
      <w:r>
        <w:rPr>
          <w:i/>
          <w:iCs/>
        </w:rPr>
        <w:t>o</w:t>
      </w:r>
      <w:r w:rsidRPr="00D77937">
        <w:rPr>
          <w:i/>
          <w:iCs/>
        </w:rPr>
        <w:t>l Board</w:t>
      </w:r>
      <w:r w:rsidR="00235B3A">
        <w:rPr>
          <w:i/>
          <w:iCs/>
        </w:rPr>
        <w:t xml:space="preserve"> Association</w:t>
      </w:r>
      <w:r>
        <w:t>, 2020 QCCA 1171, par. 17-19.</w:t>
      </w:r>
    </w:p>
  </w:footnote>
  <w:footnote w:id="204">
    <w:p w14:paraId="2B7C356E" w14:textId="3A49C0DA" w:rsidR="000737EF" w:rsidRDefault="000737EF">
      <w:pPr>
        <w:pStyle w:val="Notedebasdepage"/>
      </w:pPr>
      <w:r>
        <w:rPr>
          <w:rStyle w:val="Appelnotedebasdep"/>
        </w:rPr>
        <w:footnoteRef/>
      </w:r>
      <w:r>
        <w:tab/>
      </w:r>
      <w:r w:rsidRPr="00D903D9">
        <w:rPr>
          <w:rFonts w:eastAsia="calibri (corps)" w:cs="Arial"/>
          <w:i/>
          <w:spacing w:val="-6"/>
        </w:rPr>
        <w:t xml:space="preserve">Prud’homme </w:t>
      </w:r>
      <w:r w:rsidRPr="00D903D9">
        <w:rPr>
          <w:rFonts w:eastAsia="calibri (corps)" w:cs="Arial"/>
          <w:iCs/>
          <w:spacing w:val="-6"/>
        </w:rPr>
        <w:t xml:space="preserve">c. </w:t>
      </w:r>
      <w:r w:rsidRPr="00D903D9">
        <w:rPr>
          <w:rFonts w:eastAsia="calibri (corps)" w:cs="Arial"/>
          <w:i/>
          <w:spacing w:val="-6"/>
        </w:rPr>
        <w:t xml:space="preserve">Prud’homme, </w:t>
      </w:r>
      <w:r w:rsidRPr="0058098A">
        <w:rPr>
          <w:rFonts w:eastAsia="calibri (corps)" w:cs="Arial"/>
          <w:iCs/>
          <w:spacing w:val="-6"/>
        </w:rPr>
        <w:t>2002 CSC 85</w:t>
      </w:r>
      <w:r w:rsidRPr="00D903D9">
        <w:rPr>
          <w:rFonts w:eastAsia="calibri (corps)" w:cs="Arial"/>
          <w:iCs/>
          <w:spacing w:val="-6"/>
        </w:rPr>
        <w:t>, par</w:t>
      </w:r>
      <w:r>
        <w:rPr>
          <w:rFonts w:eastAsia="calibri (corps)" w:cs="Arial"/>
          <w:iCs/>
          <w:spacing w:val="-6"/>
        </w:rPr>
        <w:t>. 40-42.</w:t>
      </w:r>
    </w:p>
  </w:footnote>
  <w:footnote w:id="205">
    <w:p w14:paraId="5F5FEB05" w14:textId="2AE2AF43" w:rsidR="005A18AD" w:rsidRDefault="005A18AD">
      <w:pPr>
        <w:pStyle w:val="Notedebasdepage"/>
      </w:pPr>
      <w:r>
        <w:rPr>
          <w:rStyle w:val="Appelnotedebasdep"/>
        </w:rPr>
        <w:footnoteRef/>
      </w:r>
      <w:r>
        <w:tab/>
        <w:t>Demande amendée de pourvoi en contrôle judiciaire de McGill, au par. 34.</w:t>
      </w:r>
    </w:p>
  </w:footnote>
  <w:footnote w:id="206">
    <w:p w14:paraId="2238A284" w14:textId="25D603EC" w:rsidR="007321E3" w:rsidRPr="00D903D9" w:rsidRDefault="007321E3" w:rsidP="007321E3">
      <w:pPr>
        <w:pStyle w:val="Notedebasdepage"/>
        <w:rPr>
          <w:rFonts w:eastAsia="calibri (corps)" w:cs="Arial"/>
          <w:i/>
          <w:spacing w:val="-6"/>
        </w:rPr>
      </w:pPr>
      <w:r w:rsidRPr="00D903D9">
        <w:rPr>
          <w:rStyle w:val="Appelnotedebasdep"/>
          <w:rFonts w:eastAsia="calibri (corps)" w:cs="Arial"/>
          <w:iCs/>
          <w:spacing w:val="-6"/>
        </w:rPr>
        <w:footnoteRef/>
      </w:r>
      <w:r w:rsidR="009C3C3A">
        <w:rPr>
          <w:rFonts w:eastAsia="calibri (corps)" w:cs="Arial"/>
          <w:i/>
          <w:spacing w:val="-6"/>
        </w:rPr>
        <w:tab/>
      </w:r>
      <w:r w:rsidRPr="00D903D9">
        <w:rPr>
          <w:rFonts w:eastAsia="calibri (corps)" w:cs="Arial"/>
          <w:i/>
          <w:spacing w:val="-6"/>
        </w:rPr>
        <w:t xml:space="preserve">Béliveau St-Jacques </w:t>
      </w:r>
      <w:r w:rsidRPr="00D903D9">
        <w:rPr>
          <w:rFonts w:eastAsia="calibri (corps)" w:cs="Arial"/>
          <w:iCs/>
          <w:spacing w:val="-6"/>
        </w:rPr>
        <w:t xml:space="preserve">c. </w:t>
      </w:r>
      <w:r w:rsidRPr="00D903D9">
        <w:rPr>
          <w:rFonts w:eastAsia="calibri (corps)" w:cs="Arial"/>
          <w:i/>
          <w:spacing w:val="-6"/>
        </w:rPr>
        <w:t>Fédération des employées et employés de services publics inc</w:t>
      </w:r>
      <w:r w:rsidRPr="00D903D9">
        <w:rPr>
          <w:rFonts w:eastAsia="calibri (corps)" w:cs="Arial"/>
          <w:iCs/>
          <w:spacing w:val="-6"/>
        </w:rPr>
        <w:t xml:space="preserve">, </w:t>
      </w:r>
      <w:r w:rsidRPr="0058098A">
        <w:rPr>
          <w:rFonts w:eastAsia="calibri (corps)" w:cs="Arial"/>
          <w:iCs/>
          <w:spacing w:val="-6"/>
        </w:rPr>
        <w:t>[1996] 2 RCS 345</w:t>
      </w:r>
      <w:r w:rsidRPr="00D903D9">
        <w:rPr>
          <w:rFonts w:eastAsia="calibri (corps)" w:cs="Arial"/>
          <w:iCs/>
          <w:spacing w:val="-6"/>
        </w:rPr>
        <w:t>, par.</w:t>
      </w:r>
      <w:r w:rsidR="0058098A">
        <w:rPr>
          <w:rFonts w:eastAsia="calibri (corps)" w:cs="Arial"/>
          <w:iCs/>
          <w:spacing w:val="-6"/>
        </w:rPr>
        <w:t xml:space="preserve"> </w:t>
      </w:r>
      <w:r w:rsidRPr="00D903D9">
        <w:rPr>
          <w:rFonts w:eastAsia="calibri (corps)" w:cs="Arial"/>
          <w:iCs/>
          <w:spacing w:val="-6"/>
        </w:rPr>
        <w:t>16, 24 et 25;</w:t>
      </w:r>
      <w:r w:rsidRPr="00D903D9">
        <w:rPr>
          <w:rFonts w:eastAsia="calibri (corps)" w:cs="Arial"/>
          <w:i/>
          <w:spacing w:val="-6"/>
        </w:rPr>
        <w:t xml:space="preserve"> Prud’homme </w:t>
      </w:r>
      <w:r w:rsidRPr="00D903D9">
        <w:rPr>
          <w:rFonts w:eastAsia="calibri (corps)" w:cs="Arial"/>
          <w:iCs/>
          <w:spacing w:val="-6"/>
        </w:rPr>
        <w:t xml:space="preserve">c. </w:t>
      </w:r>
      <w:r w:rsidRPr="00D903D9">
        <w:rPr>
          <w:rFonts w:eastAsia="calibri (corps)" w:cs="Arial"/>
          <w:i/>
          <w:spacing w:val="-6"/>
        </w:rPr>
        <w:t>Prud’homme</w:t>
      </w:r>
      <w:r w:rsidRPr="003E6384">
        <w:rPr>
          <w:rFonts w:eastAsia="calibri (corps)" w:cs="Arial"/>
          <w:i/>
          <w:spacing w:val="-6"/>
        </w:rPr>
        <w:t xml:space="preserve">, </w:t>
      </w:r>
      <w:r w:rsidR="009C3C3A" w:rsidRPr="003E6384">
        <w:rPr>
          <w:rFonts w:eastAsia="calibri (corps)" w:cs="Arial"/>
          <w:iCs/>
          <w:spacing w:val="-6"/>
        </w:rPr>
        <w:t xml:space="preserve">préc., note </w:t>
      </w:r>
      <w:r w:rsidR="001F5968" w:rsidRPr="003E6384">
        <w:rPr>
          <w:rFonts w:eastAsia="calibri (corps)" w:cs="Arial"/>
          <w:iCs/>
          <w:spacing w:val="-6"/>
        </w:rPr>
        <w:fldChar w:fldCharType="begin"/>
      </w:r>
      <w:r w:rsidR="001F5968" w:rsidRPr="003E6384">
        <w:rPr>
          <w:rFonts w:eastAsia="calibri (corps)" w:cs="Arial"/>
          <w:iCs/>
          <w:spacing w:val="-6"/>
        </w:rPr>
        <w:instrText xml:space="preserve"> NOTEREF _Ref196150240 \h  \* MERGEFORMAT </w:instrText>
      </w:r>
      <w:r w:rsidR="001F5968" w:rsidRPr="003E6384">
        <w:rPr>
          <w:rFonts w:eastAsia="calibri (corps)" w:cs="Arial"/>
          <w:iCs/>
          <w:spacing w:val="-6"/>
        </w:rPr>
      </w:r>
      <w:r w:rsidR="001F5968" w:rsidRPr="003E6384">
        <w:rPr>
          <w:rFonts w:eastAsia="calibri (corps)" w:cs="Arial"/>
          <w:iCs/>
          <w:spacing w:val="-6"/>
        </w:rPr>
        <w:fldChar w:fldCharType="separate"/>
      </w:r>
      <w:r w:rsidR="0014558C">
        <w:rPr>
          <w:rFonts w:eastAsia="calibri (corps)" w:cs="Arial"/>
          <w:iCs/>
          <w:spacing w:val="-6"/>
        </w:rPr>
        <w:t>203</w:t>
      </w:r>
      <w:r w:rsidR="001F5968" w:rsidRPr="003E6384">
        <w:rPr>
          <w:rFonts w:eastAsia="calibri (corps)" w:cs="Arial"/>
          <w:iCs/>
          <w:spacing w:val="-6"/>
        </w:rPr>
        <w:fldChar w:fldCharType="end"/>
      </w:r>
      <w:r w:rsidRPr="00D903D9">
        <w:rPr>
          <w:rFonts w:eastAsia="calibri (corps)" w:cs="Arial"/>
          <w:iCs/>
          <w:spacing w:val="-6"/>
        </w:rPr>
        <w:t>, par. 32;</w:t>
      </w:r>
      <w:r w:rsidRPr="00D903D9">
        <w:rPr>
          <w:rFonts w:eastAsia="calibri (corps)" w:cs="Arial"/>
          <w:i/>
          <w:spacing w:val="-6"/>
        </w:rPr>
        <w:t xml:space="preserve"> Bou Malhab</w:t>
      </w:r>
      <w:r w:rsidRPr="00D903D9">
        <w:rPr>
          <w:rFonts w:eastAsia="calibri (corps)" w:cs="Arial"/>
          <w:iCs/>
          <w:spacing w:val="-6"/>
        </w:rPr>
        <w:t xml:space="preserve"> c.</w:t>
      </w:r>
      <w:r w:rsidRPr="00D903D9">
        <w:rPr>
          <w:rFonts w:eastAsia="calibri (corps)" w:cs="Arial"/>
          <w:i/>
          <w:spacing w:val="-6"/>
        </w:rPr>
        <w:t xml:space="preserve"> Diffusion Métromédia CMR inc</w:t>
      </w:r>
      <w:r w:rsidRPr="00D903D9">
        <w:rPr>
          <w:rFonts w:eastAsia="calibri (corps)" w:cs="Arial"/>
          <w:spacing w:val="-6"/>
        </w:rPr>
        <w:t xml:space="preserve">., </w:t>
      </w:r>
      <w:r w:rsidRPr="0058098A">
        <w:rPr>
          <w:rFonts w:eastAsia="calibri (corps)" w:cs="Arial"/>
          <w:spacing w:val="-6"/>
        </w:rPr>
        <w:t>2011 CSC 9</w:t>
      </w:r>
      <w:r w:rsidRPr="00D903D9">
        <w:rPr>
          <w:rFonts w:eastAsia="calibri (corps)" w:cs="Arial"/>
          <w:spacing w:val="-6"/>
        </w:rPr>
        <w:t>, par.</w:t>
      </w:r>
      <w:r w:rsidR="0058098A">
        <w:rPr>
          <w:rFonts w:eastAsia="calibri (corps)" w:cs="Arial"/>
          <w:spacing w:val="-6"/>
        </w:rPr>
        <w:t xml:space="preserve"> </w:t>
      </w:r>
      <w:r w:rsidRPr="00D903D9">
        <w:rPr>
          <w:rFonts w:eastAsia="calibri (corps)" w:cs="Arial"/>
          <w:spacing w:val="-6"/>
        </w:rPr>
        <w:t xml:space="preserve">23-24; </w:t>
      </w:r>
      <w:r w:rsidRPr="00D903D9">
        <w:rPr>
          <w:rFonts w:eastAsia="calibri (corps)" w:cs="Arial"/>
          <w:i/>
          <w:iCs/>
          <w:spacing w:val="-6"/>
        </w:rPr>
        <w:t>Ward</w:t>
      </w:r>
      <w:r w:rsidRPr="00D903D9">
        <w:rPr>
          <w:rFonts w:eastAsia="calibri (corps)" w:cs="Arial"/>
          <w:spacing w:val="-6"/>
        </w:rPr>
        <w:t xml:space="preserve"> c.</w:t>
      </w:r>
      <w:r w:rsidRPr="00D903D9">
        <w:rPr>
          <w:rFonts w:eastAsia="calibri (corps)" w:cs="Arial"/>
          <w:i/>
          <w:iCs/>
          <w:spacing w:val="-6"/>
        </w:rPr>
        <w:t xml:space="preserve"> Québec (C</w:t>
      </w:r>
      <w:r w:rsidR="00B45654">
        <w:rPr>
          <w:rFonts w:eastAsia="calibri (corps)" w:cs="Arial"/>
          <w:i/>
          <w:iCs/>
          <w:spacing w:val="-6"/>
        </w:rPr>
        <w:t>ommission des droits de la personne et des droits de la jeunesse</w:t>
      </w:r>
      <w:r w:rsidRPr="00D903D9">
        <w:rPr>
          <w:rFonts w:eastAsia="calibri (corps)" w:cs="Arial"/>
          <w:i/>
          <w:iCs/>
          <w:spacing w:val="-6"/>
        </w:rPr>
        <w:t>)</w:t>
      </w:r>
      <w:r w:rsidRPr="00D903D9">
        <w:rPr>
          <w:rFonts w:eastAsia="calibri (corps)" w:cs="Arial"/>
          <w:spacing w:val="-6"/>
        </w:rPr>
        <w:t xml:space="preserve">, </w:t>
      </w:r>
      <w:r w:rsidR="007C7858" w:rsidRPr="008A17C9">
        <w:rPr>
          <w:rFonts w:eastAsia="calibri (corps)" w:cs="Arial"/>
          <w:spacing w:val="-6"/>
        </w:rPr>
        <w:t xml:space="preserve">préc., note </w:t>
      </w:r>
      <w:r w:rsidR="00F34DF7" w:rsidRPr="008A17C9">
        <w:rPr>
          <w:rFonts w:eastAsia="calibri (corps)" w:cs="Arial"/>
          <w:spacing w:val="-6"/>
        </w:rPr>
        <w:fldChar w:fldCharType="begin"/>
      </w:r>
      <w:r w:rsidR="00F34DF7" w:rsidRPr="008A17C9">
        <w:rPr>
          <w:rFonts w:eastAsia="calibri (corps)" w:cs="Arial"/>
          <w:spacing w:val="-6"/>
        </w:rPr>
        <w:instrText xml:space="preserve"> NOTEREF _Ref196150200 \h  \* MERGEFORMAT </w:instrText>
      </w:r>
      <w:r w:rsidR="00F34DF7" w:rsidRPr="008A17C9">
        <w:rPr>
          <w:rFonts w:eastAsia="calibri (corps)" w:cs="Arial"/>
          <w:spacing w:val="-6"/>
        </w:rPr>
      </w:r>
      <w:r w:rsidR="00F34DF7" w:rsidRPr="008A17C9">
        <w:rPr>
          <w:rFonts w:eastAsia="calibri (corps)" w:cs="Arial"/>
          <w:spacing w:val="-6"/>
        </w:rPr>
        <w:fldChar w:fldCharType="separate"/>
      </w:r>
      <w:r w:rsidR="0014558C">
        <w:rPr>
          <w:rFonts w:eastAsia="calibri (corps)" w:cs="Arial"/>
          <w:spacing w:val="-6"/>
        </w:rPr>
        <w:t>52</w:t>
      </w:r>
      <w:r w:rsidR="00F34DF7" w:rsidRPr="008A17C9">
        <w:rPr>
          <w:rFonts w:eastAsia="calibri (corps)" w:cs="Arial"/>
          <w:spacing w:val="-6"/>
        </w:rPr>
        <w:fldChar w:fldCharType="end"/>
      </w:r>
      <w:r w:rsidRPr="008A17C9">
        <w:rPr>
          <w:rFonts w:eastAsia="calibri (corps)" w:cs="Arial"/>
          <w:spacing w:val="-6"/>
        </w:rPr>
        <w:t>,</w:t>
      </w:r>
      <w:r w:rsidRPr="00D903D9">
        <w:rPr>
          <w:rFonts w:eastAsia="calibri (corps)" w:cs="Arial"/>
          <w:spacing w:val="-6"/>
        </w:rPr>
        <w:t xml:space="preserve"> par.</w:t>
      </w:r>
      <w:r w:rsidR="0058098A">
        <w:rPr>
          <w:rFonts w:eastAsia="calibri (corps)" w:cs="Arial"/>
          <w:spacing w:val="-6"/>
        </w:rPr>
        <w:t xml:space="preserve"> </w:t>
      </w:r>
      <w:r w:rsidRPr="00D903D9">
        <w:rPr>
          <w:rFonts w:eastAsia="calibri (corps)" w:cs="Arial"/>
          <w:iCs/>
          <w:spacing w:val="-6"/>
        </w:rPr>
        <w:t>179.</w:t>
      </w:r>
    </w:p>
  </w:footnote>
  <w:footnote w:id="207">
    <w:p w14:paraId="0B33CE19" w14:textId="14F67BC0" w:rsidR="004543D5" w:rsidRDefault="004543D5" w:rsidP="004543D5">
      <w:pPr>
        <w:pStyle w:val="Notedebasdepage"/>
      </w:pPr>
      <w:r>
        <w:rPr>
          <w:rStyle w:val="Appelnotedebasdep"/>
        </w:rPr>
        <w:footnoteRef/>
      </w:r>
      <w:r>
        <w:tab/>
      </w:r>
      <w:r w:rsidR="006E1468" w:rsidRPr="004775E6">
        <w:rPr>
          <w:i/>
          <w:iCs/>
        </w:rPr>
        <w:t xml:space="preserve">Institution royale pour l'avancement des sciences (Université McGill) </w:t>
      </w:r>
      <w:r w:rsidR="006E1468" w:rsidRPr="004775E6">
        <w:t>c.</w:t>
      </w:r>
      <w:r w:rsidR="006E1468" w:rsidRPr="004775E6">
        <w:rPr>
          <w:i/>
          <w:iCs/>
        </w:rPr>
        <w:t xml:space="preserve"> Ministre de l'Enseignement supérieur</w:t>
      </w:r>
      <w:r w:rsidR="006E1468" w:rsidRPr="004775E6">
        <w:t xml:space="preserve">, préc., note </w:t>
      </w:r>
      <w:r w:rsidR="006E1468" w:rsidRPr="004775E6">
        <w:fldChar w:fldCharType="begin"/>
      </w:r>
      <w:r w:rsidR="006E1468" w:rsidRPr="004775E6">
        <w:instrText xml:space="preserve"> NOTEREF _Ref194264917 \h  \* MERGEFORMAT </w:instrText>
      </w:r>
      <w:r w:rsidR="006E1468" w:rsidRPr="004775E6">
        <w:fldChar w:fldCharType="separate"/>
      </w:r>
      <w:r w:rsidR="0014558C">
        <w:t>22</w:t>
      </w:r>
      <w:r w:rsidR="006E1468" w:rsidRPr="004775E6">
        <w:fldChar w:fldCharType="end"/>
      </w:r>
      <w:r w:rsidR="006E1468" w:rsidRPr="004775E6">
        <w:t>.</w:t>
      </w:r>
    </w:p>
  </w:footnote>
  <w:footnote w:id="208">
    <w:p w14:paraId="644F6B09" w14:textId="45346147" w:rsidR="00806D6A" w:rsidRDefault="00806D6A" w:rsidP="00806D6A">
      <w:pPr>
        <w:pStyle w:val="Notedebasdepage"/>
      </w:pPr>
      <w:r>
        <w:rPr>
          <w:rStyle w:val="Appelnotedebasdep"/>
        </w:rPr>
        <w:footnoteRef/>
      </w:r>
      <w:r>
        <w:tab/>
      </w:r>
      <w:r w:rsidRPr="00FA5208">
        <w:rPr>
          <w:i/>
          <w:iCs/>
        </w:rPr>
        <w:t>Loi constitutionnelle de 1867</w:t>
      </w:r>
      <w:r w:rsidRPr="00FA5208">
        <w:t>, 30 &amp; 31 Vict., c. 3 (R.-U.)</w:t>
      </w:r>
      <w:r>
        <w:t xml:space="preserve"> (« </w:t>
      </w:r>
      <w:r>
        <w:rPr>
          <w:b/>
          <w:bCs/>
        </w:rPr>
        <w:t>L</w:t>
      </w:r>
      <w:r w:rsidR="0057271D">
        <w:rPr>
          <w:b/>
          <w:bCs/>
        </w:rPr>
        <w:t>.</w:t>
      </w:r>
      <w:r>
        <w:rPr>
          <w:b/>
          <w:bCs/>
        </w:rPr>
        <w:t>C</w:t>
      </w:r>
      <w:r w:rsidR="0057271D">
        <w:rPr>
          <w:b/>
          <w:bCs/>
        </w:rPr>
        <w:t>.</w:t>
      </w:r>
      <w:r>
        <w:rPr>
          <w:b/>
          <w:bCs/>
        </w:rPr>
        <w:t xml:space="preserve"> 1867</w:t>
      </w:r>
      <w:r>
        <w:t> »).</w:t>
      </w:r>
    </w:p>
  </w:footnote>
  <w:footnote w:id="209">
    <w:p w14:paraId="55CA298F" w14:textId="11FC7C4F" w:rsidR="00806D6A" w:rsidRDefault="00806D6A" w:rsidP="00806D6A">
      <w:pPr>
        <w:pStyle w:val="Notedebasdepage"/>
      </w:pPr>
      <w:r>
        <w:rPr>
          <w:rStyle w:val="Appelnotedebasdep"/>
        </w:rPr>
        <w:footnoteRef/>
      </w:r>
      <w:r>
        <w:tab/>
        <w:t>Demande amendée de pourvoi en contrôle judiciaire en déclaration d’invalidité et d’inconstitutionnalité de McGill, par. 417.</w:t>
      </w:r>
    </w:p>
  </w:footnote>
  <w:footnote w:id="210">
    <w:p w14:paraId="47A9455D" w14:textId="0B3882BE" w:rsidR="00806D6A" w:rsidRDefault="00806D6A" w:rsidP="00806D6A">
      <w:pPr>
        <w:pStyle w:val="Notedebasdepage"/>
      </w:pPr>
      <w:r>
        <w:rPr>
          <w:rStyle w:val="Appelnotedebasdep"/>
        </w:rPr>
        <w:footnoteRef/>
      </w:r>
      <w:r>
        <w:tab/>
        <w:t>Demande amendée de pourvoi en contrôle judiciaire en déclaration d’invalidité et d’inconstitutionnalité de McGill, par. 419; Mémoire de McGill, par. 66.</w:t>
      </w:r>
    </w:p>
  </w:footnote>
  <w:footnote w:id="211">
    <w:p w14:paraId="03BDAE0F" w14:textId="6BEB834E" w:rsidR="00806D6A" w:rsidRPr="00806D6A" w:rsidRDefault="00806D6A" w:rsidP="00806D6A">
      <w:pPr>
        <w:pStyle w:val="Notedebasdepage"/>
        <w:rPr>
          <w:lang w:val="en-CA"/>
        </w:rPr>
      </w:pPr>
      <w:r>
        <w:rPr>
          <w:rStyle w:val="Appelnotedebasdep"/>
        </w:rPr>
        <w:footnoteRef/>
      </w:r>
      <w:r w:rsidRPr="00806D6A">
        <w:rPr>
          <w:lang w:val="en-CA"/>
        </w:rPr>
        <w:tab/>
        <w:t>2018 CSC 15.</w:t>
      </w:r>
    </w:p>
  </w:footnote>
  <w:footnote w:id="212">
    <w:p w14:paraId="1ECB16A5" w14:textId="64499716" w:rsidR="00806D6A" w:rsidRPr="0067079A" w:rsidRDefault="00806D6A" w:rsidP="00806D6A">
      <w:pPr>
        <w:pStyle w:val="Notedebasdepage"/>
        <w:rPr>
          <w:lang w:val="en-CA"/>
        </w:rPr>
      </w:pPr>
      <w:r>
        <w:rPr>
          <w:rStyle w:val="Appelnotedebasdep"/>
        </w:rPr>
        <w:footnoteRef/>
      </w:r>
      <w:r w:rsidRPr="0067079A">
        <w:rPr>
          <w:lang w:val="en-CA"/>
        </w:rPr>
        <w:tab/>
      </w:r>
      <w:r w:rsidRPr="0067079A">
        <w:rPr>
          <w:i/>
          <w:iCs/>
          <w:lang w:val="en-CA"/>
        </w:rPr>
        <w:t>Steam Whistle Brewing Inc</w:t>
      </w:r>
      <w:r w:rsidRPr="0067079A">
        <w:rPr>
          <w:lang w:val="en-CA"/>
        </w:rPr>
        <w:t xml:space="preserve"> v. </w:t>
      </w:r>
      <w:r w:rsidRPr="0067079A">
        <w:rPr>
          <w:i/>
          <w:iCs/>
          <w:lang w:val="en-CA"/>
        </w:rPr>
        <w:t>Alberta Gaming and Liquor Commission</w:t>
      </w:r>
      <w:r w:rsidRPr="0067079A">
        <w:rPr>
          <w:lang w:val="en-CA"/>
        </w:rPr>
        <w:t>, 2019 ABCA 468</w:t>
      </w:r>
      <w:r>
        <w:rPr>
          <w:lang w:val="en-CA"/>
        </w:rPr>
        <w:t xml:space="preserve">, </w:t>
      </w:r>
      <w:r w:rsidR="00D81B8B">
        <w:rPr>
          <w:lang w:val="en-CA"/>
        </w:rPr>
        <w:t xml:space="preserve">aux </w:t>
      </w:r>
      <w:r>
        <w:rPr>
          <w:lang w:val="en-CA"/>
        </w:rPr>
        <w:t>par. 82</w:t>
      </w:r>
      <w:r w:rsidR="00D81B8B">
        <w:rPr>
          <w:lang w:val="en-CA"/>
        </w:rPr>
        <w:noBreakHyphen/>
      </w:r>
      <w:r>
        <w:rPr>
          <w:lang w:val="en-CA"/>
        </w:rPr>
        <w:t>84.</w:t>
      </w:r>
    </w:p>
  </w:footnote>
  <w:footnote w:id="213">
    <w:p w14:paraId="70307D53" w14:textId="5768E899" w:rsidR="00806D6A" w:rsidRPr="0000119C" w:rsidRDefault="00806D6A" w:rsidP="00806D6A">
      <w:pPr>
        <w:pStyle w:val="Notedebasdepage"/>
      </w:pPr>
      <w:r>
        <w:rPr>
          <w:rStyle w:val="Appelnotedebasdep"/>
        </w:rPr>
        <w:footnoteRef/>
      </w:r>
      <w:r>
        <w:tab/>
      </w:r>
      <w:r w:rsidRPr="00C7394C">
        <w:rPr>
          <w:i/>
          <w:iCs/>
        </w:rPr>
        <w:t>R.</w:t>
      </w:r>
      <w:r w:rsidRPr="002E5FA5">
        <w:t xml:space="preserve"> c. </w:t>
      </w:r>
      <w:r w:rsidRPr="00C7394C">
        <w:rPr>
          <w:i/>
          <w:iCs/>
        </w:rPr>
        <w:t>Comeau</w:t>
      </w:r>
      <w:r w:rsidRPr="002E5FA5">
        <w:t xml:space="preserve">, </w:t>
      </w:r>
      <w:r w:rsidR="00115061" w:rsidRPr="008A17C9">
        <w:t xml:space="preserve">préc., note </w:t>
      </w:r>
      <w:r w:rsidR="003078CA" w:rsidRPr="008A17C9">
        <w:fldChar w:fldCharType="begin"/>
      </w:r>
      <w:r w:rsidR="003078CA" w:rsidRPr="008A17C9">
        <w:instrText xml:space="preserve"> NOTEREF _Ref195021880 \h  \* MERGEFORMAT </w:instrText>
      </w:r>
      <w:r w:rsidR="003078CA" w:rsidRPr="008A17C9">
        <w:fldChar w:fldCharType="separate"/>
      </w:r>
      <w:r w:rsidR="0014558C">
        <w:t>210</w:t>
      </w:r>
      <w:r w:rsidR="003078CA" w:rsidRPr="008A17C9">
        <w:fldChar w:fldCharType="end"/>
      </w:r>
      <w:r w:rsidRPr="008A17C9">
        <w:t>,</w:t>
      </w:r>
      <w:r>
        <w:t xml:space="preserve"> </w:t>
      </w:r>
      <w:r w:rsidR="00D81B8B">
        <w:t>aux</w:t>
      </w:r>
      <w:r>
        <w:t xml:space="preserve"> par. 8, 97 et 106.</w:t>
      </w:r>
    </w:p>
  </w:footnote>
  <w:footnote w:id="214">
    <w:p w14:paraId="0F44BAA3" w14:textId="0F0F11BA" w:rsidR="00806D6A" w:rsidRDefault="00806D6A" w:rsidP="00806D6A">
      <w:pPr>
        <w:pStyle w:val="Notedebasdepage"/>
      </w:pPr>
      <w:r>
        <w:rPr>
          <w:rStyle w:val="Appelnotedebasdep"/>
        </w:rPr>
        <w:footnoteRef/>
      </w:r>
      <w:r>
        <w:tab/>
      </w:r>
      <w:r>
        <w:rPr>
          <w:i/>
          <w:iCs/>
        </w:rPr>
        <w:t>Id.</w:t>
      </w:r>
      <w:r>
        <w:t xml:space="preserve">, </w:t>
      </w:r>
      <w:r w:rsidR="008D6E1E">
        <w:t xml:space="preserve">au </w:t>
      </w:r>
      <w:r>
        <w:t>par. 53.</w:t>
      </w:r>
    </w:p>
  </w:footnote>
  <w:footnote w:id="215">
    <w:p w14:paraId="7C7DAD05" w14:textId="608FFDF9" w:rsidR="00806D6A" w:rsidRPr="00806D6A" w:rsidRDefault="00806D6A" w:rsidP="00806D6A">
      <w:pPr>
        <w:pStyle w:val="Notedebasdepage"/>
      </w:pPr>
      <w:r>
        <w:rPr>
          <w:rStyle w:val="Appelnotedebasdep"/>
        </w:rPr>
        <w:footnoteRef/>
      </w:r>
      <w:r>
        <w:tab/>
      </w:r>
      <w:r>
        <w:rPr>
          <w:i/>
          <w:iCs/>
        </w:rPr>
        <w:t>Id.</w:t>
      </w:r>
      <w:r>
        <w:t xml:space="preserve">, </w:t>
      </w:r>
      <w:r w:rsidR="008D6E1E">
        <w:t xml:space="preserve">au </w:t>
      </w:r>
      <w:r>
        <w:t xml:space="preserve">par. 107. L’on note dans la doctrine la remarque voulant qu’une loi provinciale dont l’essence et l’objet portent sur le commerce interprovincial soit probablement </w:t>
      </w:r>
      <w:r>
        <w:rPr>
          <w:i/>
          <w:iCs/>
        </w:rPr>
        <w:t xml:space="preserve">ultra vires </w:t>
      </w:r>
      <w:r>
        <w:t>de la compétence d’une législature provinciale en vertu du partage des compétences (</w:t>
      </w:r>
      <w:r w:rsidRPr="001B674C">
        <w:t xml:space="preserve">Peter W. HOGG et Wade K. </w:t>
      </w:r>
      <w:r w:rsidRPr="001B674C">
        <w:rPr>
          <w:caps/>
        </w:rPr>
        <w:t>Wright</w:t>
      </w:r>
      <w:r w:rsidRPr="001B674C">
        <w:t xml:space="preserve">, </w:t>
      </w:r>
      <w:r w:rsidRPr="001B674C">
        <w:rPr>
          <w:i/>
          <w:iCs/>
        </w:rPr>
        <w:t>Constitutional Law of Canada</w:t>
      </w:r>
      <w:r w:rsidRPr="001B674C">
        <w:t>, 5</w:t>
      </w:r>
      <w:r w:rsidRPr="001B674C">
        <w:rPr>
          <w:vertAlign w:val="superscript"/>
        </w:rPr>
        <w:t>e</w:t>
      </w:r>
      <w:r w:rsidRPr="001B674C">
        <w:t xml:space="preserve"> éd., vol. 1, Toronto, Thomson Reuters, 2007, § 20:3, à jour en juillet 2023 :</w:t>
      </w:r>
      <w:r>
        <w:t xml:space="preserve"> « </w:t>
      </w:r>
      <w:r w:rsidRPr="001B674C">
        <w:t xml:space="preserve">The decision in </w:t>
      </w:r>
      <w:r w:rsidRPr="001B674C">
        <w:rPr>
          <w:i/>
          <w:iCs/>
        </w:rPr>
        <w:t>Comeau</w:t>
      </w:r>
      <w:r w:rsidRPr="001B674C">
        <w:t xml:space="preserve"> would appear to leave s. 121 with little work to do, at least as far as provincial laws are concerned. </w:t>
      </w:r>
      <w:r w:rsidRPr="001B674C">
        <w:rPr>
          <w:lang w:val="en-CA"/>
        </w:rPr>
        <w:t xml:space="preserve">This is because any provincial law that is “in essence and purpose” related to interprovincial trade would likely be a law in relation to trade and commerce under s. 91(2), and therefore invalid under the federal-provincial division of powers. </w:t>
      </w:r>
      <w:r w:rsidRPr="00806D6A">
        <w:t>[…] ».</w:t>
      </w:r>
    </w:p>
  </w:footnote>
  <w:footnote w:id="216">
    <w:p w14:paraId="7C638921" w14:textId="1AFFC0B1" w:rsidR="00806D6A" w:rsidRPr="00144089" w:rsidRDefault="00806D6A" w:rsidP="00806D6A">
      <w:pPr>
        <w:pStyle w:val="Notedebasdepage"/>
      </w:pPr>
      <w:r>
        <w:rPr>
          <w:rStyle w:val="Appelnotedebasdep"/>
        </w:rPr>
        <w:footnoteRef/>
      </w:r>
      <w:r>
        <w:tab/>
      </w:r>
      <w:r>
        <w:rPr>
          <w:i/>
          <w:iCs/>
        </w:rPr>
        <w:t>Id.</w:t>
      </w:r>
      <w:r>
        <w:t xml:space="preserve">, </w:t>
      </w:r>
      <w:r w:rsidR="008D6E1E">
        <w:t xml:space="preserve">aux </w:t>
      </w:r>
      <w:r>
        <w:t>par. 108 et 109.</w:t>
      </w:r>
    </w:p>
  </w:footnote>
  <w:footnote w:id="217">
    <w:p w14:paraId="1190C1FC" w14:textId="6B579BC5" w:rsidR="00806D6A" w:rsidRPr="00281B5B" w:rsidRDefault="00806D6A" w:rsidP="00806D6A">
      <w:pPr>
        <w:pStyle w:val="Notedebasdepage"/>
      </w:pPr>
      <w:r>
        <w:rPr>
          <w:rStyle w:val="Appelnotedebasdep"/>
        </w:rPr>
        <w:footnoteRef/>
      </w:r>
      <w:r>
        <w:tab/>
      </w:r>
      <w:r>
        <w:rPr>
          <w:i/>
          <w:iCs/>
        </w:rPr>
        <w:t>Id.</w:t>
      </w:r>
      <w:r>
        <w:t xml:space="preserve">, </w:t>
      </w:r>
      <w:r w:rsidR="008D6E1E">
        <w:t xml:space="preserve">au </w:t>
      </w:r>
      <w:r>
        <w:t>par. 111.</w:t>
      </w:r>
    </w:p>
  </w:footnote>
  <w:footnote w:id="218">
    <w:p w14:paraId="4FB59ECC" w14:textId="79F9484D" w:rsidR="00806D6A" w:rsidRPr="008C0559" w:rsidRDefault="00806D6A" w:rsidP="00806D6A">
      <w:pPr>
        <w:pStyle w:val="Notedebasdepage"/>
      </w:pPr>
      <w:r>
        <w:rPr>
          <w:rStyle w:val="Appelnotedebasdep"/>
        </w:rPr>
        <w:footnoteRef/>
      </w:r>
      <w:r>
        <w:tab/>
      </w:r>
      <w:r>
        <w:rPr>
          <w:i/>
          <w:iCs/>
        </w:rPr>
        <w:t>Id.</w:t>
      </w:r>
      <w:r>
        <w:t xml:space="preserve">, </w:t>
      </w:r>
      <w:r w:rsidR="008D6E1E">
        <w:t xml:space="preserve">au </w:t>
      </w:r>
      <w:r>
        <w:t>par. 112.</w:t>
      </w:r>
    </w:p>
  </w:footnote>
  <w:footnote w:id="219">
    <w:p w14:paraId="43C5C7DD" w14:textId="6B3DD137" w:rsidR="00806D6A" w:rsidRDefault="00806D6A" w:rsidP="00806D6A">
      <w:pPr>
        <w:pStyle w:val="Notedebasdepage"/>
      </w:pPr>
      <w:r>
        <w:rPr>
          <w:rStyle w:val="Appelnotedebasdep"/>
        </w:rPr>
        <w:footnoteRef/>
      </w:r>
      <w:r>
        <w:tab/>
        <w:t xml:space="preserve">Mémoire du PGQ, </w:t>
      </w:r>
      <w:r w:rsidR="00D81B8B">
        <w:t xml:space="preserve">au </w:t>
      </w:r>
      <w:r>
        <w:t>par. 119.</w:t>
      </w:r>
    </w:p>
  </w:footnote>
  <w:footnote w:id="220">
    <w:p w14:paraId="15914A2C" w14:textId="76EA0A43" w:rsidR="00806D6A" w:rsidRDefault="00806D6A" w:rsidP="00806D6A">
      <w:pPr>
        <w:pStyle w:val="Notedebasdepage"/>
      </w:pPr>
      <w:r w:rsidRPr="008A17C9">
        <w:rPr>
          <w:rStyle w:val="Appelnotedebasdep"/>
        </w:rPr>
        <w:footnoteRef/>
      </w:r>
      <w:r w:rsidRPr="008A17C9">
        <w:tab/>
      </w:r>
      <w:r w:rsidRPr="008A17C9">
        <w:rPr>
          <w:i/>
          <w:iCs/>
        </w:rPr>
        <w:t>R.</w:t>
      </w:r>
      <w:r w:rsidRPr="008A17C9">
        <w:t xml:space="preserve"> c. </w:t>
      </w:r>
      <w:r w:rsidRPr="008A17C9">
        <w:rPr>
          <w:i/>
          <w:iCs/>
        </w:rPr>
        <w:t>Comeau</w:t>
      </w:r>
      <w:r w:rsidRPr="008A17C9">
        <w:t xml:space="preserve">, </w:t>
      </w:r>
      <w:r w:rsidR="00934551" w:rsidRPr="008A17C9">
        <w:t xml:space="preserve">préc., note </w:t>
      </w:r>
      <w:r w:rsidR="003078CA" w:rsidRPr="008A17C9">
        <w:fldChar w:fldCharType="begin"/>
      </w:r>
      <w:r w:rsidR="003078CA" w:rsidRPr="008A17C9">
        <w:instrText xml:space="preserve"> NOTEREF _Ref195021880 \h  \* MERGEFORMAT </w:instrText>
      </w:r>
      <w:r w:rsidR="003078CA" w:rsidRPr="008A17C9">
        <w:fldChar w:fldCharType="separate"/>
      </w:r>
      <w:r w:rsidR="0014558C">
        <w:t>210</w:t>
      </w:r>
      <w:r w:rsidR="003078CA" w:rsidRPr="008A17C9">
        <w:fldChar w:fldCharType="end"/>
      </w:r>
      <w:r w:rsidRPr="008A17C9">
        <w:t>, par. 108.</w:t>
      </w:r>
    </w:p>
  </w:footnote>
  <w:footnote w:id="221">
    <w:p w14:paraId="5594F3A7" w14:textId="03C5A206" w:rsidR="00B85B1A" w:rsidRDefault="00B85B1A" w:rsidP="00B85B1A">
      <w:pPr>
        <w:pStyle w:val="Notedebasdepage"/>
      </w:pPr>
      <w:r>
        <w:rPr>
          <w:rStyle w:val="Appelnotedebasdep"/>
        </w:rPr>
        <w:footnoteRef/>
      </w:r>
      <w:r>
        <w:tab/>
        <w:t xml:space="preserve">Demande amendée de pourvoi en contrôle judiciaire en déclaration d’invalidité et d’inconstitutionnalité de McGill, </w:t>
      </w:r>
      <w:r w:rsidR="006B0BA5">
        <w:t xml:space="preserve">au </w:t>
      </w:r>
      <w:r>
        <w:t>par. 60.</w:t>
      </w:r>
    </w:p>
  </w:footnote>
  <w:footnote w:id="222">
    <w:p w14:paraId="078726A2" w14:textId="69ACF373" w:rsidR="00A27B99" w:rsidRDefault="00A27B99">
      <w:pPr>
        <w:pStyle w:val="Notedebasdepage"/>
      </w:pPr>
      <w:r>
        <w:rPr>
          <w:rStyle w:val="Appelnotedebasdep"/>
        </w:rPr>
        <w:footnoteRef/>
      </w:r>
      <w:r>
        <w:tab/>
        <w:t xml:space="preserve">Demande introductive d’instance modifiée de McGill, </w:t>
      </w:r>
      <w:r w:rsidR="006B0BA5">
        <w:t xml:space="preserve">aux </w:t>
      </w:r>
      <w:r>
        <w:t>par. 405 à 416.</w:t>
      </w:r>
    </w:p>
  </w:footnote>
  <w:footnote w:id="223">
    <w:p w14:paraId="1ED0ACD1" w14:textId="7CD4D366" w:rsidR="00D26BEE" w:rsidRDefault="00D26BEE">
      <w:pPr>
        <w:pStyle w:val="Notedebasdepage"/>
      </w:pPr>
      <w:r>
        <w:rPr>
          <w:rStyle w:val="Appelnotedebasdep"/>
        </w:rPr>
        <w:footnoteRef/>
      </w:r>
      <w:r>
        <w:tab/>
        <w:t>2021 QCCA 1685, au par. 117. Voir aussi les conclusions de cet arrêt.</w:t>
      </w:r>
    </w:p>
  </w:footnote>
  <w:footnote w:id="224">
    <w:p w14:paraId="7E3E9AD8" w14:textId="00BADAD2" w:rsidR="008C6D21" w:rsidRDefault="008C6D21">
      <w:pPr>
        <w:pStyle w:val="Notedebasdepage"/>
      </w:pPr>
      <w:r w:rsidRPr="00603A58">
        <w:rPr>
          <w:rStyle w:val="Appelnotedebasdep"/>
        </w:rPr>
        <w:footnoteRef/>
      </w:r>
      <w:r w:rsidRPr="00603A58">
        <w:tab/>
        <w:t>Mémoire de McGill, aux par. 80-81.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613BB" w14:textId="77777777" w:rsidR="0047400F" w:rsidRDefault="00EF1733">
    <w:pPr>
      <w:tabs>
        <w:tab w:val="center" w:pos="4709"/>
        <w:tab w:val="right" w:pos="9360"/>
      </w:tabs>
      <w:ind w:right="524"/>
    </w:pPr>
    <w:r>
      <w:t>500-17-128942-243</w:t>
    </w:r>
  </w:p>
  <w:p w14:paraId="4646A9FA" w14:textId="49FAC359" w:rsidR="0090655D" w:rsidRDefault="0047400F">
    <w:pPr>
      <w:tabs>
        <w:tab w:val="center" w:pos="4709"/>
        <w:tab w:val="right" w:pos="9360"/>
      </w:tabs>
      <w:ind w:right="524"/>
    </w:pPr>
    <w:r>
      <w:t>500-17-128952-242</w:t>
    </w:r>
    <w:r w:rsidR="0090655D">
      <w:tab/>
    </w:r>
    <w:r w:rsidR="0090655D">
      <w:tab/>
      <w:t>PAGE</w:t>
    </w:r>
    <w:r w:rsidR="007D34D0">
      <w:t> :</w:t>
    </w:r>
    <w:r w:rsidR="0090655D">
      <w:t xml:space="preserve"> </w:t>
    </w:r>
    <w:r w:rsidR="0090655D">
      <w:fldChar w:fldCharType="begin"/>
    </w:r>
    <w:r w:rsidR="0090655D">
      <w:instrText xml:space="preserve"> PAGE </w:instrText>
    </w:r>
    <w:r w:rsidR="0090655D">
      <w:fldChar w:fldCharType="separate"/>
    </w:r>
    <w:r w:rsidR="00DE73B5">
      <w:rPr>
        <w:noProof/>
      </w:rPr>
      <w:t>7</w:t>
    </w:r>
    <w:r w:rsidR="0090655D">
      <w:fldChar w:fldCharType="end"/>
    </w:r>
  </w:p>
  <w:p w14:paraId="1FF3B942" w14:textId="77777777" w:rsidR="0090655D" w:rsidRDefault="0090655D">
    <w:pPr>
      <w:tabs>
        <w:tab w:val="center" w:pos="4709"/>
        <w:tab w:val="right" w:pos="9090"/>
      </w:tabs>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6CC880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2B7C02"/>
    <w:multiLevelType w:val="hybridMultilevel"/>
    <w:tmpl w:val="B3F66A7A"/>
    <w:lvl w:ilvl="0" w:tplc="0C0C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88E59AE"/>
    <w:multiLevelType w:val="hybridMultilevel"/>
    <w:tmpl w:val="954C0B38"/>
    <w:lvl w:ilvl="0" w:tplc="CB8EBE64">
      <w:numFmt w:val="bullet"/>
      <w:lvlText w:val="-"/>
      <w:lvlJc w:val="left"/>
      <w:pPr>
        <w:ind w:left="1094" w:hanging="360"/>
      </w:pPr>
      <w:rPr>
        <w:rFonts w:ascii="Arial" w:eastAsia="Times New Roman" w:hAnsi="Arial" w:cs="Arial" w:hint="default"/>
        <w:b w:val="0"/>
      </w:rPr>
    </w:lvl>
    <w:lvl w:ilvl="1" w:tplc="0C0C0003">
      <w:start w:val="1"/>
      <w:numFmt w:val="bullet"/>
      <w:lvlText w:val="o"/>
      <w:lvlJc w:val="left"/>
      <w:pPr>
        <w:ind w:left="1814" w:hanging="360"/>
      </w:pPr>
      <w:rPr>
        <w:rFonts w:ascii="Courier New" w:hAnsi="Courier New" w:cs="Courier New" w:hint="default"/>
      </w:rPr>
    </w:lvl>
    <w:lvl w:ilvl="2" w:tplc="0C0C0005">
      <w:start w:val="1"/>
      <w:numFmt w:val="bullet"/>
      <w:lvlText w:val=""/>
      <w:lvlJc w:val="left"/>
      <w:pPr>
        <w:ind w:left="2534" w:hanging="360"/>
      </w:pPr>
      <w:rPr>
        <w:rFonts w:ascii="Wingdings" w:hAnsi="Wingdings" w:hint="default"/>
      </w:rPr>
    </w:lvl>
    <w:lvl w:ilvl="3" w:tplc="0C0C0001" w:tentative="1">
      <w:start w:val="1"/>
      <w:numFmt w:val="bullet"/>
      <w:lvlText w:val=""/>
      <w:lvlJc w:val="left"/>
      <w:pPr>
        <w:ind w:left="3254" w:hanging="360"/>
      </w:pPr>
      <w:rPr>
        <w:rFonts w:ascii="Symbol" w:hAnsi="Symbol" w:hint="default"/>
      </w:rPr>
    </w:lvl>
    <w:lvl w:ilvl="4" w:tplc="0C0C0003" w:tentative="1">
      <w:start w:val="1"/>
      <w:numFmt w:val="bullet"/>
      <w:lvlText w:val="o"/>
      <w:lvlJc w:val="left"/>
      <w:pPr>
        <w:ind w:left="3974" w:hanging="360"/>
      </w:pPr>
      <w:rPr>
        <w:rFonts w:ascii="Courier New" w:hAnsi="Courier New" w:cs="Courier New" w:hint="default"/>
      </w:rPr>
    </w:lvl>
    <w:lvl w:ilvl="5" w:tplc="0C0C0005" w:tentative="1">
      <w:start w:val="1"/>
      <w:numFmt w:val="bullet"/>
      <w:lvlText w:val=""/>
      <w:lvlJc w:val="left"/>
      <w:pPr>
        <w:ind w:left="4694" w:hanging="360"/>
      </w:pPr>
      <w:rPr>
        <w:rFonts w:ascii="Wingdings" w:hAnsi="Wingdings" w:hint="default"/>
      </w:rPr>
    </w:lvl>
    <w:lvl w:ilvl="6" w:tplc="0C0C0001" w:tentative="1">
      <w:start w:val="1"/>
      <w:numFmt w:val="bullet"/>
      <w:lvlText w:val=""/>
      <w:lvlJc w:val="left"/>
      <w:pPr>
        <w:ind w:left="5414" w:hanging="360"/>
      </w:pPr>
      <w:rPr>
        <w:rFonts w:ascii="Symbol" w:hAnsi="Symbol" w:hint="default"/>
      </w:rPr>
    </w:lvl>
    <w:lvl w:ilvl="7" w:tplc="0C0C0003" w:tentative="1">
      <w:start w:val="1"/>
      <w:numFmt w:val="bullet"/>
      <w:lvlText w:val="o"/>
      <w:lvlJc w:val="left"/>
      <w:pPr>
        <w:ind w:left="6134" w:hanging="360"/>
      </w:pPr>
      <w:rPr>
        <w:rFonts w:ascii="Courier New" w:hAnsi="Courier New" w:cs="Courier New" w:hint="default"/>
      </w:rPr>
    </w:lvl>
    <w:lvl w:ilvl="8" w:tplc="0C0C0005" w:tentative="1">
      <w:start w:val="1"/>
      <w:numFmt w:val="bullet"/>
      <w:lvlText w:val=""/>
      <w:lvlJc w:val="left"/>
      <w:pPr>
        <w:ind w:left="6854" w:hanging="360"/>
      </w:pPr>
      <w:rPr>
        <w:rFonts w:ascii="Wingdings" w:hAnsi="Wingdings" w:hint="default"/>
      </w:rPr>
    </w:lvl>
  </w:abstractNum>
  <w:abstractNum w:abstractNumId="3" w15:restartNumberingAfterBreak="0">
    <w:nsid w:val="09CE5BEE"/>
    <w:multiLevelType w:val="multilevel"/>
    <w:tmpl w:val="B47ECDEE"/>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DB5670"/>
    <w:multiLevelType w:val="hybridMultilevel"/>
    <w:tmpl w:val="DDFEDF5A"/>
    <w:lvl w:ilvl="0" w:tplc="1952BA22">
      <w:start w:val="1"/>
      <w:numFmt w:val="upperRoman"/>
      <w:pStyle w:val="CELINE1"/>
      <w:lvlText w:val="%1."/>
      <w:lvlJc w:val="left"/>
      <w:pPr>
        <w:ind w:left="9" w:hanging="720"/>
      </w:pPr>
      <w:rPr>
        <w:rFonts w:hint="default"/>
      </w:rPr>
    </w:lvl>
    <w:lvl w:ilvl="1" w:tplc="0C0C0019">
      <w:start w:val="1"/>
      <w:numFmt w:val="lowerLetter"/>
      <w:lvlText w:val="%2."/>
      <w:lvlJc w:val="left"/>
      <w:pPr>
        <w:ind w:left="369" w:hanging="360"/>
      </w:pPr>
    </w:lvl>
    <w:lvl w:ilvl="2" w:tplc="0C0C001B" w:tentative="1">
      <w:start w:val="1"/>
      <w:numFmt w:val="lowerRoman"/>
      <w:lvlText w:val="%3."/>
      <w:lvlJc w:val="right"/>
      <w:pPr>
        <w:ind w:left="1089" w:hanging="180"/>
      </w:pPr>
    </w:lvl>
    <w:lvl w:ilvl="3" w:tplc="0C0C000F" w:tentative="1">
      <w:start w:val="1"/>
      <w:numFmt w:val="decimal"/>
      <w:lvlText w:val="%4."/>
      <w:lvlJc w:val="left"/>
      <w:pPr>
        <w:ind w:left="1809" w:hanging="360"/>
      </w:pPr>
    </w:lvl>
    <w:lvl w:ilvl="4" w:tplc="0C0C0019" w:tentative="1">
      <w:start w:val="1"/>
      <w:numFmt w:val="lowerLetter"/>
      <w:lvlText w:val="%5."/>
      <w:lvlJc w:val="left"/>
      <w:pPr>
        <w:ind w:left="2529" w:hanging="360"/>
      </w:pPr>
    </w:lvl>
    <w:lvl w:ilvl="5" w:tplc="0C0C001B" w:tentative="1">
      <w:start w:val="1"/>
      <w:numFmt w:val="lowerRoman"/>
      <w:lvlText w:val="%6."/>
      <w:lvlJc w:val="right"/>
      <w:pPr>
        <w:ind w:left="3249" w:hanging="180"/>
      </w:pPr>
    </w:lvl>
    <w:lvl w:ilvl="6" w:tplc="0C0C000F" w:tentative="1">
      <w:start w:val="1"/>
      <w:numFmt w:val="decimal"/>
      <w:lvlText w:val="%7."/>
      <w:lvlJc w:val="left"/>
      <w:pPr>
        <w:ind w:left="3969" w:hanging="360"/>
      </w:pPr>
    </w:lvl>
    <w:lvl w:ilvl="7" w:tplc="0C0C0019" w:tentative="1">
      <w:start w:val="1"/>
      <w:numFmt w:val="lowerLetter"/>
      <w:lvlText w:val="%8."/>
      <w:lvlJc w:val="left"/>
      <w:pPr>
        <w:ind w:left="4689" w:hanging="360"/>
      </w:pPr>
    </w:lvl>
    <w:lvl w:ilvl="8" w:tplc="0C0C001B" w:tentative="1">
      <w:start w:val="1"/>
      <w:numFmt w:val="lowerRoman"/>
      <w:lvlText w:val="%9."/>
      <w:lvlJc w:val="right"/>
      <w:pPr>
        <w:ind w:left="5409" w:hanging="180"/>
      </w:pPr>
    </w:lvl>
  </w:abstractNum>
  <w:abstractNum w:abstractNumId="5" w15:restartNumberingAfterBreak="0">
    <w:nsid w:val="11B50DB1"/>
    <w:multiLevelType w:val="hybridMultilevel"/>
    <w:tmpl w:val="DA98BBD8"/>
    <w:lvl w:ilvl="0" w:tplc="1FB6DACC">
      <w:start w:val="3"/>
      <w:numFmt w:val="bullet"/>
      <w:lvlText w:val="-"/>
      <w:lvlJc w:val="left"/>
      <w:pPr>
        <w:ind w:left="1814" w:hanging="360"/>
      </w:pPr>
      <w:rPr>
        <w:rFonts w:ascii="Arial" w:eastAsia="Times New Roman" w:hAnsi="Arial" w:cs="Arial" w:hint="default"/>
      </w:rPr>
    </w:lvl>
    <w:lvl w:ilvl="1" w:tplc="0C0C0003" w:tentative="1">
      <w:start w:val="1"/>
      <w:numFmt w:val="bullet"/>
      <w:lvlText w:val="o"/>
      <w:lvlJc w:val="left"/>
      <w:pPr>
        <w:ind w:left="2534" w:hanging="360"/>
      </w:pPr>
      <w:rPr>
        <w:rFonts w:ascii="Courier New" w:hAnsi="Courier New" w:cs="Courier New" w:hint="default"/>
      </w:rPr>
    </w:lvl>
    <w:lvl w:ilvl="2" w:tplc="0C0C0005" w:tentative="1">
      <w:start w:val="1"/>
      <w:numFmt w:val="bullet"/>
      <w:lvlText w:val=""/>
      <w:lvlJc w:val="left"/>
      <w:pPr>
        <w:ind w:left="3254" w:hanging="360"/>
      </w:pPr>
      <w:rPr>
        <w:rFonts w:ascii="Wingdings" w:hAnsi="Wingdings" w:hint="default"/>
      </w:rPr>
    </w:lvl>
    <w:lvl w:ilvl="3" w:tplc="0C0C0001" w:tentative="1">
      <w:start w:val="1"/>
      <w:numFmt w:val="bullet"/>
      <w:lvlText w:val=""/>
      <w:lvlJc w:val="left"/>
      <w:pPr>
        <w:ind w:left="3974" w:hanging="360"/>
      </w:pPr>
      <w:rPr>
        <w:rFonts w:ascii="Symbol" w:hAnsi="Symbol" w:hint="default"/>
      </w:rPr>
    </w:lvl>
    <w:lvl w:ilvl="4" w:tplc="0C0C0003" w:tentative="1">
      <w:start w:val="1"/>
      <w:numFmt w:val="bullet"/>
      <w:lvlText w:val="o"/>
      <w:lvlJc w:val="left"/>
      <w:pPr>
        <w:ind w:left="4694" w:hanging="360"/>
      </w:pPr>
      <w:rPr>
        <w:rFonts w:ascii="Courier New" w:hAnsi="Courier New" w:cs="Courier New" w:hint="default"/>
      </w:rPr>
    </w:lvl>
    <w:lvl w:ilvl="5" w:tplc="0C0C0005" w:tentative="1">
      <w:start w:val="1"/>
      <w:numFmt w:val="bullet"/>
      <w:lvlText w:val=""/>
      <w:lvlJc w:val="left"/>
      <w:pPr>
        <w:ind w:left="5414" w:hanging="360"/>
      </w:pPr>
      <w:rPr>
        <w:rFonts w:ascii="Wingdings" w:hAnsi="Wingdings" w:hint="default"/>
      </w:rPr>
    </w:lvl>
    <w:lvl w:ilvl="6" w:tplc="0C0C0001" w:tentative="1">
      <w:start w:val="1"/>
      <w:numFmt w:val="bullet"/>
      <w:lvlText w:val=""/>
      <w:lvlJc w:val="left"/>
      <w:pPr>
        <w:ind w:left="6134" w:hanging="360"/>
      </w:pPr>
      <w:rPr>
        <w:rFonts w:ascii="Symbol" w:hAnsi="Symbol" w:hint="default"/>
      </w:rPr>
    </w:lvl>
    <w:lvl w:ilvl="7" w:tplc="0C0C0003" w:tentative="1">
      <w:start w:val="1"/>
      <w:numFmt w:val="bullet"/>
      <w:lvlText w:val="o"/>
      <w:lvlJc w:val="left"/>
      <w:pPr>
        <w:ind w:left="6854" w:hanging="360"/>
      </w:pPr>
      <w:rPr>
        <w:rFonts w:ascii="Courier New" w:hAnsi="Courier New" w:cs="Courier New" w:hint="default"/>
      </w:rPr>
    </w:lvl>
    <w:lvl w:ilvl="8" w:tplc="0C0C0005" w:tentative="1">
      <w:start w:val="1"/>
      <w:numFmt w:val="bullet"/>
      <w:lvlText w:val=""/>
      <w:lvlJc w:val="left"/>
      <w:pPr>
        <w:ind w:left="7574" w:hanging="360"/>
      </w:pPr>
      <w:rPr>
        <w:rFonts w:ascii="Wingdings" w:hAnsi="Wingdings" w:hint="default"/>
      </w:rPr>
    </w:lvl>
  </w:abstractNum>
  <w:abstractNum w:abstractNumId="6" w15:restartNumberingAfterBreak="0">
    <w:nsid w:val="14622EF0"/>
    <w:multiLevelType w:val="multilevel"/>
    <w:tmpl w:val="88E06200"/>
    <w:name w:val="Num_A"/>
    <w:styleLink w:val="z-listNumA"/>
    <w:lvl w:ilvl="0">
      <w:start w:val="1"/>
      <w:numFmt w:val="decimal"/>
      <w:lvlRestart w:val="0"/>
      <w:pStyle w:val="NumA1"/>
      <w:lvlText w:val="%1."/>
      <w:lvlJc w:val="left"/>
      <w:pPr>
        <w:tabs>
          <w:tab w:val="num" w:pos="720"/>
        </w:tabs>
        <w:ind w:left="720" w:hanging="720"/>
      </w:pPr>
      <w:rPr>
        <w:b w:val="0"/>
        <w:i w:val="0"/>
        <w:u w:val="none"/>
      </w:rPr>
    </w:lvl>
    <w:lvl w:ilvl="1">
      <w:start w:val="1"/>
      <w:numFmt w:val="lowerLetter"/>
      <w:pStyle w:val="NumA2"/>
      <w:lvlText w:val="%2)"/>
      <w:lvlJc w:val="left"/>
      <w:pPr>
        <w:tabs>
          <w:tab w:val="num" w:pos="1440"/>
        </w:tabs>
        <w:ind w:left="1440" w:hanging="720"/>
      </w:pPr>
      <w:rPr>
        <w:b w:val="0"/>
        <w:i w:val="0"/>
        <w:u w:val="none"/>
      </w:rPr>
    </w:lvl>
    <w:lvl w:ilvl="2">
      <w:start w:val="1"/>
      <w:numFmt w:val="lowerRoman"/>
      <w:pStyle w:val="NumA3"/>
      <w:lvlText w:val="%3)"/>
      <w:lvlJc w:val="left"/>
      <w:pPr>
        <w:tabs>
          <w:tab w:val="num" w:pos="2160"/>
        </w:tabs>
        <w:ind w:left="2160" w:hanging="720"/>
      </w:pPr>
      <w:rPr>
        <w:b w:val="0"/>
        <w:i w:val="0"/>
        <w:u w:val="none"/>
      </w:rPr>
    </w:lvl>
    <w:lvl w:ilvl="3">
      <w:start w:val="1"/>
      <w:numFmt w:val="upperLetter"/>
      <w:pStyle w:val="NumA4"/>
      <w:lvlText w:val="%4)"/>
      <w:lvlJc w:val="left"/>
      <w:pPr>
        <w:tabs>
          <w:tab w:val="num" w:pos="2880"/>
        </w:tabs>
        <w:ind w:left="2880" w:hanging="720"/>
      </w:pPr>
      <w:rPr>
        <w:b w:val="0"/>
        <w:i w:val="0"/>
        <w:u w:val="none"/>
      </w:rPr>
    </w:lvl>
    <w:lvl w:ilvl="4">
      <w:start w:val="1"/>
      <w:numFmt w:val="upperRoman"/>
      <w:pStyle w:val="NumA5"/>
      <w:lvlText w:val="%5)"/>
      <w:lvlJc w:val="left"/>
      <w:pPr>
        <w:tabs>
          <w:tab w:val="num" w:pos="3600"/>
        </w:tabs>
        <w:ind w:left="3600" w:hanging="720"/>
      </w:pPr>
      <w:rPr>
        <w:b w:val="0"/>
        <w:i w:val="0"/>
        <w:u w:val="none"/>
      </w:rPr>
    </w:lvl>
    <w:lvl w:ilvl="5">
      <w:start w:val="1"/>
      <w:numFmt w:val="decimal"/>
      <w:pStyle w:val="NumA6"/>
      <w:lvlText w:val="%6)"/>
      <w:lvlJc w:val="left"/>
      <w:pPr>
        <w:tabs>
          <w:tab w:val="num" w:pos="4320"/>
        </w:tabs>
        <w:ind w:left="4320" w:hanging="720"/>
      </w:pPr>
      <w:rPr>
        <w:b w:val="0"/>
        <w:i w:val="0"/>
        <w:u w:val="none"/>
      </w:rPr>
    </w:lvl>
    <w:lvl w:ilvl="6">
      <w:start w:val="1"/>
      <w:numFmt w:val="lowerLetter"/>
      <w:pStyle w:val="NumA7"/>
      <w:lvlText w:val="%7."/>
      <w:lvlJc w:val="left"/>
      <w:pPr>
        <w:tabs>
          <w:tab w:val="num" w:pos="5040"/>
        </w:tabs>
        <w:ind w:left="5040" w:hanging="720"/>
      </w:pPr>
      <w:rPr>
        <w:b w:val="0"/>
        <w:i w:val="0"/>
        <w:u w:val="none"/>
      </w:rPr>
    </w:lvl>
    <w:lvl w:ilvl="7">
      <w:start w:val="1"/>
      <w:numFmt w:val="lowerRoman"/>
      <w:pStyle w:val="NumA8"/>
      <w:lvlText w:val="%8."/>
      <w:lvlJc w:val="left"/>
      <w:pPr>
        <w:tabs>
          <w:tab w:val="num" w:pos="5760"/>
        </w:tabs>
        <w:ind w:left="5760" w:hanging="720"/>
      </w:pPr>
      <w:rPr>
        <w:b w:val="0"/>
        <w:i w:val="0"/>
        <w:u w:val="none"/>
      </w:rPr>
    </w:lvl>
    <w:lvl w:ilvl="8">
      <w:start w:val="1"/>
      <w:numFmt w:val="upperLetter"/>
      <w:pStyle w:val="NumA9"/>
      <w:lvlText w:val="%9."/>
      <w:lvlJc w:val="left"/>
      <w:pPr>
        <w:tabs>
          <w:tab w:val="num" w:pos="6480"/>
        </w:tabs>
        <w:ind w:left="6480" w:hanging="720"/>
      </w:pPr>
      <w:rPr>
        <w:b w:val="0"/>
        <w:i w:val="0"/>
        <w:u w:val="none"/>
      </w:rPr>
    </w:lvl>
  </w:abstractNum>
  <w:abstractNum w:abstractNumId="7" w15:restartNumberingAfterBreak="0">
    <w:nsid w:val="26AD6265"/>
    <w:multiLevelType w:val="hybridMultilevel"/>
    <w:tmpl w:val="FDECCAA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8" w15:restartNumberingAfterBreak="0">
    <w:nsid w:val="2AE07C32"/>
    <w:multiLevelType w:val="hybridMultilevel"/>
    <w:tmpl w:val="71C62A62"/>
    <w:lvl w:ilvl="0" w:tplc="5AA021F8">
      <w:start w:val="1"/>
      <w:numFmt w:val="decimal"/>
      <w:pStyle w:val="RA-proceedingsnumberedparagraph"/>
      <w:lvlText w:val="[%1]"/>
      <w:lvlJc w:val="right"/>
      <w:pPr>
        <w:ind w:left="360" w:hanging="360"/>
      </w:pPr>
      <w:rPr>
        <w:rFonts w:ascii="Times New Roman" w:hAnsi="Times New Roman" w:hint="default"/>
        <w:b w:val="0"/>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2D8D33DE"/>
    <w:multiLevelType w:val="hybridMultilevel"/>
    <w:tmpl w:val="1C762AF8"/>
    <w:lvl w:ilvl="0" w:tplc="1FB6DACC">
      <w:start w:val="3"/>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D245E21"/>
    <w:multiLevelType w:val="hybridMultilevel"/>
    <w:tmpl w:val="AADC3D9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5310554F"/>
    <w:multiLevelType w:val="hybridMultilevel"/>
    <w:tmpl w:val="A3129002"/>
    <w:lvl w:ilvl="0" w:tplc="0C0C0001">
      <w:start w:val="1"/>
      <w:numFmt w:val="bullet"/>
      <w:lvlText w:val=""/>
      <w:lvlJc w:val="left"/>
      <w:pPr>
        <w:ind w:left="2564" w:hanging="360"/>
      </w:pPr>
      <w:rPr>
        <w:rFonts w:ascii="Symbol" w:hAnsi="Symbol" w:hint="default"/>
      </w:rPr>
    </w:lvl>
    <w:lvl w:ilvl="1" w:tplc="0C0C0003" w:tentative="1">
      <w:start w:val="1"/>
      <w:numFmt w:val="bullet"/>
      <w:lvlText w:val="o"/>
      <w:lvlJc w:val="left"/>
      <w:pPr>
        <w:ind w:left="3284" w:hanging="360"/>
      </w:pPr>
      <w:rPr>
        <w:rFonts w:ascii="Courier New" w:hAnsi="Courier New" w:cs="Courier New" w:hint="default"/>
      </w:rPr>
    </w:lvl>
    <w:lvl w:ilvl="2" w:tplc="0C0C0005" w:tentative="1">
      <w:start w:val="1"/>
      <w:numFmt w:val="bullet"/>
      <w:lvlText w:val=""/>
      <w:lvlJc w:val="left"/>
      <w:pPr>
        <w:ind w:left="4004" w:hanging="360"/>
      </w:pPr>
      <w:rPr>
        <w:rFonts w:ascii="Wingdings" w:hAnsi="Wingdings" w:hint="default"/>
      </w:rPr>
    </w:lvl>
    <w:lvl w:ilvl="3" w:tplc="0C0C0001" w:tentative="1">
      <w:start w:val="1"/>
      <w:numFmt w:val="bullet"/>
      <w:lvlText w:val=""/>
      <w:lvlJc w:val="left"/>
      <w:pPr>
        <w:ind w:left="4724" w:hanging="360"/>
      </w:pPr>
      <w:rPr>
        <w:rFonts w:ascii="Symbol" w:hAnsi="Symbol" w:hint="default"/>
      </w:rPr>
    </w:lvl>
    <w:lvl w:ilvl="4" w:tplc="0C0C0003" w:tentative="1">
      <w:start w:val="1"/>
      <w:numFmt w:val="bullet"/>
      <w:lvlText w:val="o"/>
      <w:lvlJc w:val="left"/>
      <w:pPr>
        <w:ind w:left="5444" w:hanging="360"/>
      </w:pPr>
      <w:rPr>
        <w:rFonts w:ascii="Courier New" w:hAnsi="Courier New" w:cs="Courier New" w:hint="default"/>
      </w:rPr>
    </w:lvl>
    <w:lvl w:ilvl="5" w:tplc="0C0C0005" w:tentative="1">
      <w:start w:val="1"/>
      <w:numFmt w:val="bullet"/>
      <w:lvlText w:val=""/>
      <w:lvlJc w:val="left"/>
      <w:pPr>
        <w:ind w:left="6164" w:hanging="360"/>
      </w:pPr>
      <w:rPr>
        <w:rFonts w:ascii="Wingdings" w:hAnsi="Wingdings" w:hint="default"/>
      </w:rPr>
    </w:lvl>
    <w:lvl w:ilvl="6" w:tplc="0C0C0001" w:tentative="1">
      <w:start w:val="1"/>
      <w:numFmt w:val="bullet"/>
      <w:lvlText w:val=""/>
      <w:lvlJc w:val="left"/>
      <w:pPr>
        <w:ind w:left="6884" w:hanging="360"/>
      </w:pPr>
      <w:rPr>
        <w:rFonts w:ascii="Symbol" w:hAnsi="Symbol" w:hint="default"/>
      </w:rPr>
    </w:lvl>
    <w:lvl w:ilvl="7" w:tplc="0C0C0003" w:tentative="1">
      <w:start w:val="1"/>
      <w:numFmt w:val="bullet"/>
      <w:lvlText w:val="o"/>
      <w:lvlJc w:val="left"/>
      <w:pPr>
        <w:ind w:left="7604" w:hanging="360"/>
      </w:pPr>
      <w:rPr>
        <w:rFonts w:ascii="Courier New" w:hAnsi="Courier New" w:cs="Courier New" w:hint="default"/>
      </w:rPr>
    </w:lvl>
    <w:lvl w:ilvl="8" w:tplc="0C0C0005" w:tentative="1">
      <w:start w:val="1"/>
      <w:numFmt w:val="bullet"/>
      <w:lvlText w:val=""/>
      <w:lvlJc w:val="left"/>
      <w:pPr>
        <w:ind w:left="8324" w:hanging="360"/>
      </w:pPr>
      <w:rPr>
        <w:rFonts w:ascii="Wingdings" w:hAnsi="Wingdings" w:hint="default"/>
      </w:rPr>
    </w:lvl>
  </w:abstractNum>
  <w:abstractNum w:abstractNumId="12" w15:restartNumberingAfterBreak="0">
    <w:nsid w:val="585D28F2"/>
    <w:multiLevelType w:val="hybridMultilevel"/>
    <w:tmpl w:val="1E449928"/>
    <w:lvl w:ilvl="0" w:tplc="0C0C0005">
      <w:start w:val="1"/>
      <w:numFmt w:val="bullet"/>
      <w:lvlText w:val=""/>
      <w:lvlJc w:val="left"/>
      <w:pPr>
        <w:ind w:left="2564" w:hanging="360"/>
      </w:pPr>
      <w:rPr>
        <w:rFonts w:ascii="Wingdings" w:hAnsi="Wingdings" w:hint="default"/>
      </w:rPr>
    </w:lvl>
    <w:lvl w:ilvl="1" w:tplc="0C0C0003" w:tentative="1">
      <w:start w:val="1"/>
      <w:numFmt w:val="bullet"/>
      <w:lvlText w:val="o"/>
      <w:lvlJc w:val="left"/>
      <w:pPr>
        <w:ind w:left="3284" w:hanging="360"/>
      </w:pPr>
      <w:rPr>
        <w:rFonts w:ascii="Courier New" w:hAnsi="Courier New" w:cs="Courier New" w:hint="default"/>
      </w:rPr>
    </w:lvl>
    <w:lvl w:ilvl="2" w:tplc="0C0C0005" w:tentative="1">
      <w:start w:val="1"/>
      <w:numFmt w:val="bullet"/>
      <w:lvlText w:val=""/>
      <w:lvlJc w:val="left"/>
      <w:pPr>
        <w:ind w:left="4004" w:hanging="360"/>
      </w:pPr>
      <w:rPr>
        <w:rFonts w:ascii="Wingdings" w:hAnsi="Wingdings" w:hint="default"/>
      </w:rPr>
    </w:lvl>
    <w:lvl w:ilvl="3" w:tplc="0C0C0001" w:tentative="1">
      <w:start w:val="1"/>
      <w:numFmt w:val="bullet"/>
      <w:lvlText w:val=""/>
      <w:lvlJc w:val="left"/>
      <w:pPr>
        <w:ind w:left="4724" w:hanging="360"/>
      </w:pPr>
      <w:rPr>
        <w:rFonts w:ascii="Symbol" w:hAnsi="Symbol" w:hint="default"/>
      </w:rPr>
    </w:lvl>
    <w:lvl w:ilvl="4" w:tplc="0C0C0003" w:tentative="1">
      <w:start w:val="1"/>
      <w:numFmt w:val="bullet"/>
      <w:lvlText w:val="o"/>
      <w:lvlJc w:val="left"/>
      <w:pPr>
        <w:ind w:left="5444" w:hanging="360"/>
      </w:pPr>
      <w:rPr>
        <w:rFonts w:ascii="Courier New" w:hAnsi="Courier New" w:cs="Courier New" w:hint="default"/>
      </w:rPr>
    </w:lvl>
    <w:lvl w:ilvl="5" w:tplc="0C0C0005" w:tentative="1">
      <w:start w:val="1"/>
      <w:numFmt w:val="bullet"/>
      <w:lvlText w:val=""/>
      <w:lvlJc w:val="left"/>
      <w:pPr>
        <w:ind w:left="6164" w:hanging="360"/>
      </w:pPr>
      <w:rPr>
        <w:rFonts w:ascii="Wingdings" w:hAnsi="Wingdings" w:hint="default"/>
      </w:rPr>
    </w:lvl>
    <w:lvl w:ilvl="6" w:tplc="0C0C0001" w:tentative="1">
      <w:start w:val="1"/>
      <w:numFmt w:val="bullet"/>
      <w:lvlText w:val=""/>
      <w:lvlJc w:val="left"/>
      <w:pPr>
        <w:ind w:left="6884" w:hanging="360"/>
      </w:pPr>
      <w:rPr>
        <w:rFonts w:ascii="Symbol" w:hAnsi="Symbol" w:hint="default"/>
      </w:rPr>
    </w:lvl>
    <w:lvl w:ilvl="7" w:tplc="0C0C0003" w:tentative="1">
      <w:start w:val="1"/>
      <w:numFmt w:val="bullet"/>
      <w:lvlText w:val="o"/>
      <w:lvlJc w:val="left"/>
      <w:pPr>
        <w:ind w:left="7604" w:hanging="360"/>
      </w:pPr>
      <w:rPr>
        <w:rFonts w:ascii="Courier New" w:hAnsi="Courier New" w:cs="Courier New" w:hint="default"/>
      </w:rPr>
    </w:lvl>
    <w:lvl w:ilvl="8" w:tplc="0C0C0005" w:tentative="1">
      <w:start w:val="1"/>
      <w:numFmt w:val="bullet"/>
      <w:lvlText w:val=""/>
      <w:lvlJc w:val="left"/>
      <w:pPr>
        <w:ind w:left="8324" w:hanging="360"/>
      </w:pPr>
      <w:rPr>
        <w:rFonts w:ascii="Wingdings" w:hAnsi="Wingdings" w:hint="default"/>
      </w:rPr>
    </w:lvl>
  </w:abstractNum>
  <w:abstractNum w:abstractNumId="13" w15:restartNumberingAfterBreak="0">
    <w:nsid w:val="609C0DCC"/>
    <w:multiLevelType w:val="multilevel"/>
    <w:tmpl w:val="B0068A62"/>
    <w:lvl w:ilvl="0">
      <w:start w:val="1"/>
      <w:numFmt w:val="decimal"/>
      <w:pStyle w:val="Paragraphe"/>
      <w:lvlText w:val="[%1]"/>
      <w:lvlJc w:val="left"/>
      <w:pPr>
        <w:tabs>
          <w:tab w:val="num" w:pos="2204"/>
        </w:tabs>
        <w:ind w:left="1844" w:firstLine="0"/>
      </w:pPr>
      <w:rPr>
        <w:rFonts w:ascii="Arial" w:hAnsi="Arial" w:hint="default"/>
        <w:b w:val="0"/>
        <w:i w:val="0"/>
        <w:color w:val="0D0D0D" w:themeColor="text1" w:themeTint="F2"/>
        <w:sz w:val="24"/>
      </w:rPr>
    </w:lvl>
    <w:lvl w:ilvl="1">
      <w:start w:val="1"/>
      <w:numFmt w:val="decimal"/>
      <w:pStyle w:val="Sous-paragraphe"/>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15:restartNumberingAfterBreak="0">
    <w:nsid w:val="611B012B"/>
    <w:multiLevelType w:val="hybridMultilevel"/>
    <w:tmpl w:val="8646D0A8"/>
    <w:lvl w:ilvl="0" w:tplc="1FB6DACC">
      <w:start w:val="3"/>
      <w:numFmt w:val="bullet"/>
      <w:lvlText w:val="-"/>
      <w:lvlJc w:val="left"/>
      <w:pPr>
        <w:ind w:left="1828" w:hanging="360"/>
      </w:pPr>
      <w:rPr>
        <w:rFonts w:ascii="Arial" w:eastAsia="Times New Roman" w:hAnsi="Arial" w:cs="Arial" w:hint="default"/>
      </w:rPr>
    </w:lvl>
    <w:lvl w:ilvl="1" w:tplc="0C0C0003">
      <w:start w:val="1"/>
      <w:numFmt w:val="bullet"/>
      <w:lvlText w:val="o"/>
      <w:lvlJc w:val="left"/>
      <w:pPr>
        <w:ind w:left="2548" w:hanging="360"/>
      </w:pPr>
      <w:rPr>
        <w:rFonts w:ascii="Courier New" w:hAnsi="Courier New" w:cs="Courier New" w:hint="default"/>
      </w:rPr>
    </w:lvl>
    <w:lvl w:ilvl="2" w:tplc="0C0C0005">
      <w:start w:val="1"/>
      <w:numFmt w:val="bullet"/>
      <w:lvlText w:val=""/>
      <w:lvlJc w:val="left"/>
      <w:pPr>
        <w:ind w:left="3268" w:hanging="360"/>
      </w:pPr>
      <w:rPr>
        <w:rFonts w:ascii="Wingdings" w:hAnsi="Wingdings" w:hint="default"/>
      </w:rPr>
    </w:lvl>
    <w:lvl w:ilvl="3" w:tplc="0C0C0001" w:tentative="1">
      <w:start w:val="1"/>
      <w:numFmt w:val="bullet"/>
      <w:lvlText w:val=""/>
      <w:lvlJc w:val="left"/>
      <w:pPr>
        <w:ind w:left="3988" w:hanging="360"/>
      </w:pPr>
      <w:rPr>
        <w:rFonts w:ascii="Symbol" w:hAnsi="Symbol" w:hint="default"/>
      </w:rPr>
    </w:lvl>
    <w:lvl w:ilvl="4" w:tplc="0C0C0003" w:tentative="1">
      <w:start w:val="1"/>
      <w:numFmt w:val="bullet"/>
      <w:lvlText w:val="o"/>
      <w:lvlJc w:val="left"/>
      <w:pPr>
        <w:ind w:left="4708" w:hanging="360"/>
      </w:pPr>
      <w:rPr>
        <w:rFonts w:ascii="Courier New" w:hAnsi="Courier New" w:cs="Courier New" w:hint="default"/>
      </w:rPr>
    </w:lvl>
    <w:lvl w:ilvl="5" w:tplc="0C0C0005" w:tentative="1">
      <w:start w:val="1"/>
      <w:numFmt w:val="bullet"/>
      <w:lvlText w:val=""/>
      <w:lvlJc w:val="left"/>
      <w:pPr>
        <w:ind w:left="5428" w:hanging="360"/>
      </w:pPr>
      <w:rPr>
        <w:rFonts w:ascii="Wingdings" w:hAnsi="Wingdings" w:hint="default"/>
      </w:rPr>
    </w:lvl>
    <w:lvl w:ilvl="6" w:tplc="0C0C0001" w:tentative="1">
      <w:start w:val="1"/>
      <w:numFmt w:val="bullet"/>
      <w:lvlText w:val=""/>
      <w:lvlJc w:val="left"/>
      <w:pPr>
        <w:ind w:left="6148" w:hanging="360"/>
      </w:pPr>
      <w:rPr>
        <w:rFonts w:ascii="Symbol" w:hAnsi="Symbol" w:hint="default"/>
      </w:rPr>
    </w:lvl>
    <w:lvl w:ilvl="7" w:tplc="0C0C0003" w:tentative="1">
      <w:start w:val="1"/>
      <w:numFmt w:val="bullet"/>
      <w:lvlText w:val="o"/>
      <w:lvlJc w:val="left"/>
      <w:pPr>
        <w:ind w:left="6868" w:hanging="360"/>
      </w:pPr>
      <w:rPr>
        <w:rFonts w:ascii="Courier New" w:hAnsi="Courier New" w:cs="Courier New" w:hint="default"/>
      </w:rPr>
    </w:lvl>
    <w:lvl w:ilvl="8" w:tplc="0C0C0005" w:tentative="1">
      <w:start w:val="1"/>
      <w:numFmt w:val="bullet"/>
      <w:lvlText w:val=""/>
      <w:lvlJc w:val="left"/>
      <w:pPr>
        <w:ind w:left="7588" w:hanging="360"/>
      </w:pPr>
      <w:rPr>
        <w:rFonts w:ascii="Wingdings" w:hAnsi="Wingdings" w:hint="default"/>
      </w:rPr>
    </w:lvl>
  </w:abstractNum>
  <w:abstractNum w:abstractNumId="15" w15:restartNumberingAfterBreak="0">
    <w:nsid w:val="677C5DF5"/>
    <w:multiLevelType w:val="hybridMultilevel"/>
    <w:tmpl w:val="9820AE7C"/>
    <w:lvl w:ilvl="0" w:tplc="0C0C0003">
      <w:start w:val="1"/>
      <w:numFmt w:val="bullet"/>
      <w:lvlText w:val="o"/>
      <w:lvlJc w:val="left"/>
      <w:pPr>
        <w:ind w:left="2564" w:hanging="360"/>
      </w:pPr>
      <w:rPr>
        <w:rFonts w:ascii="Courier New" w:hAnsi="Courier New" w:cs="Courier New" w:hint="default"/>
      </w:rPr>
    </w:lvl>
    <w:lvl w:ilvl="1" w:tplc="0C0C0003" w:tentative="1">
      <w:start w:val="1"/>
      <w:numFmt w:val="bullet"/>
      <w:lvlText w:val="o"/>
      <w:lvlJc w:val="left"/>
      <w:pPr>
        <w:ind w:left="3284" w:hanging="360"/>
      </w:pPr>
      <w:rPr>
        <w:rFonts w:ascii="Courier New" w:hAnsi="Courier New" w:cs="Courier New" w:hint="default"/>
      </w:rPr>
    </w:lvl>
    <w:lvl w:ilvl="2" w:tplc="0C0C0005" w:tentative="1">
      <w:start w:val="1"/>
      <w:numFmt w:val="bullet"/>
      <w:lvlText w:val=""/>
      <w:lvlJc w:val="left"/>
      <w:pPr>
        <w:ind w:left="4004" w:hanging="360"/>
      </w:pPr>
      <w:rPr>
        <w:rFonts w:ascii="Wingdings" w:hAnsi="Wingdings" w:hint="default"/>
      </w:rPr>
    </w:lvl>
    <w:lvl w:ilvl="3" w:tplc="0C0C0001" w:tentative="1">
      <w:start w:val="1"/>
      <w:numFmt w:val="bullet"/>
      <w:lvlText w:val=""/>
      <w:lvlJc w:val="left"/>
      <w:pPr>
        <w:ind w:left="4724" w:hanging="360"/>
      </w:pPr>
      <w:rPr>
        <w:rFonts w:ascii="Symbol" w:hAnsi="Symbol" w:hint="default"/>
      </w:rPr>
    </w:lvl>
    <w:lvl w:ilvl="4" w:tplc="0C0C0003" w:tentative="1">
      <w:start w:val="1"/>
      <w:numFmt w:val="bullet"/>
      <w:lvlText w:val="o"/>
      <w:lvlJc w:val="left"/>
      <w:pPr>
        <w:ind w:left="5444" w:hanging="360"/>
      </w:pPr>
      <w:rPr>
        <w:rFonts w:ascii="Courier New" w:hAnsi="Courier New" w:cs="Courier New" w:hint="default"/>
      </w:rPr>
    </w:lvl>
    <w:lvl w:ilvl="5" w:tplc="0C0C0005" w:tentative="1">
      <w:start w:val="1"/>
      <w:numFmt w:val="bullet"/>
      <w:lvlText w:val=""/>
      <w:lvlJc w:val="left"/>
      <w:pPr>
        <w:ind w:left="6164" w:hanging="360"/>
      </w:pPr>
      <w:rPr>
        <w:rFonts w:ascii="Wingdings" w:hAnsi="Wingdings" w:hint="default"/>
      </w:rPr>
    </w:lvl>
    <w:lvl w:ilvl="6" w:tplc="0C0C0001" w:tentative="1">
      <w:start w:val="1"/>
      <w:numFmt w:val="bullet"/>
      <w:lvlText w:val=""/>
      <w:lvlJc w:val="left"/>
      <w:pPr>
        <w:ind w:left="6884" w:hanging="360"/>
      </w:pPr>
      <w:rPr>
        <w:rFonts w:ascii="Symbol" w:hAnsi="Symbol" w:hint="default"/>
      </w:rPr>
    </w:lvl>
    <w:lvl w:ilvl="7" w:tplc="0C0C0003" w:tentative="1">
      <w:start w:val="1"/>
      <w:numFmt w:val="bullet"/>
      <w:lvlText w:val="o"/>
      <w:lvlJc w:val="left"/>
      <w:pPr>
        <w:ind w:left="7604" w:hanging="360"/>
      </w:pPr>
      <w:rPr>
        <w:rFonts w:ascii="Courier New" w:hAnsi="Courier New" w:cs="Courier New" w:hint="default"/>
      </w:rPr>
    </w:lvl>
    <w:lvl w:ilvl="8" w:tplc="0C0C0005" w:tentative="1">
      <w:start w:val="1"/>
      <w:numFmt w:val="bullet"/>
      <w:lvlText w:val=""/>
      <w:lvlJc w:val="left"/>
      <w:pPr>
        <w:ind w:left="8324" w:hanging="360"/>
      </w:pPr>
      <w:rPr>
        <w:rFonts w:ascii="Wingdings" w:hAnsi="Wingdings" w:hint="default"/>
      </w:rPr>
    </w:lvl>
  </w:abstractNum>
  <w:num w:numId="1" w16cid:durableId="433327840">
    <w:abstractNumId w:val="13"/>
  </w:num>
  <w:num w:numId="2" w16cid:durableId="2033918715">
    <w:abstractNumId w:val="3"/>
  </w:num>
  <w:num w:numId="3" w16cid:durableId="176426322">
    <w:abstractNumId w:val="0"/>
  </w:num>
  <w:num w:numId="4" w16cid:durableId="1617828402">
    <w:abstractNumId w:val="8"/>
  </w:num>
  <w:num w:numId="5" w16cid:durableId="1556162185">
    <w:abstractNumId w:val="4"/>
  </w:num>
  <w:num w:numId="6" w16cid:durableId="1366901974">
    <w:abstractNumId w:val="14"/>
  </w:num>
  <w:num w:numId="7" w16cid:durableId="42991711">
    <w:abstractNumId w:val="6"/>
  </w:num>
  <w:num w:numId="8" w16cid:durableId="1668052471">
    <w:abstractNumId w:val="2"/>
  </w:num>
  <w:num w:numId="9" w16cid:durableId="965545081">
    <w:abstractNumId w:val="10"/>
  </w:num>
  <w:num w:numId="10" w16cid:durableId="1809931795">
    <w:abstractNumId w:val="11"/>
  </w:num>
  <w:num w:numId="11" w16cid:durableId="2084909513">
    <w:abstractNumId w:val="7"/>
  </w:num>
  <w:num w:numId="12" w16cid:durableId="1518039116">
    <w:abstractNumId w:val="12"/>
  </w:num>
  <w:num w:numId="13" w16cid:durableId="806044385">
    <w:abstractNumId w:val="15"/>
  </w:num>
  <w:num w:numId="14" w16cid:durableId="469707235">
    <w:abstractNumId w:val="9"/>
  </w:num>
  <w:num w:numId="15" w16cid:durableId="766728130">
    <w:abstractNumId w:val="1"/>
  </w:num>
  <w:num w:numId="16" w16cid:durableId="69484415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3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B1"/>
    <w:rsid w:val="000004BB"/>
    <w:rsid w:val="00000586"/>
    <w:rsid w:val="00001714"/>
    <w:rsid w:val="00001A0F"/>
    <w:rsid w:val="00001F9B"/>
    <w:rsid w:val="000021BD"/>
    <w:rsid w:val="00002629"/>
    <w:rsid w:val="000036A6"/>
    <w:rsid w:val="00003A58"/>
    <w:rsid w:val="00004280"/>
    <w:rsid w:val="0000542D"/>
    <w:rsid w:val="0000566E"/>
    <w:rsid w:val="00006092"/>
    <w:rsid w:val="0000664A"/>
    <w:rsid w:val="00006874"/>
    <w:rsid w:val="00006C62"/>
    <w:rsid w:val="00006D17"/>
    <w:rsid w:val="00007A07"/>
    <w:rsid w:val="00010C27"/>
    <w:rsid w:val="00010E3A"/>
    <w:rsid w:val="0001190D"/>
    <w:rsid w:val="00013973"/>
    <w:rsid w:val="00014C68"/>
    <w:rsid w:val="00015544"/>
    <w:rsid w:val="00015DC2"/>
    <w:rsid w:val="00015E95"/>
    <w:rsid w:val="00015EAC"/>
    <w:rsid w:val="00016CF9"/>
    <w:rsid w:val="00020269"/>
    <w:rsid w:val="0002031A"/>
    <w:rsid w:val="0002048C"/>
    <w:rsid w:val="00020601"/>
    <w:rsid w:val="00020F67"/>
    <w:rsid w:val="000214F7"/>
    <w:rsid w:val="00021921"/>
    <w:rsid w:val="00021A1C"/>
    <w:rsid w:val="000223B7"/>
    <w:rsid w:val="00022A4D"/>
    <w:rsid w:val="00022B3D"/>
    <w:rsid w:val="0002358F"/>
    <w:rsid w:val="00023828"/>
    <w:rsid w:val="000239A1"/>
    <w:rsid w:val="00023A4B"/>
    <w:rsid w:val="0002471F"/>
    <w:rsid w:val="0002526D"/>
    <w:rsid w:val="00025359"/>
    <w:rsid w:val="000254D5"/>
    <w:rsid w:val="00025B64"/>
    <w:rsid w:val="00026268"/>
    <w:rsid w:val="0002636E"/>
    <w:rsid w:val="00026BDB"/>
    <w:rsid w:val="00030B56"/>
    <w:rsid w:val="00031677"/>
    <w:rsid w:val="0003236E"/>
    <w:rsid w:val="00032485"/>
    <w:rsid w:val="000324EC"/>
    <w:rsid w:val="00032763"/>
    <w:rsid w:val="0003286C"/>
    <w:rsid w:val="0003321A"/>
    <w:rsid w:val="00033669"/>
    <w:rsid w:val="0003369B"/>
    <w:rsid w:val="00033962"/>
    <w:rsid w:val="00033C46"/>
    <w:rsid w:val="00035051"/>
    <w:rsid w:val="00035839"/>
    <w:rsid w:val="00035DC7"/>
    <w:rsid w:val="0003621F"/>
    <w:rsid w:val="00037176"/>
    <w:rsid w:val="000378E5"/>
    <w:rsid w:val="000379F8"/>
    <w:rsid w:val="00040378"/>
    <w:rsid w:val="000404DA"/>
    <w:rsid w:val="00040B3F"/>
    <w:rsid w:val="000416A3"/>
    <w:rsid w:val="00042288"/>
    <w:rsid w:val="00042B0C"/>
    <w:rsid w:val="000430D6"/>
    <w:rsid w:val="0004331C"/>
    <w:rsid w:val="000436E4"/>
    <w:rsid w:val="00043E5A"/>
    <w:rsid w:val="000443C0"/>
    <w:rsid w:val="00044B8B"/>
    <w:rsid w:val="00044EA6"/>
    <w:rsid w:val="00045487"/>
    <w:rsid w:val="00045834"/>
    <w:rsid w:val="000465D9"/>
    <w:rsid w:val="0004682C"/>
    <w:rsid w:val="000468A2"/>
    <w:rsid w:val="000469E7"/>
    <w:rsid w:val="00046B75"/>
    <w:rsid w:val="000471A2"/>
    <w:rsid w:val="00047328"/>
    <w:rsid w:val="00047C3E"/>
    <w:rsid w:val="000502CC"/>
    <w:rsid w:val="000506AC"/>
    <w:rsid w:val="0005130F"/>
    <w:rsid w:val="000515F8"/>
    <w:rsid w:val="0005197D"/>
    <w:rsid w:val="000532DD"/>
    <w:rsid w:val="00053ABC"/>
    <w:rsid w:val="00056218"/>
    <w:rsid w:val="00056AA9"/>
    <w:rsid w:val="00056F6D"/>
    <w:rsid w:val="00056F94"/>
    <w:rsid w:val="0005726C"/>
    <w:rsid w:val="000620A6"/>
    <w:rsid w:val="000620FF"/>
    <w:rsid w:val="00062321"/>
    <w:rsid w:val="00062482"/>
    <w:rsid w:val="000636FB"/>
    <w:rsid w:val="000639E7"/>
    <w:rsid w:val="000646ED"/>
    <w:rsid w:val="00065454"/>
    <w:rsid w:val="00065E67"/>
    <w:rsid w:val="00066139"/>
    <w:rsid w:val="00066C0F"/>
    <w:rsid w:val="000676F5"/>
    <w:rsid w:val="000707D6"/>
    <w:rsid w:val="0007084C"/>
    <w:rsid w:val="00071E64"/>
    <w:rsid w:val="00072C59"/>
    <w:rsid w:val="000733DA"/>
    <w:rsid w:val="000737EF"/>
    <w:rsid w:val="00073FBE"/>
    <w:rsid w:val="0007506A"/>
    <w:rsid w:val="000750DD"/>
    <w:rsid w:val="0007574B"/>
    <w:rsid w:val="000764D5"/>
    <w:rsid w:val="00076D2B"/>
    <w:rsid w:val="000774FA"/>
    <w:rsid w:val="00077DCD"/>
    <w:rsid w:val="0008066D"/>
    <w:rsid w:val="00080D2E"/>
    <w:rsid w:val="00082651"/>
    <w:rsid w:val="0008273A"/>
    <w:rsid w:val="000828FE"/>
    <w:rsid w:val="0008373A"/>
    <w:rsid w:val="00083EE6"/>
    <w:rsid w:val="0008455C"/>
    <w:rsid w:val="00084EF3"/>
    <w:rsid w:val="0008501A"/>
    <w:rsid w:val="00086B9C"/>
    <w:rsid w:val="000876A4"/>
    <w:rsid w:val="000900C7"/>
    <w:rsid w:val="0009086E"/>
    <w:rsid w:val="000908FC"/>
    <w:rsid w:val="000909F7"/>
    <w:rsid w:val="00090F38"/>
    <w:rsid w:val="00091A79"/>
    <w:rsid w:val="00091D19"/>
    <w:rsid w:val="00091F41"/>
    <w:rsid w:val="0009217F"/>
    <w:rsid w:val="00092C76"/>
    <w:rsid w:val="00093E77"/>
    <w:rsid w:val="0009491D"/>
    <w:rsid w:val="000955CF"/>
    <w:rsid w:val="00095B1B"/>
    <w:rsid w:val="000960DF"/>
    <w:rsid w:val="00096438"/>
    <w:rsid w:val="00097066"/>
    <w:rsid w:val="00097551"/>
    <w:rsid w:val="00097C71"/>
    <w:rsid w:val="000A037E"/>
    <w:rsid w:val="000A131D"/>
    <w:rsid w:val="000A1386"/>
    <w:rsid w:val="000A1555"/>
    <w:rsid w:val="000A197E"/>
    <w:rsid w:val="000A1E6B"/>
    <w:rsid w:val="000A1F3A"/>
    <w:rsid w:val="000A21B8"/>
    <w:rsid w:val="000A2572"/>
    <w:rsid w:val="000A29DC"/>
    <w:rsid w:val="000A2DB1"/>
    <w:rsid w:val="000A2FB0"/>
    <w:rsid w:val="000A3D6B"/>
    <w:rsid w:val="000A49F4"/>
    <w:rsid w:val="000A4DF6"/>
    <w:rsid w:val="000A4E57"/>
    <w:rsid w:val="000A614A"/>
    <w:rsid w:val="000A66EC"/>
    <w:rsid w:val="000A6A19"/>
    <w:rsid w:val="000A6A47"/>
    <w:rsid w:val="000A7ED1"/>
    <w:rsid w:val="000B0BD8"/>
    <w:rsid w:val="000B0CEF"/>
    <w:rsid w:val="000B0D2F"/>
    <w:rsid w:val="000B1A50"/>
    <w:rsid w:val="000B1D14"/>
    <w:rsid w:val="000B2036"/>
    <w:rsid w:val="000B29C4"/>
    <w:rsid w:val="000B5E1C"/>
    <w:rsid w:val="000B5EED"/>
    <w:rsid w:val="000B62D4"/>
    <w:rsid w:val="000B66A8"/>
    <w:rsid w:val="000B6E1C"/>
    <w:rsid w:val="000C02A6"/>
    <w:rsid w:val="000C0669"/>
    <w:rsid w:val="000C0954"/>
    <w:rsid w:val="000C0CD7"/>
    <w:rsid w:val="000C259F"/>
    <w:rsid w:val="000C38BD"/>
    <w:rsid w:val="000C3AF5"/>
    <w:rsid w:val="000C3D39"/>
    <w:rsid w:val="000C4A83"/>
    <w:rsid w:val="000C4C7F"/>
    <w:rsid w:val="000C679D"/>
    <w:rsid w:val="000C6958"/>
    <w:rsid w:val="000C7EAF"/>
    <w:rsid w:val="000D0262"/>
    <w:rsid w:val="000D0B54"/>
    <w:rsid w:val="000D1A9F"/>
    <w:rsid w:val="000D25E0"/>
    <w:rsid w:val="000D2959"/>
    <w:rsid w:val="000D3C5B"/>
    <w:rsid w:val="000D3DE5"/>
    <w:rsid w:val="000D466F"/>
    <w:rsid w:val="000D537E"/>
    <w:rsid w:val="000D63E3"/>
    <w:rsid w:val="000D6A26"/>
    <w:rsid w:val="000D779D"/>
    <w:rsid w:val="000D781A"/>
    <w:rsid w:val="000D7C15"/>
    <w:rsid w:val="000D7DB0"/>
    <w:rsid w:val="000E1116"/>
    <w:rsid w:val="000E1687"/>
    <w:rsid w:val="000E1815"/>
    <w:rsid w:val="000E1AD6"/>
    <w:rsid w:val="000E272A"/>
    <w:rsid w:val="000E2C97"/>
    <w:rsid w:val="000E2F97"/>
    <w:rsid w:val="000E3749"/>
    <w:rsid w:val="000E3C17"/>
    <w:rsid w:val="000E3D15"/>
    <w:rsid w:val="000E3E7F"/>
    <w:rsid w:val="000E47F1"/>
    <w:rsid w:val="000E4ACD"/>
    <w:rsid w:val="000E6871"/>
    <w:rsid w:val="000E6E9C"/>
    <w:rsid w:val="000F079F"/>
    <w:rsid w:val="000F0CD8"/>
    <w:rsid w:val="000F29E1"/>
    <w:rsid w:val="000F2C4C"/>
    <w:rsid w:val="000F31F8"/>
    <w:rsid w:val="000F396B"/>
    <w:rsid w:val="000F3D97"/>
    <w:rsid w:val="000F3EE7"/>
    <w:rsid w:val="000F44F7"/>
    <w:rsid w:val="000F483E"/>
    <w:rsid w:val="000F495A"/>
    <w:rsid w:val="000F4ADD"/>
    <w:rsid w:val="000F69CE"/>
    <w:rsid w:val="000F6BCB"/>
    <w:rsid w:val="000F73F4"/>
    <w:rsid w:val="000F76E9"/>
    <w:rsid w:val="000F793C"/>
    <w:rsid w:val="000F7FC3"/>
    <w:rsid w:val="001013F1"/>
    <w:rsid w:val="00101463"/>
    <w:rsid w:val="00102797"/>
    <w:rsid w:val="00103397"/>
    <w:rsid w:val="001034D4"/>
    <w:rsid w:val="001048CE"/>
    <w:rsid w:val="001049E4"/>
    <w:rsid w:val="001052B0"/>
    <w:rsid w:val="0010582E"/>
    <w:rsid w:val="0010587F"/>
    <w:rsid w:val="00105A5E"/>
    <w:rsid w:val="00106362"/>
    <w:rsid w:val="001064C6"/>
    <w:rsid w:val="00106889"/>
    <w:rsid w:val="00106DD2"/>
    <w:rsid w:val="00107273"/>
    <w:rsid w:val="00107645"/>
    <w:rsid w:val="00107CC0"/>
    <w:rsid w:val="00111389"/>
    <w:rsid w:val="00113F1C"/>
    <w:rsid w:val="001141D2"/>
    <w:rsid w:val="00114529"/>
    <w:rsid w:val="001145D3"/>
    <w:rsid w:val="00114660"/>
    <w:rsid w:val="00114FA9"/>
    <w:rsid w:val="00115061"/>
    <w:rsid w:val="00115402"/>
    <w:rsid w:val="00115709"/>
    <w:rsid w:val="001161ED"/>
    <w:rsid w:val="0011656B"/>
    <w:rsid w:val="00116AD6"/>
    <w:rsid w:val="0011712E"/>
    <w:rsid w:val="001173E7"/>
    <w:rsid w:val="00117660"/>
    <w:rsid w:val="00117897"/>
    <w:rsid w:val="001200D0"/>
    <w:rsid w:val="00120160"/>
    <w:rsid w:val="00121177"/>
    <w:rsid w:val="00121427"/>
    <w:rsid w:val="00122A0B"/>
    <w:rsid w:val="00123AAD"/>
    <w:rsid w:val="00123C86"/>
    <w:rsid w:val="0012409C"/>
    <w:rsid w:val="001240E6"/>
    <w:rsid w:val="0012466A"/>
    <w:rsid w:val="001247C4"/>
    <w:rsid w:val="00125099"/>
    <w:rsid w:val="00126916"/>
    <w:rsid w:val="00126A87"/>
    <w:rsid w:val="00126BC9"/>
    <w:rsid w:val="00127884"/>
    <w:rsid w:val="00127E9B"/>
    <w:rsid w:val="00127FB9"/>
    <w:rsid w:val="00130219"/>
    <w:rsid w:val="001303A3"/>
    <w:rsid w:val="00130BFE"/>
    <w:rsid w:val="00131078"/>
    <w:rsid w:val="001320D2"/>
    <w:rsid w:val="0013223B"/>
    <w:rsid w:val="00132418"/>
    <w:rsid w:val="001325E9"/>
    <w:rsid w:val="00132808"/>
    <w:rsid w:val="00132A3F"/>
    <w:rsid w:val="00132B6A"/>
    <w:rsid w:val="00132E3C"/>
    <w:rsid w:val="001344B3"/>
    <w:rsid w:val="00135028"/>
    <w:rsid w:val="0013526C"/>
    <w:rsid w:val="001357B1"/>
    <w:rsid w:val="00135B19"/>
    <w:rsid w:val="00135CD7"/>
    <w:rsid w:val="00136222"/>
    <w:rsid w:val="00136326"/>
    <w:rsid w:val="00136573"/>
    <w:rsid w:val="00137128"/>
    <w:rsid w:val="001374E5"/>
    <w:rsid w:val="00137C4E"/>
    <w:rsid w:val="00137CEF"/>
    <w:rsid w:val="00140626"/>
    <w:rsid w:val="001408DD"/>
    <w:rsid w:val="00140F52"/>
    <w:rsid w:val="00141590"/>
    <w:rsid w:val="00142B2E"/>
    <w:rsid w:val="00143C0F"/>
    <w:rsid w:val="001440E4"/>
    <w:rsid w:val="00144869"/>
    <w:rsid w:val="001452EA"/>
    <w:rsid w:val="001453B8"/>
    <w:rsid w:val="0014558C"/>
    <w:rsid w:val="001456B8"/>
    <w:rsid w:val="00146E9D"/>
    <w:rsid w:val="00147784"/>
    <w:rsid w:val="00150018"/>
    <w:rsid w:val="00150089"/>
    <w:rsid w:val="00150382"/>
    <w:rsid w:val="0015046A"/>
    <w:rsid w:val="001507E7"/>
    <w:rsid w:val="00151D6F"/>
    <w:rsid w:val="001526FE"/>
    <w:rsid w:val="001540CC"/>
    <w:rsid w:val="00154CFB"/>
    <w:rsid w:val="0015560E"/>
    <w:rsid w:val="001558D1"/>
    <w:rsid w:val="00155987"/>
    <w:rsid w:val="001563AE"/>
    <w:rsid w:val="00156B4C"/>
    <w:rsid w:val="00157845"/>
    <w:rsid w:val="001579F2"/>
    <w:rsid w:val="0016046B"/>
    <w:rsid w:val="00160B18"/>
    <w:rsid w:val="00160FFA"/>
    <w:rsid w:val="00161C58"/>
    <w:rsid w:val="0016207C"/>
    <w:rsid w:val="0016231E"/>
    <w:rsid w:val="001623C7"/>
    <w:rsid w:val="00162DB8"/>
    <w:rsid w:val="001630A5"/>
    <w:rsid w:val="0016394D"/>
    <w:rsid w:val="001648BF"/>
    <w:rsid w:val="001649A7"/>
    <w:rsid w:val="0016559D"/>
    <w:rsid w:val="001663B6"/>
    <w:rsid w:val="0016670B"/>
    <w:rsid w:val="00166E4C"/>
    <w:rsid w:val="00167123"/>
    <w:rsid w:val="001708CC"/>
    <w:rsid w:val="0017118B"/>
    <w:rsid w:val="00171BE3"/>
    <w:rsid w:val="00171CBB"/>
    <w:rsid w:val="00171F0E"/>
    <w:rsid w:val="00172876"/>
    <w:rsid w:val="00172B5C"/>
    <w:rsid w:val="001730A6"/>
    <w:rsid w:val="00173674"/>
    <w:rsid w:val="00174248"/>
    <w:rsid w:val="00174764"/>
    <w:rsid w:val="00174910"/>
    <w:rsid w:val="00174BAD"/>
    <w:rsid w:val="00174E59"/>
    <w:rsid w:val="00175E01"/>
    <w:rsid w:val="00175E19"/>
    <w:rsid w:val="001765E1"/>
    <w:rsid w:val="00176EFE"/>
    <w:rsid w:val="0017712D"/>
    <w:rsid w:val="001779A8"/>
    <w:rsid w:val="00177A37"/>
    <w:rsid w:val="00177BA0"/>
    <w:rsid w:val="00177F50"/>
    <w:rsid w:val="00177F69"/>
    <w:rsid w:val="00180E90"/>
    <w:rsid w:val="00181763"/>
    <w:rsid w:val="00181928"/>
    <w:rsid w:val="00183D2B"/>
    <w:rsid w:val="00183F3C"/>
    <w:rsid w:val="001842A9"/>
    <w:rsid w:val="00184570"/>
    <w:rsid w:val="001855B2"/>
    <w:rsid w:val="00185DAA"/>
    <w:rsid w:val="0018620B"/>
    <w:rsid w:val="00186502"/>
    <w:rsid w:val="001869B0"/>
    <w:rsid w:val="0018745A"/>
    <w:rsid w:val="00187C1A"/>
    <w:rsid w:val="00187EDF"/>
    <w:rsid w:val="00190640"/>
    <w:rsid w:val="00192006"/>
    <w:rsid w:val="00192249"/>
    <w:rsid w:val="0019242C"/>
    <w:rsid w:val="00192689"/>
    <w:rsid w:val="001928EF"/>
    <w:rsid w:val="00192C3C"/>
    <w:rsid w:val="0019323A"/>
    <w:rsid w:val="00193918"/>
    <w:rsid w:val="0019541A"/>
    <w:rsid w:val="00195A79"/>
    <w:rsid w:val="00195C13"/>
    <w:rsid w:val="00195E98"/>
    <w:rsid w:val="00195EA5"/>
    <w:rsid w:val="001967FA"/>
    <w:rsid w:val="00196A23"/>
    <w:rsid w:val="00196A25"/>
    <w:rsid w:val="00196B07"/>
    <w:rsid w:val="00196CEA"/>
    <w:rsid w:val="00196D42"/>
    <w:rsid w:val="001974B4"/>
    <w:rsid w:val="00197C00"/>
    <w:rsid w:val="001A0406"/>
    <w:rsid w:val="001A2151"/>
    <w:rsid w:val="001A2CAF"/>
    <w:rsid w:val="001A3332"/>
    <w:rsid w:val="001A3EBE"/>
    <w:rsid w:val="001A42C4"/>
    <w:rsid w:val="001A4625"/>
    <w:rsid w:val="001A47E3"/>
    <w:rsid w:val="001A5436"/>
    <w:rsid w:val="001A5BA7"/>
    <w:rsid w:val="001A5CAA"/>
    <w:rsid w:val="001A5CE4"/>
    <w:rsid w:val="001A6091"/>
    <w:rsid w:val="001A6383"/>
    <w:rsid w:val="001A6AF9"/>
    <w:rsid w:val="001A727B"/>
    <w:rsid w:val="001A7A7C"/>
    <w:rsid w:val="001A7F32"/>
    <w:rsid w:val="001B00A7"/>
    <w:rsid w:val="001B037A"/>
    <w:rsid w:val="001B0772"/>
    <w:rsid w:val="001B0EDD"/>
    <w:rsid w:val="001B1061"/>
    <w:rsid w:val="001B13B9"/>
    <w:rsid w:val="001B1403"/>
    <w:rsid w:val="001B1B40"/>
    <w:rsid w:val="001B1E8A"/>
    <w:rsid w:val="001B229E"/>
    <w:rsid w:val="001B34F0"/>
    <w:rsid w:val="001B3713"/>
    <w:rsid w:val="001B3884"/>
    <w:rsid w:val="001B39A1"/>
    <w:rsid w:val="001B478A"/>
    <w:rsid w:val="001B47FF"/>
    <w:rsid w:val="001B4B62"/>
    <w:rsid w:val="001B4B9B"/>
    <w:rsid w:val="001B5612"/>
    <w:rsid w:val="001B5974"/>
    <w:rsid w:val="001B5C23"/>
    <w:rsid w:val="001B5CE0"/>
    <w:rsid w:val="001B63BA"/>
    <w:rsid w:val="001B7234"/>
    <w:rsid w:val="001B7AC2"/>
    <w:rsid w:val="001C1314"/>
    <w:rsid w:val="001C15F7"/>
    <w:rsid w:val="001C1889"/>
    <w:rsid w:val="001C1FD1"/>
    <w:rsid w:val="001C26B1"/>
    <w:rsid w:val="001C2800"/>
    <w:rsid w:val="001C2839"/>
    <w:rsid w:val="001C3736"/>
    <w:rsid w:val="001C4BE1"/>
    <w:rsid w:val="001C4D26"/>
    <w:rsid w:val="001C5451"/>
    <w:rsid w:val="001C5625"/>
    <w:rsid w:val="001C5D9A"/>
    <w:rsid w:val="001C69D5"/>
    <w:rsid w:val="001C6ABD"/>
    <w:rsid w:val="001C74FC"/>
    <w:rsid w:val="001D0128"/>
    <w:rsid w:val="001D046D"/>
    <w:rsid w:val="001D196B"/>
    <w:rsid w:val="001D1AD9"/>
    <w:rsid w:val="001D20A0"/>
    <w:rsid w:val="001D3387"/>
    <w:rsid w:val="001D3DDA"/>
    <w:rsid w:val="001D407C"/>
    <w:rsid w:val="001D47E9"/>
    <w:rsid w:val="001D4E51"/>
    <w:rsid w:val="001D5FD8"/>
    <w:rsid w:val="001D6B65"/>
    <w:rsid w:val="001D7236"/>
    <w:rsid w:val="001D736B"/>
    <w:rsid w:val="001E0567"/>
    <w:rsid w:val="001E0A14"/>
    <w:rsid w:val="001E0D6F"/>
    <w:rsid w:val="001E1BE4"/>
    <w:rsid w:val="001E25FD"/>
    <w:rsid w:val="001E2872"/>
    <w:rsid w:val="001E2A47"/>
    <w:rsid w:val="001E38BC"/>
    <w:rsid w:val="001E407F"/>
    <w:rsid w:val="001E46AD"/>
    <w:rsid w:val="001E4CD1"/>
    <w:rsid w:val="001E6169"/>
    <w:rsid w:val="001E6265"/>
    <w:rsid w:val="001E6D67"/>
    <w:rsid w:val="001E6DA2"/>
    <w:rsid w:val="001E6E2B"/>
    <w:rsid w:val="001E6EA0"/>
    <w:rsid w:val="001E788B"/>
    <w:rsid w:val="001E7BE0"/>
    <w:rsid w:val="001F084E"/>
    <w:rsid w:val="001F0C6B"/>
    <w:rsid w:val="001F100D"/>
    <w:rsid w:val="001F145E"/>
    <w:rsid w:val="001F1CF7"/>
    <w:rsid w:val="001F1D8F"/>
    <w:rsid w:val="001F2C14"/>
    <w:rsid w:val="001F306C"/>
    <w:rsid w:val="001F421A"/>
    <w:rsid w:val="001F48A6"/>
    <w:rsid w:val="001F50EE"/>
    <w:rsid w:val="001F55A1"/>
    <w:rsid w:val="001F57B7"/>
    <w:rsid w:val="001F5968"/>
    <w:rsid w:val="001F697D"/>
    <w:rsid w:val="001F6D65"/>
    <w:rsid w:val="001F7817"/>
    <w:rsid w:val="001F7AA3"/>
    <w:rsid w:val="001F7CA5"/>
    <w:rsid w:val="002013E3"/>
    <w:rsid w:val="00201689"/>
    <w:rsid w:val="002022DE"/>
    <w:rsid w:val="00202916"/>
    <w:rsid w:val="00202A2C"/>
    <w:rsid w:val="00202EC6"/>
    <w:rsid w:val="00203C8E"/>
    <w:rsid w:val="00203D01"/>
    <w:rsid w:val="002043FD"/>
    <w:rsid w:val="0020471B"/>
    <w:rsid w:val="00205BF1"/>
    <w:rsid w:val="00205C58"/>
    <w:rsid w:val="00205EED"/>
    <w:rsid w:val="002060E3"/>
    <w:rsid w:val="00206984"/>
    <w:rsid w:val="00206FBE"/>
    <w:rsid w:val="0020700B"/>
    <w:rsid w:val="00207197"/>
    <w:rsid w:val="002074C3"/>
    <w:rsid w:val="00207F3D"/>
    <w:rsid w:val="00210020"/>
    <w:rsid w:val="00210F8F"/>
    <w:rsid w:val="00211552"/>
    <w:rsid w:val="00212242"/>
    <w:rsid w:val="0021231E"/>
    <w:rsid w:val="00212C0D"/>
    <w:rsid w:val="00212F66"/>
    <w:rsid w:val="002133F1"/>
    <w:rsid w:val="002136ED"/>
    <w:rsid w:val="00213F4C"/>
    <w:rsid w:val="00214145"/>
    <w:rsid w:val="00215194"/>
    <w:rsid w:val="00216A1F"/>
    <w:rsid w:val="00216AEE"/>
    <w:rsid w:val="00217126"/>
    <w:rsid w:val="00217B1C"/>
    <w:rsid w:val="00220321"/>
    <w:rsid w:val="00220479"/>
    <w:rsid w:val="002209EB"/>
    <w:rsid w:val="00220E36"/>
    <w:rsid w:val="002210F3"/>
    <w:rsid w:val="00221524"/>
    <w:rsid w:val="0022158D"/>
    <w:rsid w:val="00221DE2"/>
    <w:rsid w:val="0022233C"/>
    <w:rsid w:val="002223A7"/>
    <w:rsid w:val="002239BB"/>
    <w:rsid w:val="00223F8E"/>
    <w:rsid w:val="0022438F"/>
    <w:rsid w:val="002248AA"/>
    <w:rsid w:val="00224B0B"/>
    <w:rsid w:val="00224EC1"/>
    <w:rsid w:val="0022515D"/>
    <w:rsid w:val="002254B5"/>
    <w:rsid w:val="002265F9"/>
    <w:rsid w:val="00226C02"/>
    <w:rsid w:val="002277C8"/>
    <w:rsid w:val="00227D6C"/>
    <w:rsid w:val="00227E64"/>
    <w:rsid w:val="00227EEE"/>
    <w:rsid w:val="0023010D"/>
    <w:rsid w:val="00231169"/>
    <w:rsid w:val="00232B44"/>
    <w:rsid w:val="00232CB9"/>
    <w:rsid w:val="002337FA"/>
    <w:rsid w:val="00233813"/>
    <w:rsid w:val="00233D9C"/>
    <w:rsid w:val="00233F63"/>
    <w:rsid w:val="0023477E"/>
    <w:rsid w:val="00234C4E"/>
    <w:rsid w:val="0023508C"/>
    <w:rsid w:val="002355F8"/>
    <w:rsid w:val="00235B3A"/>
    <w:rsid w:val="00236612"/>
    <w:rsid w:val="00236F17"/>
    <w:rsid w:val="00236F18"/>
    <w:rsid w:val="00236F9E"/>
    <w:rsid w:val="002373DB"/>
    <w:rsid w:val="002376EC"/>
    <w:rsid w:val="00237935"/>
    <w:rsid w:val="00237948"/>
    <w:rsid w:val="0024019F"/>
    <w:rsid w:val="00240926"/>
    <w:rsid w:val="00240CBB"/>
    <w:rsid w:val="00240DF0"/>
    <w:rsid w:val="00240F11"/>
    <w:rsid w:val="00242676"/>
    <w:rsid w:val="002427FF"/>
    <w:rsid w:val="00242A87"/>
    <w:rsid w:val="00242B0A"/>
    <w:rsid w:val="00243529"/>
    <w:rsid w:val="00243E70"/>
    <w:rsid w:val="0024454C"/>
    <w:rsid w:val="00244733"/>
    <w:rsid w:val="00245B82"/>
    <w:rsid w:val="002467E0"/>
    <w:rsid w:val="00246B7B"/>
    <w:rsid w:val="002473F9"/>
    <w:rsid w:val="00247712"/>
    <w:rsid w:val="00247DFE"/>
    <w:rsid w:val="00247ECF"/>
    <w:rsid w:val="00250621"/>
    <w:rsid w:val="00250966"/>
    <w:rsid w:val="00250BEF"/>
    <w:rsid w:val="00250C99"/>
    <w:rsid w:val="00251238"/>
    <w:rsid w:val="002519DC"/>
    <w:rsid w:val="00255685"/>
    <w:rsid w:val="00255AE7"/>
    <w:rsid w:val="00255D83"/>
    <w:rsid w:val="00255EE3"/>
    <w:rsid w:val="00257D6F"/>
    <w:rsid w:val="00260C93"/>
    <w:rsid w:val="002610AA"/>
    <w:rsid w:val="00261767"/>
    <w:rsid w:val="0026218D"/>
    <w:rsid w:val="0026237B"/>
    <w:rsid w:val="0026274C"/>
    <w:rsid w:val="00262C77"/>
    <w:rsid w:val="0026371E"/>
    <w:rsid w:val="002637AB"/>
    <w:rsid w:val="00264935"/>
    <w:rsid w:val="00264AF2"/>
    <w:rsid w:val="0026508F"/>
    <w:rsid w:val="00265506"/>
    <w:rsid w:val="0026569F"/>
    <w:rsid w:val="0026647F"/>
    <w:rsid w:val="00266A84"/>
    <w:rsid w:val="00266B44"/>
    <w:rsid w:val="00271532"/>
    <w:rsid w:val="00271C1C"/>
    <w:rsid w:val="00273044"/>
    <w:rsid w:val="0027307B"/>
    <w:rsid w:val="00273F49"/>
    <w:rsid w:val="0027402A"/>
    <w:rsid w:val="0027456B"/>
    <w:rsid w:val="002756B4"/>
    <w:rsid w:val="00275909"/>
    <w:rsid w:val="00275C79"/>
    <w:rsid w:val="00275DDF"/>
    <w:rsid w:val="00276470"/>
    <w:rsid w:val="002775D4"/>
    <w:rsid w:val="00277701"/>
    <w:rsid w:val="00277A38"/>
    <w:rsid w:val="00280CE9"/>
    <w:rsid w:val="002814AE"/>
    <w:rsid w:val="00281A81"/>
    <w:rsid w:val="00281B67"/>
    <w:rsid w:val="00281F70"/>
    <w:rsid w:val="00282399"/>
    <w:rsid w:val="00282639"/>
    <w:rsid w:val="00282C93"/>
    <w:rsid w:val="00282DDF"/>
    <w:rsid w:val="002832B1"/>
    <w:rsid w:val="00284D42"/>
    <w:rsid w:val="00285875"/>
    <w:rsid w:val="002858F3"/>
    <w:rsid w:val="0028619A"/>
    <w:rsid w:val="0028628A"/>
    <w:rsid w:val="002863B5"/>
    <w:rsid w:val="002869CC"/>
    <w:rsid w:val="00286F24"/>
    <w:rsid w:val="00287E5C"/>
    <w:rsid w:val="0029005A"/>
    <w:rsid w:val="0029114B"/>
    <w:rsid w:val="002911BD"/>
    <w:rsid w:val="002916F8"/>
    <w:rsid w:val="00291844"/>
    <w:rsid w:val="002919D2"/>
    <w:rsid w:val="002919E3"/>
    <w:rsid w:val="00291C0E"/>
    <w:rsid w:val="0029210F"/>
    <w:rsid w:val="00292930"/>
    <w:rsid w:val="00293BD5"/>
    <w:rsid w:val="0029534E"/>
    <w:rsid w:val="00295D7F"/>
    <w:rsid w:val="002964C0"/>
    <w:rsid w:val="00296CA9"/>
    <w:rsid w:val="00297334"/>
    <w:rsid w:val="00297590"/>
    <w:rsid w:val="00297619"/>
    <w:rsid w:val="002A0EA1"/>
    <w:rsid w:val="002A1009"/>
    <w:rsid w:val="002A16FB"/>
    <w:rsid w:val="002A1862"/>
    <w:rsid w:val="002A22FF"/>
    <w:rsid w:val="002A2960"/>
    <w:rsid w:val="002A3149"/>
    <w:rsid w:val="002A323E"/>
    <w:rsid w:val="002A3240"/>
    <w:rsid w:val="002A373B"/>
    <w:rsid w:val="002A377A"/>
    <w:rsid w:val="002A3ECC"/>
    <w:rsid w:val="002A4B12"/>
    <w:rsid w:val="002A5039"/>
    <w:rsid w:val="002A5AFA"/>
    <w:rsid w:val="002A6F99"/>
    <w:rsid w:val="002A6FEA"/>
    <w:rsid w:val="002A73D8"/>
    <w:rsid w:val="002B0B7D"/>
    <w:rsid w:val="002B1376"/>
    <w:rsid w:val="002B1A2E"/>
    <w:rsid w:val="002B1B1E"/>
    <w:rsid w:val="002B3067"/>
    <w:rsid w:val="002B3E86"/>
    <w:rsid w:val="002B41F0"/>
    <w:rsid w:val="002B47C2"/>
    <w:rsid w:val="002B56AF"/>
    <w:rsid w:val="002B6C56"/>
    <w:rsid w:val="002B6D96"/>
    <w:rsid w:val="002B71DD"/>
    <w:rsid w:val="002B79D1"/>
    <w:rsid w:val="002B7D3E"/>
    <w:rsid w:val="002C07F3"/>
    <w:rsid w:val="002C0B59"/>
    <w:rsid w:val="002C1001"/>
    <w:rsid w:val="002C1F7B"/>
    <w:rsid w:val="002C23FB"/>
    <w:rsid w:val="002C295F"/>
    <w:rsid w:val="002C35F9"/>
    <w:rsid w:val="002C3633"/>
    <w:rsid w:val="002C37D7"/>
    <w:rsid w:val="002C3D4C"/>
    <w:rsid w:val="002C41E7"/>
    <w:rsid w:val="002C51B6"/>
    <w:rsid w:val="002C53D4"/>
    <w:rsid w:val="002C696A"/>
    <w:rsid w:val="002C707B"/>
    <w:rsid w:val="002C747F"/>
    <w:rsid w:val="002C7BEA"/>
    <w:rsid w:val="002C7EC8"/>
    <w:rsid w:val="002D0A26"/>
    <w:rsid w:val="002D0D18"/>
    <w:rsid w:val="002D0D7A"/>
    <w:rsid w:val="002D2820"/>
    <w:rsid w:val="002D3246"/>
    <w:rsid w:val="002D3B40"/>
    <w:rsid w:val="002D3E82"/>
    <w:rsid w:val="002D48FC"/>
    <w:rsid w:val="002D60BB"/>
    <w:rsid w:val="002D6792"/>
    <w:rsid w:val="002D6AD1"/>
    <w:rsid w:val="002D75E0"/>
    <w:rsid w:val="002D7B24"/>
    <w:rsid w:val="002D7D49"/>
    <w:rsid w:val="002E0304"/>
    <w:rsid w:val="002E067C"/>
    <w:rsid w:val="002E1015"/>
    <w:rsid w:val="002E1B6F"/>
    <w:rsid w:val="002E1DB8"/>
    <w:rsid w:val="002E2155"/>
    <w:rsid w:val="002E2253"/>
    <w:rsid w:val="002E310B"/>
    <w:rsid w:val="002E375C"/>
    <w:rsid w:val="002E3B8B"/>
    <w:rsid w:val="002E4E6A"/>
    <w:rsid w:val="002E5414"/>
    <w:rsid w:val="002E5530"/>
    <w:rsid w:val="002E5D0A"/>
    <w:rsid w:val="002E7743"/>
    <w:rsid w:val="002F017C"/>
    <w:rsid w:val="002F0366"/>
    <w:rsid w:val="002F0372"/>
    <w:rsid w:val="002F0E39"/>
    <w:rsid w:val="002F0E83"/>
    <w:rsid w:val="002F10D6"/>
    <w:rsid w:val="002F1942"/>
    <w:rsid w:val="002F2666"/>
    <w:rsid w:val="002F271A"/>
    <w:rsid w:val="002F2DA1"/>
    <w:rsid w:val="002F32D3"/>
    <w:rsid w:val="002F34F7"/>
    <w:rsid w:val="002F38DF"/>
    <w:rsid w:val="002F3952"/>
    <w:rsid w:val="002F3A22"/>
    <w:rsid w:val="002F4679"/>
    <w:rsid w:val="002F4AE1"/>
    <w:rsid w:val="002F4CBC"/>
    <w:rsid w:val="002F5B80"/>
    <w:rsid w:val="002F7AAC"/>
    <w:rsid w:val="00300554"/>
    <w:rsid w:val="00300D8D"/>
    <w:rsid w:val="0030109A"/>
    <w:rsid w:val="00301E12"/>
    <w:rsid w:val="00302018"/>
    <w:rsid w:val="003030AF"/>
    <w:rsid w:val="003039B1"/>
    <w:rsid w:val="00304373"/>
    <w:rsid w:val="00304701"/>
    <w:rsid w:val="00304DC4"/>
    <w:rsid w:val="00304E6B"/>
    <w:rsid w:val="0030522B"/>
    <w:rsid w:val="00305CC3"/>
    <w:rsid w:val="00306389"/>
    <w:rsid w:val="00306B41"/>
    <w:rsid w:val="00307006"/>
    <w:rsid w:val="003077A4"/>
    <w:rsid w:val="00307880"/>
    <w:rsid w:val="003078CA"/>
    <w:rsid w:val="00311229"/>
    <w:rsid w:val="00311EDA"/>
    <w:rsid w:val="00312606"/>
    <w:rsid w:val="003127C8"/>
    <w:rsid w:val="00312E3E"/>
    <w:rsid w:val="00312F69"/>
    <w:rsid w:val="003131E2"/>
    <w:rsid w:val="0031401B"/>
    <w:rsid w:val="00314987"/>
    <w:rsid w:val="00315511"/>
    <w:rsid w:val="0031555C"/>
    <w:rsid w:val="0031563D"/>
    <w:rsid w:val="003178CF"/>
    <w:rsid w:val="0032001A"/>
    <w:rsid w:val="00321F32"/>
    <w:rsid w:val="0032248E"/>
    <w:rsid w:val="0032249D"/>
    <w:rsid w:val="003226D4"/>
    <w:rsid w:val="003229BB"/>
    <w:rsid w:val="00322C21"/>
    <w:rsid w:val="00322FFE"/>
    <w:rsid w:val="00323815"/>
    <w:rsid w:val="00324449"/>
    <w:rsid w:val="00324BC1"/>
    <w:rsid w:val="00324E67"/>
    <w:rsid w:val="00325C29"/>
    <w:rsid w:val="00325D7E"/>
    <w:rsid w:val="00326132"/>
    <w:rsid w:val="003263FA"/>
    <w:rsid w:val="00326B1C"/>
    <w:rsid w:val="00326B69"/>
    <w:rsid w:val="0032700E"/>
    <w:rsid w:val="003270F9"/>
    <w:rsid w:val="0033019D"/>
    <w:rsid w:val="003314B0"/>
    <w:rsid w:val="00331911"/>
    <w:rsid w:val="003319EF"/>
    <w:rsid w:val="003324F0"/>
    <w:rsid w:val="003326BD"/>
    <w:rsid w:val="003334C8"/>
    <w:rsid w:val="003337B8"/>
    <w:rsid w:val="003338F2"/>
    <w:rsid w:val="00333A0E"/>
    <w:rsid w:val="00333DAE"/>
    <w:rsid w:val="00333FF3"/>
    <w:rsid w:val="00334303"/>
    <w:rsid w:val="00334B06"/>
    <w:rsid w:val="00334CED"/>
    <w:rsid w:val="00334DA6"/>
    <w:rsid w:val="00335A87"/>
    <w:rsid w:val="003360B6"/>
    <w:rsid w:val="003360FD"/>
    <w:rsid w:val="00336F6A"/>
    <w:rsid w:val="0033710E"/>
    <w:rsid w:val="00337338"/>
    <w:rsid w:val="00342940"/>
    <w:rsid w:val="003442F1"/>
    <w:rsid w:val="00344649"/>
    <w:rsid w:val="00344E81"/>
    <w:rsid w:val="00344FF8"/>
    <w:rsid w:val="003459FA"/>
    <w:rsid w:val="00345D59"/>
    <w:rsid w:val="00345E2E"/>
    <w:rsid w:val="00347F04"/>
    <w:rsid w:val="0035006E"/>
    <w:rsid w:val="003508FA"/>
    <w:rsid w:val="003516AF"/>
    <w:rsid w:val="00351A37"/>
    <w:rsid w:val="003522F2"/>
    <w:rsid w:val="00352E9C"/>
    <w:rsid w:val="00353196"/>
    <w:rsid w:val="003532C5"/>
    <w:rsid w:val="00353EFA"/>
    <w:rsid w:val="003542EF"/>
    <w:rsid w:val="00354308"/>
    <w:rsid w:val="0035435E"/>
    <w:rsid w:val="00355CFB"/>
    <w:rsid w:val="00355EB6"/>
    <w:rsid w:val="003573C3"/>
    <w:rsid w:val="0035782F"/>
    <w:rsid w:val="003578B2"/>
    <w:rsid w:val="003579B1"/>
    <w:rsid w:val="0036009A"/>
    <w:rsid w:val="003617DC"/>
    <w:rsid w:val="00361C3D"/>
    <w:rsid w:val="003629CC"/>
    <w:rsid w:val="00362D44"/>
    <w:rsid w:val="00362D48"/>
    <w:rsid w:val="00363977"/>
    <w:rsid w:val="00363BF4"/>
    <w:rsid w:val="00364027"/>
    <w:rsid w:val="003642F3"/>
    <w:rsid w:val="0036484B"/>
    <w:rsid w:val="00364B5B"/>
    <w:rsid w:val="00364E26"/>
    <w:rsid w:val="003652A8"/>
    <w:rsid w:val="00365E6E"/>
    <w:rsid w:val="00366DCA"/>
    <w:rsid w:val="003670D6"/>
    <w:rsid w:val="00367349"/>
    <w:rsid w:val="00367A76"/>
    <w:rsid w:val="00370337"/>
    <w:rsid w:val="00371094"/>
    <w:rsid w:val="0037178A"/>
    <w:rsid w:val="00371B92"/>
    <w:rsid w:val="00371BD2"/>
    <w:rsid w:val="00371C69"/>
    <w:rsid w:val="00371F2B"/>
    <w:rsid w:val="00372457"/>
    <w:rsid w:val="00372764"/>
    <w:rsid w:val="00372B24"/>
    <w:rsid w:val="00372E0D"/>
    <w:rsid w:val="00373751"/>
    <w:rsid w:val="00373DFE"/>
    <w:rsid w:val="00375A0C"/>
    <w:rsid w:val="00375F0B"/>
    <w:rsid w:val="003804A6"/>
    <w:rsid w:val="00381A86"/>
    <w:rsid w:val="0038356A"/>
    <w:rsid w:val="00383B2E"/>
    <w:rsid w:val="00383B45"/>
    <w:rsid w:val="00383EC8"/>
    <w:rsid w:val="00384477"/>
    <w:rsid w:val="0038522E"/>
    <w:rsid w:val="00386A03"/>
    <w:rsid w:val="00386C27"/>
    <w:rsid w:val="00390847"/>
    <w:rsid w:val="0039110A"/>
    <w:rsid w:val="00391417"/>
    <w:rsid w:val="00391E24"/>
    <w:rsid w:val="003921BC"/>
    <w:rsid w:val="00394261"/>
    <w:rsid w:val="003952F8"/>
    <w:rsid w:val="00396417"/>
    <w:rsid w:val="00396808"/>
    <w:rsid w:val="00396916"/>
    <w:rsid w:val="00396D86"/>
    <w:rsid w:val="00396EC9"/>
    <w:rsid w:val="003A017A"/>
    <w:rsid w:val="003A1515"/>
    <w:rsid w:val="003A1D41"/>
    <w:rsid w:val="003A2CB2"/>
    <w:rsid w:val="003A2F38"/>
    <w:rsid w:val="003A3773"/>
    <w:rsid w:val="003A5482"/>
    <w:rsid w:val="003A63BB"/>
    <w:rsid w:val="003A6467"/>
    <w:rsid w:val="003A64C5"/>
    <w:rsid w:val="003A6F61"/>
    <w:rsid w:val="003A7581"/>
    <w:rsid w:val="003A7765"/>
    <w:rsid w:val="003A7F4A"/>
    <w:rsid w:val="003B007B"/>
    <w:rsid w:val="003B1508"/>
    <w:rsid w:val="003B3A72"/>
    <w:rsid w:val="003B3CDB"/>
    <w:rsid w:val="003B3FA6"/>
    <w:rsid w:val="003B47CC"/>
    <w:rsid w:val="003B4CF3"/>
    <w:rsid w:val="003B4E49"/>
    <w:rsid w:val="003B5CCC"/>
    <w:rsid w:val="003B5DC0"/>
    <w:rsid w:val="003B6026"/>
    <w:rsid w:val="003B65C0"/>
    <w:rsid w:val="003B6EE2"/>
    <w:rsid w:val="003B71F8"/>
    <w:rsid w:val="003B75B8"/>
    <w:rsid w:val="003B7DB6"/>
    <w:rsid w:val="003C11EA"/>
    <w:rsid w:val="003C1214"/>
    <w:rsid w:val="003C1C87"/>
    <w:rsid w:val="003C2004"/>
    <w:rsid w:val="003C308E"/>
    <w:rsid w:val="003C468D"/>
    <w:rsid w:val="003C473A"/>
    <w:rsid w:val="003C65FB"/>
    <w:rsid w:val="003C70A5"/>
    <w:rsid w:val="003C7943"/>
    <w:rsid w:val="003C7DBB"/>
    <w:rsid w:val="003C7EF9"/>
    <w:rsid w:val="003D0836"/>
    <w:rsid w:val="003D2F14"/>
    <w:rsid w:val="003D379A"/>
    <w:rsid w:val="003D3C8E"/>
    <w:rsid w:val="003D40B8"/>
    <w:rsid w:val="003D61BA"/>
    <w:rsid w:val="003D67C6"/>
    <w:rsid w:val="003D681B"/>
    <w:rsid w:val="003D734C"/>
    <w:rsid w:val="003D759C"/>
    <w:rsid w:val="003E0059"/>
    <w:rsid w:val="003E019C"/>
    <w:rsid w:val="003E0932"/>
    <w:rsid w:val="003E1801"/>
    <w:rsid w:val="003E26C7"/>
    <w:rsid w:val="003E3F7D"/>
    <w:rsid w:val="003E4B3F"/>
    <w:rsid w:val="003E54A8"/>
    <w:rsid w:val="003E5811"/>
    <w:rsid w:val="003E5B1E"/>
    <w:rsid w:val="003E5E42"/>
    <w:rsid w:val="003E6384"/>
    <w:rsid w:val="003E789A"/>
    <w:rsid w:val="003E7983"/>
    <w:rsid w:val="003F0EDC"/>
    <w:rsid w:val="003F1135"/>
    <w:rsid w:val="003F1E8E"/>
    <w:rsid w:val="003F205B"/>
    <w:rsid w:val="003F2F2A"/>
    <w:rsid w:val="003F300E"/>
    <w:rsid w:val="003F424B"/>
    <w:rsid w:val="003F4327"/>
    <w:rsid w:val="003F48E9"/>
    <w:rsid w:val="003F493C"/>
    <w:rsid w:val="003F4BF5"/>
    <w:rsid w:val="003F4C2E"/>
    <w:rsid w:val="003F6203"/>
    <w:rsid w:val="003F784D"/>
    <w:rsid w:val="00400408"/>
    <w:rsid w:val="004006D2"/>
    <w:rsid w:val="00401356"/>
    <w:rsid w:val="0040163B"/>
    <w:rsid w:val="004017BA"/>
    <w:rsid w:val="00401C08"/>
    <w:rsid w:val="00401C3A"/>
    <w:rsid w:val="00402BB0"/>
    <w:rsid w:val="00403D3A"/>
    <w:rsid w:val="00404079"/>
    <w:rsid w:val="004042AB"/>
    <w:rsid w:val="004042B9"/>
    <w:rsid w:val="00404A73"/>
    <w:rsid w:val="004076D4"/>
    <w:rsid w:val="00407EA7"/>
    <w:rsid w:val="00407EDF"/>
    <w:rsid w:val="00410DDB"/>
    <w:rsid w:val="00411695"/>
    <w:rsid w:val="00411F4C"/>
    <w:rsid w:val="00412C73"/>
    <w:rsid w:val="00413047"/>
    <w:rsid w:val="00413D3E"/>
    <w:rsid w:val="0041477F"/>
    <w:rsid w:val="0041497D"/>
    <w:rsid w:val="004153D3"/>
    <w:rsid w:val="00415601"/>
    <w:rsid w:val="00415729"/>
    <w:rsid w:val="0041680A"/>
    <w:rsid w:val="00417963"/>
    <w:rsid w:val="00417BA4"/>
    <w:rsid w:val="00417EDC"/>
    <w:rsid w:val="00421C07"/>
    <w:rsid w:val="00421F88"/>
    <w:rsid w:val="00422484"/>
    <w:rsid w:val="004227E9"/>
    <w:rsid w:val="00422960"/>
    <w:rsid w:val="004231F8"/>
    <w:rsid w:val="004232F4"/>
    <w:rsid w:val="0042513F"/>
    <w:rsid w:val="00425200"/>
    <w:rsid w:val="00425FDC"/>
    <w:rsid w:val="0042605B"/>
    <w:rsid w:val="00426109"/>
    <w:rsid w:val="0042630A"/>
    <w:rsid w:val="00426B0D"/>
    <w:rsid w:val="004274F6"/>
    <w:rsid w:val="004276BE"/>
    <w:rsid w:val="00427CE5"/>
    <w:rsid w:val="00430585"/>
    <w:rsid w:val="004316E0"/>
    <w:rsid w:val="004318EE"/>
    <w:rsid w:val="00431938"/>
    <w:rsid w:val="00432B6B"/>
    <w:rsid w:val="0043444E"/>
    <w:rsid w:val="00434618"/>
    <w:rsid w:val="00434714"/>
    <w:rsid w:val="00434E73"/>
    <w:rsid w:val="00435B23"/>
    <w:rsid w:val="00435FCD"/>
    <w:rsid w:val="00436522"/>
    <w:rsid w:val="00436830"/>
    <w:rsid w:val="00437336"/>
    <w:rsid w:val="00437941"/>
    <w:rsid w:val="00437A5E"/>
    <w:rsid w:val="00437EE7"/>
    <w:rsid w:val="004424E6"/>
    <w:rsid w:val="00442D66"/>
    <w:rsid w:val="004443F4"/>
    <w:rsid w:val="00444433"/>
    <w:rsid w:val="00444DA6"/>
    <w:rsid w:val="00445378"/>
    <w:rsid w:val="00445EA1"/>
    <w:rsid w:val="004471C3"/>
    <w:rsid w:val="00447203"/>
    <w:rsid w:val="00447558"/>
    <w:rsid w:val="004475D0"/>
    <w:rsid w:val="00451520"/>
    <w:rsid w:val="00451A76"/>
    <w:rsid w:val="00452BA1"/>
    <w:rsid w:val="004530BA"/>
    <w:rsid w:val="0045398D"/>
    <w:rsid w:val="00453A09"/>
    <w:rsid w:val="00453C0F"/>
    <w:rsid w:val="00453EA8"/>
    <w:rsid w:val="004543D5"/>
    <w:rsid w:val="004544C0"/>
    <w:rsid w:val="00454CA1"/>
    <w:rsid w:val="00455CCC"/>
    <w:rsid w:val="004560BA"/>
    <w:rsid w:val="00456C16"/>
    <w:rsid w:val="00456DE0"/>
    <w:rsid w:val="00457557"/>
    <w:rsid w:val="004576F4"/>
    <w:rsid w:val="00457AF1"/>
    <w:rsid w:val="00457B02"/>
    <w:rsid w:val="00460AA7"/>
    <w:rsid w:val="00460BFE"/>
    <w:rsid w:val="00461657"/>
    <w:rsid w:val="00461AE5"/>
    <w:rsid w:val="00461C87"/>
    <w:rsid w:val="00462389"/>
    <w:rsid w:val="004624EF"/>
    <w:rsid w:val="00462E4B"/>
    <w:rsid w:val="00463A36"/>
    <w:rsid w:val="00463AD4"/>
    <w:rsid w:val="00463E4A"/>
    <w:rsid w:val="00464594"/>
    <w:rsid w:val="00465DF8"/>
    <w:rsid w:val="00465F6C"/>
    <w:rsid w:val="0046688F"/>
    <w:rsid w:val="00467A10"/>
    <w:rsid w:val="00467E25"/>
    <w:rsid w:val="0047022C"/>
    <w:rsid w:val="004708BD"/>
    <w:rsid w:val="00471707"/>
    <w:rsid w:val="00471F9F"/>
    <w:rsid w:val="0047234D"/>
    <w:rsid w:val="00472733"/>
    <w:rsid w:val="0047400F"/>
    <w:rsid w:val="00475D72"/>
    <w:rsid w:val="004765AC"/>
    <w:rsid w:val="00476C48"/>
    <w:rsid w:val="00476CA7"/>
    <w:rsid w:val="004775E6"/>
    <w:rsid w:val="00477C9C"/>
    <w:rsid w:val="0048028E"/>
    <w:rsid w:val="00480386"/>
    <w:rsid w:val="00481033"/>
    <w:rsid w:val="004812E3"/>
    <w:rsid w:val="00482782"/>
    <w:rsid w:val="00482B00"/>
    <w:rsid w:val="00483286"/>
    <w:rsid w:val="004834A3"/>
    <w:rsid w:val="004845C9"/>
    <w:rsid w:val="0048522F"/>
    <w:rsid w:val="00486545"/>
    <w:rsid w:val="0048699F"/>
    <w:rsid w:val="00486A6B"/>
    <w:rsid w:val="004902FD"/>
    <w:rsid w:val="00490530"/>
    <w:rsid w:val="00490B19"/>
    <w:rsid w:val="0049163D"/>
    <w:rsid w:val="00491BD3"/>
    <w:rsid w:val="004921FD"/>
    <w:rsid w:val="004926D1"/>
    <w:rsid w:val="00492819"/>
    <w:rsid w:val="00492F6D"/>
    <w:rsid w:val="00493078"/>
    <w:rsid w:val="004930C5"/>
    <w:rsid w:val="00493A88"/>
    <w:rsid w:val="00493EB1"/>
    <w:rsid w:val="004942D4"/>
    <w:rsid w:val="00494561"/>
    <w:rsid w:val="0049482F"/>
    <w:rsid w:val="004952FA"/>
    <w:rsid w:val="0049664B"/>
    <w:rsid w:val="00496F44"/>
    <w:rsid w:val="0049700A"/>
    <w:rsid w:val="00497C8B"/>
    <w:rsid w:val="00497E61"/>
    <w:rsid w:val="004A0C91"/>
    <w:rsid w:val="004A1178"/>
    <w:rsid w:val="004A2E00"/>
    <w:rsid w:val="004A357D"/>
    <w:rsid w:val="004A37BC"/>
    <w:rsid w:val="004A3DEE"/>
    <w:rsid w:val="004A45F8"/>
    <w:rsid w:val="004A4635"/>
    <w:rsid w:val="004A4BC4"/>
    <w:rsid w:val="004A4E84"/>
    <w:rsid w:val="004A528C"/>
    <w:rsid w:val="004A54D9"/>
    <w:rsid w:val="004A54EC"/>
    <w:rsid w:val="004A555C"/>
    <w:rsid w:val="004A5DA0"/>
    <w:rsid w:val="004A6642"/>
    <w:rsid w:val="004A712C"/>
    <w:rsid w:val="004A7EF6"/>
    <w:rsid w:val="004B00E1"/>
    <w:rsid w:val="004B03E1"/>
    <w:rsid w:val="004B0927"/>
    <w:rsid w:val="004B0B37"/>
    <w:rsid w:val="004B1B56"/>
    <w:rsid w:val="004B200B"/>
    <w:rsid w:val="004B29E1"/>
    <w:rsid w:val="004B2CE3"/>
    <w:rsid w:val="004B383A"/>
    <w:rsid w:val="004B3A74"/>
    <w:rsid w:val="004B3B70"/>
    <w:rsid w:val="004B47BB"/>
    <w:rsid w:val="004B54A8"/>
    <w:rsid w:val="004B5F54"/>
    <w:rsid w:val="004B629C"/>
    <w:rsid w:val="004B69EC"/>
    <w:rsid w:val="004B6DA6"/>
    <w:rsid w:val="004B715B"/>
    <w:rsid w:val="004B71A8"/>
    <w:rsid w:val="004C1BEF"/>
    <w:rsid w:val="004C2D45"/>
    <w:rsid w:val="004C333F"/>
    <w:rsid w:val="004C3E19"/>
    <w:rsid w:val="004C400A"/>
    <w:rsid w:val="004C40DB"/>
    <w:rsid w:val="004C4620"/>
    <w:rsid w:val="004C46D2"/>
    <w:rsid w:val="004C497C"/>
    <w:rsid w:val="004C5907"/>
    <w:rsid w:val="004C6252"/>
    <w:rsid w:val="004C6DE5"/>
    <w:rsid w:val="004C6F50"/>
    <w:rsid w:val="004D0068"/>
    <w:rsid w:val="004D0075"/>
    <w:rsid w:val="004D00C1"/>
    <w:rsid w:val="004D0AF5"/>
    <w:rsid w:val="004D0D39"/>
    <w:rsid w:val="004D0F37"/>
    <w:rsid w:val="004D1482"/>
    <w:rsid w:val="004D2D42"/>
    <w:rsid w:val="004D3501"/>
    <w:rsid w:val="004D35DB"/>
    <w:rsid w:val="004D35EC"/>
    <w:rsid w:val="004D42BC"/>
    <w:rsid w:val="004D431E"/>
    <w:rsid w:val="004D4740"/>
    <w:rsid w:val="004D4AF2"/>
    <w:rsid w:val="004D506C"/>
    <w:rsid w:val="004D5473"/>
    <w:rsid w:val="004D554A"/>
    <w:rsid w:val="004D5859"/>
    <w:rsid w:val="004D5CF5"/>
    <w:rsid w:val="004D7323"/>
    <w:rsid w:val="004E027A"/>
    <w:rsid w:val="004E0823"/>
    <w:rsid w:val="004E0A22"/>
    <w:rsid w:val="004E0EBE"/>
    <w:rsid w:val="004E12E3"/>
    <w:rsid w:val="004E146A"/>
    <w:rsid w:val="004E1553"/>
    <w:rsid w:val="004E16BC"/>
    <w:rsid w:val="004E183A"/>
    <w:rsid w:val="004E29C8"/>
    <w:rsid w:val="004E3329"/>
    <w:rsid w:val="004E388D"/>
    <w:rsid w:val="004E3DD6"/>
    <w:rsid w:val="004E3E05"/>
    <w:rsid w:val="004E41F9"/>
    <w:rsid w:val="004E4AF0"/>
    <w:rsid w:val="004E5573"/>
    <w:rsid w:val="004E62EA"/>
    <w:rsid w:val="004E713C"/>
    <w:rsid w:val="004E7747"/>
    <w:rsid w:val="004E784D"/>
    <w:rsid w:val="004F0E84"/>
    <w:rsid w:val="004F0ED0"/>
    <w:rsid w:val="004F16AC"/>
    <w:rsid w:val="004F1954"/>
    <w:rsid w:val="004F1CE1"/>
    <w:rsid w:val="004F2245"/>
    <w:rsid w:val="004F3324"/>
    <w:rsid w:val="004F34C6"/>
    <w:rsid w:val="004F3D32"/>
    <w:rsid w:val="004F4191"/>
    <w:rsid w:val="004F4428"/>
    <w:rsid w:val="004F4D62"/>
    <w:rsid w:val="004F4F37"/>
    <w:rsid w:val="004F5AC9"/>
    <w:rsid w:val="004F5FE0"/>
    <w:rsid w:val="004F65B3"/>
    <w:rsid w:val="004F6781"/>
    <w:rsid w:val="004F69B1"/>
    <w:rsid w:val="004F6A3E"/>
    <w:rsid w:val="004F6AF9"/>
    <w:rsid w:val="004F75F8"/>
    <w:rsid w:val="004F7B53"/>
    <w:rsid w:val="004F7C1C"/>
    <w:rsid w:val="005006B1"/>
    <w:rsid w:val="0050132B"/>
    <w:rsid w:val="005013CD"/>
    <w:rsid w:val="005018B1"/>
    <w:rsid w:val="00501D7C"/>
    <w:rsid w:val="00503F3F"/>
    <w:rsid w:val="005041E7"/>
    <w:rsid w:val="0050430B"/>
    <w:rsid w:val="0050469F"/>
    <w:rsid w:val="00504C33"/>
    <w:rsid w:val="00504E09"/>
    <w:rsid w:val="0050584C"/>
    <w:rsid w:val="005065F6"/>
    <w:rsid w:val="005068B5"/>
    <w:rsid w:val="00506CA4"/>
    <w:rsid w:val="00510948"/>
    <w:rsid w:val="005119FF"/>
    <w:rsid w:val="00512CF1"/>
    <w:rsid w:val="00512DCB"/>
    <w:rsid w:val="00514476"/>
    <w:rsid w:val="00514D71"/>
    <w:rsid w:val="00515E6A"/>
    <w:rsid w:val="00515FF4"/>
    <w:rsid w:val="00516510"/>
    <w:rsid w:val="00520107"/>
    <w:rsid w:val="0052075D"/>
    <w:rsid w:val="00520BE8"/>
    <w:rsid w:val="00520FB1"/>
    <w:rsid w:val="00521053"/>
    <w:rsid w:val="00521701"/>
    <w:rsid w:val="005220B5"/>
    <w:rsid w:val="005223B7"/>
    <w:rsid w:val="00522BED"/>
    <w:rsid w:val="00523106"/>
    <w:rsid w:val="0052395A"/>
    <w:rsid w:val="005243BA"/>
    <w:rsid w:val="00524401"/>
    <w:rsid w:val="00525D3F"/>
    <w:rsid w:val="005261CE"/>
    <w:rsid w:val="005266C7"/>
    <w:rsid w:val="00526758"/>
    <w:rsid w:val="00526EC5"/>
    <w:rsid w:val="00527B2B"/>
    <w:rsid w:val="00527D7D"/>
    <w:rsid w:val="00527DFE"/>
    <w:rsid w:val="005306F0"/>
    <w:rsid w:val="005318F7"/>
    <w:rsid w:val="00531E9E"/>
    <w:rsid w:val="005324C3"/>
    <w:rsid w:val="0053284A"/>
    <w:rsid w:val="00532B91"/>
    <w:rsid w:val="00532E01"/>
    <w:rsid w:val="0053366E"/>
    <w:rsid w:val="005340D8"/>
    <w:rsid w:val="00534145"/>
    <w:rsid w:val="00534C46"/>
    <w:rsid w:val="00535145"/>
    <w:rsid w:val="00535310"/>
    <w:rsid w:val="00535A41"/>
    <w:rsid w:val="00535A95"/>
    <w:rsid w:val="00536C2C"/>
    <w:rsid w:val="00537BC1"/>
    <w:rsid w:val="00540346"/>
    <w:rsid w:val="00540B3C"/>
    <w:rsid w:val="0054110B"/>
    <w:rsid w:val="0054134E"/>
    <w:rsid w:val="005415BC"/>
    <w:rsid w:val="005422E1"/>
    <w:rsid w:val="005431F2"/>
    <w:rsid w:val="005434A2"/>
    <w:rsid w:val="00544471"/>
    <w:rsid w:val="00544695"/>
    <w:rsid w:val="00544933"/>
    <w:rsid w:val="00544F0E"/>
    <w:rsid w:val="00546584"/>
    <w:rsid w:val="00546DB1"/>
    <w:rsid w:val="00547463"/>
    <w:rsid w:val="0054748E"/>
    <w:rsid w:val="00547D02"/>
    <w:rsid w:val="0055014A"/>
    <w:rsid w:val="00550343"/>
    <w:rsid w:val="00550768"/>
    <w:rsid w:val="005509A2"/>
    <w:rsid w:val="00550CF9"/>
    <w:rsid w:val="00551628"/>
    <w:rsid w:val="00552A57"/>
    <w:rsid w:val="005539F1"/>
    <w:rsid w:val="00553A90"/>
    <w:rsid w:val="00553E23"/>
    <w:rsid w:val="00554B2C"/>
    <w:rsid w:val="005553FD"/>
    <w:rsid w:val="00555856"/>
    <w:rsid w:val="00556703"/>
    <w:rsid w:val="005568B8"/>
    <w:rsid w:val="0055691A"/>
    <w:rsid w:val="00557712"/>
    <w:rsid w:val="00557C64"/>
    <w:rsid w:val="00561239"/>
    <w:rsid w:val="00561294"/>
    <w:rsid w:val="00561417"/>
    <w:rsid w:val="00561C0F"/>
    <w:rsid w:val="0056312F"/>
    <w:rsid w:val="0056370B"/>
    <w:rsid w:val="00564BF6"/>
    <w:rsid w:val="00564D37"/>
    <w:rsid w:val="00564F3A"/>
    <w:rsid w:val="00564F3D"/>
    <w:rsid w:val="005661D7"/>
    <w:rsid w:val="005663D0"/>
    <w:rsid w:val="00566C70"/>
    <w:rsid w:val="0056722C"/>
    <w:rsid w:val="0056764D"/>
    <w:rsid w:val="005677B6"/>
    <w:rsid w:val="0056789A"/>
    <w:rsid w:val="00567C17"/>
    <w:rsid w:val="005708D1"/>
    <w:rsid w:val="00570934"/>
    <w:rsid w:val="005718FD"/>
    <w:rsid w:val="00571E38"/>
    <w:rsid w:val="0057271D"/>
    <w:rsid w:val="00572B28"/>
    <w:rsid w:val="005733BC"/>
    <w:rsid w:val="0057399D"/>
    <w:rsid w:val="00573AFB"/>
    <w:rsid w:val="00574286"/>
    <w:rsid w:val="005759A8"/>
    <w:rsid w:val="00575B7E"/>
    <w:rsid w:val="005761CC"/>
    <w:rsid w:val="00576344"/>
    <w:rsid w:val="0057638A"/>
    <w:rsid w:val="005763FA"/>
    <w:rsid w:val="0057644C"/>
    <w:rsid w:val="00576ADE"/>
    <w:rsid w:val="005770A1"/>
    <w:rsid w:val="005770C1"/>
    <w:rsid w:val="005770C8"/>
    <w:rsid w:val="00577378"/>
    <w:rsid w:val="00580468"/>
    <w:rsid w:val="0058098A"/>
    <w:rsid w:val="00581044"/>
    <w:rsid w:val="00581247"/>
    <w:rsid w:val="00581656"/>
    <w:rsid w:val="00582471"/>
    <w:rsid w:val="00584878"/>
    <w:rsid w:val="005848E9"/>
    <w:rsid w:val="00584AD0"/>
    <w:rsid w:val="0058587E"/>
    <w:rsid w:val="00585A90"/>
    <w:rsid w:val="00586069"/>
    <w:rsid w:val="00587436"/>
    <w:rsid w:val="0058748E"/>
    <w:rsid w:val="0059025D"/>
    <w:rsid w:val="005906E6"/>
    <w:rsid w:val="0059070A"/>
    <w:rsid w:val="0059247E"/>
    <w:rsid w:val="00592572"/>
    <w:rsid w:val="005925E7"/>
    <w:rsid w:val="00592A8A"/>
    <w:rsid w:val="00593C1F"/>
    <w:rsid w:val="005940EF"/>
    <w:rsid w:val="00594BB3"/>
    <w:rsid w:val="005958A6"/>
    <w:rsid w:val="00595C5C"/>
    <w:rsid w:val="00595F06"/>
    <w:rsid w:val="005960C2"/>
    <w:rsid w:val="00597734"/>
    <w:rsid w:val="00597E86"/>
    <w:rsid w:val="005A0A76"/>
    <w:rsid w:val="005A0B70"/>
    <w:rsid w:val="005A18AD"/>
    <w:rsid w:val="005A1A4B"/>
    <w:rsid w:val="005A1DF4"/>
    <w:rsid w:val="005A2DED"/>
    <w:rsid w:val="005A393E"/>
    <w:rsid w:val="005A463B"/>
    <w:rsid w:val="005A4D47"/>
    <w:rsid w:val="005A5284"/>
    <w:rsid w:val="005A675D"/>
    <w:rsid w:val="005A679C"/>
    <w:rsid w:val="005A7950"/>
    <w:rsid w:val="005A79E7"/>
    <w:rsid w:val="005A7CCE"/>
    <w:rsid w:val="005A7D14"/>
    <w:rsid w:val="005A7E1A"/>
    <w:rsid w:val="005B1506"/>
    <w:rsid w:val="005B1883"/>
    <w:rsid w:val="005B1980"/>
    <w:rsid w:val="005B231C"/>
    <w:rsid w:val="005B237B"/>
    <w:rsid w:val="005B2482"/>
    <w:rsid w:val="005B2AA3"/>
    <w:rsid w:val="005B39ED"/>
    <w:rsid w:val="005B4005"/>
    <w:rsid w:val="005B4568"/>
    <w:rsid w:val="005B465D"/>
    <w:rsid w:val="005B4C2D"/>
    <w:rsid w:val="005B558C"/>
    <w:rsid w:val="005B679B"/>
    <w:rsid w:val="005B699E"/>
    <w:rsid w:val="005B7645"/>
    <w:rsid w:val="005C03CD"/>
    <w:rsid w:val="005C0633"/>
    <w:rsid w:val="005C1E40"/>
    <w:rsid w:val="005C2688"/>
    <w:rsid w:val="005C323C"/>
    <w:rsid w:val="005C3879"/>
    <w:rsid w:val="005C3A31"/>
    <w:rsid w:val="005C3B37"/>
    <w:rsid w:val="005C5260"/>
    <w:rsid w:val="005C575A"/>
    <w:rsid w:val="005C5790"/>
    <w:rsid w:val="005C6F0E"/>
    <w:rsid w:val="005D00DA"/>
    <w:rsid w:val="005D0F4B"/>
    <w:rsid w:val="005D1598"/>
    <w:rsid w:val="005D220D"/>
    <w:rsid w:val="005D253C"/>
    <w:rsid w:val="005D353E"/>
    <w:rsid w:val="005D3E12"/>
    <w:rsid w:val="005D415B"/>
    <w:rsid w:val="005D53F5"/>
    <w:rsid w:val="005D5A04"/>
    <w:rsid w:val="005D5C5F"/>
    <w:rsid w:val="005E011E"/>
    <w:rsid w:val="005E06A9"/>
    <w:rsid w:val="005E090E"/>
    <w:rsid w:val="005E09A2"/>
    <w:rsid w:val="005E1981"/>
    <w:rsid w:val="005E1E80"/>
    <w:rsid w:val="005E37BD"/>
    <w:rsid w:val="005E4392"/>
    <w:rsid w:val="005E47D2"/>
    <w:rsid w:val="005E4AED"/>
    <w:rsid w:val="005E4B36"/>
    <w:rsid w:val="005E548C"/>
    <w:rsid w:val="005E55AA"/>
    <w:rsid w:val="005E57B0"/>
    <w:rsid w:val="005E59C8"/>
    <w:rsid w:val="005E5C18"/>
    <w:rsid w:val="005E5D2C"/>
    <w:rsid w:val="005E6785"/>
    <w:rsid w:val="005E70E6"/>
    <w:rsid w:val="005E733C"/>
    <w:rsid w:val="005E7532"/>
    <w:rsid w:val="005F05D1"/>
    <w:rsid w:val="005F1160"/>
    <w:rsid w:val="005F2253"/>
    <w:rsid w:val="005F2BC5"/>
    <w:rsid w:val="005F3626"/>
    <w:rsid w:val="005F3A87"/>
    <w:rsid w:val="005F406D"/>
    <w:rsid w:val="005F4223"/>
    <w:rsid w:val="005F4B9D"/>
    <w:rsid w:val="005F4F7B"/>
    <w:rsid w:val="005F55B1"/>
    <w:rsid w:val="005F5640"/>
    <w:rsid w:val="005F58B2"/>
    <w:rsid w:val="005F5B28"/>
    <w:rsid w:val="005F5BE7"/>
    <w:rsid w:val="005F5E06"/>
    <w:rsid w:val="005F670D"/>
    <w:rsid w:val="005F670F"/>
    <w:rsid w:val="005F6A0F"/>
    <w:rsid w:val="005F6BCA"/>
    <w:rsid w:val="005F7592"/>
    <w:rsid w:val="005F75F1"/>
    <w:rsid w:val="005F7955"/>
    <w:rsid w:val="005F7B94"/>
    <w:rsid w:val="0060064E"/>
    <w:rsid w:val="00601095"/>
    <w:rsid w:val="006017F8"/>
    <w:rsid w:val="00602A75"/>
    <w:rsid w:val="00602D83"/>
    <w:rsid w:val="00603A58"/>
    <w:rsid w:val="00604106"/>
    <w:rsid w:val="006041A3"/>
    <w:rsid w:val="006047A5"/>
    <w:rsid w:val="00604CCF"/>
    <w:rsid w:val="006052AB"/>
    <w:rsid w:val="00605432"/>
    <w:rsid w:val="00605D64"/>
    <w:rsid w:val="00605F52"/>
    <w:rsid w:val="006060E0"/>
    <w:rsid w:val="0060681A"/>
    <w:rsid w:val="0061095D"/>
    <w:rsid w:val="00610BA4"/>
    <w:rsid w:val="00610D90"/>
    <w:rsid w:val="00610F97"/>
    <w:rsid w:val="006111B8"/>
    <w:rsid w:val="00611444"/>
    <w:rsid w:val="00612445"/>
    <w:rsid w:val="006132AD"/>
    <w:rsid w:val="00613484"/>
    <w:rsid w:val="00613B0A"/>
    <w:rsid w:val="00613C45"/>
    <w:rsid w:val="00613F9E"/>
    <w:rsid w:val="00614919"/>
    <w:rsid w:val="00614969"/>
    <w:rsid w:val="00614980"/>
    <w:rsid w:val="00614AB3"/>
    <w:rsid w:val="00614F24"/>
    <w:rsid w:val="006153E8"/>
    <w:rsid w:val="00615708"/>
    <w:rsid w:val="00615AE1"/>
    <w:rsid w:val="006166D3"/>
    <w:rsid w:val="00616DE5"/>
    <w:rsid w:val="00616E3F"/>
    <w:rsid w:val="006173CE"/>
    <w:rsid w:val="00617F94"/>
    <w:rsid w:val="00620277"/>
    <w:rsid w:val="00620826"/>
    <w:rsid w:val="00620B04"/>
    <w:rsid w:val="00620B4C"/>
    <w:rsid w:val="00620C46"/>
    <w:rsid w:val="00620C64"/>
    <w:rsid w:val="006217F1"/>
    <w:rsid w:val="006229FE"/>
    <w:rsid w:val="00622E3B"/>
    <w:rsid w:val="00623C9D"/>
    <w:rsid w:val="00624FEC"/>
    <w:rsid w:val="00625362"/>
    <w:rsid w:val="0062552F"/>
    <w:rsid w:val="00625A18"/>
    <w:rsid w:val="00625EFA"/>
    <w:rsid w:val="006260A9"/>
    <w:rsid w:val="006262F1"/>
    <w:rsid w:val="00627364"/>
    <w:rsid w:val="006276E5"/>
    <w:rsid w:val="00627D10"/>
    <w:rsid w:val="0063053C"/>
    <w:rsid w:val="00630635"/>
    <w:rsid w:val="0063190D"/>
    <w:rsid w:val="00631BB9"/>
    <w:rsid w:val="00632598"/>
    <w:rsid w:val="00633D0B"/>
    <w:rsid w:val="00634602"/>
    <w:rsid w:val="00635257"/>
    <w:rsid w:val="00636439"/>
    <w:rsid w:val="00637498"/>
    <w:rsid w:val="00637D14"/>
    <w:rsid w:val="00637EBC"/>
    <w:rsid w:val="00640D53"/>
    <w:rsid w:val="006416E5"/>
    <w:rsid w:val="006417E9"/>
    <w:rsid w:val="006429FF"/>
    <w:rsid w:val="00642AAD"/>
    <w:rsid w:val="00642B26"/>
    <w:rsid w:val="006431F6"/>
    <w:rsid w:val="00643ED4"/>
    <w:rsid w:val="00644AC6"/>
    <w:rsid w:val="00644E77"/>
    <w:rsid w:val="00645385"/>
    <w:rsid w:val="006458E3"/>
    <w:rsid w:val="00645A42"/>
    <w:rsid w:val="00645C8D"/>
    <w:rsid w:val="00646075"/>
    <w:rsid w:val="00646555"/>
    <w:rsid w:val="006468CE"/>
    <w:rsid w:val="00651A51"/>
    <w:rsid w:val="00651A96"/>
    <w:rsid w:val="00651B5C"/>
    <w:rsid w:val="00653174"/>
    <w:rsid w:val="00654DD6"/>
    <w:rsid w:val="006552BF"/>
    <w:rsid w:val="006554DA"/>
    <w:rsid w:val="0065550B"/>
    <w:rsid w:val="00655986"/>
    <w:rsid w:val="00656879"/>
    <w:rsid w:val="0065792A"/>
    <w:rsid w:val="006608FF"/>
    <w:rsid w:val="0066094D"/>
    <w:rsid w:val="00660EDC"/>
    <w:rsid w:val="00660FC8"/>
    <w:rsid w:val="00661841"/>
    <w:rsid w:val="00661878"/>
    <w:rsid w:val="006619A7"/>
    <w:rsid w:val="006620FC"/>
    <w:rsid w:val="00662ADA"/>
    <w:rsid w:val="00662E65"/>
    <w:rsid w:val="00663730"/>
    <w:rsid w:val="006637F9"/>
    <w:rsid w:val="00664588"/>
    <w:rsid w:val="00664608"/>
    <w:rsid w:val="00665060"/>
    <w:rsid w:val="00665190"/>
    <w:rsid w:val="00665233"/>
    <w:rsid w:val="00665BD5"/>
    <w:rsid w:val="00665CA7"/>
    <w:rsid w:val="00666D4E"/>
    <w:rsid w:val="00666E53"/>
    <w:rsid w:val="0066702A"/>
    <w:rsid w:val="00667708"/>
    <w:rsid w:val="00667B4E"/>
    <w:rsid w:val="00670289"/>
    <w:rsid w:val="00670385"/>
    <w:rsid w:val="00670803"/>
    <w:rsid w:val="00671191"/>
    <w:rsid w:val="00671734"/>
    <w:rsid w:val="006733BB"/>
    <w:rsid w:val="00673987"/>
    <w:rsid w:val="00673E42"/>
    <w:rsid w:val="0067456B"/>
    <w:rsid w:val="00675333"/>
    <w:rsid w:val="00675423"/>
    <w:rsid w:val="0067544E"/>
    <w:rsid w:val="0067559A"/>
    <w:rsid w:val="0067570D"/>
    <w:rsid w:val="00675A5F"/>
    <w:rsid w:val="0067750D"/>
    <w:rsid w:val="00677CB7"/>
    <w:rsid w:val="00681108"/>
    <w:rsid w:val="0068127E"/>
    <w:rsid w:val="00682EF1"/>
    <w:rsid w:val="00683990"/>
    <w:rsid w:val="00683AE8"/>
    <w:rsid w:val="00684CFC"/>
    <w:rsid w:val="006850A9"/>
    <w:rsid w:val="00685443"/>
    <w:rsid w:val="006862F4"/>
    <w:rsid w:val="006865B1"/>
    <w:rsid w:val="00686BB5"/>
    <w:rsid w:val="00686FBB"/>
    <w:rsid w:val="00690016"/>
    <w:rsid w:val="006900D7"/>
    <w:rsid w:val="00690824"/>
    <w:rsid w:val="006909B3"/>
    <w:rsid w:val="0069129F"/>
    <w:rsid w:val="0069149F"/>
    <w:rsid w:val="00691619"/>
    <w:rsid w:val="00691B4B"/>
    <w:rsid w:val="00691E86"/>
    <w:rsid w:val="0069212F"/>
    <w:rsid w:val="00693A7D"/>
    <w:rsid w:val="0069445A"/>
    <w:rsid w:val="00694A84"/>
    <w:rsid w:val="00694AC6"/>
    <w:rsid w:val="00694FBC"/>
    <w:rsid w:val="00695538"/>
    <w:rsid w:val="00695944"/>
    <w:rsid w:val="00695965"/>
    <w:rsid w:val="00695977"/>
    <w:rsid w:val="00696BEE"/>
    <w:rsid w:val="006972F7"/>
    <w:rsid w:val="00697C22"/>
    <w:rsid w:val="006A026A"/>
    <w:rsid w:val="006A050C"/>
    <w:rsid w:val="006A0831"/>
    <w:rsid w:val="006A1007"/>
    <w:rsid w:val="006A250D"/>
    <w:rsid w:val="006A26F5"/>
    <w:rsid w:val="006A3C93"/>
    <w:rsid w:val="006A4461"/>
    <w:rsid w:val="006A543E"/>
    <w:rsid w:val="006A58A6"/>
    <w:rsid w:val="006A5A02"/>
    <w:rsid w:val="006A60BA"/>
    <w:rsid w:val="006A6D6E"/>
    <w:rsid w:val="006A75FC"/>
    <w:rsid w:val="006A7604"/>
    <w:rsid w:val="006A764D"/>
    <w:rsid w:val="006A77F0"/>
    <w:rsid w:val="006A7A9B"/>
    <w:rsid w:val="006A7B1E"/>
    <w:rsid w:val="006A7D7E"/>
    <w:rsid w:val="006B0BA5"/>
    <w:rsid w:val="006B0F9F"/>
    <w:rsid w:val="006B18CC"/>
    <w:rsid w:val="006B1BBB"/>
    <w:rsid w:val="006B1C35"/>
    <w:rsid w:val="006B1F6B"/>
    <w:rsid w:val="006B22C2"/>
    <w:rsid w:val="006B26A0"/>
    <w:rsid w:val="006B27A0"/>
    <w:rsid w:val="006B3351"/>
    <w:rsid w:val="006B3DE9"/>
    <w:rsid w:val="006B3E8C"/>
    <w:rsid w:val="006B44E9"/>
    <w:rsid w:val="006B4AED"/>
    <w:rsid w:val="006B4F40"/>
    <w:rsid w:val="006B64D5"/>
    <w:rsid w:val="006B6864"/>
    <w:rsid w:val="006B6C86"/>
    <w:rsid w:val="006B6E35"/>
    <w:rsid w:val="006B6FBB"/>
    <w:rsid w:val="006B6FBD"/>
    <w:rsid w:val="006B7DD6"/>
    <w:rsid w:val="006B7E48"/>
    <w:rsid w:val="006C0D6B"/>
    <w:rsid w:val="006C0EE0"/>
    <w:rsid w:val="006C1871"/>
    <w:rsid w:val="006C1D13"/>
    <w:rsid w:val="006C3312"/>
    <w:rsid w:val="006C3759"/>
    <w:rsid w:val="006C397E"/>
    <w:rsid w:val="006C3D52"/>
    <w:rsid w:val="006C41AA"/>
    <w:rsid w:val="006C4577"/>
    <w:rsid w:val="006C4EAD"/>
    <w:rsid w:val="006C5B16"/>
    <w:rsid w:val="006C5DA4"/>
    <w:rsid w:val="006C5DB5"/>
    <w:rsid w:val="006C6308"/>
    <w:rsid w:val="006C6488"/>
    <w:rsid w:val="006C65E9"/>
    <w:rsid w:val="006C7964"/>
    <w:rsid w:val="006D005C"/>
    <w:rsid w:val="006D12FD"/>
    <w:rsid w:val="006D14E6"/>
    <w:rsid w:val="006D1D1A"/>
    <w:rsid w:val="006D1D77"/>
    <w:rsid w:val="006D26A8"/>
    <w:rsid w:val="006D2795"/>
    <w:rsid w:val="006D299A"/>
    <w:rsid w:val="006D29C1"/>
    <w:rsid w:val="006D2A6D"/>
    <w:rsid w:val="006D2C1E"/>
    <w:rsid w:val="006D3AC3"/>
    <w:rsid w:val="006D58DC"/>
    <w:rsid w:val="006D58E7"/>
    <w:rsid w:val="006D5A5D"/>
    <w:rsid w:val="006D5D31"/>
    <w:rsid w:val="006D5E83"/>
    <w:rsid w:val="006D5E92"/>
    <w:rsid w:val="006D6562"/>
    <w:rsid w:val="006D703B"/>
    <w:rsid w:val="006D7831"/>
    <w:rsid w:val="006D7A78"/>
    <w:rsid w:val="006D7C1C"/>
    <w:rsid w:val="006E06B7"/>
    <w:rsid w:val="006E07E9"/>
    <w:rsid w:val="006E1468"/>
    <w:rsid w:val="006E1D72"/>
    <w:rsid w:val="006E2BCB"/>
    <w:rsid w:val="006E319F"/>
    <w:rsid w:val="006E3278"/>
    <w:rsid w:val="006E32AB"/>
    <w:rsid w:val="006E39AD"/>
    <w:rsid w:val="006E3FE1"/>
    <w:rsid w:val="006E4273"/>
    <w:rsid w:val="006E42CC"/>
    <w:rsid w:val="006E47E1"/>
    <w:rsid w:val="006E48F5"/>
    <w:rsid w:val="006E4923"/>
    <w:rsid w:val="006E4DD5"/>
    <w:rsid w:val="006E54EB"/>
    <w:rsid w:val="006E57F2"/>
    <w:rsid w:val="006E58BF"/>
    <w:rsid w:val="006E5BB5"/>
    <w:rsid w:val="006E6137"/>
    <w:rsid w:val="006E6624"/>
    <w:rsid w:val="006E6C28"/>
    <w:rsid w:val="006E6F4E"/>
    <w:rsid w:val="006E77E8"/>
    <w:rsid w:val="006E7928"/>
    <w:rsid w:val="006E7F37"/>
    <w:rsid w:val="006F0752"/>
    <w:rsid w:val="006F0E1E"/>
    <w:rsid w:val="006F2092"/>
    <w:rsid w:val="006F286D"/>
    <w:rsid w:val="006F3110"/>
    <w:rsid w:val="006F34A7"/>
    <w:rsid w:val="006F3626"/>
    <w:rsid w:val="006F3627"/>
    <w:rsid w:val="006F47E1"/>
    <w:rsid w:val="006F506B"/>
    <w:rsid w:val="006F51C4"/>
    <w:rsid w:val="006F5F9A"/>
    <w:rsid w:val="006F6150"/>
    <w:rsid w:val="006F65F5"/>
    <w:rsid w:val="006F739C"/>
    <w:rsid w:val="006F7C1B"/>
    <w:rsid w:val="007000FC"/>
    <w:rsid w:val="007009FD"/>
    <w:rsid w:val="0070112F"/>
    <w:rsid w:val="007011B7"/>
    <w:rsid w:val="007012D0"/>
    <w:rsid w:val="007024B3"/>
    <w:rsid w:val="00702D92"/>
    <w:rsid w:val="00702EF9"/>
    <w:rsid w:val="0070380D"/>
    <w:rsid w:val="00703CD6"/>
    <w:rsid w:val="007049A3"/>
    <w:rsid w:val="00704E77"/>
    <w:rsid w:val="007050D5"/>
    <w:rsid w:val="00705446"/>
    <w:rsid w:val="00705CAE"/>
    <w:rsid w:val="00706091"/>
    <w:rsid w:val="00706500"/>
    <w:rsid w:val="00706887"/>
    <w:rsid w:val="00706B7B"/>
    <w:rsid w:val="00706D57"/>
    <w:rsid w:val="00707069"/>
    <w:rsid w:val="00707760"/>
    <w:rsid w:val="00710655"/>
    <w:rsid w:val="00710ABB"/>
    <w:rsid w:val="007120E7"/>
    <w:rsid w:val="007125A9"/>
    <w:rsid w:val="007135F1"/>
    <w:rsid w:val="00713627"/>
    <w:rsid w:val="00713842"/>
    <w:rsid w:val="00713C93"/>
    <w:rsid w:val="0071489F"/>
    <w:rsid w:val="007156E7"/>
    <w:rsid w:val="0071589A"/>
    <w:rsid w:val="007165CB"/>
    <w:rsid w:val="00716759"/>
    <w:rsid w:val="0071732B"/>
    <w:rsid w:val="00717367"/>
    <w:rsid w:val="0071746F"/>
    <w:rsid w:val="007175DD"/>
    <w:rsid w:val="007179A8"/>
    <w:rsid w:val="0072026C"/>
    <w:rsid w:val="007202F0"/>
    <w:rsid w:val="00720742"/>
    <w:rsid w:val="00720C3F"/>
    <w:rsid w:val="00721A3E"/>
    <w:rsid w:val="00721A99"/>
    <w:rsid w:val="00721B60"/>
    <w:rsid w:val="00721CB7"/>
    <w:rsid w:val="00721FE2"/>
    <w:rsid w:val="007220FE"/>
    <w:rsid w:val="00723A05"/>
    <w:rsid w:val="0072461B"/>
    <w:rsid w:val="00725EC2"/>
    <w:rsid w:val="00725FE6"/>
    <w:rsid w:val="00726457"/>
    <w:rsid w:val="007266C7"/>
    <w:rsid w:val="00726F05"/>
    <w:rsid w:val="00727B90"/>
    <w:rsid w:val="00731A40"/>
    <w:rsid w:val="007321E0"/>
    <w:rsid w:val="007321E3"/>
    <w:rsid w:val="007337CF"/>
    <w:rsid w:val="00733909"/>
    <w:rsid w:val="00733C7D"/>
    <w:rsid w:val="0073401D"/>
    <w:rsid w:val="00734273"/>
    <w:rsid w:val="00734845"/>
    <w:rsid w:val="00734A92"/>
    <w:rsid w:val="00735444"/>
    <w:rsid w:val="007357F1"/>
    <w:rsid w:val="00735824"/>
    <w:rsid w:val="00735BA8"/>
    <w:rsid w:val="00735CF2"/>
    <w:rsid w:val="007360C6"/>
    <w:rsid w:val="007364EF"/>
    <w:rsid w:val="007366E1"/>
    <w:rsid w:val="007368A2"/>
    <w:rsid w:val="007373D3"/>
    <w:rsid w:val="00741457"/>
    <w:rsid w:val="00741813"/>
    <w:rsid w:val="00741BEF"/>
    <w:rsid w:val="00741C7F"/>
    <w:rsid w:val="0074368C"/>
    <w:rsid w:val="00744813"/>
    <w:rsid w:val="0074503D"/>
    <w:rsid w:val="00745334"/>
    <w:rsid w:val="0074568E"/>
    <w:rsid w:val="00745693"/>
    <w:rsid w:val="007457BA"/>
    <w:rsid w:val="00745A10"/>
    <w:rsid w:val="00745C96"/>
    <w:rsid w:val="007461E2"/>
    <w:rsid w:val="0074623D"/>
    <w:rsid w:val="007465A4"/>
    <w:rsid w:val="00746CCC"/>
    <w:rsid w:val="00747035"/>
    <w:rsid w:val="00747049"/>
    <w:rsid w:val="00747281"/>
    <w:rsid w:val="00747654"/>
    <w:rsid w:val="00747C63"/>
    <w:rsid w:val="00747E3D"/>
    <w:rsid w:val="007503CC"/>
    <w:rsid w:val="007503D2"/>
    <w:rsid w:val="00750945"/>
    <w:rsid w:val="00751056"/>
    <w:rsid w:val="00751236"/>
    <w:rsid w:val="00751EED"/>
    <w:rsid w:val="007527DF"/>
    <w:rsid w:val="00754088"/>
    <w:rsid w:val="00754674"/>
    <w:rsid w:val="007547DD"/>
    <w:rsid w:val="00754BF1"/>
    <w:rsid w:val="00755EA4"/>
    <w:rsid w:val="00756E2C"/>
    <w:rsid w:val="00757C6A"/>
    <w:rsid w:val="00760101"/>
    <w:rsid w:val="007601A1"/>
    <w:rsid w:val="0076090E"/>
    <w:rsid w:val="00760BC4"/>
    <w:rsid w:val="00760CEB"/>
    <w:rsid w:val="0076154D"/>
    <w:rsid w:val="007617D9"/>
    <w:rsid w:val="00761C86"/>
    <w:rsid w:val="00761FC9"/>
    <w:rsid w:val="00762068"/>
    <w:rsid w:val="007621C5"/>
    <w:rsid w:val="00762D82"/>
    <w:rsid w:val="00763218"/>
    <w:rsid w:val="00763523"/>
    <w:rsid w:val="00763A3E"/>
    <w:rsid w:val="00763B33"/>
    <w:rsid w:val="00763CCD"/>
    <w:rsid w:val="00765474"/>
    <w:rsid w:val="00765763"/>
    <w:rsid w:val="00765CCE"/>
    <w:rsid w:val="007660C5"/>
    <w:rsid w:val="0076660A"/>
    <w:rsid w:val="00766FBA"/>
    <w:rsid w:val="007702F1"/>
    <w:rsid w:val="00770FAE"/>
    <w:rsid w:val="007716E6"/>
    <w:rsid w:val="007719B7"/>
    <w:rsid w:val="00772CCC"/>
    <w:rsid w:val="0077312C"/>
    <w:rsid w:val="007737E2"/>
    <w:rsid w:val="007744FD"/>
    <w:rsid w:val="0077503D"/>
    <w:rsid w:val="00775121"/>
    <w:rsid w:val="00775190"/>
    <w:rsid w:val="00775D9F"/>
    <w:rsid w:val="00776155"/>
    <w:rsid w:val="0077674D"/>
    <w:rsid w:val="00780051"/>
    <w:rsid w:val="00780511"/>
    <w:rsid w:val="00781086"/>
    <w:rsid w:val="00781149"/>
    <w:rsid w:val="0078138D"/>
    <w:rsid w:val="007813AF"/>
    <w:rsid w:val="007813C5"/>
    <w:rsid w:val="007813CE"/>
    <w:rsid w:val="007816D4"/>
    <w:rsid w:val="00781938"/>
    <w:rsid w:val="0078196B"/>
    <w:rsid w:val="00781A8F"/>
    <w:rsid w:val="0078210A"/>
    <w:rsid w:val="0078223B"/>
    <w:rsid w:val="00782D35"/>
    <w:rsid w:val="0078301F"/>
    <w:rsid w:val="0078386B"/>
    <w:rsid w:val="00784084"/>
    <w:rsid w:val="007847AF"/>
    <w:rsid w:val="007848F8"/>
    <w:rsid w:val="00784EEB"/>
    <w:rsid w:val="00784F73"/>
    <w:rsid w:val="007853DB"/>
    <w:rsid w:val="00785C66"/>
    <w:rsid w:val="0078637A"/>
    <w:rsid w:val="00786393"/>
    <w:rsid w:val="00786CD8"/>
    <w:rsid w:val="00787269"/>
    <w:rsid w:val="007872D5"/>
    <w:rsid w:val="007873A2"/>
    <w:rsid w:val="00787511"/>
    <w:rsid w:val="0078798E"/>
    <w:rsid w:val="00787E67"/>
    <w:rsid w:val="0079065E"/>
    <w:rsid w:val="007908FD"/>
    <w:rsid w:val="007909F3"/>
    <w:rsid w:val="00790B22"/>
    <w:rsid w:val="00790E61"/>
    <w:rsid w:val="00791FC4"/>
    <w:rsid w:val="007933D1"/>
    <w:rsid w:val="007938A7"/>
    <w:rsid w:val="00793A12"/>
    <w:rsid w:val="00793B57"/>
    <w:rsid w:val="007943DF"/>
    <w:rsid w:val="00795040"/>
    <w:rsid w:val="00795542"/>
    <w:rsid w:val="00795EDB"/>
    <w:rsid w:val="00795F40"/>
    <w:rsid w:val="0079657E"/>
    <w:rsid w:val="0079776C"/>
    <w:rsid w:val="007A01F0"/>
    <w:rsid w:val="007A1046"/>
    <w:rsid w:val="007A1345"/>
    <w:rsid w:val="007A25C0"/>
    <w:rsid w:val="007A276B"/>
    <w:rsid w:val="007A2964"/>
    <w:rsid w:val="007A3087"/>
    <w:rsid w:val="007A4459"/>
    <w:rsid w:val="007A4FD9"/>
    <w:rsid w:val="007A56FC"/>
    <w:rsid w:val="007A6A7C"/>
    <w:rsid w:val="007A6B9B"/>
    <w:rsid w:val="007A7B39"/>
    <w:rsid w:val="007B2984"/>
    <w:rsid w:val="007B2AD2"/>
    <w:rsid w:val="007B4182"/>
    <w:rsid w:val="007B4988"/>
    <w:rsid w:val="007B4ABF"/>
    <w:rsid w:val="007B5F92"/>
    <w:rsid w:val="007B63DE"/>
    <w:rsid w:val="007B6EDC"/>
    <w:rsid w:val="007B7DF2"/>
    <w:rsid w:val="007C0B46"/>
    <w:rsid w:val="007C1872"/>
    <w:rsid w:val="007C2AC2"/>
    <w:rsid w:val="007C30C4"/>
    <w:rsid w:val="007C3369"/>
    <w:rsid w:val="007C35C6"/>
    <w:rsid w:val="007C4D87"/>
    <w:rsid w:val="007C54B3"/>
    <w:rsid w:val="007C5890"/>
    <w:rsid w:val="007C5EB5"/>
    <w:rsid w:val="007C66FB"/>
    <w:rsid w:val="007C6825"/>
    <w:rsid w:val="007C68F4"/>
    <w:rsid w:val="007C6D1B"/>
    <w:rsid w:val="007C7858"/>
    <w:rsid w:val="007C7BB8"/>
    <w:rsid w:val="007C7D1C"/>
    <w:rsid w:val="007D02DD"/>
    <w:rsid w:val="007D035A"/>
    <w:rsid w:val="007D0A49"/>
    <w:rsid w:val="007D207E"/>
    <w:rsid w:val="007D34D0"/>
    <w:rsid w:val="007D3BBC"/>
    <w:rsid w:val="007D3CF8"/>
    <w:rsid w:val="007D3E4E"/>
    <w:rsid w:val="007D4100"/>
    <w:rsid w:val="007D4BAE"/>
    <w:rsid w:val="007D4CAA"/>
    <w:rsid w:val="007D5060"/>
    <w:rsid w:val="007D5C5A"/>
    <w:rsid w:val="007D6831"/>
    <w:rsid w:val="007D77C6"/>
    <w:rsid w:val="007E0198"/>
    <w:rsid w:val="007E029C"/>
    <w:rsid w:val="007E0934"/>
    <w:rsid w:val="007E0D92"/>
    <w:rsid w:val="007E0F56"/>
    <w:rsid w:val="007E26F4"/>
    <w:rsid w:val="007E30C5"/>
    <w:rsid w:val="007E342B"/>
    <w:rsid w:val="007E398C"/>
    <w:rsid w:val="007E3B7E"/>
    <w:rsid w:val="007E428F"/>
    <w:rsid w:val="007E4A6F"/>
    <w:rsid w:val="007E531A"/>
    <w:rsid w:val="007E5423"/>
    <w:rsid w:val="007E63AD"/>
    <w:rsid w:val="007E67C8"/>
    <w:rsid w:val="007E6A60"/>
    <w:rsid w:val="007E6BEB"/>
    <w:rsid w:val="007F043C"/>
    <w:rsid w:val="007F059A"/>
    <w:rsid w:val="007F0962"/>
    <w:rsid w:val="007F09D2"/>
    <w:rsid w:val="007F0F7B"/>
    <w:rsid w:val="007F1152"/>
    <w:rsid w:val="007F129F"/>
    <w:rsid w:val="007F1AE0"/>
    <w:rsid w:val="007F2638"/>
    <w:rsid w:val="007F294F"/>
    <w:rsid w:val="007F3F6E"/>
    <w:rsid w:val="007F458C"/>
    <w:rsid w:val="007F4A5C"/>
    <w:rsid w:val="007F5968"/>
    <w:rsid w:val="007F59FD"/>
    <w:rsid w:val="007F5DFF"/>
    <w:rsid w:val="007F5E7F"/>
    <w:rsid w:val="007F70AA"/>
    <w:rsid w:val="007F75E5"/>
    <w:rsid w:val="007F772A"/>
    <w:rsid w:val="007F7E45"/>
    <w:rsid w:val="00800002"/>
    <w:rsid w:val="00800381"/>
    <w:rsid w:val="00800904"/>
    <w:rsid w:val="00800F65"/>
    <w:rsid w:val="00801203"/>
    <w:rsid w:val="008014A0"/>
    <w:rsid w:val="008018BB"/>
    <w:rsid w:val="00801FEA"/>
    <w:rsid w:val="00802247"/>
    <w:rsid w:val="00802AF8"/>
    <w:rsid w:val="00802E32"/>
    <w:rsid w:val="00802F14"/>
    <w:rsid w:val="00803BC7"/>
    <w:rsid w:val="00804946"/>
    <w:rsid w:val="00805261"/>
    <w:rsid w:val="00805AAE"/>
    <w:rsid w:val="00806D6A"/>
    <w:rsid w:val="00807266"/>
    <w:rsid w:val="008072D4"/>
    <w:rsid w:val="0080790E"/>
    <w:rsid w:val="00807C78"/>
    <w:rsid w:val="0081004C"/>
    <w:rsid w:val="008100F5"/>
    <w:rsid w:val="008105DD"/>
    <w:rsid w:val="0081099D"/>
    <w:rsid w:val="0081102D"/>
    <w:rsid w:val="0081190A"/>
    <w:rsid w:val="00811EF7"/>
    <w:rsid w:val="0081266E"/>
    <w:rsid w:val="008126FD"/>
    <w:rsid w:val="00812FA1"/>
    <w:rsid w:val="00813355"/>
    <w:rsid w:val="008139AB"/>
    <w:rsid w:val="00813BF7"/>
    <w:rsid w:val="008142A9"/>
    <w:rsid w:val="00814676"/>
    <w:rsid w:val="008147F9"/>
    <w:rsid w:val="00815C00"/>
    <w:rsid w:val="0081672C"/>
    <w:rsid w:val="0082018A"/>
    <w:rsid w:val="0082023F"/>
    <w:rsid w:val="00820627"/>
    <w:rsid w:val="008217F2"/>
    <w:rsid w:val="00822021"/>
    <w:rsid w:val="00822230"/>
    <w:rsid w:val="00822303"/>
    <w:rsid w:val="00822551"/>
    <w:rsid w:val="00822C5A"/>
    <w:rsid w:val="00822D0E"/>
    <w:rsid w:val="0082319E"/>
    <w:rsid w:val="00823CD7"/>
    <w:rsid w:val="00823EF9"/>
    <w:rsid w:val="00824850"/>
    <w:rsid w:val="00824FB9"/>
    <w:rsid w:val="0082512E"/>
    <w:rsid w:val="008252FC"/>
    <w:rsid w:val="008262E4"/>
    <w:rsid w:val="00826A1A"/>
    <w:rsid w:val="00826E62"/>
    <w:rsid w:val="00827537"/>
    <w:rsid w:val="008276A4"/>
    <w:rsid w:val="008279DE"/>
    <w:rsid w:val="00830331"/>
    <w:rsid w:val="00831086"/>
    <w:rsid w:val="008323B8"/>
    <w:rsid w:val="008324F2"/>
    <w:rsid w:val="008333D4"/>
    <w:rsid w:val="008338EB"/>
    <w:rsid w:val="00833FD6"/>
    <w:rsid w:val="008344C1"/>
    <w:rsid w:val="008368E1"/>
    <w:rsid w:val="00836ADE"/>
    <w:rsid w:val="008370E5"/>
    <w:rsid w:val="008371AC"/>
    <w:rsid w:val="00837659"/>
    <w:rsid w:val="00837B42"/>
    <w:rsid w:val="00837C49"/>
    <w:rsid w:val="00837DBE"/>
    <w:rsid w:val="0084006F"/>
    <w:rsid w:val="00840337"/>
    <w:rsid w:val="00840AEE"/>
    <w:rsid w:val="00841983"/>
    <w:rsid w:val="0084326D"/>
    <w:rsid w:val="008437CD"/>
    <w:rsid w:val="00843908"/>
    <w:rsid w:val="00843E97"/>
    <w:rsid w:val="00844F71"/>
    <w:rsid w:val="0084579D"/>
    <w:rsid w:val="00845BB6"/>
    <w:rsid w:val="00846039"/>
    <w:rsid w:val="00846739"/>
    <w:rsid w:val="00846C76"/>
    <w:rsid w:val="00846D8E"/>
    <w:rsid w:val="00846F97"/>
    <w:rsid w:val="00847A7F"/>
    <w:rsid w:val="00847C84"/>
    <w:rsid w:val="00847C89"/>
    <w:rsid w:val="00850525"/>
    <w:rsid w:val="008509C9"/>
    <w:rsid w:val="00851332"/>
    <w:rsid w:val="008513B5"/>
    <w:rsid w:val="00851728"/>
    <w:rsid w:val="00851B34"/>
    <w:rsid w:val="00851D3F"/>
    <w:rsid w:val="00851EC4"/>
    <w:rsid w:val="008524B5"/>
    <w:rsid w:val="00852526"/>
    <w:rsid w:val="00852801"/>
    <w:rsid w:val="00852847"/>
    <w:rsid w:val="00852BB5"/>
    <w:rsid w:val="00852FA2"/>
    <w:rsid w:val="0085305E"/>
    <w:rsid w:val="008533ED"/>
    <w:rsid w:val="00853663"/>
    <w:rsid w:val="00853678"/>
    <w:rsid w:val="008539FD"/>
    <w:rsid w:val="00853ED6"/>
    <w:rsid w:val="00853EFF"/>
    <w:rsid w:val="00854106"/>
    <w:rsid w:val="00854C38"/>
    <w:rsid w:val="00855880"/>
    <w:rsid w:val="00855C58"/>
    <w:rsid w:val="00856632"/>
    <w:rsid w:val="00856959"/>
    <w:rsid w:val="00857865"/>
    <w:rsid w:val="00857AB9"/>
    <w:rsid w:val="00857EEB"/>
    <w:rsid w:val="008600C5"/>
    <w:rsid w:val="00860375"/>
    <w:rsid w:val="0086040D"/>
    <w:rsid w:val="00860F00"/>
    <w:rsid w:val="0086293D"/>
    <w:rsid w:val="008635DF"/>
    <w:rsid w:val="00863C60"/>
    <w:rsid w:val="0086448D"/>
    <w:rsid w:val="0086527A"/>
    <w:rsid w:val="008656FD"/>
    <w:rsid w:val="00865C12"/>
    <w:rsid w:val="008676E4"/>
    <w:rsid w:val="0087035B"/>
    <w:rsid w:val="00870468"/>
    <w:rsid w:val="008709E8"/>
    <w:rsid w:val="00870B38"/>
    <w:rsid w:val="008714C4"/>
    <w:rsid w:val="008715B9"/>
    <w:rsid w:val="00872C9F"/>
    <w:rsid w:val="00873737"/>
    <w:rsid w:val="00873A23"/>
    <w:rsid w:val="008743F6"/>
    <w:rsid w:val="00874B61"/>
    <w:rsid w:val="008758E7"/>
    <w:rsid w:val="00876922"/>
    <w:rsid w:val="00876A4E"/>
    <w:rsid w:val="00876ADA"/>
    <w:rsid w:val="008774F0"/>
    <w:rsid w:val="008778A9"/>
    <w:rsid w:val="00877B17"/>
    <w:rsid w:val="0088020B"/>
    <w:rsid w:val="00880219"/>
    <w:rsid w:val="00880CB8"/>
    <w:rsid w:val="00880DEF"/>
    <w:rsid w:val="00880E5A"/>
    <w:rsid w:val="008815FA"/>
    <w:rsid w:val="0088223F"/>
    <w:rsid w:val="00882568"/>
    <w:rsid w:val="00882BD3"/>
    <w:rsid w:val="00882E7C"/>
    <w:rsid w:val="00882EE5"/>
    <w:rsid w:val="0088464B"/>
    <w:rsid w:val="00884828"/>
    <w:rsid w:val="008848EF"/>
    <w:rsid w:val="008857A9"/>
    <w:rsid w:val="008858DB"/>
    <w:rsid w:val="008862CB"/>
    <w:rsid w:val="008875D5"/>
    <w:rsid w:val="00890AFF"/>
    <w:rsid w:val="00890DB3"/>
    <w:rsid w:val="00891B5A"/>
    <w:rsid w:val="00891B95"/>
    <w:rsid w:val="00892522"/>
    <w:rsid w:val="0089296C"/>
    <w:rsid w:val="008929C3"/>
    <w:rsid w:val="008934BC"/>
    <w:rsid w:val="008938A1"/>
    <w:rsid w:val="008940C8"/>
    <w:rsid w:val="00894157"/>
    <w:rsid w:val="0089431D"/>
    <w:rsid w:val="0089461A"/>
    <w:rsid w:val="00894C5E"/>
    <w:rsid w:val="00895B4A"/>
    <w:rsid w:val="00895F54"/>
    <w:rsid w:val="008962D0"/>
    <w:rsid w:val="00896D57"/>
    <w:rsid w:val="008971C1"/>
    <w:rsid w:val="008974A1"/>
    <w:rsid w:val="008977CA"/>
    <w:rsid w:val="00897C7E"/>
    <w:rsid w:val="00897FB7"/>
    <w:rsid w:val="008A0260"/>
    <w:rsid w:val="008A0BC7"/>
    <w:rsid w:val="008A0E2B"/>
    <w:rsid w:val="008A0EFD"/>
    <w:rsid w:val="008A12A6"/>
    <w:rsid w:val="008A143B"/>
    <w:rsid w:val="008A14C7"/>
    <w:rsid w:val="008A17C9"/>
    <w:rsid w:val="008A1926"/>
    <w:rsid w:val="008A1D22"/>
    <w:rsid w:val="008A45F2"/>
    <w:rsid w:val="008A5A9F"/>
    <w:rsid w:val="008A6532"/>
    <w:rsid w:val="008A678E"/>
    <w:rsid w:val="008A67AA"/>
    <w:rsid w:val="008A6BC5"/>
    <w:rsid w:val="008A7195"/>
    <w:rsid w:val="008A746C"/>
    <w:rsid w:val="008B0107"/>
    <w:rsid w:val="008B1225"/>
    <w:rsid w:val="008B1481"/>
    <w:rsid w:val="008B1E44"/>
    <w:rsid w:val="008B23CD"/>
    <w:rsid w:val="008B291B"/>
    <w:rsid w:val="008B33BB"/>
    <w:rsid w:val="008B34E1"/>
    <w:rsid w:val="008B3A61"/>
    <w:rsid w:val="008B3EB2"/>
    <w:rsid w:val="008B469A"/>
    <w:rsid w:val="008B60CB"/>
    <w:rsid w:val="008C17D4"/>
    <w:rsid w:val="008C1986"/>
    <w:rsid w:val="008C25B0"/>
    <w:rsid w:val="008C272F"/>
    <w:rsid w:val="008C37A3"/>
    <w:rsid w:val="008C3E98"/>
    <w:rsid w:val="008C566D"/>
    <w:rsid w:val="008C5709"/>
    <w:rsid w:val="008C5769"/>
    <w:rsid w:val="008C594D"/>
    <w:rsid w:val="008C650B"/>
    <w:rsid w:val="008C65E8"/>
    <w:rsid w:val="008C685E"/>
    <w:rsid w:val="008C6D21"/>
    <w:rsid w:val="008C7808"/>
    <w:rsid w:val="008C7B47"/>
    <w:rsid w:val="008D0642"/>
    <w:rsid w:val="008D0C6C"/>
    <w:rsid w:val="008D0D66"/>
    <w:rsid w:val="008D0F25"/>
    <w:rsid w:val="008D13AC"/>
    <w:rsid w:val="008D13C3"/>
    <w:rsid w:val="008D14BB"/>
    <w:rsid w:val="008D1847"/>
    <w:rsid w:val="008D18C8"/>
    <w:rsid w:val="008D1CBE"/>
    <w:rsid w:val="008D2378"/>
    <w:rsid w:val="008D2883"/>
    <w:rsid w:val="008D3486"/>
    <w:rsid w:val="008D52DE"/>
    <w:rsid w:val="008D5D36"/>
    <w:rsid w:val="008D6562"/>
    <w:rsid w:val="008D6AAA"/>
    <w:rsid w:val="008D6E1E"/>
    <w:rsid w:val="008D72E9"/>
    <w:rsid w:val="008D777D"/>
    <w:rsid w:val="008E003C"/>
    <w:rsid w:val="008E011B"/>
    <w:rsid w:val="008E01C5"/>
    <w:rsid w:val="008E02C2"/>
    <w:rsid w:val="008E0ED5"/>
    <w:rsid w:val="008E1022"/>
    <w:rsid w:val="008E172D"/>
    <w:rsid w:val="008E2561"/>
    <w:rsid w:val="008E297F"/>
    <w:rsid w:val="008E2CCD"/>
    <w:rsid w:val="008E3010"/>
    <w:rsid w:val="008E3AB0"/>
    <w:rsid w:val="008E3FFF"/>
    <w:rsid w:val="008E40FE"/>
    <w:rsid w:val="008E49E5"/>
    <w:rsid w:val="008E50B4"/>
    <w:rsid w:val="008E5743"/>
    <w:rsid w:val="008E5915"/>
    <w:rsid w:val="008E5FDA"/>
    <w:rsid w:val="008E6034"/>
    <w:rsid w:val="008E6292"/>
    <w:rsid w:val="008E68E7"/>
    <w:rsid w:val="008E69ED"/>
    <w:rsid w:val="008E74C0"/>
    <w:rsid w:val="008E74F1"/>
    <w:rsid w:val="008E7733"/>
    <w:rsid w:val="008F00B0"/>
    <w:rsid w:val="008F05BD"/>
    <w:rsid w:val="008F11DA"/>
    <w:rsid w:val="008F13BB"/>
    <w:rsid w:val="008F15F6"/>
    <w:rsid w:val="008F19C1"/>
    <w:rsid w:val="008F1C88"/>
    <w:rsid w:val="008F252E"/>
    <w:rsid w:val="008F51D1"/>
    <w:rsid w:val="008F5A87"/>
    <w:rsid w:val="008F5D93"/>
    <w:rsid w:val="008F5ED6"/>
    <w:rsid w:val="008F6639"/>
    <w:rsid w:val="008F6DF9"/>
    <w:rsid w:val="008F6F23"/>
    <w:rsid w:val="008F6FA7"/>
    <w:rsid w:val="008F79C5"/>
    <w:rsid w:val="008F7F63"/>
    <w:rsid w:val="00900ABC"/>
    <w:rsid w:val="00900C8E"/>
    <w:rsid w:val="00900ED4"/>
    <w:rsid w:val="009017CA"/>
    <w:rsid w:val="009021AA"/>
    <w:rsid w:val="00903289"/>
    <w:rsid w:val="00903323"/>
    <w:rsid w:val="0090362D"/>
    <w:rsid w:val="009043CC"/>
    <w:rsid w:val="009044B9"/>
    <w:rsid w:val="00904AD4"/>
    <w:rsid w:val="00904CE4"/>
    <w:rsid w:val="009050D9"/>
    <w:rsid w:val="009056E9"/>
    <w:rsid w:val="0090655D"/>
    <w:rsid w:val="00906F4E"/>
    <w:rsid w:val="0090773A"/>
    <w:rsid w:val="00907D4F"/>
    <w:rsid w:val="00910922"/>
    <w:rsid w:val="00911316"/>
    <w:rsid w:val="0091194B"/>
    <w:rsid w:val="00911D05"/>
    <w:rsid w:val="00911DFB"/>
    <w:rsid w:val="00911E0C"/>
    <w:rsid w:val="00911F99"/>
    <w:rsid w:val="00912D4E"/>
    <w:rsid w:val="0091338F"/>
    <w:rsid w:val="00913990"/>
    <w:rsid w:val="009147B7"/>
    <w:rsid w:val="00914D3B"/>
    <w:rsid w:val="00915DB0"/>
    <w:rsid w:val="00915F27"/>
    <w:rsid w:val="00916D01"/>
    <w:rsid w:val="00917A56"/>
    <w:rsid w:val="0092042B"/>
    <w:rsid w:val="00922428"/>
    <w:rsid w:val="00922C3E"/>
    <w:rsid w:val="00923166"/>
    <w:rsid w:val="00923DD2"/>
    <w:rsid w:val="0092462C"/>
    <w:rsid w:val="00924EE1"/>
    <w:rsid w:val="0092553A"/>
    <w:rsid w:val="0092559C"/>
    <w:rsid w:val="00925A1B"/>
    <w:rsid w:val="00925B2D"/>
    <w:rsid w:val="00925EB9"/>
    <w:rsid w:val="0092637F"/>
    <w:rsid w:val="00926A51"/>
    <w:rsid w:val="00926E4F"/>
    <w:rsid w:val="00927882"/>
    <w:rsid w:val="00927DDC"/>
    <w:rsid w:val="00930509"/>
    <w:rsid w:val="00930FBD"/>
    <w:rsid w:val="0093133A"/>
    <w:rsid w:val="0093168F"/>
    <w:rsid w:val="009317FC"/>
    <w:rsid w:val="0093206A"/>
    <w:rsid w:val="00934551"/>
    <w:rsid w:val="009349A0"/>
    <w:rsid w:val="00934D71"/>
    <w:rsid w:val="00934E5F"/>
    <w:rsid w:val="00934F23"/>
    <w:rsid w:val="009352AA"/>
    <w:rsid w:val="009354BE"/>
    <w:rsid w:val="00936115"/>
    <w:rsid w:val="00936AC3"/>
    <w:rsid w:val="0093705E"/>
    <w:rsid w:val="00937882"/>
    <w:rsid w:val="00937999"/>
    <w:rsid w:val="00940439"/>
    <w:rsid w:val="00940A6F"/>
    <w:rsid w:val="00940BEC"/>
    <w:rsid w:val="00941917"/>
    <w:rsid w:val="00943AA4"/>
    <w:rsid w:val="0094419F"/>
    <w:rsid w:val="009445E3"/>
    <w:rsid w:val="00944914"/>
    <w:rsid w:val="00944E4B"/>
    <w:rsid w:val="0094507F"/>
    <w:rsid w:val="00945782"/>
    <w:rsid w:val="00945AFA"/>
    <w:rsid w:val="0094781F"/>
    <w:rsid w:val="00950152"/>
    <w:rsid w:val="0095045C"/>
    <w:rsid w:val="009513A8"/>
    <w:rsid w:val="00951831"/>
    <w:rsid w:val="00951F8A"/>
    <w:rsid w:val="00952076"/>
    <w:rsid w:val="009526C6"/>
    <w:rsid w:val="009527BD"/>
    <w:rsid w:val="00953E19"/>
    <w:rsid w:val="00954E20"/>
    <w:rsid w:val="009553F7"/>
    <w:rsid w:val="009577FC"/>
    <w:rsid w:val="0095793A"/>
    <w:rsid w:val="00957A97"/>
    <w:rsid w:val="0096075B"/>
    <w:rsid w:val="00960C06"/>
    <w:rsid w:val="00960DFC"/>
    <w:rsid w:val="009615D1"/>
    <w:rsid w:val="00961680"/>
    <w:rsid w:val="00961BFE"/>
    <w:rsid w:val="00961DBF"/>
    <w:rsid w:val="009633E7"/>
    <w:rsid w:val="0096345D"/>
    <w:rsid w:val="0096379F"/>
    <w:rsid w:val="00963B0B"/>
    <w:rsid w:val="00964927"/>
    <w:rsid w:val="00965CD1"/>
    <w:rsid w:val="0096621F"/>
    <w:rsid w:val="0096663E"/>
    <w:rsid w:val="00966748"/>
    <w:rsid w:val="00967057"/>
    <w:rsid w:val="009675E2"/>
    <w:rsid w:val="00967C6A"/>
    <w:rsid w:val="00967C87"/>
    <w:rsid w:val="00972783"/>
    <w:rsid w:val="009731BF"/>
    <w:rsid w:val="009733A3"/>
    <w:rsid w:val="00973B03"/>
    <w:rsid w:val="00974A3B"/>
    <w:rsid w:val="00975985"/>
    <w:rsid w:val="00976B50"/>
    <w:rsid w:val="00976D6B"/>
    <w:rsid w:val="0097733C"/>
    <w:rsid w:val="00977410"/>
    <w:rsid w:val="0097789D"/>
    <w:rsid w:val="00980FBA"/>
    <w:rsid w:val="00981652"/>
    <w:rsid w:val="0098173E"/>
    <w:rsid w:val="00982438"/>
    <w:rsid w:val="009824A4"/>
    <w:rsid w:val="0098291A"/>
    <w:rsid w:val="00982970"/>
    <w:rsid w:val="00982B39"/>
    <w:rsid w:val="00983825"/>
    <w:rsid w:val="00983DD0"/>
    <w:rsid w:val="0098476E"/>
    <w:rsid w:val="00984E9C"/>
    <w:rsid w:val="009860D2"/>
    <w:rsid w:val="009870D9"/>
    <w:rsid w:val="009871FE"/>
    <w:rsid w:val="0099089F"/>
    <w:rsid w:val="00990D98"/>
    <w:rsid w:val="00991645"/>
    <w:rsid w:val="0099179D"/>
    <w:rsid w:val="0099239D"/>
    <w:rsid w:val="0099275E"/>
    <w:rsid w:val="00992953"/>
    <w:rsid w:val="00994561"/>
    <w:rsid w:val="00994966"/>
    <w:rsid w:val="00995568"/>
    <w:rsid w:val="009965F4"/>
    <w:rsid w:val="00996E8C"/>
    <w:rsid w:val="0099701B"/>
    <w:rsid w:val="009976D6"/>
    <w:rsid w:val="009979B7"/>
    <w:rsid w:val="009A0119"/>
    <w:rsid w:val="009A0300"/>
    <w:rsid w:val="009A0909"/>
    <w:rsid w:val="009A0C6A"/>
    <w:rsid w:val="009A0EF4"/>
    <w:rsid w:val="009A1020"/>
    <w:rsid w:val="009A1138"/>
    <w:rsid w:val="009A236A"/>
    <w:rsid w:val="009A352E"/>
    <w:rsid w:val="009A4130"/>
    <w:rsid w:val="009A4AC9"/>
    <w:rsid w:val="009A507E"/>
    <w:rsid w:val="009A50B7"/>
    <w:rsid w:val="009A556F"/>
    <w:rsid w:val="009A65E7"/>
    <w:rsid w:val="009A68F7"/>
    <w:rsid w:val="009A6B0C"/>
    <w:rsid w:val="009A6C4C"/>
    <w:rsid w:val="009A7167"/>
    <w:rsid w:val="009A7568"/>
    <w:rsid w:val="009B0266"/>
    <w:rsid w:val="009B0A65"/>
    <w:rsid w:val="009B15F9"/>
    <w:rsid w:val="009B1DB3"/>
    <w:rsid w:val="009B1FD6"/>
    <w:rsid w:val="009B2FFD"/>
    <w:rsid w:val="009B34ED"/>
    <w:rsid w:val="009B351F"/>
    <w:rsid w:val="009B39E4"/>
    <w:rsid w:val="009B457C"/>
    <w:rsid w:val="009B4616"/>
    <w:rsid w:val="009B4F4B"/>
    <w:rsid w:val="009B54DD"/>
    <w:rsid w:val="009B5F11"/>
    <w:rsid w:val="009B61C1"/>
    <w:rsid w:val="009B643F"/>
    <w:rsid w:val="009B64DA"/>
    <w:rsid w:val="009B6B09"/>
    <w:rsid w:val="009B6CCC"/>
    <w:rsid w:val="009B7687"/>
    <w:rsid w:val="009B7968"/>
    <w:rsid w:val="009B7B0B"/>
    <w:rsid w:val="009B7B5B"/>
    <w:rsid w:val="009B7E14"/>
    <w:rsid w:val="009C1471"/>
    <w:rsid w:val="009C16EC"/>
    <w:rsid w:val="009C20D4"/>
    <w:rsid w:val="009C27FE"/>
    <w:rsid w:val="009C2814"/>
    <w:rsid w:val="009C2BB8"/>
    <w:rsid w:val="009C2C85"/>
    <w:rsid w:val="009C34F5"/>
    <w:rsid w:val="009C36B8"/>
    <w:rsid w:val="009C38B9"/>
    <w:rsid w:val="009C3C3A"/>
    <w:rsid w:val="009C3D85"/>
    <w:rsid w:val="009C5F26"/>
    <w:rsid w:val="009C6504"/>
    <w:rsid w:val="009C65BF"/>
    <w:rsid w:val="009C6678"/>
    <w:rsid w:val="009C6B93"/>
    <w:rsid w:val="009C6D92"/>
    <w:rsid w:val="009C6F4B"/>
    <w:rsid w:val="009D0620"/>
    <w:rsid w:val="009D0C05"/>
    <w:rsid w:val="009D0C0E"/>
    <w:rsid w:val="009D0DF8"/>
    <w:rsid w:val="009D0FA9"/>
    <w:rsid w:val="009D1BDE"/>
    <w:rsid w:val="009D2016"/>
    <w:rsid w:val="009D2303"/>
    <w:rsid w:val="009D277F"/>
    <w:rsid w:val="009D2B92"/>
    <w:rsid w:val="009D40B5"/>
    <w:rsid w:val="009D57B3"/>
    <w:rsid w:val="009D5ABF"/>
    <w:rsid w:val="009D6DB5"/>
    <w:rsid w:val="009D7B0C"/>
    <w:rsid w:val="009E062A"/>
    <w:rsid w:val="009E0E28"/>
    <w:rsid w:val="009E1598"/>
    <w:rsid w:val="009E19E1"/>
    <w:rsid w:val="009E2684"/>
    <w:rsid w:val="009E2958"/>
    <w:rsid w:val="009E2C05"/>
    <w:rsid w:val="009E2E19"/>
    <w:rsid w:val="009E2E87"/>
    <w:rsid w:val="009E4492"/>
    <w:rsid w:val="009E4773"/>
    <w:rsid w:val="009E479E"/>
    <w:rsid w:val="009E4BAC"/>
    <w:rsid w:val="009E539E"/>
    <w:rsid w:val="009E5E7B"/>
    <w:rsid w:val="009E6BC2"/>
    <w:rsid w:val="009E6E9A"/>
    <w:rsid w:val="009E6F9A"/>
    <w:rsid w:val="009E7357"/>
    <w:rsid w:val="009E7B36"/>
    <w:rsid w:val="009E7EC3"/>
    <w:rsid w:val="009E7F62"/>
    <w:rsid w:val="009E7F90"/>
    <w:rsid w:val="009F036C"/>
    <w:rsid w:val="009F1006"/>
    <w:rsid w:val="009F102C"/>
    <w:rsid w:val="009F12EA"/>
    <w:rsid w:val="009F1D51"/>
    <w:rsid w:val="009F2250"/>
    <w:rsid w:val="009F26B8"/>
    <w:rsid w:val="009F2D91"/>
    <w:rsid w:val="009F2E47"/>
    <w:rsid w:val="009F3DF5"/>
    <w:rsid w:val="009F4175"/>
    <w:rsid w:val="009F4588"/>
    <w:rsid w:val="009F4BF5"/>
    <w:rsid w:val="009F4C93"/>
    <w:rsid w:val="009F67AF"/>
    <w:rsid w:val="009F6832"/>
    <w:rsid w:val="009F71FB"/>
    <w:rsid w:val="009F738B"/>
    <w:rsid w:val="009F7445"/>
    <w:rsid w:val="009F7504"/>
    <w:rsid w:val="00A01869"/>
    <w:rsid w:val="00A01951"/>
    <w:rsid w:val="00A02340"/>
    <w:rsid w:val="00A02AD8"/>
    <w:rsid w:val="00A03105"/>
    <w:rsid w:val="00A0335E"/>
    <w:rsid w:val="00A04561"/>
    <w:rsid w:val="00A04A88"/>
    <w:rsid w:val="00A050C5"/>
    <w:rsid w:val="00A05E77"/>
    <w:rsid w:val="00A05F9E"/>
    <w:rsid w:val="00A06459"/>
    <w:rsid w:val="00A06DE5"/>
    <w:rsid w:val="00A0706B"/>
    <w:rsid w:val="00A07B18"/>
    <w:rsid w:val="00A11308"/>
    <w:rsid w:val="00A1151A"/>
    <w:rsid w:val="00A11B29"/>
    <w:rsid w:val="00A12154"/>
    <w:rsid w:val="00A12648"/>
    <w:rsid w:val="00A12957"/>
    <w:rsid w:val="00A13A70"/>
    <w:rsid w:val="00A14DB3"/>
    <w:rsid w:val="00A153D7"/>
    <w:rsid w:val="00A15CEE"/>
    <w:rsid w:val="00A1636E"/>
    <w:rsid w:val="00A1658D"/>
    <w:rsid w:val="00A16831"/>
    <w:rsid w:val="00A168ED"/>
    <w:rsid w:val="00A16C83"/>
    <w:rsid w:val="00A1700F"/>
    <w:rsid w:val="00A20A59"/>
    <w:rsid w:val="00A21C1F"/>
    <w:rsid w:val="00A227EE"/>
    <w:rsid w:val="00A235F7"/>
    <w:rsid w:val="00A2384D"/>
    <w:rsid w:val="00A23FBA"/>
    <w:rsid w:val="00A24F54"/>
    <w:rsid w:val="00A253C0"/>
    <w:rsid w:val="00A2567F"/>
    <w:rsid w:val="00A25B7D"/>
    <w:rsid w:val="00A25F55"/>
    <w:rsid w:val="00A26479"/>
    <w:rsid w:val="00A264FC"/>
    <w:rsid w:val="00A2699E"/>
    <w:rsid w:val="00A26A47"/>
    <w:rsid w:val="00A27B99"/>
    <w:rsid w:val="00A27CA4"/>
    <w:rsid w:val="00A30473"/>
    <w:rsid w:val="00A312CB"/>
    <w:rsid w:val="00A32584"/>
    <w:rsid w:val="00A32669"/>
    <w:rsid w:val="00A32D3A"/>
    <w:rsid w:val="00A33C69"/>
    <w:rsid w:val="00A33DA5"/>
    <w:rsid w:val="00A34002"/>
    <w:rsid w:val="00A3453D"/>
    <w:rsid w:val="00A34651"/>
    <w:rsid w:val="00A353A3"/>
    <w:rsid w:val="00A35A05"/>
    <w:rsid w:val="00A35CDC"/>
    <w:rsid w:val="00A36072"/>
    <w:rsid w:val="00A36369"/>
    <w:rsid w:val="00A367EE"/>
    <w:rsid w:val="00A36C76"/>
    <w:rsid w:val="00A36D16"/>
    <w:rsid w:val="00A377E8"/>
    <w:rsid w:val="00A4048D"/>
    <w:rsid w:val="00A406AA"/>
    <w:rsid w:val="00A4076B"/>
    <w:rsid w:val="00A41052"/>
    <w:rsid w:val="00A410ED"/>
    <w:rsid w:val="00A41EF3"/>
    <w:rsid w:val="00A42707"/>
    <w:rsid w:val="00A427B0"/>
    <w:rsid w:val="00A42C3F"/>
    <w:rsid w:val="00A435FF"/>
    <w:rsid w:val="00A449BF"/>
    <w:rsid w:val="00A44C55"/>
    <w:rsid w:val="00A450A5"/>
    <w:rsid w:val="00A4543F"/>
    <w:rsid w:val="00A470B2"/>
    <w:rsid w:val="00A507B8"/>
    <w:rsid w:val="00A50F90"/>
    <w:rsid w:val="00A50FDC"/>
    <w:rsid w:val="00A5151E"/>
    <w:rsid w:val="00A51537"/>
    <w:rsid w:val="00A516D7"/>
    <w:rsid w:val="00A51793"/>
    <w:rsid w:val="00A51F30"/>
    <w:rsid w:val="00A52896"/>
    <w:rsid w:val="00A53CB4"/>
    <w:rsid w:val="00A548FC"/>
    <w:rsid w:val="00A552A9"/>
    <w:rsid w:val="00A55A47"/>
    <w:rsid w:val="00A55ADB"/>
    <w:rsid w:val="00A563B3"/>
    <w:rsid w:val="00A577C9"/>
    <w:rsid w:val="00A57E29"/>
    <w:rsid w:val="00A613CC"/>
    <w:rsid w:val="00A61767"/>
    <w:rsid w:val="00A61F91"/>
    <w:rsid w:val="00A622F4"/>
    <w:rsid w:val="00A630C8"/>
    <w:rsid w:val="00A63A81"/>
    <w:rsid w:val="00A63CE0"/>
    <w:rsid w:val="00A644A1"/>
    <w:rsid w:val="00A64968"/>
    <w:rsid w:val="00A65C20"/>
    <w:rsid w:val="00A7040B"/>
    <w:rsid w:val="00A705D4"/>
    <w:rsid w:val="00A706AB"/>
    <w:rsid w:val="00A71391"/>
    <w:rsid w:val="00A71472"/>
    <w:rsid w:val="00A71ECB"/>
    <w:rsid w:val="00A720CA"/>
    <w:rsid w:val="00A72DD7"/>
    <w:rsid w:val="00A73500"/>
    <w:rsid w:val="00A74004"/>
    <w:rsid w:val="00A747F8"/>
    <w:rsid w:val="00A75AA9"/>
    <w:rsid w:val="00A75B01"/>
    <w:rsid w:val="00A75B25"/>
    <w:rsid w:val="00A75B49"/>
    <w:rsid w:val="00A75C7E"/>
    <w:rsid w:val="00A75CFA"/>
    <w:rsid w:val="00A76363"/>
    <w:rsid w:val="00A764D0"/>
    <w:rsid w:val="00A768D8"/>
    <w:rsid w:val="00A770CD"/>
    <w:rsid w:val="00A7790A"/>
    <w:rsid w:val="00A77E79"/>
    <w:rsid w:val="00A812C8"/>
    <w:rsid w:val="00A81527"/>
    <w:rsid w:val="00A8154B"/>
    <w:rsid w:val="00A8170D"/>
    <w:rsid w:val="00A81AC9"/>
    <w:rsid w:val="00A826A1"/>
    <w:rsid w:val="00A82A83"/>
    <w:rsid w:val="00A833A8"/>
    <w:rsid w:val="00A8357F"/>
    <w:rsid w:val="00A84241"/>
    <w:rsid w:val="00A843F5"/>
    <w:rsid w:val="00A84A77"/>
    <w:rsid w:val="00A84C14"/>
    <w:rsid w:val="00A85EF0"/>
    <w:rsid w:val="00A862CF"/>
    <w:rsid w:val="00A86966"/>
    <w:rsid w:val="00A86EB7"/>
    <w:rsid w:val="00A87E51"/>
    <w:rsid w:val="00A9067F"/>
    <w:rsid w:val="00A90E67"/>
    <w:rsid w:val="00A910F6"/>
    <w:rsid w:val="00A9187B"/>
    <w:rsid w:val="00A92D43"/>
    <w:rsid w:val="00A935E7"/>
    <w:rsid w:val="00A93D92"/>
    <w:rsid w:val="00A941CA"/>
    <w:rsid w:val="00A94A00"/>
    <w:rsid w:val="00A94BF3"/>
    <w:rsid w:val="00A94BFB"/>
    <w:rsid w:val="00A95245"/>
    <w:rsid w:val="00A955BA"/>
    <w:rsid w:val="00A9571F"/>
    <w:rsid w:val="00A9582E"/>
    <w:rsid w:val="00A95854"/>
    <w:rsid w:val="00A95F28"/>
    <w:rsid w:val="00A965A3"/>
    <w:rsid w:val="00A96969"/>
    <w:rsid w:val="00A96F37"/>
    <w:rsid w:val="00A96F94"/>
    <w:rsid w:val="00A97358"/>
    <w:rsid w:val="00A97C76"/>
    <w:rsid w:val="00A97FF8"/>
    <w:rsid w:val="00AA1306"/>
    <w:rsid w:val="00AA1831"/>
    <w:rsid w:val="00AA1F7B"/>
    <w:rsid w:val="00AA20F4"/>
    <w:rsid w:val="00AA2106"/>
    <w:rsid w:val="00AA234C"/>
    <w:rsid w:val="00AA32BE"/>
    <w:rsid w:val="00AA3A63"/>
    <w:rsid w:val="00AA3D3A"/>
    <w:rsid w:val="00AA470C"/>
    <w:rsid w:val="00AA4AE8"/>
    <w:rsid w:val="00AA4FEC"/>
    <w:rsid w:val="00AA525F"/>
    <w:rsid w:val="00AA5F62"/>
    <w:rsid w:val="00AA66C2"/>
    <w:rsid w:val="00AA6835"/>
    <w:rsid w:val="00AA7523"/>
    <w:rsid w:val="00AA7B2D"/>
    <w:rsid w:val="00AB02B8"/>
    <w:rsid w:val="00AB0B3F"/>
    <w:rsid w:val="00AB0B4B"/>
    <w:rsid w:val="00AB0F32"/>
    <w:rsid w:val="00AB192E"/>
    <w:rsid w:val="00AB1E93"/>
    <w:rsid w:val="00AB1FFF"/>
    <w:rsid w:val="00AB2577"/>
    <w:rsid w:val="00AB2C11"/>
    <w:rsid w:val="00AB3E38"/>
    <w:rsid w:val="00AB4107"/>
    <w:rsid w:val="00AB4A96"/>
    <w:rsid w:val="00AB508F"/>
    <w:rsid w:val="00AB59FB"/>
    <w:rsid w:val="00AB5E05"/>
    <w:rsid w:val="00AB785B"/>
    <w:rsid w:val="00AC0A4C"/>
    <w:rsid w:val="00AC19CC"/>
    <w:rsid w:val="00AC1A97"/>
    <w:rsid w:val="00AC31D9"/>
    <w:rsid w:val="00AC3E10"/>
    <w:rsid w:val="00AC444A"/>
    <w:rsid w:val="00AC454E"/>
    <w:rsid w:val="00AC480E"/>
    <w:rsid w:val="00AC4F30"/>
    <w:rsid w:val="00AC5C1A"/>
    <w:rsid w:val="00AC5D4C"/>
    <w:rsid w:val="00AC62EC"/>
    <w:rsid w:val="00AC6466"/>
    <w:rsid w:val="00AC69EB"/>
    <w:rsid w:val="00AC6E6C"/>
    <w:rsid w:val="00AC75AD"/>
    <w:rsid w:val="00AD064F"/>
    <w:rsid w:val="00AD0C5B"/>
    <w:rsid w:val="00AD109F"/>
    <w:rsid w:val="00AD124B"/>
    <w:rsid w:val="00AD141B"/>
    <w:rsid w:val="00AD155B"/>
    <w:rsid w:val="00AD184A"/>
    <w:rsid w:val="00AD1E12"/>
    <w:rsid w:val="00AD27EE"/>
    <w:rsid w:val="00AD2C63"/>
    <w:rsid w:val="00AD2F98"/>
    <w:rsid w:val="00AD364D"/>
    <w:rsid w:val="00AD4BE0"/>
    <w:rsid w:val="00AD4E83"/>
    <w:rsid w:val="00AD52C4"/>
    <w:rsid w:val="00AD58EC"/>
    <w:rsid w:val="00AD5D00"/>
    <w:rsid w:val="00AE007A"/>
    <w:rsid w:val="00AE2B41"/>
    <w:rsid w:val="00AE3069"/>
    <w:rsid w:val="00AE4080"/>
    <w:rsid w:val="00AE50E6"/>
    <w:rsid w:val="00AE570C"/>
    <w:rsid w:val="00AE686C"/>
    <w:rsid w:val="00AE6FE7"/>
    <w:rsid w:val="00AE75C0"/>
    <w:rsid w:val="00AE79ED"/>
    <w:rsid w:val="00AE7B4E"/>
    <w:rsid w:val="00AE7D62"/>
    <w:rsid w:val="00AE7FD5"/>
    <w:rsid w:val="00AF053C"/>
    <w:rsid w:val="00AF078F"/>
    <w:rsid w:val="00AF0D03"/>
    <w:rsid w:val="00AF1490"/>
    <w:rsid w:val="00AF164F"/>
    <w:rsid w:val="00AF1859"/>
    <w:rsid w:val="00AF1E11"/>
    <w:rsid w:val="00AF20BB"/>
    <w:rsid w:val="00AF374C"/>
    <w:rsid w:val="00AF45C0"/>
    <w:rsid w:val="00AF4B13"/>
    <w:rsid w:val="00AF5481"/>
    <w:rsid w:val="00AF6378"/>
    <w:rsid w:val="00AF73E9"/>
    <w:rsid w:val="00AF7529"/>
    <w:rsid w:val="00AF7F4F"/>
    <w:rsid w:val="00B00869"/>
    <w:rsid w:val="00B00CA4"/>
    <w:rsid w:val="00B010FF"/>
    <w:rsid w:val="00B013A6"/>
    <w:rsid w:val="00B01E51"/>
    <w:rsid w:val="00B01FC9"/>
    <w:rsid w:val="00B023EB"/>
    <w:rsid w:val="00B031B4"/>
    <w:rsid w:val="00B0352C"/>
    <w:rsid w:val="00B0459A"/>
    <w:rsid w:val="00B04643"/>
    <w:rsid w:val="00B047B8"/>
    <w:rsid w:val="00B04DFE"/>
    <w:rsid w:val="00B0578D"/>
    <w:rsid w:val="00B05B84"/>
    <w:rsid w:val="00B06BFE"/>
    <w:rsid w:val="00B06C2F"/>
    <w:rsid w:val="00B06E5D"/>
    <w:rsid w:val="00B07160"/>
    <w:rsid w:val="00B07DC4"/>
    <w:rsid w:val="00B100F8"/>
    <w:rsid w:val="00B10A5B"/>
    <w:rsid w:val="00B10ECE"/>
    <w:rsid w:val="00B1108A"/>
    <w:rsid w:val="00B1286B"/>
    <w:rsid w:val="00B12A24"/>
    <w:rsid w:val="00B12BBE"/>
    <w:rsid w:val="00B13228"/>
    <w:rsid w:val="00B134F1"/>
    <w:rsid w:val="00B13A29"/>
    <w:rsid w:val="00B13C25"/>
    <w:rsid w:val="00B13E66"/>
    <w:rsid w:val="00B146E3"/>
    <w:rsid w:val="00B1557B"/>
    <w:rsid w:val="00B156A9"/>
    <w:rsid w:val="00B162FF"/>
    <w:rsid w:val="00B1649C"/>
    <w:rsid w:val="00B2034C"/>
    <w:rsid w:val="00B217AA"/>
    <w:rsid w:val="00B21E87"/>
    <w:rsid w:val="00B22DD1"/>
    <w:rsid w:val="00B23249"/>
    <w:rsid w:val="00B23440"/>
    <w:rsid w:val="00B2345B"/>
    <w:rsid w:val="00B24757"/>
    <w:rsid w:val="00B249B7"/>
    <w:rsid w:val="00B249E2"/>
    <w:rsid w:val="00B2520B"/>
    <w:rsid w:val="00B254F9"/>
    <w:rsid w:val="00B26028"/>
    <w:rsid w:val="00B26D82"/>
    <w:rsid w:val="00B27413"/>
    <w:rsid w:val="00B30958"/>
    <w:rsid w:val="00B30DD9"/>
    <w:rsid w:val="00B31A06"/>
    <w:rsid w:val="00B3257E"/>
    <w:rsid w:val="00B33024"/>
    <w:rsid w:val="00B33341"/>
    <w:rsid w:val="00B3444E"/>
    <w:rsid w:val="00B371D7"/>
    <w:rsid w:val="00B376B8"/>
    <w:rsid w:val="00B37C21"/>
    <w:rsid w:val="00B40725"/>
    <w:rsid w:val="00B409DC"/>
    <w:rsid w:val="00B40A6D"/>
    <w:rsid w:val="00B40CAB"/>
    <w:rsid w:val="00B40F71"/>
    <w:rsid w:val="00B4137B"/>
    <w:rsid w:val="00B419CF"/>
    <w:rsid w:val="00B43C8C"/>
    <w:rsid w:val="00B43F62"/>
    <w:rsid w:val="00B44855"/>
    <w:rsid w:val="00B449CD"/>
    <w:rsid w:val="00B453DA"/>
    <w:rsid w:val="00B45654"/>
    <w:rsid w:val="00B45686"/>
    <w:rsid w:val="00B45BCE"/>
    <w:rsid w:val="00B4605B"/>
    <w:rsid w:val="00B469D5"/>
    <w:rsid w:val="00B46D05"/>
    <w:rsid w:val="00B4710D"/>
    <w:rsid w:val="00B501D4"/>
    <w:rsid w:val="00B50AD5"/>
    <w:rsid w:val="00B50C89"/>
    <w:rsid w:val="00B50DF4"/>
    <w:rsid w:val="00B52027"/>
    <w:rsid w:val="00B5226A"/>
    <w:rsid w:val="00B52858"/>
    <w:rsid w:val="00B53AAC"/>
    <w:rsid w:val="00B53E61"/>
    <w:rsid w:val="00B541F3"/>
    <w:rsid w:val="00B55179"/>
    <w:rsid w:val="00B55269"/>
    <w:rsid w:val="00B555D2"/>
    <w:rsid w:val="00B561BF"/>
    <w:rsid w:val="00B563E5"/>
    <w:rsid w:val="00B56806"/>
    <w:rsid w:val="00B56C4E"/>
    <w:rsid w:val="00B57971"/>
    <w:rsid w:val="00B57C3F"/>
    <w:rsid w:val="00B602E1"/>
    <w:rsid w:val="00B613D5"/>
    <w:rsid w:val="00B61666"/>
    <w:rsid w:val="00B61EE4"/>
    <w:rsid w:val="00B62314"/>
    <w:rsid w:val="00B625F0"/>
    <w:rsid w:val="00B62763"/>
    <w:rsid w:val="00B635F8"/>
    <w:rsid w:val="00B64995"/>
    <w:rsid w:val="00B66B64"/>
    <w:rsid w:val="00B70057"/>
    <w:rsid w:val="00B7038B"/>
    <w:rsid w:val="00B705CC"/>
    <w:rsid w:val="00B7220F"/>
    <w:rsid w:val="00B727FB"/>
    <w:rsid w:val="00B72ACF"/>
    <w:rsid w:val="00B749BE"/>
    <w:rsid w:val="00B75165"/>
    <w:rsid w:val="00B769F4"/>
    <w:rsid w:val="00B76D23"/>
    <w:rsid w:val="00B778B9"/>
    <w:rsid w:val="00B8106D"/>
    <w:rsid w:val="00B81842"/>
    <w:rsid w:val="00B81C15"/>
    <w:rsid w:val="00B82A5E"/>
    <w:rsid w:val="00B82B55"/>
    <w:rsid w:val="00B8324A"/>
    <w:rsid w:val="00B84010"/>
    <w:rsid w:val="00B84318"/>
    <w:rsid w:val="00B844CC"/>
    <w:rsid w:val="00B844D7"/>
    <w:rsid w:val="00B84822"/>
    <w:rsid w:val="00B854C5"/>
    <w:rsid w:val="00B85B1A"/>
    <w:rsid w:val="00B863BD"/>
    <w:rsid w:val="00B87358"/>
    <w:rsid w:val="00B875AB"/>
    <w:rsid w:val="00B87AF2"/>
    <w:rsid w:val="00B901C7"/>
    <w:rsid w:val="00B90AEA"/>
    <w:rsid w:val="00B90E1F"/>
    <w:rsid w:val="00B90EC5"/>
    <w:rsid w:val="00B91531"/>
    <w:rsid w:val="00B919B6"/>
    <w:rsid w:val="00B927BC"/>
    <w:rsid w:val="00B92937"/>
    <w:rsid w:val="00B9302C"/>
    <w:rsid w:val="00B94702"/>
    <w:rsid w:val="00B9524C"/>
    <w:rsid w:val="00B955DC"/>
    <w:rsid w:val="00B95691"/>
    <w:rsid w:val="00B959C8"/>
    <w:rsid w:val="00B95E35"/>
    <w:rsid w:val="00B973D6"/>
    <w:rsid w:val="00BA0316"/>
    <w:rsid w:val="00BA0FDC"/>
    <w:rsid w:val="00BA2238"/>
    <w:rsid w:val="00BA272C"/>
    <w:rsid w:val="00BA2A6F"/>
    <w:rsid w:val="00BA2FF8"/>
    <w:rsid w:val="00BA393B"/>
    <w:rsid w:val="00BA3940"/>
    <w:rsid w:val="00BA3C54"/>
    <w:rsid w:val="00BA3F0B"/>
    <w:rsid w:val="00BA463C"/>
    <w:rsid w:val="00BA46B3"/>
    <w:rsid w:val="00BA4868"/>
    <w:rsid w:val="00BA4B1B"/>
    <w:rsid w:val="00BA4B85"/>
    <w:rsid w:val="00BA5ED8"/>
    <w:rsid w:val="00BA65CF"/>
    <w:rsid w:val="00BA72CB"/>
    <w:rsid w:val="00BA7E09"/>
    <w:rsid w:val="00BB0430"/>
    <w:rsid w:val="00BB046A"/>
    <w:rsid w:val="00BB07AC"/>
    <w:rsid w:val="00BB091F"/>
    <w:rsid w:val="00BB0D98"/>
    <w:rsid w:val="00BB1253"/>
    <w:rsid w:val="00BB12FC"/>
    <w:rsid w:val="00BB1487"/>
    <w:rsid w:val="00BB2653"/>
    <w:rsid w:val="00BB26E2"/>
    <w:rsid w:val="00BB2FCE"/>
    <w:rsid w:val="00BB302B"/>
    <w:rsid w:val="00BB325F"/>
    <w:rsid w:val="00BB3BD2"/>
    <w:rsid w:val="00BB43B4"/>
    <w:rsid w:val="00BB7465"/>
    <w:rsid w:val="00BB79B6"/>
    <w:rsid w:val="00BC0A50"/>
    <w:rsid w:val="00BC0E57"/>
    <w:rsid w:val="00BC1622"/>
    <w:rsid w:val="00BC1742"/>
    <w:rsid w:val="00BC1CE4"/>
    <w:rsid w:val="00BC1D57"/>
    <w:rsid w:val="00BC1EDC"/>
    <w:rsid w:val="00BC2E1C"/>
    <w:rsid w:val="00BC2ECF"/>
    <w:rsid w:val="00BC3103"/>
    <w:rsid w:val="00BC353D"/>
    <w:rsid w:val="00BC35AB"/>
    <w:rsid w:val="00BC516B"/>
    <w:rsid w:val="00BC62D1"/>
    <w:rsid w:val="00BC67A9"/>
    <w:rsid w:val="00BC6AA2"/>
    <w:rsid w:val="00BC7044"/>
    <w:rsid w:val="00BC7277"/>
    <w:rsid w:val="00BC7983"/>
    <w:rsid w:val="00BC7F23"/>
    <w:rsid w:val="00BD0407"/>
    <w:rsid w:val="00BD1181"/>
    <w:rsid w:val="00BD1B50"/>
    <w:rsid w:val="00BD1F78"/>
    <w:rsid w:val="00BD24EA"/>
    <w:rsid w:val="00BD2DB6"/>
    <w:rsid w:val="00BD345A"/>
    <w:rsid w:val="00BD37B3"/>
    <w:rsid w:val="00BD3ACE"/>
    <w:rsid w:val="00BD421A"/>
    <w:rsid w:val="00BD51D8"/>
    <w:rsid w:val="00BD57BF"/>
    <w:rsid w:val="00BD5E09"/>
    <w:rsid w:val="00BD6F7A"/>
    <w:rsid w:val="00BD6F99"/>
    <w:rsid w:val="00BD74B2"/>
    <w:rsid w:val="00BD773F"/>
    <w:rsid w:val="00BD7B57"/>
    <w:rsid w:val="00BD7D7D"/>
    <w:rsid w:val="00BD7F9F"/>
    <w:rsid w:val="00BE07BC"/>
    <w:rsid w:val="00BE0E37"/>
    <w:rsid w:val="00BE1512"/>
    <w:rsid w:val="00BE1610"/>
    <w:rsid w:val="00BE1E8C"/>
    <w:rsid w:val="00BE264E"/>
    <w:rsid w:val="00BE2AD6"/>
    <w:rsid w:val="00BE2D8B"/>
    <w:rsid w:val="00BE2F48"/>
    <w:rsid w:val="00BE2FF2"/>
    <w:rsid w:val="00BE335C"/>
    <w:rsid w:val="00BE35C5"/>
    <w:rsid w:val="00BE3C1F"/>
    <w:rsid w:val="00BE3E51"/>
    <w:rsid w:val="00BE3F33"/>
    <w:rsid w:val="00BE405A"/>
    <w:rsid w:val="00BE4B05"/>
    <w:rsid w:val="00BE4C5F"/>
    <w:rsid w:val="00BE4E6E"/>
    <w:rsid w:val="00BE58D4"/>
    <w:rsid w:val="00BE6BC0"/>
    <w:rsid w:val="00BE71E3"/>
    <w:rsid w:val="00BE7619"/>
    <w:rsid w:val="00BF0343"/>
    <w:rsid w:val="00BF067C"/>
    <w:rsid w:val="00BF14EA"/>
    <w:rsid w:val="00BF1EBC"/>
    <w:rsid w:val="00BF2062"/>
    <w:rsid w:val="00BF251B"/>
    <w:rsid w:val="00BF2629"/>
    <w:rsid w:val="00BF3747"/>
    <w:rsid w:val="00BF3772"/>
    <w:rsid w:val="00BF37CD"/>
    <w:rsid w:val="00BF38C0"/>
    <w:rsid w:val="00BF3A79"/>
    <w:rsid w:val="00BF3B08"/>
    <w:rsid w:val="00BF49BD"/>
    <w:rsid w:val="00BF4EA1"/>
    <w:rsid w:val="00BF5514"/>
    <w:rsid w:val="00BF56F5"/>
    <w:rsid w:val="00BF628D"/>
    <w:rsid w:val="00BF716E"/>
    <w:rsid w:val="00BF7FA6"/>
    <w:rsid w:val="00C00459"/>
    <w:rsid w:val="00C00579"/>
    <w:rsid w:val="00C00909"/>
    <w:rsid w:val="00C00964"/>
    <w:rsid w:val="00C00FEC"/>
    <w:rsid w:val="00C01098"/>
    <w:rsid w:val="00C01AFC"/>
    <w:rsid w:val="00C01C65"/>
    <w:rsid w:val="00C01DF5"/>
    <w:rsid w:val="00C02542"/>
    <w:rsid w:val="00C03763"/>
    <w:rsid w:val="00C03C6A"/>
    <w:rsid w:val="00C03DE1"/>
    <w:rsid w:val="00C041CD"/>
    <w:rsid w:val="00C0451C"/>
    <w:rsid w:val="00C04606"/>
    <w:rsid w:val="00C047C1"/>
    <w:rsid w:val="00C05A8D"/>
    <w:rsid w:val="00C05D82"/>
    <w:rsid w:val="00C06497"/>
    <w:rsid w:val="00C06562"/>
    <w:rsid w:val="00C069D7"/>
    <w:rsid w:val="00C06D26"/>
    <w:rsid w:val="00C06D70"/>
    <w:rsid w:val="00C07ED7"/>
    <w:rsid w:val="00C07EEC"/>
    <w:rsid w:val="00C106A1"/>
    <w:rsid w:val="00C11149"/>
    <w:rsid w:val="00C1134F"/>
    <w:rsid w:val="00C121A9"/>
    <w:rsid w:val="00C124C3"/>
    <w:rsid w:val="00C12D59"/>
    <w:rsid w:val="00C12DEC"/>
    <w:rsid w:val="00C132DC"/>
    <w:rsid w:val="00C13DF7"/>
    <w:rsid w:val="00C13E9E"/>
    <w:rsid w:val="00C14086"/>
    <w:rsid w:val="00C15006"/>
    <w:rsid w:val="00C154B2"/>
    <w:rsid w:val="00C15BDF"/>
    <w:rsid w:val="00C16256"/>
    <w:rsid w:val="00C166B4"/>
    <w:rsid w:val="00C16875"/>
    <w:rsid w:val="00C16A69"/>
    <w:rsid w:val="00C17F4D"/>
    <w:rsid w:val="00C20891"/>
    <w:rsid w:val="00C20B05"/>
    <w:rsid w:val="00C20E80"/>
    <w:rsid w:val="00C214FD"/>
    <w:rsid w:val="00C2170E"/>
    <w:rsid w:val="00C223EA"/>
    <w:rsid w:val="00C2280B"/>
    <w:rsid w:val="00C229A4"/>
    <w:rsid w:val="00C22B80"/>
    <w:rsid w:val="00C22B83"/>
    <w:rsid w:val="00C2329F"/>
    <w:rsid w:val="00C23769"/>
    <w:rsid w:val="00C23D94"/>
    <w:rsid w:val="00C24410"/>
    <w:rsid w:val="00C2550B"/>
    <w:rsid w:val="00C25A7D"/>
    <w:rsid w:val="00C25A99"/>
    <w:rsid w:val="00C26576"/>
    <w:rsid w:val="00C268FF"/>
    <w:rsid w:val="00C26DB6"/>
    <w:rsid w:val="00C3008E"/>
    <w:rsid w:val="00C300AA"/>
    <w:rsid w:val="00C30C12"/>
    <w:rsid w:val="00C30F09"/>
    <w:rsid w:val="00C321CD"/>
    <w:rsid w:val="00C32248"/>
    <w:rsid w:val="00C323A1"/>
    <w:rsid w:val="00C32AC3"/>
    <w:rsid w:val="00C32D49"/>
    <w:rsid w:val="00C33029"/>
    <w:rsid w:val="00C33267"/>
    <w:rsid w:val="00C33BD1"/>
    <w:rsid w:val="00C33CAF"/>
    <w:rsid w:val="00C33F7B"/>
    <w:rsid w:val="00C342A2"/>
    <w:rsid w:val="00C34760"/>
    <w:rsid w:val="00C34ECD"/>
    <w:rsid w:val="00C356AD"/>
    <w:rsid w:val="00C35BAD"/>
    <w:rsid w:val="00C36011"/>
    <w:rsid w:val="00C366E2"/>
    <w:rsid w:val="00C367C2"/>
    <w:rsid w:val="00C36855"/>
    <w:rsid w:val="00C36B51"/>
    <w:rsid w:val="00C36BA6"/>
    <w:rsid w:val="00C36F08"/>
    <w:rsid w:val="00C374A2"/>
    <w:rsid w:val="00C3757D"/>
    <w:rsid w:val="00C40E30"/>
    <w:rsid w:val="00C41009"/>
    <w:rsid w:val="00C41D49"/>
    <w:rsid w:val="00C420E0"/>
    <w:rsid w:val="00C43E5B"/>
    <w:rsid w:val="00C445F1"/>
    <w:rsid w:val="00C452CB"/>
    <w:rsid w:val="00C45967"/>
    <w:rsid w:val="00C45AD1"/>
    <w:rsid w:val="00C46128"/>
    <w:rsid w:val="00C46407"/>
    <w:rsid w:val="00C4665A"/>
    <w:rsid w:val="00C47450"/>
    <w:rsid w:val="00C47FBB"/>
    <w:rsid w:val="00C5018D"/>
    <w:rsid w:val="00C50590"/>
    <w:rsid w:val="00C51A1A"/>
    <w:rsid w:val="00C51A87"/>
    <w:rsid w:val="00C51AF7"/>
    <w:rsid w:val="00C51D61"/>
    <w:rsid w:val="00C51EFD"/>
    <w:rsid w:val="00C52633"/>
    <w:rsid w:val="00C53651"/>
    <w:rsid w:val="00C54D00"/>
    <w:rsid w:val="00C55C56"/>
    <w:rsid w:val="00C55F05"/>
    <w:rsid w:val="00C5603B"/>
    <w:rsid w:val="00C56654"/>
    <w:rsid w:val="00C566F3"/>
    <w:rsid w:val="00C5724E"/>
    <w:rsid w:val="00C5730C"/>
    <w:rsid w:val="00C575A2"/>
    <w:rsid w:val="00C57711"/>
    <w:rsid w:val="00C57C01"/>
    <w:rsid w:val="00C57C0A"/>
    <w:rsid w:val="00C6095B"/>
    <w:rsid w:val="00C60AD9"/>
    <w:rsid w:val="00C60B32"/>
    <w:rsid w:val="00C61745"/>
    <w:rsid w:val="00C61934"/>
    <w:rsid w:val="00C62274"/>
    <w:rsid w:val="00C62408"/>
    <w:rsid w:val="00C6259E"/>
    <w:rsid w:val="00C62891"/>
    <w:rsid w:val="00C62E64"/>
    <w:rsid w:val="00C63234"/>
    <w:rsid w:val="00C633B1"/>
    <w:rsid w:val="00C63846"/>
    <w:rsid w:val="00C63D45"/>
    <w:rsid w:val="00C63EA5"/>
    <w:rsid w:val="00C63F54"/>
    <w:rsid w:val="00C644A1"/>
    <w:rsid w:val="00C64BF2"/>
    <w:rsid w:val="00C64F5D"/>
    <w:rsid w:val="00C65894"/>
    <w:rsid w:val="00C65D82"/>
    <w:rsid w:val="00C665FE"/>
    <w:rsid w:val="00C66948"/>
    <w:rsid w:val="00C66E58"/>
    <w:rsid w:val="00C670E3"/>
    <w:rsid w:val="00C674DD"/>
    <w:rsid w:val="00C6765C"/>
    <w:rsid w:val="00C67B23"/>
    <w:rsid w:val="00C7017D"/>
    <w:rsid w:val="00C7127F"/>
    <w:rsid w:val="00C71CE5"/>
    <w:rsid w:val="00C722A5"/>
    <w:rsid w:val="00C72565"/>
    <w:rsid w:val="00C72A72"/>
    <w:rsid w:val="00C74D2D"/>
    <w:rsid w:val="00C75304"/>
    <w:rsid w:val="00C75416"/>
    <w:rsid w:val="00C755C4"/>
    <w:rsid w:val="00C75C56"/>
    <w:rsid w:val="00C764F8"/>
    <w:rsid w:val="00C77024"/>
    <w:rsid w:val="00C7736C"/>
    <w:rsid w:val="00C774C5"/>
    <w:rsid w:val="00C77649"/>
    <w:rsid w:val="00C77A0E"/>
    <w:rsid w:val="00C802AA"/>
    <w:rsid w:val="00C80CDB"/>
    <w:rsid w:val="00C816C9"/>
    <w:rsid w:val="00C8174B"/>
    <w:rsid w:val="00C8176F"/>
    <w:rsid w:val="00C82858"/>
    <w:rsid w:val="00C8348F"/>
    <w:rsid w:val="00C84100"/>
    <w:rsid w:val="00C84573"/>
    <w:rsid w:val="00C84AF4"/>
    <w:rsid w:val="00C8520B"/>
    <w:rsid w:val="00C852D6"/>
    <w:rsid w:val="00C8559A"/>
    <w:rsid w:val="00C85872"/>
    <w:rsid w:val="00C866BD"/>
    <w:rsid w:val="00C86F6D"/>
    <w:rsid w:val="00C87832"/>
    <w:rsid w:val="00C87A24"/>
    <w:rsid w:val="00C90483"/>
    <w:rsid w:val="00C9090A"/>
    <w:rsid w:val="00C909EE"/>
    <w:rsid w:val="00C91C8F"/>
    <w:rsid w:val="00C91F01"/>
    <w:rsid w:val="00C920D4"/>
    <w:rsid w:val="00C921C8"/>
    <w:rsid w:val="00C922B4"/>
    <w:rsid w:val="00C9269C"/>
    <w:rsid w:val="00C92CD3"/>
    <w:rsid w:val="00C93682"/>
    <w:rsid w:val="00C93813"/>
    <w:rsid w:val="00C94006"/>
    <w:rsid w:val="00C944C8"/>
    <w:rsid w:val="00C94C9C"/>
    <w:rsid w:val="00C94E4A"/>
    <w:rsid w:val="00C94FA6"/>
    <w:rsid w:val="00C9575B"/>
    <w:rsid w:val="00C96071"/>
    <w:rsid w:val="00C96FEA"/>
    <w:rsid w:val="00C97039"/>
    <w:rsid w:val="00CA01B7"/>
    <w:rsid w:val="00CA048C"/>
    <w:rsid w:val="00CA09B8"/>
    <w:rsid w:val="00CA0CFF"/>
    <w:rsid w:val="00CA188E"/>
    <w:rsid w:val="00CA27F2"/>
    <w:rsid w:val="00CA34ED"/>
    <w:rsid w:val="00CA39A8"/>
    <w:rsid w:val="00CA4B76"/>
    <w:rsid w:val="00CA4BD0"/>
    <w:rsid w:val="00CA4F12"/>
    <w:rsid w:val="00CA70F9"/>
    <w:rsid w:val="00CA799C"/>
    <w:rsid w:val="00CA7F01"/>
    <w:rsid w:val="00CA7F24"/>
    <w:rsid w:val="00CB0DB2"/>
    <w:rsid w:val="00CB122B"/>
    <w:rsid w:val="00CB17C4"/>
    <w:rsid w:val="00CB193F"/>
    <w:rsid w:val="00CB240B"/>
    <w:rsid w:val="00CB27EE"/>
    <w:rsid w:val="00CB2828"/>
    <w:rsid w:val="00CB36F5"/>
    <w:rsid w:val="00CB3CEF"/>
    <w:rsid w:val="00CB483F"/>
    <w:rsid w:val="00CB5022"/>
    <w:rsid w:val="00CB5354"/>
    <w:rsid w:val="00CB5EA8"/>
    <w:rsid w:val="00CB6D7C"/>
    <w:rsid w:val="00CB7D1D"/>
    <w:rsid w:val="00CC15DE"/>
    <w:rsid w:val="00CC1697"/>
    <w:rsid w:val="00CC1BC4"/>
    <w:rsid w:val="00CC20D0"/>
    <w:rsid w:val="00CC216C"/>
    <w:rsid w:val="00CC464F"/>
    <w:rsid w:val="00CC4798"/>
    <w:rsid w:val="00CC4D93"/>
    <w:rsid w:val="00CC50A8"/>
    <w:rsid w:val="00CC61D0"/>
    <w:rsid w:val="00CC649E"/>
    <w:rsid w:val="00CC6516"/>
    <w:rsid w:val="00CC6E2E"/>
    <w:rsid w:val="00CC71BC"/>
    <w:rsid w:val="00CC7636"/>
    <w:rsid w:val="00CD0155"/>
    <w:rsid w:val="00CD0B24"/>
    <w:rsid w:val="00CD0D4A"/>
    <w:rsid w:val="00CD1D59"/>
    <w:rsid w:val="00CD1EDD"/>
    <w:rsid w:val="00CD2257"/>
    <w:rsid w:val="00CD265E"/>
    <w:rsid w:val="00CD2974"/>
    <w:rsid w:val="00CD2F2C"/>
    <w:rsid w:val="00CD3032"/>
    <w:rsid w:val="00CD3579"/>
    <w:rsid w:val="00CD3812"/>
    <w:rsid w:val="00CD3933"/>
    <w:rsid w:val="00CD3F58"/>
    <w:rsid w:val="00CD487B"/>
    <w:rsid w:val="00CD4D87"/>
    <w:rsid w:val="00CD50ED"/>
    <w:rsid w:val="00CD55F1"/>
    <w:rsid w:val="00CD667B"/>
    <w:rsid w:val="00CD7A3C"/>
    <w:rsid w:val="00CE0313"/>
    <w:rsid w:val="00CE11BA"/>
    <w:rsid w:val="00CE13EA"/>
    <w:rsid w:val="00CE1410"/>
    <w:rsid w:val="00CE1DD7"/>
    <w:rsid w:val="00CE2059"/>
    <w:rsid w:val="00CE2175"/>
    <w:rsid w:val="00CE2B8B"/>
    <w:rsid w:val="00CE37F8"/>
    <w:rsid w:val="00CE3FEB"/>
    <w:rsid w:val="00CE421E"/>
    <w:rsid w:val="00CE4334"/>
    <w:rsid w:val="00CE5323"/>
    <w:rsid w:val="00CE5DB6"/>
    <w:rsid w:val="00CE6B95"/>
    <w:rsid w:val="00CE6FF5"/>
    <w:rsid w:val="00CE7141"/>
    <w:rsid w:val="00CF1A8E"/>
    <w:rsid w:val="00CF1B90"/>
    <w:rsid w:val="00CF2284"/>
    <w:rsid w:val="00CF2C2C"/>
    <w:rsid w:val="00CF3332"/>
    <w:rsid w:val="00CF47C8"/>
    <w:rsid w:val="00CF47C9"/>
    <w:rsid w:val="00CF54AD"/>
    <w:rsid w:val="00CF5E86"/>
    <w:rsid w:val="00CF6101"/>
    <w:rsid w:val="00CF69AB"/>
    <w:rsid w:val="00CF6C1C"/>
    <w:rsid w:val="00D0004C"/>
    <w:rsid w:val="00D00641"/>
    <w:rsid w:val="00D00946"/>
    <w:rsid w:val="00D010FF"/>
    <w:rsid w:val="00D0139A"/>
    <w:rsid w:val="00D01587"/>
    <w:rsid w:val="00D019B3"/>
    <w:rsid w:val="00D01B50"/>
    <w:rsid w:val="00D01EBE"/>
    <w:rsid w:val="00D0286C"/>
    <w:rsid w:val="00D028E6"/>
    <w:rsid w:val="00D02AAF"/>
    <w:rsid w:val="00D03980"/>
    <w:rsid w:val="00D03ADA"/>
    <w:rsid w:val="00D03B61"/>
    <w:rsid w:val="00D0625F"/>
    <w:rsid w:val="00D06367"/>
    <w:rsid w:val="00D06A92"/>
    <w:rsid w:val="00D06EB7"/>
    <w:rsid w:val="00D07291"/>
    <w:rsid w:val="00D108D2"/>
    <w:rsid w:val="00D10F78"/>
    <w:rsid w:val="00D12085"/>
    <w:rsid w:val="00D12AA4"/>
    <w:rsid w:val="00D13C7F"/>
    <w:rsid w:val="00D14125"/>
    <w:rsid w:val="00D14308"/>
    <w:rsid w:val="00D14947"/>
    <w:rsid w:val="00D14C78"/>
    <w:rsid w:val="00D14D10"/>
    <w:rsid w:val="00D14DC5"/>
    <w:rsid w:val="00D14F5E"/>
    <w:rsid w:val="00D151B6"/>
    <w:rsid w:val="00D15241"/>
    <w:rsid w:val="00D15253"/>
    <w:rsid w:val="00D15348"/>
    <w:rsid w:val="00D15F5F"/>
    <w:rsid w:val="00D15FBB"/>
    <w:rsid w:val="00D167ED"/>
    <w:rsid w:val="00D16FD1"/>
    <w:rsid w:val="00D17103"/>
    <w:rsid w:val="00D2014E"/>
    <w:rsid w:val="00D20562"/>
    <w:rsid w:val="00D20C9C"/>
    <w:rsid w:val="00D20E09"/>
    <w:rsid w:val="00D22C98"/>
    <w:rsid w:val="00D22E61"/>
    <w:rsid w:val="00D22E68"/>
    <w:rsid w:val="00D236D6"/>
    <w:rsid w:val="00D2460E"/>
    <w:rsid w:val="00D24B16"/>
    <w:rsid w:val="00D24DA1"/>
    <w:rsid w:val="00D24F79"/>
    <w:rsid w:val="00D25793"/>
    <w:rsid w:val="00D2586A"/>
    <w:rsid w:val="00D25888"/>
    <w:rsid w:val="00D269FE"/>
    <w:rsid w:val="00D26B26"/>
    <w:rsid w:val="00D26BEE"/>
    <w:rsid w:val="00D26E5C"/>
    <w:rsid w:val="00D270B1"/>
    <w:rsid w:val="00D27167"/>
    <w:rsid w:val="00D275DF"/>
    <w:rsid w:val="00D27E05"/>
    <w:rsid w:val="00D302AF"/>
    <w:rsid w:val="00D33B26"/>
    <w:rsid w:val="00D33D77"/>
    <w:rsid w:val="00D34B4D"/>
    <w:rsid w:val="00D34C54"/>
    <w:rsid w:val="00D350A8"/>
    <w:rsid w:val="00D35D28"/>
    <w:rsid w:val="00D36715"/>
    <w:rsid w:val="00D36C76"/>
    <w:rsid w:val="00D36D7F"/>
    <w:rsid w:val="00D37318"/>
    <w:rsid w:val="00D3755F"/>
    <w:rsid w:val="00D37CA5"/>
    <w:rsid w:val="00D37D4A"/>
    <w:rsid w:val="00D4040B"/>
    <w:rsid w:val="00D404C5"/>
    <w:rsid w:val="00D404CB"/>
    <w:rsid w:val="00D40551"/>
    <w:rsid w:val="00D40CB8"/>
    <w:rsid w:val="00D40E3F"/>
    <w:rsid w:val="00D40FB3"/>
    <w:rsid w:val="00D430D6"/>
    <w:rsid w:val="00D43620"/>
    <w:rsid w:val="00D443C7"/>
    <w:rsid w:val="00D44DB9"/>
    <w:rsid w:val="00D45E40"/>
    <w:rsid w:val="00D46455"/>
    <w:rsid w:val="00D464D1"/>
    <w:rsid w:val="00D46E67"/>
    <w:rsid w:val="00D50C88"/>
    <w:rsid w:val="00D5159E"/>
    <w:rsid w:val="00D5209C"/>
    <w:rsid w:val="00D5306B"/>
    <w:rsid w:val="00D53B32"/>
    <w:rsid w:val="00D54F20"/>
    <w:rsid w:val="00D5517D"/>
    <w:rsid w:val="00D5554D"/>
    <w:rsid w:val="00D55CC6"/>
    <w:rsid w:val="00D55E18"/>
    <w:rsid w:val="00D55F36"/>
    <w:rsid w:val="00D56680"/>
    <w:rsid w:val="00D5689B"/>
    <w:rsid w:val="00D56C0F"/>
    <w:rsid w:val="00D57789"/>
    <w:rsid w:val="00D578EF"/>
    <w:rsid w:val="00D57D5B"/>
    <w:rsid w:val="00D60099"/>
    <w:rsid w:val="00D606ED"/>
    <w:rsid w:val="00D60A21"/>
    <w:rsid w:val="00D60D78"/>
    <w:rsid w:val="00D60EDB"/>
    <w:rsid w:val="00D6184B"/>
    <w:rsid w:val="00D62059"/>
    <w:rsid w:val="00D621A4"/>
    <w:rsid w:val="00D62FBD"/>
    <w:rsid w:val="00D63287"/>
    <w:rsid w:val="00D6354E"/>
    <w:rsid w:val="00D6515E"/>
    <w:rsid w:val="00D65E8E"/>
    <w:rsid w:val="00D6633F"/>
    <w:rsid w:val="00D66C0F"/>
    <w:rsid w:val="00D66ED0"/>
    <w:rsid w:val="00D6706B"/>
    <w:rsid w:val="00D6713F"/>
    <w:rsid w:val="00D67AE7"/>
    <w:rsid w:val="00D67F6D"/>
    <w:rsid w:val="00D67FA3"/>
    <w:rsid w:val="00D702C7"/>
    <w:rsid w:val="00D71278"/>
    <w:rsid w:val="00D71349"/>
    <w:rsid w:val="00D714EC"/>
    <w:rsid w:val="00D71E10"/>
    <w:rsid w:val="00D7263A"/>
    <w:rsid w:val="00D735C6"/>
    <w:rsid w:val="00D735DD"/>
    <w:rsid w:val="00D736CF"/>
    <w:rsid w:val="00D73E06"/>
    <w:rsid w:val="00D75541"/>
    <w:rsid w:val="00D7629D"/>
    <w:rsid w:val="00D77937"/>
    <w:rsid w:val="00D77B23"/>
    <w:rsid w:val="00D8024F"/>
    <w:rsid w:val="00D8026C"/>
    <w:rsid w:val="00D803E8"/>
    <w:rsid w:val="00D80461"/>
    <w:rsid w:val="00D814DA"/>
    <w:rsid w:val="00D8164C"/>
    <w:rsid w:val="00D819AF"/>
    <w:rsid w:val="00D81B8B"/>
    <w:rsid w:val="00D83C91"/>
    <w:rsid w:val="00D8469A"/>
    <w:rsid w:val="00D848E7"/>
    <w:rsid w:val="00D849B1"/>
    <w:rsid w:val="00D84A62"/>
    <w:rsid w:val="00D84B83"/>
    <w:rsid w:val="00D84C6F"/>
    <w:rsid w:val="00D86498"/>
    <w:rsid w:val="00D86ED1"/>
    <w:rsid w:val="00D8746D"/>
    <w:rsid w:val="00D8797B"/>
    <w:rsid w:val="00D87C9D"/>
    <w:rsid w:val="00D91686"/>
    <w:rsid w:val="00D92387"/>
    <w:rsid w:val="00D9254B"/>
    <w:rsid w:val="00D93F81"/>
    <w:rsid w:val="00D9451E"/>
    <w:rsid w:val="00D950B5"/>
    <w:rsid w:val="00D954CF"/>
    <w:rsid w:val="00D95C58"/>
    <w:rsid w:val="00D95F93"/>
    <w:rsid w:val="00D96B62"/>
    <w:rsid w:val="00D96BC6"/>
    <w:rsid w:val="00D9744F"/>
    <w:rsid w:val="00DA0D79"/>
    <w:rsid w:val="00DA2A25"/>
    <w:rsid w:val="00DA2DF6"/>
    <w:rsid w:val="00DA385A"/>
    <w:rsid w:val="00DA4859"/>
    <w:rsid w:val="00DA4873"/>
    <w:rsid w:val="00DA4D1A"/>
    <w:rsid w:val="00DA4DC0"/>
    <w:rsid w:val="00DA52B1"/>
    <w:rsid w:val="00DA5F3F"/>
    <w:rsid w:val="00DA627E"/>
    <w:rsid w:val="00DA6415"/>
    <w:rsid w:val="00DA6686"/>
    <w:rsid w:val="00DA6F54"/>
    <w:rsid w:val="00DB0B14"/>
    <w:rsid w:val="00DB0CE2"/>
    <w:rsid w:val="00DB1B2E"/>
    <w:rsid w:val="00DB200C"/>
    <w:rsid w:val="00DB2079"/>
    <w:rsid w:val="00DB2380"/>
    <w:rsid w:val="00DB2CC6"/>
    <w:rsid w:val="00DB4AA5"/>
    <w:rsid w:val="00DB5572"/>
    <w:rsid w:val="00DB583C"/>
    <w:rsid w:val="00DB5C24"/>
    <w:rsid w:val="00DB641E"/>
    <w:rsid w:val="00DB64FD"/>
    <w:rsid w:val="00DB6C04"/>
    <w:rsid w:val="00DB6F81"/>
    <w:rsid w:val="00DC0143"/>
    <w:rsid w:val="00DC02FD"/>
    <w:rsid w:val="00DC0398"/>
    <w:rsid w:val="00DC19BC"/>
    <w:rsid w:val="00DC247B"/>
    <w:rsid w:val="00DC29DE"/>
    <w:rsid w:val="00DC2A37"/>
    <w:rsid w:val="00DC2B1F"/>
    <w:rsid w:val="00DC31E7"/>
    <w:rsid w:val="00DC4542"/>
    <w:rsid w:val="00DC48BA"/>
    <w:rsid w:val="00DC564D"/>
    <w:rsid w:val="00DC59FA"/>
    <w:rsid w:val="00DC5A43"/>
    <w:rsid w:val="00DC5CC1"/>
    <w:rsid w:val="00DC6657"/>
    <w:rsid w:val="00DC66DA"/>
    <w:rsid w:val="00DC6892"/>
    <w:rsid w:val="00DC6944"/>
    <w:rsid w:val="00DC7091"/>
    <w:rsid w:val="00DC7169"/>
    <w:rsid w:val="00DC779B"/>
    <w:rsid w:val="00DC79A4"/>
    <w:rsid w:val="00DD011A"/>
    <w:rsid w:val="00DD07C8"/>
    <w:rsid w:val="00DD11A8"/>
    <w:rsid w:val="00DD160E"/>
    <w:rsid w:val="00DD172C"/>
    <w:rsid w:val="00DD1A3B"/>
    <w:rsid w:val="00DD1A7F"/>
    <w:rsid w:val="00DD2B9F"/>
    <w:rsid w:val="00DD2D62"/>
    <w:rsid w:val="00DD3C1D"/>
    <w:rsid w:val="00DD499A"/>
    <w:rsid w:val="00DD4C67"/>
    <w:rsid w:val="00DD515E"/>
    <w:rsid w:val="00DD6A5F"/>
    <w:rsid w:val="00DD6CBA"/>
    <w:rsid w:val="00DD720A"/>
    <w:rsid w:val="00DE0387"/>
    <w:rsid w:val="00DE0934"/>
    <w:rsid w:val="00DE093E"/>
    <w:rsid w:val="00DE0A6D"/>
    <w:rsid w:val="00DE0F7F"/>
    <w:rsid w:val="00DE109F"/>
    <w:rsid w:val="00DE12A1"/>
    <w:rsid w:val="00DE1334"/>
    <w:rsid w:val="00DE13B5"/>
    <w:rsid w:val="00DE1910"/>
    <w:rsid w:val="00DE1AE1"/>
    <w:rsid w:val="00DE26F5"/>
    <w:rsid w:val="00DE2B8A"/>
    <w:rsid w:val="00DE2E7D"/>
    <w:rsid w:val="00DE3823"/>
    <w:rsid w:val="00DE3878"/>
    <w:rsid w:val="00DE3B00"/>
    <w:rsid w:val="00DE3DAD"/>
    <w:rsid w:val="00DE4087"/>
    <w:rsid w:val="00DE4655"/>
    <w:rsid w:val="00DE4A25"/>
    <w:rsid w:val="00DE5ABF"/>
    <w:rsid w:val="00DE71D4"/>
    <w:rsid w:val="00DE71E1"/>
    <w:rsid w:val="00DE726B"/>
    <w:rsid w:val="00DE73AB"/>
    <w:rsid w:val="00DE73B5"/>
    <w:rsid w:val="00DE78E3"/>
    <w:rsid w:val="00DE7CEB"/>
    <w:rsid w:val="00DF0303"/>
    <w:rsid w:val="00DF052C"/>
    <w:rsid w:val="00DF0910"/>
    <w:rsid w:val="00DF0BD4"/>
    <w:rsid w:val="00DF2877"/>
    <w:rsid w:val="00DF28C7"/>
    <w:rsid w:val="00DF2B60"/>
    <w:rsid w:val="00DF324D"/>
    <w:rsid w:val="00DF32C9"/>
    <w:rsid w:val="00DF42D5"/>
    <w:rsid w:val="00DF4EDD"/>
    <w:rsid w:val="00DF50DD"/>
    <w:rsid w:val="00DF51A6"/>
    <w:rsid w:val="00E001EE"/>
    <w:rsid w:val="00E007CE"/>
    <w:rsid w:val="00E00B8B"/>
    <w:rsid w:val="00E00BFB"/>
    <w:rsid w:val="00E01965"/>
    <w:rsid w:val="00E01999"/>
    <w:rsid w:val="00E01A01"/>
    <w:rsid w:val="00E020BE"/>
    <w:rsid w:val="00E0214B"/>
    <w:rsid w:val="00E030A5"/>
    <w:rsid w:val="00E0333B"/>
    <w:rsid w:val="00E039E8"/>
    <w:rsid w:val="00E03C7D"/>
    <w:rsid w:val="00E05F8D"/>
    <w:rsid w:val="00E05FE0"/>
    <w:rsid w:val="00E0664A"/>
    <w:rsid w:val="00E06C8F"/>
    <w:rsid w:val="00E10DA0"/>
    <w:rsid w:val="00E11266"/>
    <w:rsid w:val="00E11E93"/>
    <w:rsid w:val="00E12700"/>
    <w:rsid w:val="00E12CFF"/>
    <w:rsid w:val="00E1333A"/>
    <w:rsid w:val="00E1346D"/>
    <w:rsid w:val="00E1374A"/>
    <w:rsid w:val="00E137EF"/>
    <w:rsid w:val="00E1398B"/>
    <w:rsid w:val="00E1478B"/>
    <w:rsid w:val="00E15B44"/>
    <w:rsid w:val="00E15DA7"/>
    <w:rsid w:val="00E16217"/>
    <w:rsid w:val="00E1699B"/>
    <w:rsid w:val="00E17234"/>
    <w:rsid w:val="00E17677"/>
    <w:rsid w:val="00E20B47"/>
    <w:rsid w:val="00E20D15"/>
    <w:rsid w:val="00E217B5"/>
    <w:rsid w:val="00E22121"/>
    <w:rsid w:val="00E22551"/>
    <w:rsid w:val="00E22B78"/>
    <w:rsid w:val="00E232FB"/>
    <w:rsid w:val="00E2438A"/>
    <w:rsid w:val="00E25B9E"/>
    <w:rsid w:val="00E25BD9"/>
    <w:rsid w:val="00E26EEA"/>
    <w:rsid w:val="00E2730D"/>
    <w:rsid w:val="00E2789C"/>
    <w:rsid w:val="00E3088B"/>
    <w:rsid w:val="00E30964"/>
    <w:rsid w:val="00E30C4C"/>
    <w:rsid w:val="00E314F0"/>
    <w:rsid w:val="00E3150B"/>
    <w:rsid w:val="00E31F48"/>
    <w:rsid w:val="00E320ED"/>
    <w:rsid w:val="00E32990"/>
    <w:rsid w:val="00E32B07"/>
    <w:rsid w:val="00E32F08"/>
    <w:rsid w:val="00E33485"/>
    <w:rsid w:val="00E33694"/>
    <w:rsid w:val="00E34292"/>
    <w:rsid w:val="00E3463E"/>
    <w:rsid w:val="00E34ED6"/>
    <w:rsid w:val="00E35682"/>
    <w:rsid w:val="00E35CC2"/>
    <w:rsid w:val="00E35F47"/>
    <w:rsid w:val="00E36C5F"/>
    <w:rsid w:val="00E371DF"/>
    <w:rsid w:val="00E400D2"/>
    <w:rsid w:val="00E401A3"/>
    <w:rsid w:val="00E40457"/>
    <w:rsid w:val="00E40D21"/>
    <w:rsid w:val="00E40DA1"/>
    <w:rsid w:val="00E417B2"/>
    <w:rsid w:val="00E419EE"/>
    <w:rsid w:val="00E4256E"/>
    <w:rsid w:val="00E42AF3"/>
    <w:rsid w:val="00E437E5"/>
    <w:rsid w:val="00E43A6B"/>
    <w:rsid w:val="00E43E43"/>
    <w:rsid w:val="00E449FD"/>
    <w:rsid w:val="00E452CF"/>
    <w:rsid w:val="00E453E1"/>
    <w:rsid w:val="00E45902"/>
    <w:rsid w:val="00E4616D"/>
    <w:rsid w:val="00E46590"/>
    <w:rsid w:val="00E47777"/>
    <w:rsid w:val="00E477E5"/>
    <w:rsid w:val="00E47D08"/>
    <w:rsid w:val="00E50F59"/>
    <w:rsid w:val="00E516B8"/>
    <w:rsid w:val="00E51763"/>
    <w:rsid w:val="00E518C2"/>
    <w:rsid w:val="00E518EC"/>
    <w:rsid w:val="00E5454D"/>
    <w:rsid w:val="00E57411"/>
    <w:rsid w:val="00E57F50"/>
    <w:rsid w:val="00E60005"/>
    <w:rsid w:val="00E606E1"/>
    <w:rsid w:val="00E60F62"/>
    <w:rsid w:val="00E616C5"/>
    <w:rsid w:val="00E61D16"/>
    <w:rsid w:val="00E620E5"/>
    <w:rsid w:val="00E635C1"/>
    <w:rsid w:val="00E636C6"/>
    <w:rsid w:val="00E639BD"/>
    <w:rsid w:val="00E63A81"/>
    <w:rsid w:val="00E63F92"/>
    <w:rsid w:val="00E64264"/>
    <w:rsid w:val="00E659EB"/>
    <w:rsid w:val="00E65FA6"/>
    <w:rsid w:val="00E66367"/>
    <w:rsid w:val="00E664D1"/>
    <w:rsid w:val="00E670C3"/>
    <w:rsid w:val="00E67591"/>
    <w:rsid w:val="00E67696"/>
    <w:rsid w:val="00E676DA"/>
    <w:rsid w:val="00E678F9"/>
    <w:rsid w:val="00E67975"/>
    <w:rsid w:val="00E67EDB"/>
    <w:rsid w:val="00E70A8E"/>
    <w:rsid w:val="00E70BDC"/>
    <w:rsid w:val="00E72D3B"/>
    <w:rsid w:val="00E73324"/>
    <w:rsid w:val="00E735EB"/>
    <w:rsid w:val="00E73C5C"/>
    <w:rsid w:val="00E74B4A"/>
    <w:rsid w:val="00E75451"/>
    <w:rsid w:val="00E75B90"/>
    <w:rsid w:val="00E75BF4"/>
    <w:rsid w:val="00E76D8B"/>
    <w:rsid w:val="00E772FB"/>
    <w:rsid w:val="00E774F0"/>
    <w:rsid w:val="00E7792A"/>
    <w:rsid w:val="00E80123"/>
    <w:rsid w:val="00E80FCB"/>
    <w:rsid w:val="00E81439"/>
    <w:rsid w:val="00E8157D"/>
    <w:rsid w:val="00E81791"/>
    <w:rsid w:val="00E8184E"/>
    <w:rsid w:val="00E8193B"/>
    <w:rsid w:val="00E81FCA"/>
    <w:rsid w:val="00E8245D"/>
    <w:rsid w:val="00E828DE"/>
    <w:rsid w:val="00E82B87"/>
    <w:rsid w:val="00E82F6C"/>
    <w:rsid w:val="00E8442C"/>
    <w:rsid w:val="00E84E94"/>
    <w:rsid w:val="00E8525A"/>
    <w:rsid w:val="00E853FB"/>
    <w:rsid w:val="00E854DF"/>
    <w:rsid w:val="00E8563F"/>
    <w:rsid w:val="00E85A47"/>
    <w:rsid w:val="00E85B13"/>
    <w:rsid w:val="00E874A7"/>
    <w:rsid w:val="00E8762F"/>
    <w:rsid w:val="00E8792B"/>
    <w:rsid w:val="00E90036"/>
    <w:rsid w:val="00E90CA9"/>
    <w:rsid w:val="00E91D56"/>
    <w:rsid w:val="00E91EAA"/>
    <w:rsid w:val="00E92795"/>
    <w:rsid w:val="00E932DA"/>
    <w:rsid w:val="00E9334D"/>
    <w:rsid w:val="00E93654"/>
    <w:rsid w:val="00E93C21"/>
    <w:rsid w:val="00E94576"/>
    <w:rsid w:val="00E952C8"/>
    <w:rsid w:val="00E95426"/>
    <w:rsid w:val="00E9557C"/>
    <w:rsid w:val="00E956D8"/>
    <w:rsid w:val="00E96D16"/>
    <w:rsid w:val="00E97D22"/>
    <w:rsid w:val="00EA0257"/>
    <w:rsid w:val="00EA0550"/>
    <w:rsid w:val="00EA1595"/>
    <w:rsid w:val="00EA20FF"/>
    <w:rsid w:val="00EA35C5"/>
    <w:rsid w:val="00EA60BA"/>
    <w:rsid w:val="00EA67CD"/>
    <w:rsid w:val="00EA684D"/>
    <w:rsid w:val="00EA68DF"/>
    <w:rsid w:val="00EA6FC2"/>
    <w:rsid w:val="00EA771F"/>
    <w:rsid w:val="00EB0203"/>
    <w:rsid w:val="00EB04DB"/>
    <w:rsid w:val="00EB2E75"/>
    <w:rsid w:val="00EB3735"/>
    <w:rsid w:val="00EB385F"/>
    <w:rsid w:val="00EB3974"/>
    <w:rsid w:val="00EB3989"/>
    <w:rsid w:val="00EB3CD0"/>
    <w:rsid w:val="00EB46FE"/>
    <w:rsid w:val="00EB4B43"/>
    <w:rsid w:val="00EB4D5D"/>
    <w:rsid w:val="00EB633F"/>
    <w:rsid w:val="00EB73A7"/>
    <w:rsid w:val="00EB789E"/>
    <w:rsid w:val="00EB7A99"/>
    <w:rsid w:val="00EB7DCE"/>
    <w:rsid w:val="00EC029D"/>
    <w:rsid w:val="00EC02CB"/>
    <w:rsid w:val="00EC033A"/>
    <w:rsid w:val="00EC071B"/>
    <w:rsid w:val="00EC21D7"/>
    <w:rsid w:val="00EC2E20"/>
    <w:rsid w:val="00EC3207"/>
    <w:rsid w:val="00EC3747"/>
    <w:rsid w:val="00EC3A8D"/>
    <w:rsid w:val="00EC3B67"/>
    <w:rsid w:val="00EC4673"/>
    <w:rsid w:val="00EC4A14"/>
    <w:rsid w:val="00EC5BFA"/>
    <w:rsid w:val="00EC64BC"/>
    <w:rsid w:val="00EC65B6"/>
    <w:rsid w:val="00EC6BB4"/>
    <w:rsid w:val="00EC6EB3"/>
    <w:rsid w:val="00EC7EED"/>
    <w:rsid w:val="00ED1059"/>
    <w:rsid w:val="00ED1331"/>
    <w:rsid w:val="00ED1514"/>
    <w:rsid w:val="00ED2CEF"/>
    <w:rsid w:val="00ED4027"/>
    <w:rsid w:val="00ED4DB2"/>
    <w:rsid w:val="00ED5077"/>
    <w:rsid w:val="00ED52A0"/>
    <w:rsid w:val="00ED6252"/>
    <w:rsid w:val="00ED64C0"/>
    <w:rsid w:val="00ED7DEB"/>
    <w:rsid w:val="00EE039A"/>
    <w:rsid w:val="00EE062A"/>
    <w:rsid w:val="00EE06EF"/>
    <w:rsid w:val="00EE0B39"/>
    <w:rsid w:val="00EE167B"/>
    <w:rsid w:val="00EE1680"/>
    <w:rsid w:val="00EE16F5"/>
    <w:rsid w:val="00EE21DE"/>
    <w:rsid w:val="00EE2649"/>
    <w:rsid w:val="00EE2EDB"/>
    <w:rsid w:val="00EE4223"/>
    <w:rsid w:val="00EE489C"/>
    <w:rsid w:val="00EE4904"/>
    <w:rsid w:val="00EE52A2"/>
    <w:rsid w:val="00EE6221"/>
    <w:rsid w:val="00EE625F"/>
    <w:rsid w:val="00EE6480"/>
    <w:rsid w:val="00EE6C4D"/>
    <w:rsid w:val="00EE77B8"/>
    <w:rsid w:val="00EF0145"/>
    <w:rsid w:val="00EF0935"/>
    <w:rsid w:val="00EF0982"/>
    <w:rsid w:val="00EF0E75"/>
    <w:rsid w:val="00EF1070"/>
    <w:rsid w:val="00EF1733"/>
    <w:rsid w:val="00EF1BEA"/>
    <w:rsid w:val="00EF246F"/>
    <w:rsid w:val="00EF2AEF"/>
    <w:rsid w:val="00EF3282"/>
    <w:rsid w:val="00EF3CA8"/>
    <w:rsid w:val="00EF3EF5"/>
    <w:rsid w:val="00EF519D"/>
    <w:rsid w:val="00EF5B6E"/>
    <w:rsid w:val="00EF6096"/>
    <w:rsid w:val="00EF626E"/>
    <w:rsid w:val="00EF667A"/>
    <w:rsid w:val="00EF66E6"/>
    <w:rsid w:val="00EF6896"/>
    <w:rsid w:val="00EF6EFE"/>
    <w:rsid w:val="00EF7B3F"/>
    <w:rsid w:val="00F00093"/>
    <w:rsid w:val="00F005B5"/>
    <w:rsid w:val="00F00981"/>
    <w:rsid w:val="00F0222B"/>
    <w:rsid w:val="00F02353"/>
    <w:rsid w:val="00F02503"/>
    <w:rsid w:val="00F028DD"/>
    <w:rsid w:val="00F02E52"/>
    <w:rsid w:val="00F0317E"/>
    <w:rsid w:val="00F03E44"/>
    <w:rsid w:val="00F0571C"/>
    <w:rsid w:val="00F05F1F"/>
    <w:rsid w:val="00F07F13"/>
    <w:rsid w:val="00F10985"/>
    <w:rsid w:val="00F10B3C"/>
    <w:rsid w:val="00F10E04"/>
    <w:rsid w:val="00F113A5"/>
    <w:rsid w:val="00F11FAC"/>
    <w:rsid w:val="00F12192"/>
    <w:rsid w:val="00F136EF"/>
    <w:rsid w:val="00F1389E"/>
    <w:rsid w:val="00F13A9D"/>
    <w:rsid w:val="00F145D0"/>
    <w:rsid w:val="00F156BF"/>
    <w:rsid w:val="00F15D44"/>
    <w:rsid w:val="00F1645D"/>
    <w:rsid w:val="00F1675D"/>
    <w:rsid w:val="00F16AB6"/>
    <w:rsid w:val="00F16C61"/>
    <w:rsid w:val="00F17522"/>
    <w:rsid w:val="00F17781"/>
    <w:rsid w:val="00F201E0"/>
    <w:rsid w:val="00F2058F"/>
    <w:rsid w:val="00F213F6"/>
    <w:rsid w:val="00F21D87"/>
    <w:rsid w:val="00F21E26"/>
    <w:rsid w:val="00F22135"/>
    <w:rsid w:val="00F22EFF"/>
    <w:rsid w:val="00F2415F"/>
    <w:rsid w:val="00F2494D"/>
    <w:rsid w:val="00F25353"/>
    <w:rsid w:val="00F255E7"/>
    <w:rsid w:val="00F25744"/>
    <w:rsid w:val="00F2589B"/>
    <w:rsid w:val="00F261B0"/>
    <w:rsid w:val="00F262C1"/>
    <w:rsid w:val="00F26451"/>
    <w:rsid w:val="00F26593"/>
    <w:rsid w:val="00F26E0A"/>
    <w:rsid w:val="00F27C03"/>
    <w:rsid w:val="00F27F82"/>
    <w:rsid w:val="00F3075C"/>
    <w:rsid w:val="00F309E2"/>
    <w:rsid w:val="00F30BD9"/>
    <w:rsid w:val="00F3106F"/>
    <w:rsid w:val="00F3115D"/>
    <w:rsid w:val="00F316C0"/>
    <w:rsid w:val="00F3260F"/>
    <w:rsid w:val="00F329D0"/>
    <w:rsid w:val="00F32CE8"/>
    <w:rsid w:val="00F32F8F"/>
    <w:rsid w:val="00F33FEE"/>
    <w:rsid w:val="00F341A7"/>
    <w:rsid w:val="00F34645"/>
    <w:rsid w:val="00F34835"/>
    <w:rsid w:val="00F34DF7"/>
    <w:rsid w:val="00F3517E"/>
    <w:rsid w:val="00F35182"/>
    <w:rsid w:val="00F35537"/>
    <w:rsid w:val="00F37469"/>
    <w:rsid w:val="00F401E4"/>
    <w:rsid w:val="00F4028C"/>
    <w:rsid w:val="00F402BB"/>
    <w:rsid w:val="00F407BD"/>
    <w:rsid w:val="00F407E9"/>
    <w:rsid w:val="00F40827"/>
    <w:rsid w:val="00F40DE9"/>
    <w:rsid w:val="00F4104F"/>
    <w:rsid w:val="00F41096"/>
    <w:rsid w:val="00F41754"/>
    <w:rsid w:val="00F417B8"/>
    <w:rsid w:val="00F41F2D"/>
    <w:rsid w:val="00F42A15"/>
    <w:rsid w:val="00F42E04"/>
    <w:rsid w:val="00F43DD6"/>
    <w:rsid w:val="00F4495B"/>
    <w:rsid w:val="00F450CD"/>
    <w:rsid w:val="00F45881"/>
    <w:rsid w:val="00F4652F"/>
    <w:rsid w:val="00F47718"/>
    <w:rsid w:val="00F50303"/>
    <w:rsid w:val="00F50526"/>
    <w:rsid w:val="00F52BEA"/>
    <w:rsid w:val="00F531E6"/>
    <w:rsid w:val="00F53645"/>
    <w:rsid w:val="00F53B6C"/>
    <w:rsid w:val="00F5447F"/>
    <w:rsid w:val="00F54F63"/>
    <w:rsid w:val="00F55910"/>
    <w:rsid w:val="00F564DF"/>
    <w:rsid w:val="00F56D8C"/>
    <w:rsid w:val="00F570C0"/>
    <w:rsid w:val="00F572C2"/>
    <w:rsid w:val="00F5788C"/>
    <w:rsid w:val="00F57964"/>
    <w:rsid w:val="00F57D2E"/>
    <w:rsid w:val="00F606BE"/>
    <w:rsid w:val="00F61AD6"/>
    <w:rsid w:val="00F61DBA"/>
    <w:rsid w:val="00F623C0"/>
    <w:rsid w:val="00F62745"/>
    <w:rsid w:val="00F63C64"/>
    <w:rsid w:val="00F63F44"/>
    <w:rsid w:val="00F642CE"/>
    <w:rsid w:val="00F646E6"/>
    <w:rsid w:val="00F648C9"/>
    <w:rsid w:val="00F64B18"/>
    <w:rsid w:val="00F64EE9"/>
    <w:rsid w:val="00F650BA"/>
    <w:rsid w:val="00F65C72"/>
    <w:rsid w:val="00F662BB"/>
    <w:rsid w:val="00F67897"/>
    <w:rsid w:val="00F7071F"/>
    <w:rsid w:val="00F71112"/>
    <w:rsid w:val="00F71196"/>
    <w:rsid w:val="00F72B66"/>
    <w:rsid w:val="00F73B71"/>
    <w:rsid w:val="00F740EE"/>
    <w:rsid w:val="00F74214"/>
    <w:rsid w:val="00F747C2"/>
    <w:rsid w:val="00F747F0"/>
    <w:rsid w:val="00F74975"/>
    <w:rsid w:val="00F7522A"/>
    <w:rsid w:val="00F75C45"/>
    <w:rsid w:val="00F77D58"/>
    <w:rsid w:val="00F77F97"/>
    <w:rsid w:val="00F808CC"/>
    <w:rsid w:val="00F80B68"/>
    <w:rsid w:val="00F810DD"/>
    <w:rsid w:val="00F81167"/>
    <w:rsid w:val="00F8176B"/>
    <w:rsid w:val="00F82447"/>
    <w:rsid w:val="00F825E2"/>
    <w:rsid w:val="00F82DD1"/>
    <w:rsid w:val="00F83086"/>
    <w:rsid w:val="00F83CAA"/>
    <w:rsid w:val="00F83DF3"/>
    <w:rsid w:val="00F8475D"/>
    <w:rsid w:val="00F84CDD"/>
    <w:rsid w:val="00F85123"/>
    <w:rsid w:val="00F865F2"/>
    <w:rsid w:val="00F866E8"/>
    <w:rsid w:val="00F87144"/>
    <w:rsid w:val="00F87C25"/>
    <w:rsid w:val="00F903CF"/>
    <w:rsid w:val="00F906F5"/>
    <w:rsid w:val="00F92A63"/>
    <w:rsid w:val="00F9370E"/>
    <w:rsid w:val="00F93807"/>
    <w:rsid w:val="00F947CC"/>
    <w:rsid w:val="00F94B76"/>
    <w:rsid w:val="00F95350"/>
    <w:rsid w:val="00F95376"/>
    <w:rsid w:val="00F95A6D"/>
    <w:rsid w:val="00F96975"/>
    <w:rsid w:val="00F96D13"/>
    <w:rsid w:val="00F96DB8"/>
    <w:rsid w:val="00FA08E9"/>
    <w:rsid w:val="00FA0C9B"/>
    <w:rsid w:val="00FA0CB1"/>
    <w:rsid w:val="00FA1083"/>
    <w:rsid w:val="00FA10F1"/>
    <w:rsid w:val="00FA1643"/>
    <w:rsid w:val="00FA2DE9"/>
    <w:rsid w:val="00FA315C"/>
    <w:rsid w:val="00FA3599"/>
    <w:rsid w:val="00FA3BE5"/>
    <w:rsid w:val="00FA4585"/>
    <w:rsid w:val="00FA5092"/>
    <w:rsid w:val="00FA729D"/>
    <w:rsid w:val="00FB0CD5"/>
    <w:rsid w:val="00FB0DDD"/>
    <w:rsid w:val="00FB19E1"/>
    <w:rsid w:val="00FB2033"/>
    <w:rsid w:val="00FB2082"/>
    <w:rsid w:val="00FB247A"/>
    <w:rsid w:val="00FB2D65"/>
    <w:rsid w:val="00FB3196"/>
    <w:rsid w:val="00FB3799"/>
    <w:rsid w:val="00FB41E4"/>
    <w:rsid w:val="00FB4A12"/>
    <w:rsid w:val="00FB4EFF"/>
    <w:rsid w:val="00FB57FD"/>
    <w:rsid w:val="00FB5996"/>
    <w:rsid w:val="00FB60DF"/>
    <w:rsid w:val="00FB6D0A"/>
    <w:rsid w:val="00FB6EC3"/>
    <w:rsid w:val="00FB6EC4"/>
    <w:rsid w:val="00FB71E0"/>
    <w:rsid w:val="00FB73B1"/>
    <w:rsid w:val="00FB794D"/>
    <w:rsid w:val="00FB7A74"/>
    <w:rsid w:val="00FC0053"/>
    <w:rsid w:val="00FC0472"/>
    <w:rsid w:val="00FC0475"/>
    <w:rsid w:val="00FC0A99"/>
    <w:rsid w:val="00FC1951"/>
    <w:rsid w:val="00FC31B0"/>
    <w:rsid w:val="00FC3791"/>
    <w:rsid w:val="00FC4B2F"/>
    <w:rsid w:val="00FC523E"/>
    <w:rsid w:val="00FC52D3"/>
    <w:rsid w:val="00FC5FC9"/>
    <w:rsid w:val="00FC5FFB"/>
    <w:rsid w:val="00FC6193"/>
    <w:rsid w:val="00FC6BFA"/>
    <w:rsid w:val="00FC7505"/>
    <w:rsid w:val="00FC78D0"/>
    <w:rsid w:val="00FC7D53"/>
    <w:rsid w:val="00FD0220"/>
    <w:rsid w:val="00FD02EB"/>
    <w:rsid w:val="00FD10B7"/>
    <w:rsid w:val="00FD172C"/>
    <w:rsid w:val="00FD2AB8"/>
    <w:rsid w:val="00FD32F2"/>
    <w:rsid w:val="00FD343D"/>
    <w:rsid w:val="00FD3482"/>
    <w:rsid w:val="00FD3A7B"/>
    <w:rsid w:val="00FD4879"/>
    <w:rsid w:val="00FD4E40"/>
    <w:rsid w:val="00FD50C7"/>
    <w:rsid w:val="00FD5473"/>
    <w:rsid w:val="00FD59D7"/>
    <w:rsid w:val="00FD5C47"/>
    <w:rsid w:val="00FD5EC2"/>
    <w:rsid w:val="00FD6DCF"/>
    <w:rsid w:val="00FD7339"/>
    <w:rsid w:val="00FD782C"/>
    <w:rsid w:val="00FD7CAF"/>
    <w:rsid w:val="00FD7F68"/>
    <w:rsid w:val="00FE0111"/>
    <w:rsid w:val="00FE04A0"/>
    <w:rsid w:val="00FE0872"/>
    <w:rsid w:val="00FE127D"/>
    <w:rsid w:val="00FE19A0"/>
    <w:rsid w:val="00FE1B4B"/>
    <w:rsid w:val="00FE1C1B"/>
    <w:rsid w:val="00FE1FE4"/>
    <w:rsid w:val="00FE3221"/>
    <w:rsid w:val="00FE4376"/>
    <w:rsid w:val="00FE499C"/>
    <w:rsid w:val="00FE4C33"/>
    <w:rsid w:val="00FE5780"/>
    <w:rsid w:val="00FE6039"/>
    <w:rsid w:val="00FE60EF"/>
    <w:rsid w:val="00FE643E"/>
    <w:rsid w:val="00FE69D6"/>
    <w:rsid w:val="00FE73EC"/>
    <w:rsid w:val="00FE74F3"/>
    <w:rsid w:val="00FE7727"/>
    <w:rsid w:val="00FE7DF3"/>
    <w:rsid w:val="00FE7E77"/>
    <w:rsid w:val="00FF06FE"/>
    <w:rsid w:val="00FF150D"/>
    <w:rsid w:val="00FF1B24"/>
    <w:rsid w:val="00FF2589"/>
    <w:rsid w:val="00FF2ACC"/>
    <w:rsid w:val="00FF3505"/>
    <w:rsid w:val="00FF3BB8"/>
    <w:rsid w:val="00FF4000"/>
    <w:rsid w:val="00FF4108"/>
    <w:rsid w:val="00FF44AC"/>
    <w:rsid w:val="00FF4B27"/>
    <w:rsid w:val="00FF5576"/>
    <w:rsid w:val="00FF56B8"/>
    <w:rsid w:val="00FF5A24"/>
    <w:rsid w:val="00FF5CBD"/>
    <w:rsid w:val="00FF6A5A"/>
    <w:rsid w:val="00FF72B2"/>
    <w:rsid w:val="00FF7C02"/>
    <w:rsid w:val="00FF7F4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9521A"/>
  <w15:chartTrackingRefBased/>
  <w15:docId w15:val="{7242F9FE-B5BC-4104-9860-0A09011FE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06A"/>
    <w:rPr>
      <w:rFonts w:ascii="Arial" w:hAnsi="Arial"/>
      <w:sz w:val="24"/>
      <w:lang w:eastAsia="fr-FR"/>
    </w:rPr>
  </w:style>
  <w:style w:type="paragraph" w:styleId="Titre1">
    <w:name w:val="heading 1"/>
    <w:basedOn w:val="Normal"/>
    <w:next w:val="Normal"/>
    <w:qFormat/>
    <w:pPr>
      <w:keepNext/>
      <w:spacing w:before="240" w:after="60"/>
      <w:outlineLvl w:val="0"/>
    </w:pPr>
    <w:rPr>
      <w:b/>
      <w:kern w:val="28"/>
      <w:sz w:val="28"/>
    </w:rPr>
  </w:style>
  <w:style w:type="paragraph" w:styleId="Titre2">
    <w:name w:val="heading 2"/>
    <w:basedOn w:val="Normal"/>
    <w:next w:val="Normal"/>
    <w:qFormat/>
    <w:pPr>
      <w:keepNext/>
      <w:spacing w:before="240" w:after="60"/>
      <w:outlineLvl w:val="1"/>
    </w:pPr>
    <w:rPr>
      <w:b/>
      <w:i/>
    </w:rPr>
  </w:style>
  <w:style w:type="paragraph" w:styleId="Titre3">
    <w:name w:val="heading 3"/>
    <w:basedOn w:val="Normal"/>
    <w:next w:val="Normal"/>
    <w:qFormat/>
    <w:pPr>
      <w:keepNext/>
      <w:spacing w:before="240" w:after="60"/>
      <w:outlineLvl w:val="2"/>
    </w:pPr>
  </w:style>
  <w:style w:type="paragraph" w:styleId="Titre4">
    <w:name w:val="heading 4"/>
    <w:basedOn w:val="Normal"/>
    <w:next w:val="Normal"/>
    <w:qFormat/>
    <w:pPr>
      <w:keepNext/>
      <w:spacing w:before="240" w:after="60"/>
      <w:outlineLvl w:val="3"/>
    </w:pPr>
    <w:rPr>
      <w:b/>
    </w:rPr>
  </w:style>
  <w:style w:type="paragraph" w:styleId="Titre5">
    <w:name w:val="heading 5"/>
    <w:basedOn w:val="Normal"/>
    <w:next w:val="Normal"/>
    <w:qFormat/>
    <w:pPr>
      <w:spacing w:before="240" w:after="60"/>
      <w:outlineLvl w:val="4"/>
    </w:pPr>
    <w:rPr>
      <w:sz w:val="22"/>
    </w:rPr>
  </w:style>
  <w:style w:type="paragraph" w:styleId="Titre6">
    <w:name w:val="heading 6"/>
    <w:basedOn w:val="Normal"/>
    <w:next w:val="Normal"/>
    <w:qFormat/>
    <w:pPr>
      <w:spacing w:before="240" w:after="60"/>
      <w:outlineLvl w:val="5"/>
    </w:pPr>
    <w:rPr>
      <w:i/>
      <w:sz w:val="22"/>
    </w:rPr>
  </w:style>
  <w:style w:type="paragraph" w:styleId="Titre7">
    <w:name w:val="heading 7"/>
    <w:basedOn w:val="Normal"/>
    <w:next w:val="Normal"/>
    <w:qFormat/>
    <w:pPr>
      <w:spacing w:before="240" w:after="60"/>
      <w:outlineLvl w:val="6"/>
    </w:pPr>
    <w:rPr>
      <w:sz w:val="20"/>
    </w:rPr>
  </w:style>
  <w:style w:type="paragraph" w:styleId="Titre8">
    <w:name w:val="heading 8"/>
    <w:basedOn w:val="Normal"/>
    <w:next w:val="Normal"/>
    <w:qFormat/>
    <w:pPr>
      <w:spacing w:before="240" w:after="60"/>
      <w:outlineLvl w:val="7"/>
    </w:pPr>
    <w:rPr>
      <w:i/>
      <w:sz w:val="20"/>
    </w:rPr>
  </w:style>
  <w:style w:type="paragraph" w:styleId="Titre9">
    <w:name w:val="heading 9"/>
    <w:basedOn w:val="Normal"/>
    <w:next w:val="Normal"/>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pPr>
      <w:numPr>
        <w:numId w:val="1"/>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semiHidden/>
    <w:pPr>
      <w:spacing w:after="120"/>
    </w:pPr>
  </w:style>
  <w:style w:type="paragraph" w:styleId="Notedebasdepage">
    <w:name w:val="footnote text"/>
    <w:basedOn w:val="Normal"/>
    <w:link w:val="NotedebasdepageCar"/>
    <w:uiPriority w:val="99"/>
    <w:pPr>
      <w:ind w:left="360" w:hanging="360"/>
      <w:jc w:val="both"/>
    </w:pPr>
    <w:rPr>
      <w:sz w:val="20"/>
    </w:rPr>
  </w:style>
  <w:style w:type="paragraph" w:styleId="Notedefin">
    <w:name w:val="endnote text"/>
    <w:basedOn w:val="Normal"/>
    <w:semiHidden/>
    <w:pPr>
      <w:ind w:left="-360"/>
      <w:jc w:val="both"/>
    </w:pPr>
    <w:rPr>
      <w:sz w:val="20"/>
    </w:rPr>
  </w:style>
  <w:style w:type="paragraph" w:customStyle="1" w:styleId="zSoquijlblCour">
    <w:name w:val="zSoquij_lblCour"/>
    <w:basedOn w:val="Normal"/>
    <w:pPr>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pPr>
      <w:ind w:left="70"/>
    </w:pPr>
  </w:style>
  <w:style w:type="paragraph" w:customStyle="1" w:styleId="zSoquijdatGreffe">
    <w:name w:val="zSoquij_datGreffe"/>
    <w:basedOn w:val="Normal"/>
    <w:pPr>
      <w:ind w:left="29"/>
    </w:pPr>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pPr>
      <w:ind w:left="70"/>
    </w:pPr>
    <w:rPr>
      <w:b/>
    </w:rPr>
  </w:style>
  <w:style w:type="paragraph" w:customStyle="1" w:styleId="zSoquijdatQteJuge">
    <w:name w:val="zSoquij_datQteJuge"/>
    <w:basedOn w:val="Normal"/>
    <w:pPr>
      <w:ind w:left="29"/>
    </w:pPr>
    <w:rPr>
      <w:b/>
    </w:rPr>
  </w:style>
  <w:style w:type="paragraph" w:customStyle="1" w:styleId="zSoquijdatJuge">
    <w:name w:val="zSoquij_datJuge"/>
    <w:basedOn w:val="Normal"/>
    <w:pPr>
      <w:ind w:left="52"/>
    </w:pPr>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tabs>
        <w:tab w:val="left" w:pos="720"/>
      </w:tabs>
      <w:jc w:val="center"/>
    </w:pPr>
  </w:style>
  <w:style w:type="character" w:customStyle="1" w:styleId="zSoquijlblEntNoDossier">
    <w:name w:val="zSoquij_lblEntNoDossier"/>
    <w:rPr>
      <w:lang w:val="fr-CA"/>
    </w:rPr>
  </w:style>
  <w:style w:type="paragraph" w:customStyle="1" w:styleId="zSoquijlblTitrePartie">
    <w:name w:val="zSoquij_lblTitrePartie"/>
    <w:basedOn w:val="Normal"/>
  </w:style>
  <w:style w:type="paragraph" w:customStyle="1" w:styleId="zSoquijdatSignature3Juge">
    <w:name w:val="zSoquij_datSignature3Juge"/>
    <w:basedOn w:val="Normal"/>
  </w:style>
  <w:style w:type="paragraph" w:customStyle="1" w:styleId="ParagNonNum">
    <w:name w:val="ParagNonNum"/>
    <w:basedOn w:val="Paragraphe"/>
    <w:pPr>
      <w:numPr>
        <w:numId w:val="0"/>
      </w:numPr>
      <w:ind w:firstLine="734"/>
    </w:pPr>
  </w:style>
  <w:style w:type="paragraph" w:customStyle="1" w:styleId="zSoquijdatIdJuge">
    <w:name w:val="zSoquij_datIdJuge"/>
    <w:basedOn w:val="Normal"/>
    <w:pPr>
      <w:jc w:val="center"/>
    </w:pPr>
    <w:rPr>
      <w:sz w:val="20"/>
    </w:rPr>
  </w:style>
  <w:style w:type="paragraph" w:customStyle="1" w:styleId="Sous-paragraphe">
    <w:name w:val="Sous-paragraphe"/>
    <w:basedOn w:val="Normal"/>
    <w:pPr>
      <w:widowControl w:val="0"/>
      <w:numPr>
        <w:ilvl w:val="1"/>
        <w:numId w:val="1"/>
      </w:numPr>
      <w:spacing w:after="120"/>
      <w:jc w:val="both"/>
    </w:pPr>
    <w:rPr>
      <w:kern w:val="28"/>
    </w:rPr>
  </w:style>
  <w:style w:type="paragraph" w:customStyle="1" w:styleId="zSoquijdatNomProcureurDem">
    <w:name w:val="zSoquij_datNomProcureurDem"/>
    <w:basedOn w:val="zSoquijlblProcureurDem"/>
  </w:style>
  <w:style w:type="paragraph" w:customStyle="1" w:styleId="zSoquijdatNomProcureurDef">
    <w:name w:val="zSoquij_datNomProcureurDef"/>
    <w:basedOn w:val="zSoquijlblProcureurDef"/>
  </w:style>
  <w:style w:type="paragraph" w:customStyle="1" w:styleId="zSoquijdatCabinetProcureurDem">
    <w:name w:val="zSoquij_datCabinetProcureurDem"/>
    <w:basedOn w:val="Normal"/>
  </w:style>
  <w:style w:type="paragraph" w:customStyle="1" w:styleId="zSoquijdatCabinetProcureurDef">
    <w:name w:val="zSoquij_datCabinetProcureurDef"/>
    <w:basedOn w:val="zSoquijlblProcureurDef"/>
  </w:style>
  <w:style w:type="paragraph" w:customStyle="1" w:styleId="zSoquijdatSignatureJuge1">
    <w:name w:val="zSoquij_datSignatureJuge1"/>
    <w:basedOn w:val="Normal"/>
  </w:style>
  <w:style w:type="paragraph" w:customStyle="1" w:styleId="zSoquijdatSignatureJuge2">
    <w:name w:val="zSoquij_datSignatureJuge2"/>
    <w:basedOn w:val="Normal"/>
  </w:style>
  <w:style w:type="paragraph" w:customStyle="1" w:styleId="zSoquijdatSignatureJuge3">
    <w:name w:val="zSoquij_datSignatureJuge3"/>
    <w:basedOn w:val="Normal"/>
  </w:style>
  <w:style w:type="paragraph" w:customStyle="1" w:styleId="zSoquijdatRepertorie">
    <w:name w:val="zSoquij_datRepertorie"/>
    <w:basedOn w:val="zSoquijlblCour"/>
    <w:pPr>
      <w:jc w:val="left"/>
    </w:pPr>
    <w:rPr>
      <w:noProof/>
      <w:sz w:val="22"/>
    </w:rPr>
  </w:style>
  <w:style w:type="paragraph" w:customStyle="1" w:styleId="zSoquijdatRefNeutre">
    <w:name w:val="zSoquij_datRefNeutre"/>
    <w:basedOn w:val="zSoquijlblCour"/>
    <w:pPr>
      <w:jc w:val="left"/>
    </w:pPr>
    <w:rPr>
      <w:noProof/>
      <w:sz w:val="22"/>
    </w:rPr>
  </w:style>
  <w:style w:type="paragraph" w:customStyle="1" w:styleId="zSoquijdatSignature2Juge">
    <w:name w:val="zSoquij_datSignature2Juge"/>
    <w:basedOn w:val="zSoquijdatSignatureJuge3"/>
  </w:style>
  <w:style w:type="paragraph" w:customStyle="1" w:styleId="ParagAlaMarge">
    <w:name w:val="ParagAlaMarge"/>
    <w:basedOn w:val="ParagNonNum"/>
    <w:pPr>
      <w:ind w:firstLine="0"/>
    </w:pPr>
  </w:style>
  <w:style w:type="paragraph" w:customStyle="1" w:styleId="zSoquijlblAssesseurs">
    <w:name w:val="zSoquij_lblAssesseurs"/>
    <w:basedOn w:val="Normal"/>
    <w:pPr>
      <w:ind w:left="14" w:right="-67"/>
    </w:pPr>
  </w:style>
  <w:style w:type="paragraph" w:customStyle="1" w:styleId="zSoquijdatAssesseurs">
    <w:name w:val="zSoquij_datAssesseurs"/>
    <w:basedOn w:val="Normal"/>
    <w:pPr>
      <w:ind w:left="14" w:right="-67"/>
    </w:pPr>
  </w:style>
  <w:style w:type="paragraph" w:customStyle="1" w:styleId="zSoquijlblLocalite">
    <w:name w:val="zSoquij_lblLocalite"/>
    <w:basedOn w:val="zSoquijlblGreffe"/>
  </w:style>
  <w:style w:type="paragraph" w:customStyle="1" w:styleId="zSoquijdatLocalite">
    <w:name w:val="zSoquij_datLocalite"/>
    <w:basedOn w:val="zSoquijdatGreffe"/>
  </w:style>
  <w:style w:type="paragraph" w:styleId="Textedebulles">
    <w:name w:val="Balloon Text"/>
    <w:basedOn w:val="Normal"/>
    <w:link w:val="TextedebullesCar"/>
    <w:uiPriority w:val="99"/>
    <w:semiHidden/>
    <w:unhideWhenUsed/>
    <w:rsid w:val="009147B7"/>
    <w:rPr>
      <w:rFonts w:ascii="Segoe UI" w:hAnsi="Segoe UI" w:cs="Segoe UI"/>
      <w:sz w:val="18"/>
      <w:szCs w:val="18"/>
    </w:rPr>
  </w:style>
  <w:style w:type="character" w:customStyle="1" w:styleId="TextedebullesCar">
    <w:name w:val="Texte de bulles Car"/>
    <w:link w:val="Textedebulles"/>
    <w:uiPriority w:val="99"/>
    <w:semiHidden/>
    <w:rsid w:val="009147B7"/>
    <w:rPr>
      <w:rFonts w:ascii="Segoe UI" w:hAnsi="Segoe UI" w:cs="Segoe UI"/>
      <w:sz w:val="18"/>
      <w:szCs w:val="18"/>
      <w:lang w:eastAsia="fr-FR"/>
    </w:rPr>
  </w:style>
  <w:style w:type="character" w:styleId="Appelnotedebasdep">
    <w:name w:val="footnote reference"/>
    <w:uiPriority w:val="99"/>
    <w:unhideWhenUsed/>
    <w:rsid w:val="00605432"/>
    <w:rPr>
      <w:vertAlign w:val="superscript"/>
    </w:rPr>
  </w:style>
  <w:style w:type="paragraph" w:styleId="En-tte">
    <w:name w:val="header"/>
    <w:basedOn w:val="Normal"/>
    <w:link w:val="En-tteCar"/>
    <w:uiPriority w:val="99"/>
    <w:unhideWhenUsed/>
    <w:rsid w:val="007872D5"/>
    <w:pPr>
      <w:tabs>
        <w:tab w:val="center" w:pos="4320"/>
        <w:tab w:val="right" w:pos="8640"/>
      </w:tabs>
    </w:pPr>
  </w:style>
  <w:style w:type="character" w:customStyle="1" w:styleId="En-tteCar">
    <w:name w:val="En-tête Car"/>
    <w:link w:val="En-tte"/>
    <w:uiPriority w:val="99"/>
    <w:rsid w:val="007872D5"/>
    <w:rPr>
      <w:rFonts w:ascii="Arial" w:hAnsi="Arial"/>
      <w:sz w:val="24"/>
      <w:lang w:eastAsia="fr-FR"/>
    </w:rPr>
  </w:style>
  <w:style w:type="paragraph" w:styleId="Pieddepage">
    <w:name w:val="footer"/>
    <w:basedOn w:val="Normal"/>
    <w:link w:val="PieddepageCar"/>
    <w:uiPriority w:val="99"/>
    <w:unhideWhenUsed/>
    <w:rsid w:val="007872D5"/>
    <w:pPr>
      <w:tabs>
        <w:tab w:val="center" w:pos="4320"/>
        <w:tab w:val="right" w:pos="8640"/>
      </w:tabs>
    </w:pPr>
  </w:style>
  <w:style w:type="character" w:customStyle="1" w:styleId="PieddepageCar">
    <w:name w:val="Pied de page Car"/>
    <w:link w:val="Pieddepage"/>
    <w:uiPriority w:val="99"/>
    <w:rsid w:val="007872D5"/>
    <w:rPr>
      <w:rFonts w:ascii="Arial" w:hAnsi="Arial"/>
      <w:sz w:val="24"/>
      <w:lang w:eastAsia="fr-FR"/>
    </w:rPr>
  </w:style>
  <w:style w:type="paragraph" w:styleId="Paragraphedeliste">
    <w:name w:val="List Paragraph"/>
    <w:basedOn w:val="Normal"/>
    <w:link w:val="ParagraphedelisteCar"/>
    <w:uiPriority w:val="34"/>
    <w:qFormat/>
    <w:rsid w:val="00F54F63"/>
    <w:pPr>
      <w:spacing w:after="160" w:line="259" w:lineRule="auto"/>
      <w:ind w:left="720"/>
      <w:contextualSpacing/>
    </w:pPr>
    <w:rPr>
      <w:rFonts w:ascii="Calibri" w:eastAsia="Calibri" w:hAnsi="Calibri"/>
      <w:sz w:val="22"/>
      <w:szCs w:val="22"/>
      <w:lang w:eastAsia="en-US"/>
    </w:rPr>
  </w:style>
  <w:style w:type="table" w:styleId="Grilledutableau">
    <w:name w:val="Table Grid"/>
    <w:basedOn w:val="TableauNormal"/>
    <w:rsid w:val="00BA3F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debasdepageCar">
    <w:name w:val="Note de bas de page Car"/>
    <w:link w:val="Notedebasdepage"/>
    <w:uiPriority w:val="99"/>
    <w:rsid w:val="00B45BCE"/>
    <w:rPr>
      <w:rFonts w:ascii="Arial" w:hAnsi="Arial"/>
      <w:lang w:eastAsia="fr-FR"/>
    </w:rPr>
  </w:style>
  <w:style w:type="paragraph" w:customStyle="1" w:styleId="paragraphe0">
    <w:name w:val="paragraphe"/>
    <w:basedOn w:val="Normal"/>
    <w:rsid w:val="00C04606"/>
    <w:pPr>
      <w:spacing w:before="100" w:beforeAutospacing="1" w:after="100" w:afterAutospacing="1"/>
    </w:pPr>
    <w:rPr>
      <w:rFonts w:ascii="Times New Roman" w:hAnsi="Times New Roman"/>
      <w:szCs w:val="24"/>
      <w:lang w:eastAsia="fr-CA"/>
    </w:rPr>
  </w:style>
  <w:style w:type="character" w:styleId="Accentuation">
    <w:name w:val="Emphasis"/>
    <w:uiPriority w:val="20"/>
    <w:qFormat/>
    <w:rsid w:val="00982970"/>
    <w:rPr>
      <w:i/>
      <w:iCs/>
    </w:rPr>
  </w:style>
  <w:style w:type="paragraph" w:customStyle="1" w:styleId="citationenretrait0">
    <w:name w:val="citationenretrait"/>
    <w:basedOn w:val="Normal"/>
    <w:rsid w:val="00DE26F5"/>
    <w:pPr>
      <w:spacing w:before="100" w:beforeAutospacing="1" w:after="100" w:afterAutospacing="1"/>
    </w:pPr>
    <w:rPr>
      <w:rFonts w:ascii="Times New Roman" w:hAnsi="Times New Roman"/>
      <w:szCs w:val="24"/>
      <w:lang w:eastAsia="fr-CA"/>
    </w:rPr>
  </w:style>
  <w:style w:type="character" w:customStyle="1" w:styleId="texte-courant">
    <w:name w:val="texte-courant"/>
    <w:rsid w:val="00301E12"/>
  </w:style>
  <w:style w:type="character" w:customStyle="1" w:styleId="label-section">
    <w:name w:val="label-section"/>
    <w:rsid w:val="00301E12"/>
  </w:style>
  <w:style w:type="numbering" w:styleId="1ai">
    <w:name w:val="Outline List 1"/>
    <w:basedOn w:val="Aucuneliste"/>
    <w:uiPriority w:val="99"/>
    <w:semiHidden/>
    <w:unhideWhenUsed/>
    <w:rsid w:val="001F1D8F"/>
    <w:pPr>
      <w:numPr>
        <w:numId w:val="2"/>
      </w:numPr>
    </w:pPr>
  </w:style>
  <w:style w:type="character" w:customStyle="1" w:styleId="reidselectedtext">
    <w:name w:val="reidselectedtext"/>
    <w:rsid w:val="00106DD2"/>
  </w:style>
  <w:style w:type="paragraph" w:customStyle="1" w:styleId="subsection">
    <w:name w:val="subsection"/>
    <w:basedOn w:val="Normal"/>
    <w:rsid w:val="00B8324A"/>
    <w:pPr>
      <w:spacing w:before="100" w:beforeAutospacing="1" w:after="100" w:afterAutospacing="1"/>
    </w:pPr>
    <w:rPr>
      <w:rFonts w:ascii="Times New Roman" w:hAnsi="Times New Roman"/>
      <w:szCs w:val="24"/>
      <w:lang w:eastAsia="fr-CA"/>
    </w:rPr>
  </w:style>
  <w:style w:type="character" w:customStyle="1" w:styleId="sectionlabel">
    <w:name w:val="sectionlabel"/>
    <w:rsid w:val="00B8324A"/>
  </w:style>
  <w:style w:type="character" w:customStyle="1" w:styleId="lawlabel">
    <w:name w:val="lawlabel"/>
    <w:rsid w:val="00B8324A"/>
  </w:style>
  <w:style w:type="paragraph" w:customStyle="1" w:styleId="paragraph">
    <w:name w:val="paragraph"/>
    <w:basedOn w:val="Normal"/>
    <w:rsid w:val="00B8324A"/>
    <w:pPr>
      <w:spacing w:before="100" w:beforeAutospacing="1" w:after="100" w:afterAutospacing="1"/>
    </w:pPr>
    <w:rPr>
      <w:rFonts w:ascii="Times New Roman" w:hAnsi="Times New Roman"/>
      <w:szCs w:val="24"/>
      <w:lang w:eastAsia="fr-CA"/>
    </w:rPr>
  </w:style>
  <w:style w:type="paragraph" w:customStyle="1" w:styleId="marginalnote">
    <w:name w:val="marginalnote"/>
    <w:basedOn w:val="Normal"/>
    <w:rsid w:val="00B8324A"/>
    <w:pPr>
      <w:spacing w:before="100" w:beforeAutospacing="1" w:after="100" w:afterAutospacing="1"/>
    </w:pPr>
    <w:rPr>
      <w:rFonts w:ascii="Times New Roman" w:hAnsi="Times New Roman"/>
      <w:szCs w:val="24"/>
      <w:lang w:eastAsia="fr-CA"/>
    </w:rPr>
  </w:style>
  <w:style w:type="character" w:customStyle="1" w:styleId="wb-invisible">
    <w:name w:val="wb-invisible"/>
    <w:rsid w:val="00B8324A"/>
  </w:style>
  <w:style w:type="character" w:customStyle="1" w:styleId="Notedebasdepage0">
    <w:name w:val="Note de bas de page_"/>
    <w:link w:val="Notedebasdepage1"/>
    <w:rsid w:val="003A1515"/>
    <w:rPr>
      <w:rFonts w:ascii="Arial Unicode MS" w:eastAsia="Arial Unicode MS" w:hAnsi="Arial Unicode MS" w:cs="Arial Unicode MS"/>
      <w:sz w:val="21"/>
      <w:szCs w:val="21"/>
      <w:shd w:val="clear" w:color="auto" w:fill="FFFFFF"/>
    </w:rPr>
  </w:style>
  <w:style w:type="character" w:customStyle="1" w:styleId="Corpsdutexte2">
    <w:name w:val="Corps du texte (2)_"/>
    <w:link w:val="Corpsdutexte20"/>
    <w:rsid w:val="003A1515"/>
    <w:rPr>
      <w:rFonts w:ascii="Arial Unicode MS" w:eastAsia="Arial Unicode MS" w:hAnsi="Arial Unicode MS" w:cs="Arial Unicode MS"/>
      <w:shd w:val="clear" w:color="auto" w:fill="FFFFFF"/>
    </w:rPr>
  </w:style>
  <w:style w:type="character" w:customStyle="1" w:styleId="Corpsdutexte2ArialItalique">
    <w:name w:val="Corps du texte (2) + Arial;Italique"/>
    <w:rsid w:val="003A1515"/>
    <w:rPr>
      <w:rFonts w:ascii="Arial" w:eastAsia="Arial" w:hAnsi="Arial" w:cs="Arial"/>
      <w:i/>
      <w:iCs/>
      <w:color w:val="000000"/>
      <w:spacing w:val="0"/>
      <w:w w:val="100"/>
      <w:position w:val="0"/>
      <w:sz w:val="24"/>
      <w:szCs w:val="24"/>
      <w:shd w:val="clear" w:color="auto" w:fill="FFFFFF"/>
      <w:lang w:val="fr-FR" w:eastAsia="fr-FR" w:bidi="fr-FR"/>
    </w:rPr>
  </w:style>
  <w:style w:type="paragraph" w:customStyle="1" w:styleId="Notedebasdepage1">
    <w:name w:val="Note de bas de page1"/>
    <w:basedOn w:val="Normal"/>
    <w:link w:val="Notedebasdepage0"/>
    <w:rsid w:val="003A1515"/>
    <w:pPr>
      <w:widowControl w:val="0"/>
      <w:shd w:val="clear" w:color="auto" w:fill="FFFFFF"/>
      <w:spacing w:line="282" w:lineRule="exact"/>
    </w:pPr>
    <w:rPr>
      <w:rFonts w:ascii="Arial Unicode MS" w:eastAsia="Arial Unicode MS" w:hAnsi="Arial Unicode MS" w:cs="Arial Unicode MS"/>
      <w:sz w:val="21"/>
      <w:szCs w:val="21"/>
      <w:lang w:eastAsia="fr-CA"/>
    </w:rPr>
  </w:style>
  <w:style w:type="paragraph" w:customStyle="1" w:styleId="Corpsdutexte20">
    <w:name w:val="Corps du texte (2)"/>
    <w:basedOn w:val="Normal"/>
    <w:link w:val="Corpsdutexte2"/>
    <w:rsid w:val="003A1515"/>
    <w:pPr>
      <w:widowControl w:val="0"/>
      <w:shd w:val="clear" w:color="auto" w:fill="FFFFFF"/>
      <w:spacing w:line="274" w:lineRule="exact"/>
    </w:pPr>
    <w:rPr>
      <w:rFonts w:ascii="Arial Unicode MS" w:eastAsia="Arial Unicode MS" w:hAnsi="Arial Unicode MS" w:cs="Arial Unicode MS"/>
      <w:sz w:val="20"/>
      <w:lang w:eastAsia="fr-CA"/>
    </w:rPr>
  </w:style>
  <w:style w:type="character" w:customStyle="1" w:styleId="Texteducorps">
    <w:name w:val="Texte du corps_"/>
    <w:link w:val="Texteducorps0"/>
    <w:rsid w:val="004D554A"/>
    <w:rPr>
      <w:rFonts w:ascii="Arial" w:eastAsia="Arial" w:hAnsi="Arial" w:cs="Arial"/>
      <w:sz w:val="22"/>
      <w:szCs w:val="22"/>
      <w:shd w:val="clear" w:color="auto" w:fill="FFFFFF"/>
    </w:rPr>
  </w:style>
  <w:style w:type="paragraph" w:customStyle="1" w:styleId="Texteducorps0">
    <w:name w:val="Texte du corps"/>
    <w:basedOn w:val="Normal"/>
    <w:link w:val="Texteducorps"/>
    <w:rsid w:val="004D554A"/>
    <w:pPr>
      <w:widowControl w:val="0"/>
      <w:shd w:val="clear" w:color="auto" w:fill="FFFFFF"/>
      <w:spacing w:after="260"/>
      <w:jc w:val="both"/>
    </w:pPr>
    <w:rPr>
      <w:rFonts w:eastAsia="Arial" w:cs="Arial"/>
      <w:sz w:val="22"/>
      <w:szCs w:val="22"/>
      <w:lang w:eastAsia="fr-CA"/>
    </w:rPr>
  </w:style>
  <w:style w:type="paragraph" w:styleId="Listepuces">
    <w:name w:val="List Bullet"/>
    <w:basedOn w:val="Normal"/>
    <w:uiPriority w:val="99"/>
    <w:unhideWhenUsed/>
    <w:rsid w:val="00C9090A"/>
    <w:pPr>
      <w:numPr>
        <w:numId w:val="3"/>
      </w:numPr>
      <w:contextualSpacing/>
    </w:pPr>
  </w:style>
  <w:style w:type="paragraph" w:customStyle="1" w:styleId="RA-proceedingsnumberedparagraph">
    <w:name w:val="_R&amp;A - proceedings numbered paragraph"/>
    <w:basedOn w:val="Normal"/>
    <w:qFormat/>
    <w:rsid w:val="0048699F"/>
    <w:pPr>
      <w:numPr>
        <w:numId w:val="4"/>
      </w:numPr>
      <w:spacing w:before="240" w:after="240"/>
      <w:jc w:val="both"/>
    </w:pPr>
    <w:rPr>
      <w:rFonts w:ascii="Times New Roman" w:hAnsi="Times New Roman"/>
      <w:szCs w:val="24"/>
    </w:rPr>
  </w:style>
  <w:style w:type="paragraph" w:customStyle="1" w:styleId="CELINE1">
    <w:name w:val="CELINE 1"/>
    <w:basedOn w:val="Paragraphedeliste"/>
    <w:qFormat/>
    <w:rsid w:val="0092462C"/>
    <w:pPr>
      <w:numPr>
        <w:numId w:val="5"/>
      </w:numPr>
      <w:spacing w:before="360" w:after="240" w:line="240" w:lineRule="auto"/>
      <w:contextualSpacing w:val="0"/>
    </w:pPr>
    <w:rPr>
      <w:rFonts w:ascii="Arial" w:eastAsia="Times New Roman" w:hAnsi="Arial" w:cs="Arial"/>
      <w:b/>
      <w:lang w:eastAsia="fr-FR"/>
    </w:rPr>
  </w:style>
  <w:style w:type="character" w:customStyle="1" w:styleId="ParagraphedelisteCar">
    <w:name w:val="Paragraphe de liste Car"/>
    <w:basedOn w:val="Policepardfaut"/>
    <w:link w:val="Paragraphedeliste"/>
    <w:uiPriority w:val="34"/>
    <w:rsid w:val="009017CA"/>
    <w:rPr>
      <w:rFonts w:ascii="Calibri" w:eastAsia="Calibri" w:hAnsi="Calibri"/>
      <w:sz w:val="22"/>
      <w:szCs w:val="22"/>
      <w:lang w:eastAsia="en-US"/>
    </w:rPr>
  </w:style>
  <w:style w:type="paragraph" w:styleId="NormalWeb">
    <w:name w:val="Normal (Web)"/>
    <w:basedOn w:val="Normal"/>
    <w:uiPriority w:val="99"/>
    <w:unhideWhenUsed/>
    <w:rsid w:val="003A017A"/>
    <w:pPr>
      <w:spacing w:before="100" w:beforeAutospacing="1" w:after="100" w:afterAutospacing="1"/>
    </w:pPr>
    <w:rPr>
      <w:rFonts w:ascii="Times New Roman" w:hAnsi="Times New Roman"/>
      <w:szCs w:val="24"/>
      <w:lang w:eastAsia="fr-CA"/>
    </w:rPr>
  </w:style>
  <w:style w:type="character" w:styleId="Hyperlien">
    <w:name w:val="Hyperlink"/>
    <w:basedOn w:val="Policepardfaut"/>
    <w:uiPriority w:val="99"/>
    <w:unhideWhenUsed/>
    <w:rsid w:val="003A017A"/>
    <w:rPr>
      <w:color w:val="0000FF"/>
      <w:u w:val="single"/>
    </w:rPr>
  </w:style>
  <w:style w:type="paragraph" w:customStyle="1" w:styleId="level1">
    <w:name w:val="level1"/>
    <w:basedOn w:val="Normal"/>
    <w:rsid w:val="008E3FFF"/>
    <w:pPr>
      <w:spacing w:before="100" w:beforeAutospacing="1" w:after="100" w:afterAutospacing="1"/>
    </w:pPr>
    <w:rPr>
      <w:rFonts w:ascii="Times New Roman" w:hAnsi="Times New Roman"/>
      <w:szCs w:val="24"/>
      <w:lang w:eastAsia="fr-CA"/>
    </w:rPr>
  </w:style>
  <w:style w:type="paragraph" w:customStyle="1" w:styleId="corpsdedcision">
    <w:name w:val="corpsdedcision"/>
    <w:basedOn w:val="Normal"/>
    <w:rsid w:val="00457B02"/>
    <w:pPr>
      <w:spacing w:before="100" w:beforeAutospacing="1" w:after="100" w:afterAutospacing="1"/>
    </w:pPr>
    <w:rPr>
      <w:rFonts w:ascii="Times New Roman" w:hAnsi="Times New Roman"/>
      <w:szCs w:val="24"/>
      <w:lang w:eastAsia="fr-CA"/>
    </w:rPr>
  </w:style>
  <w:style w:type="paragraph" w:customStyle="1" w:styleId="para">
    <w:name w:val="para"/>
    <w:basedOn w:val="Normal"/>
    <w:rsid w:val="00F808CC"/>
    <w:pPr>
      <w:spacing w:before="100" w:beforeAutospacing="1" w:after="100" w:afterAutospacing="1"/>
    </w:pPr>
    <w:rPr>
      <w:rFonts w:ascii="Times New Roman" w:hAnsi="Times New Roman"/>
      <w:szCs w:val="24"/>
      <w:lang w:eastAsia="fr-CA"/>
    </w:rPr>
  </w:style>
  <w:style w:type="paragraph" w:customStyle="1" w:styleId="paranondepar-altn">
    <w:name w:val="paranondepar-altn"/>
    <w:basedOn w:val="Normal"/>
    <w:rsid w:val="00236F17"/>
    <w:pPr>
      <w:spacing w:before="100" w:beforeAutospacing="1" w:after="100" w:afterAutospacing="1"/>
    </w:pPr>
    <w:rPr>
      <w:rFonts w:ascii="Times New Roman" w:hAnsi="Times New Roman"/>
      <w:szCs w:val="24"/>
      <w:lang w:eastAsia="fr-CA"/>
    </w:rPr>
  </w:style>
  <w:style w:type="paragraph" w:customStyle="1" w:styleId="citation-altc">
    <w:name w:val="citation-altc"/>
    <w:basedOn w:val="Normal"/>
    <w:rsid w:val="00236F17"/>
    <w:pPr>
      <w:spacing w:before="100" w:beforeAutospacing="1" w:after="100" w:afterAutospacing="1"/>
    </w:pPr>
    <w:rPr>
      <w:rFonts w:ascii="Times New Roman" w:hAnsi="Times New Roman"/>
      <w:szCs w:val="24"/>
      <w:lang w:eastAsia="fr-CA"/>
    </w:rPr>
  </w:style>
  <w:style w:type="character" w:customStyle="1" w:styleId="citationintgre0">
    <w:name w:val="citationintgre"/>
    <w:basedOn w:val="Policepardfaut"/>
    <w:rsid w:val="00FF4000"/>
  </w:style>
  <w:style w:type="paragraph" w:customStyle="1" w:styleId="continueparasuitedupar-altp">
    <w:name w:val="continueparasuitedupar-altp"/>
    <w:basedOn w:val="Normal"/>
    <w:rsid w:val="00582471"/>
    <w:pPr>
      <w:spacing w:before="100" w:beforeAutospacing="1" w:after="100" w:afterAutospacing="1"/>
    </w:pPr>
    <w:rPr>
      <w:rFonts w:ascii="Times New Roman" w:hAnsi="Times New Roman"/>
      <w:szCs w:val="24"/>
      <w:lang w:eastAsia="fr-CA"/>
    </w:rPr>
  </w:style>
  <w:style w:type="character" w:customStyle="1" w:styleId="label-group5">
    <w:name w:val="label-group5"/>
    <w:basedOn w:val="Policepardfaut"/>
    <w:rsid w:val="007156E7"/>
  </w:style>
  <w:style w:type="character" w:customStyle="1" w:styleId="canliisection">
    <w:name w:val="canlii_section"/>
    <w:basedOn w:val="Policepardfaut"/>
    <w:rsid w:val="007156E7"/>
  </w:style>
  <w:style w:type="character" w:customStyle="1" w:styleId="label-z">
    <w:name w:val="label-z"/>
    <w:basedOn w:val="Policepardfaut"/>
    <w:rsid w:val="007357F1"/>
  </w:style>
  <w:style w:type="character" w:customStyle="1" w:styleId="widthfixforlabel">
    <w:name w:val="widthfixforlabel"/>
    <w:basedOn w:val="Policepardfaut"/>
    <w:rsid w:val="007357F1"/>
  </w:style>
  <w:style w:type="paragraph" w:customStyle="1" w:styleId="Paragrdouble">
    <w:name w:val="Paragr. double"/>
    <w:basedOn w:val="Normal"/>
    <w:rsid w:val="00C2280B"/>
    <w:pPr>
      <w:tabs>
        <w:tab w:val="num" w:pos="1353"/>
      </w:tabs>
      <w:spacing w:before="120" w:after="120" w:line="500" w:lineRule="exact"/>
      <w:ind w:left="993"/>
      <w:jc w:val="both"/>
    </w:pPr>
    <w:rPr>
      <w:kern w:val="28"/>
    </w:rPr>
  </w:style>
  <w:style w:type="paragraph" w:customStyle="1" w:styleId="citationenretrait00">
    <w:name w:val="citationenretrait0"/>
    <w:basedOn w:val="Normal"/>
    <w:rsid w:val="005F3A87"/>
    <w:pPr>
      <w:spacing w:before="100" w:beforeAutospacing="1" w:after="100" w:afterAutospacing="1"/>
    </w:pPr>
    <w:rPr>
      <w:rFonts w:ascii="Times New Roman" w:hAnsi="Times New Roman"/>
      <w:szCs w:val="24"/>
      <w:lang w:eastAsia="fr-CA"/>
    </w:rPr>
  </w:style>
  <w:style w:type="character" w:styleId="Mentionnonrsolue">
    <w:name w:val="Unresolved Mention"/>
    <w:basedOn w:val="Policepardfaut"/>
    <w:uiPriority w:val="99"/>
    <w:semiHidden/>
    <w:unhideWhenUsed/>
    <w:rsid w:val="00281A81"/>
    <w:rPr>
      <w:color w:val="605E5C"/>
      <w:shd w:val="clear" w:color="auto" w:fill="E1DFDD"/>
    </w:rPr>
  </w:style>
  <w:style w:type="paragraph" w:customStyle="1" w:styleId="Texte">
    <w:name w:val="Texte"/>
    <w:basedOn w:val="Normal"/>
    <w:link w:val="TexteCar"/>
    <w:qFormat/>
    <w:rsid w:val="001A5BA7"/>
    <w:pPr>
      <w:spacing w:after="240" w:line="360" w:lineRule="auto"/>
      <w:jc w:val="both"/>
    </w:pPr>
    <w:rPr>
      <w:rFonts w:ascii="Times New Roman" w:hAnsi="Times New Roman"/>
    </w:rPr>
  </w:style>
  <w:style w:type="character" w:customStyle="1" w:styleId="TexteCar">
    <w:name w:val="Texte Car"/>
    <w:link w:val="Texte"/>
    <w:rsid w:val="001A5BA7"/>
    <w:rPr>
      <w:sz w:val="24"/>
      <w:lang w:eastAsia="fr-FR"/>
    </w:rPr>
  </w:style>
  <w:style w:type="character" w:customStyle="1" w:styleId="NotedebasdepageCar1">
    <w:name w:val="Note de bas de page Car1"/>
    <w:basedOn w:val="Policepardfaut"/>
    <w:uiPriority w:val="99"/>
    <w:rsid w:val="003A7581"/>
    <w:rPr>
      <w:rFonts w:eastAsia="Times New Roman" w:cs="Times New Roman"/>
      <w:color w:val="000000" w:themeColor="text1"/>
      <w:sz w:val="20"/>
      <w:szCs w:val="20"/>
    </w:rPr>
  </w:style>
  <w:style w:type="numbering" w:customStyle="1" w:styleId="z-listNumA">
    <w:name w:val="z-list Num_A"/>
    <w:basedOn w:val="Aucuneliste"/>
    <w:rsid w:val="004F0ED0"/>
    <w:pPr>
      <w:numPr>
        <w:numId w:val="7"/>
      </w:numPr>
    </w:pPr>
  </w:style>
  <w:style w:type="paragraph" w:customStyle="1" w:styleId="NumA1">
    <w:name w:val="Num_A 1"/>
    <w:basedOn w:val="Normal"/>
    <w:link w:val="NumA1Car"/>
    <w:uiPriority w:val="19"/>
    <w:qFormat/>
    <w:rsid w:val="004F0ED0"/>
    <w:pPr>
      <w:numPr>
        <w:numId w:val="7"/>
      </w:numPr>
      <w:spacing w:before="240"/>
      <w:jc w:val="both"/>
    </w:pPr>
    <w:rPr>
      <w:rFonts w:asciiTheme="minorHAnsi" w:eastAsiaTheme="minorHAnsi" w:hAnsiTheme="minorHAnsi" w:cstheme="minorHAnsi"/>
      <w:color w:val="000000" w:themeColor="text1"/>
      <w:szCs w:val="22"/>
      <w:lang w:eastAsia="en-US"/>
    </w:rPr>
  </w:style>
  <w:style w:type="paragraph" w:customStyle="1" w:styleId="NumA2">
    <w:name w:val="Num_A 2"/>
    <w:basedOn w:val="Normal"/>
    <w:uiPriority w:val="19"/>
    <w:qFormat/>
    <w:rsid w:val="004F0ED0"/>
    <w:pPr>
      <w:numPr>
        <w:ilvl w:val="1"/>
        <w:numId w:val="7"/>
      </w:numPr>
      <w:spacing w:before="240"/>
      <w:jc w:val="both"/>
    </w:pPr>
    <w:rPr>
      <w:rFonts w:asciiTheme="minorHAnsi" w:eastAsiaTheme="minorHAnsi" w:hAnsiTheme="minorHAnsi" w:cstheme="minorHAnsi"/>
      <w:color w:val="000000" w:themeColor="text1"/>
      <w:szCs w:val="22"/>
      <w:lang w:eastAsia="en-US"/>
    </w:rPr>
  </w:style>
  <w:style w:type="paragraph" w:customStyle="1" w:styleId="NumA3">
    <w:name w:val="Num_A 3"/>
    <w:basedOn w:val="Normal"/>
    <w:uiPriority w:val="19"/>
    <w:qFormat/>
    <w:rsid w:val="004F0ED0"/>
    <w:pPr>
      <w:numPr>
        <w:ilvl w:val="2"/>
        <w:numId w:val="7"/>
      </w:numPr>
      <w:spacing w:before="240"/>
      <w:jc w:val="both"/>
    </w:pPr>
    <w:rPr>
      <w:rFonts w:asciiTheme="minorHAnsi" w:eastAsiaTheme="minorHAnsi" w:hAnsiTheme="minorHAnsi" w:cstheme="minorHAnsi"/>
      <w:color w:val="000000" w:themeColor="text1"/>
      <w:szCs w:val="22"/>
      <w:lang w:eastAsia="en-US"/>
    </w:rPr>
  </w:style>
  <w:style w:type="paragraph" w:customStyle="1" w:styleId="NumA4">
    <w:name w:val="Num_A 4"/>
    <w:basedOn w:val="Normal"/>
    <w:uiPriority w:val="19"/>
    <w:rsid w:val="004F0ED0"/>
    <w:pPr>
      <w:numPr>
        <w:ilvl w:val="3"/>
        <w:numId w:val="7"/>
      </w:numPr>
      <w:spacing w:before="240"/>
      <w:jc w:val="both"/>
    </w:pPr>
    <w:rPr>
      <w:rFonts w:asciiTheme="minorHAnsi" w:eastAsiaTheme="minorHAnsi" w:hAnsiTheme="minorHAnsi" w:cstheme="minorHAnsi"/>
      <w:color w:val="000000" w:themeColor="text1"/>
      <w:szCs w:val="22"/>
      <w:lang w:eastAsia="en-US"/>
    </w:rPr>
  </w:style>
  <w:style w:type="paragraph" w:customStyle="1" w:styleId="NumA5">
    <w:name w:val="Num_A 5"/>
    <w:basedOn w:val="Normal"/>
    <w:uiPriority w:val="19"/>
    <w:rsid w:val="004F0ED0"/>
    <w:pPr>
      <w:numPr>
        <w:ilvl w:val="4"/>
        <w:numId w:val="7"/>
      </w:numPr>
      <w:spacing w:before="240"/>
      <w:jc w:val="both"/>
    </w:pPr>
    <w:rPr>
      <w:rFonts w:asciiTheme="minorHAnsi" w:eastAsiaTheme="minorHAnsi" w:hAnsiTheme="minorHAnsi" w:cstheme="minorHAnsi"/>
      <w:color w:val="000000" w:themeColor="text1"/>
      <w:szCs w:val="22"/>
      <w:lang w:eastAsia="en-US"/>
    </w:rPr>
  </w:style>
  <w:style w:type="paragraph" w:customStyle="1" w:styleId="NumA6">
    <w:name w:val="Num_A 6"/>
    <w:basedOn w:val="Normal"/>
    <w:uiPriority w:val="19"/>
    <w:rsid w:val="004F0ED0"/>
    <w:pPr>
      <w:numPr>
        <w:ilvl w:val="5"/>
        <w:numId w:val="7"/>
      </w:numPr>
      <w:spacing w:before="240"/>
      <w:jc w:val="both"/>
    </w:pPr>
    <w:rPr>
      <w:rFonts w:asciiTheme="minorHAnsi" w:eastAsiaTheme="minorHAnsi" w:hAnsiTheme="minorHAnsi" w:cstheme="minorHAnsi"/>
      <w:color w:val="000000" w:themeColor="text1"/>
      <w:szCs w:val="22"/>
      <w:lang w:eastAsia="en-US"/>
    </w:rPr>
  </w:style>
  <w:style w:type="paragraph" w:customStyle="1" w:styleId="NumA7">
    <w:name w:val="Num_A 7"/>
    <w:basedOn w:val="Normal"/>
    <w:uiPriority w:val="19"/>
    <w:rsid w:val="004F0ED0"/>
    <w:pPr>
      <w:numPr>
        <w:ilvl w:val="6"/>
        <w:numId w:val="7"/>
      </w:numPr>
      <w:spacing w:before="240"/>
      <w:jc w:val="both"/>
    </w:pPr>
    <w:rPr>
      <w:rFonts w:asciiTheme="minorHAnsi" w:eastAsiaTheme="minorHAnsi" w:hAnsiTheme="minorHAnsi" w:cstheme="minorHAnsi"/>
      <w:color w:val="000000" w:themeColor="text1"/>
      <w:szCs w:val="22"/>
      <w:lang w:eastAsia="en-US"/>
    </w:rPr>
  </w:style>
  <w:style w:type="paragraph" w:customStyle="1" w:styleId="NumA8">
    <w:name w:val="Num_A 8"/>
    <w:basedOn w:val="Normal"/>
    <w:uiPriority w:val="19"/>
    <w:rsid w:val="004F0ED0"/>
    <w:pPr>
      <w:numPr>
        <w:ilvl w:val="7"/>
        <w:numId w:val="7"/>
      </w:numPr>
      <w:spacing w:before="240"/>
      <w:jc w:val="both"/>
    </w:pPr>
    <w:rPr>
      <w:rFonts w:asciiTheme="minorHAnsi" w:eastAsiaTheme="minorHAnsi" w:hAnsiTheme="minorHAnsi" w:cstheme="minorHAnsi"/>
      <w:color w:val="000000" w:themeColor="text1"/>
      <w:szCs w:val="22"/>
      <w:lang w:eastAsia="en-US"/>
    </w:rPr>
  </w:style>
  <w:style w:type="paragraph" w:customStyle="1" w:styleId="NumA9">
    <w:name w:val="Num_A 9"/>
    <w:basedOn w:val="Normal"/>
    <w:uiPriority w:val="19"/>
    <w:rsid w:val="004F0ED0"/>
    <w:pPr>
      <w:numPr>
        <w:ilvl w:val="8"/>
        <w:numId w:val="7"/>
      </w:numPr>
      <w:spacing w:before="240"/>
      <w:jc w:val="both"/>
      <w:outlineLvl w:val="8"/>
    </w:pPr>
    <w:rPr>
      <w:rFonts w:asciiTheme="minorHAnsi" w:eastAsiaTheme="minorHAnsi" w:hAnsiTheme="minorHAnsi" w:cstheme="minorHAnsi"/>
      <w:color w:val="000000" w:themeColor="text1"/>
      <w:szCs w:val="22"/>
      <w:lang w:eastAsia="en-US"/>
    </w:rPr>
  </w:style>
  <w:style w:type="character" w:customStyle="1" w:styleId="NumA1Car">
    <w:name w:val="Num_A 1 Car"/>
    <w:basedOn w:val="Policepardfaut"/>
    <w:link w:val="NumA1"/>
    <w:uiPriority w:val="19"/>
    <w:rsid w:val="004F0ED0"/>
    <w:rPr>
      <w:rFonts w:asciiTheme="minorHAnsi" w:eastAsiaTheme="minorHAnsi" w:hAnsiTheme="minorHAnsi" w:cstheme="minorHAnsi"/>
      <w:color w:val="000000" w:themeColor="text1"/>
      <w:sz w:val="24"/>
      <w:szCs w:val="22"/>
      <w:lang w:eastAsia="en-US"/>
    </w:rPr>
  </w:style>
  <w:style w:type="paragraph" w:customStyle="1" w:styleId="BlockBloc">
    <w:name w:val="Block / Bloc"/>
    <w:basedOn w:val="Normal"/>
    <w:next w:val="Corpsdetexte"/>
    <w:link w:val="BlockBlocChar"/>
    <w:uiPriority w:val="17"/>
    <w:qFormat/>
    <w:rsid w:val="008139AB"/>
    <w:pPr>
      <w:keepLines/>
      <w:spacing w:before="240"/>
      <w:ind w:left="720" w:right="720"/>
    </w:pPr>
    <w:rPr>
      <w:rFonts w:asciiTheme="minorHAnsi" w:hAnsiTheme="minorHAnsi"/>
      <w:color w:val="000000" w:themeColor="text1"/>
      <w:szCs w:val="22"/>
      <w:lang w:eastAsia="en-US"/>
    </w:rPr>
  </w:style>
  <w:style w:type="character" w:customStyle="1" w:styleId="BlockBlocChar">
    <w:name w:val="Block / Bloc Char"/>
    <w:basedOn w:val="Policepardfaut"/>
    <w:link w:val="BlockBloc"/>
    <w:uiPriority w:val="17"/>
    <w:rsid w:val="008139AB"/>
    <w:rPr>
      <w:rFonts w:asciiTheme="minorHAnsi" w:hAnsiTheme="minorHAnsi"/>
      <w:color w:val="000000" w:themeColor="text1"/>
      <w:sz w:val="24"/>
      <w:szCs w:val="22"/>
      <w:lang w:eastAsia="en-US"/>
    </w:rPr>
  </w:style>
  <w:style w:type="paragraph" w:customStyle="1" w:styleId="1">
    <w:name w:val="1"/>
    <w:basedOn w:val="Normal"/>
    <w:rsid w:val="00A06459"/>
    <w:pPr>
      <w:spacing w:before="100" w:beforeAutospacing="1" w:after="100" w:afterAutospacing="1"/>
    </w:pPr>
    <w:rPr>
      <w:rFonts w:ascii="Times New Roman" w:hAnsi="Times New Roman"/>
      <w:szCs w:val="24"/>
      <w:lang w:eastAsia="fr-CA"/>
    </w:rPr>
  </w:style>
  <w:style w:type="character" w:customStyle="1" w:styleId="decisia-reflex2-icon">
    <w:name w:val="decisia-reflex2-icon"/>
    <w:basedOn w:val="Policepardfaut"/>
    <w:rsid w:val="00A06459"/>
  </w:style>
  <w:style w:type="paragraph" w:styleId="Sansinterligne">
    <w:name w:val="No Spacing"/>
    <w:uiPriority w:val="1"/>
    <w:qFormat/>
    <w:rsid w:val="00BD6F7A"/>
    <w:rPr>
      <w:rFonts w:asciiTheme="minorHAnsi" w:eastAsiaTheme="minorHAnsi" w:hAnsiTheme="minorHAnsi" w:cstheme="minorBidi"/>
      <w:sz w:val="22"/>
      <w:szCs w:val="22"/>
      <w:lang w:eastAsia="en-US"/>
    </w:rPr>
  </w:style>
  <w:style w:type="paragraph" w:styleId="Citation">
    <w:name w:val="Quote"/>
    <w:basedOn w:val="Normal"/>
    <w:link w:val="CitationCar"/>
    <w:uiPriority w:val="29"/>
    <w:qFormat/>
    <w:rsid w:val="00806D6A"/>
    <w:pPr>
      <w:spacing w:after="240"/>
      <w:ind w:left="567" w:right="590"/>
      <w:jc w:val="both"/>
    </w:pPr>
    <w:rPr>
      <w:rFonts w:ascii="Times New Roman" w:hAnsi="Times New Roman"/>
      <w:sz w:val="22"/>
    </w:rPr>
  </w:style>
  <w:style w:type="character" w:customStyle="1" w:styleId="CitationCar">
    <w:name w:val="Citation Car"/>
    <w:basedOn w:val="Policepardfaut"/>
    <w:link w:val="Citation"/>
    <w:uiPriority w:val="29"/>
    <w:rsid w:val="00806D6A"/>
    <w:rPr>
      <w:sz w:val="22"/>
      <w:lang w:eastAsia="fr-FR"/>
    </w:rPr>
  </w:style>
  <w:style w:type="paragraph" w:customStyle="1" w:styleId="Default">
    <w:name w:val="Default"/>
    <w:rsid w:val="00EF246F"/>
    <w:pPr>
      <w:autoSpaceDE w:val="0"/>
      <w:autoSpaceDN w:val="0"/>
      <w:adjustRightInd w:val="0"/>
    </w:pPr>
    <w:rPr>
      <w:rFonts w:ascii="Arial" w:hAnsi="Arial" w:cs="Arial"/>
      <w:color w:val="000000"/>
      <w:sz w:val="24"/>
      <w:szCs w:val="24"/>
    </w:rPr>
  </w:style>
  <w:style w:type="character" w:customStyle="1" w:styleId="solexhl">
    <w:name w:val="solexhl"/>
    <w:basedOn w:val="Policepardfaut"/>
    <w:rsid w:val="00F7522A"/>
  </w:style>
  <w:style w:type="character" w:customStyle="1" w:styleId="reflex">
    <w:name w:val="reflex"/>
    <w:basedOn w:val="Policepardfaut"/>
    <w:rsid w:val="009633E7"/>
  </w:style>
  <w:style w:type="paragraph" w:styleId="Rvision">
    <w:name w:val="Revision"/>
    <w:hidden/>
    <w:uiPriority w:val="99"/>
    <w:semiHidden/>
    <w:rsid w:val="006A75FC"/>
    <w:rPr>
      <w:rFonts w:ascii="Arial" w:hAnsi="Arial"/>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1704">
      <w:bodyDiv w:val="1"/>
      <w:marLeft w:val="0"/>
      <w:marRight w:val="0"/>
      <w:marTop w:val="0"/>
      <w:marBottom w:val="0"/>
      <w:divBdr>
        <w:top w:val="none" w:sz="0" w:space="0" w:color="auto"/>
        <w:left w:val="none" w:sz="0" w:space="0" w:color="auto"/>
        <w:bottom w:val="none" w:sz="0" w:space="0" w:color="auto"/>
        <w:right w:val="none" w:sz="0" w:space="0" w:color="auto"/>
      </w:divBdr>
      <w:divsChild>
        <w:div w:id="193228162">
          <w:marLeft w:val="0"/>
          <w:marRight w:val="0"/>
          <w:marTop w:val="219"/>
          <w:marBottom w:val="0"/>
          <w:divBdr>
            <w:top w:val="none" w:sz="0" w:space="0" w:color="auto"/>
            <w:left w:val="none" w:sz="0" w:space="0" w:color="auto"/>
            <w:bottom w:val="none" w:sz="0" w:space="0" w:color="auto"/>
            <w:right w:val="none" w:sz="0" w:space="0" w:color="auto"/>
          </w:divBdr>
        </w:div>
        <w:div w:id="1109546741">
          <w:marLeft w:val="0"/>
          <w:marRight w:val="0"/>
          <w:marTop w:val="219"/>
          <w:marBottom w:val="0"/>
          <w:divBdr>
            <w:top w:val="none" w:sz="0" w:space="0" w:color="auto"/>
            <w:left w:val="none" w:sz="0" w:space="0" w:color="auto"/>
            <w:bottom w:val="none" w:sz="0" w:space="0" w:color="auto"/>
            <w:right w:val="none" w:sz="0" w:space="0" w:color="auto"/>
          </w:divBdr>
        </w:div>
        <w:div w:id="181941945">
          <w:marLeft w:val="0"/>
          <w:marRight w:val="0"/>
          <w:marTop w:val="219"/>
          <w:marBottom w:val="0"/>
          <w:divBdr>
            <w:top w:val="none" w:sz="0" w:space="0" w:color="auto"/>
            <w:left w:val="none" w:sz="0" w:space="0" w:color="auto"/>
            <w:bottom w:val="none" w:sz="0" w:space="0" w:color="auto"/>
            <w:right w:val="none" w:sz="0" w:space="0" w:color="auto"/>
          </w:divBdr>
        </w:div>
        <w:div w:id="1589774737">
          <w:marLeft w:val="0"/>
          <w:marRight w:val="0"/>
          <w:marTop w:val="219"/>
          <w:marBottom w:val="0"/>
          <w:divBdr>
            <w:top w:val="none" w:sz="0" w:space="0" w:color="auto"/>
            <w:left w:val="none" w:sz="0" w:space="0" w:color="auto"/>
            <w:bottom w:val="none" w:sz="0" w:space="0" w:color="auto"/>
            <w:right w:val="none" w:sz="0" w:space="0" w:color="auto"/>
          </w:divBdr>
        </w:div>
        <w:div w:id="271590125">
          <w:marLeft w:val="0"/>
          <w:marRight w:val="0"/>
          <w:marTop w:val="219"/>
          <w:marBottom w:val="0"/>
          <w:divBdr>
            <w:top w:val="none" w:sz="0" w:space="0" w:color="auto"/>
            <w:left w:val="none" w:sz="0" w:space="0" w:color="auto"/>
            <w:bottom w:val="none" w:sz="0" w:space="0" w:color="auto"/>
            <w:right w:val="none" w:sz="0" w:space="0" w:color="auto"/>
          </w:divBdr>
        </w:div>
      </w:divsChild>
    </w:div>
    <w:div w:id="21706919">
      <w:bodyDiv w:val="1"/>
      <w:marLeft w:val="0"/>
      <w:marRight w:val="0"/>
      <w:marTop w:val="0"/>
      <w:marBottom w:val="0"/>
      <w:divBdr>
        <w:top w:val="none" w:sz="0" w:space="0" w:color="auto"/>
        <w:left w:val="none" w:sz="0" w:space="0" w:color="auto"/>
        <w:bottom w:val="none" w:sz="0" w:space="0" w:color="auto"/>
        <w:right w:val="none" w:sz="0" w:space="0" w:color="auto"/>
      </w:divBdr>
      <w:divsChild>
        <w:div w:id="265428811">
          <w:marLeft w:val="0"/>
          <w:marRight w:val="0"/>
          <w:marTop w:val="219"/>
          <w:marBottom w:val="240"/>
          <w:divBdr>
            <w:top w:val="none" w:sz="0" w:space="0" w:color="auto"/>
            <w:left w:val="none" w:sz="0" w:space="0" w:color="auto"/>
            <w:bottom w:val="none" w:sz="0" w:space="0" w:color="auto"/>
            <w:right w:val="none" w:sz="0" w:space="0" w:color="auto"/>
          </w:divBdr>
          <w:divsChild>
            <w:div w:id="797842978">
              <w:marLeft w:val="0"/>
              <w:marRight w:val="0"/>
              <w:marTop w:val="219"/>
              <w:marBottom w:val="0"/>
              <w:divBdr>
                <w:top w:val="none" w:sz="0" w:space="0" w:color="auto"/>
                <w:left w:val="none" w:sz="0" w:space="0" w:color="auto"/>
                <w:bottom w:val="none" w:sz="0" w:space="0" w:color="auto"/>
                <w:right w:val="none" w:sz="0" w:space="0" w:color="auto"/>
              </w:divBdr>
            </w:div>
          </w:divsChild>
        </w:div>
        <w:div w:id="446197892">
          <w:marLeft w:val="0"/>
          <w:marRight w:val="0"/>
          <w:marTop w:val="219"/>
          <w:marBottom w:val="0"/>
          <w:divBdr>
            <w:top w:val="none" w:sz="0" w:space="0" w:color="auto"/>
            <w:left w:val="none" w:sz="0" w:space="0" w:color="auto"/>
            <w:bottom w:val="none" w:sz="0" w:space="0" w:color="auto"/>
            <w:right w:val="none" w:sz="0" w:space="0" w:color="auto"/>
          </w:divBdr>
        </w:div>
        <w:div w:id="573781662">
          <w:marLeft w:val="0"/>
          <w:marRight w:val="0"/>
          <w:marTop w:val="219"/>
          <w:marBottom w:val="0"/>
          <w:divBdr>
            <w:top w:val="none" w:sz="0" w:space="0" w:color="auto"/>
            <w:left w:val="none" w:sz="0" w:space="0" w:color="auto"/>
            <w:bottom w:val="none" w:sz="0" w:space="0" w:color="auto"/>
            <w:right w:val="none" w:sz="0" w:space="0" w:color="auto"/>
          </w:divBdr>
        </w:div>
        <w:div w:id="1918393465">
          <w:marLeft w:val="0"/>
          <w:marRight w:val="0"/>
          <w:marTop w:val="219"/>
          <w:marBottom w:val="0"/>
          <w:divBdr>
            <w:top w:val="none" w:sz="0" w:space="0" w:color="auto"/>
            <w:left w:val="none" w:sz="0" w:space="0" w:color="auto"/>
            <w:bottom w:val="none" w:sz="0" w:space="0" w:color="auto"/>
            <w:right w:val="none" w:sz="0" w:space="0" w:color="auto"/>
          </w:divBdr>
        </w:div>
        <w:div w:id="563838520">
          <w:marLeft w:val="0"/>
          <w:marRight w:val="0"/>
          <w:marTop w:val="219"/>
          <w:marBottom w:val="0"/>
          <w:divBdr>
            <w:top w:val="none" w:sz="0" w:space="0" w:color="auto"/>
            <w:left w:val="none" w:sz="0" w:space="0" w:color="auto"/>
            <w:bottom w:val="none" w:sz="0" w:space="0" w:color="auto"/>
            <w:right w:val="none" w:sz="0" w:space="0" w:color="auto"/>
          </w:divBdr>
        </w:div>
        <w:div w:id="1582981086">
          <w:marLeft w:val="0"/>
          <w:marRight w:val="0"/>
          <w:marTop w:val="219"/>
          <w:marBottom w:val="0"/>
          <w:divBdr>
            <w:top w:val="none" w:sz="0" w:space="0" w:color="auto"/>
            <w:left w:val="none" w:sz="0" w:space="0" w:color="auto"/>
            <w:bottom w:val="none" w:sz="0" w:space="0" w:color="auto"/>
            <w:right w:val="none" w:sz="0" w:space="0" w:color="auto"/>
          </w:divBdr>
        </w:div>
        <w:div w:id="2102408386">
          <w:marLeft w:val="0"/>
          <w:marRight w:val="0"/>
          <w:marTop w:val="219"/>
          <w:marBottom w:val="0"/>
          <w:divBdr>
            <w:top w:val="none" w:sz="0" w:space="0" w:color="auto"/>
            <w:left w:val="none" w:sz="0" w:space="0" w:color="auto"/>
            <w:bottom w:val="none" w:sz="0" w:space="0" w:color="auto"/>
            <w:right w:val="none" w:sz="0" w:space="0" w:color="auto"/>
          </w:divBdr>
        </w:div>
      </w:divsChild>
    </w:div>
    <w:div w:id="24061229">
      <w:bodyDiv w:val="1"/>
      <w:marLeft w:val="0"/>
      <w:marRight w:val="0"/>
      <w:marTop w:val="0"/>
      <w:marBottom w:val="0"/>
      <w:divBdr>
        <w:top w:val="none" w:sz="0" w:space="0" w:color="auto"/>
        <w:left w:val="none" w:sz="0" w:space="0" w:color="auto"/>
        <w:bottom w:val="none" w:sz="0" w:space="0" w:color="auto"/>
        <w:right w:val="none" w:sz="0" w:space="0" w:color="auto"/>
      </w:divBdr>
    </w:div>
    <w:div w:id="29887420">
      <w:bodyDiv w:val="1"/>
      <w:marLeft w:val="0"/>
      <w:marRight w:val="0"/>
      <w:marTop w:val="0"/>
      <w:marBottom w:val="0"/>
      <w:divBdr>
        <w:top w:val="none" w:sz="0" w:space="0" w:color="auto"/>
        <w:left w:val="none" w:sz="0" w:space="0" w:color="auto"/>
        <w:bottom w:val="none" w:sz="0" w:space="0" w:color="auto"/>
        <w:right w:val="none" w:sz="0" w:space="0" w:color="auto"/>
      </w:divBdr>
    </w:div>
    <w:div w:id="59211534">
      <w:bodyDiv w:val="1"/>
      <w:marLeft w:val="0"/>
      <w:marRight w:val="0"/>
      <w:marTop w:val="0"/>
      <w:marBottom w:val="0"/>
      <w:divBdr>
        <w:top w:val="none" w:sz="0" w:space="0" w:color="auto"/>
        <w:left w:val="none" w:sz="0" w:space="0" w:color="auto"/>
        <w:bottom w:val="none" w:sz="0" w:space="0" w:color="auto"/>
        <w:right w:val="none" w:sz="0" w:space="0" w:color="auto"/>
      </w:divBdr>
    </w:div>
    <w:div w:id="83692526">
      <w:bodyDiv w:val="1"/>
      <w:marLeft w:val="0"/>
      <w:marRight w:val="0"/>
      <w:marTop w:val="0"/>
      <w:marBottom w:val="0"/>
      <w:divBdr>
        <w:top w:val="none" w:sz="0" w:space="0" w:color="auto"/>
        <w:left w:val="none" w:sz="0" w:space="0" w:color="auto"/>
        <w:bottom w:val="none" w:sz="0" w:space="0" w:color="auto"/>
        <w:right w:val="none" w:sz="0" w:space="0" w:color="auto"/>
      </w:divBdr>
    </w:div>
    <w:div w:id="84499072">
      <w:bodyDiv w:val="1"/>
      <w:marLeft w:val="0"/>
      <w:marRight w:val="0"/>
      <w:marTop w:val="0"/>
      <w:marBottom w:val="0"/>
      <w:divBdr>
        <w:top w:val="none" w:sz="0" w:space="0" w:color="auto"/>
        <w:left w:val="none" w:sz="0" w:space="0" w:color="auto"/>
        <w:bottom w:val="none" w:sz="0" w:space="0" w:color="auto"/>
        <w:right w:val="none" w:sz="0" w:space="0" w:color="auto"/>
      </w:divBdr>
    </w:div>
    <w:div w:id="86736385">
      <w:bodyDiv w:val="1"/>
      <w:marLeft w:val="0"/>
      <w:marRight w:val="0"/>
      <w:marTop w:val="0"/>
      <w:marBottom w:val="0"/>
      <w:divBdr>
        <w:top w:val="none" w:sz="0" w:space="0" w:color="auto"/>
        <w:left w:val="none" w:sz="0" w:space="0" w:color="auto"/>
        <w:bottom w:val="none" w:sz="0" w:space="0" w:color="auto"/>
        <w:right w:val="none" w:sz="0" w:space="0" w:color="auto"/>
      </w:divBdr>
      <w:divsChild>
        <w:div w:id="1737706995">
          <w:marLeft w:val="0"/>
          <w:marRight w:val="0"/>
          <w:marTop w:val="219"/>
          <w:marBottom w:val="240"/>
          <w:divBdr>
            <w:top w:val="none" w:sz="0" w:space="0" w:color="auto"/>
            <w:left w:val="none" w:sz="0" w:space="0" w:color="auto"/>
            <w:bottom w:val="none" w:sz="0" w:space="0" w:color="auto"/>
            <w:right w:val="none" w:sz="0" w:space="0" w:color="auto"/>
          </w:divBdr>
        </w:div>
        <w:div w:id="43216931">
          <w:marLeft w:val="0"/>
          <w:marRight w:val="0"/>
          <w:marTop w:val="260"/>
          <w:marBottom w:val="240"/>
          <w:divBdr>
            <w:top w:val="none" w:sz="0" w:space="0" w:color="auto"/>
            <w:left w:val="none" w:sz="0" w:space="0" w:color="auto"/>
            <w:bottom w:val="none" w:sz="0" w:space="0" w:color="auto"/>
            <w:right w:val="none" w:sz="0" w:space="0" w:color="auto"/>
          </w:divBdr>
        </w:div>
        <w:div w:id="289556540">
          <w:marLeft w:val="0"/>
          <w:marRight w:val="0"/>
          <w:marTop w:val="260"/>
          <w:marBottom w:val="240"/>
          <w:divBdr>
            <w:top w:val="none" w:sz="0" w:space="0" w:color="auto"/>
            <w:left w:val="none" w:sz="0" w:space="0" w:color="auto"/>
            <w:bottom w:val="none" w:sz="0" w:space="0" w:color="auto"/>
            <w:right w:val="none" w:sz="0" w:space="0" w:color="auto"/>
          </w:divBdr>
        </w:div>
        <w:div w:id="1313103618">
          <w:marLeft w:val="0"/>
          <w:marRight w:val="0"/>
          <w:marTop w:val="260"/>
          <w:marBottom w:val="240"/>
          <w:divBdr>
            <w:top w:val="none" w:sz="0" w:space="0" w:color="auto"/>
            <w:left w:val="none" w:sz="0" w:space="0" w:color="auto"/>
            <w:bottom w:val="none" w:sz="0" w:space="0" w:color="auto"/>
            <w:right w:val="none" w:sz="0" w:space="0" w:color="auto"/>
          </w:divBdr>
        </w:div>
      </w:divsChild>
    </w:div>
    <w:div w:id="157623199">
      <w:bodyDiv w:val="1"/>
      <w:marLeft w:val="0"/>
      <w:marRight w:val="0"/>
      <w:marTop w:val="0"/>
      <w:marBottom w:val="0"/>
      <w:divBdr>
        <w:top w:val="none" w:sz="0" w:space="0" w:color="auto"/>
        <w:left w:val="none" w:sz="0" w:space="0" w:color="auto"/>
        <w:bottom w:val="none" w:sz="0" w:space="0" w:color="auto"/>
        <w:right w:val="none" w:sz="0" w:space="0" w:color="auto"/>
      </w:divBdr>
      <w:divsChild>
        <w:div w:id="702629240">
          <w:marLeft w:val="0"/>
          <w:marRight w:val="0"/>
          <w:marTop w:val="219"/>
          <w:marBottom w:val="240"/>
          <w:divBdr>
            <w:top w:val="none" w:sz="0" w:space="0" w:color="auto"/>
            <w:left w:val="none" w:sz="0" w:space="0" w:color="auto"/>
            <w:bottom w:val="none" w:sz="0" w:space="0" w:color="auto"/>
            <w:right w:val="none" w:sz="0" w:space="0" w:color="auto"/>
          </w:divBdr>
        </w:div>
        <w:div w:id="732389930">
          <w:marLeft w:val="0"/>
          <w:marRight w:val="0"/>
          <w:marTop w:val="260"/>
          <w:marBottom w:val="240"/>
          <w:divBdr>
            <w:top w:val="none" w:sz="0" w:space="0" w:color="auto"/>
            <w:left w:val="none" w:sz="0" w:space="0" w:color="auto"/>
            <w:bottom w:val="none" w:sz="0" w:space="0" w:color="auto"/>
            <w:right w:val="none" w:sz="0" w:space="0" w:color="auto"/>
          </w:divBdr>
        </w:div>
      </w:divsChild>
    </w:div>
    <w:div w:id="160705634">
      <w:bodyDiv w:val="1"/>
      <w:marLeft w:val="0"/>
      <w:marRight w:val="0"/>
      <w:marTop w:val="0"/>
      <w:marBottom w:val="0"/>
      <w:divBdr>
        <w:top w:val="none" w:sz="0" w:space="0" w:color="auto"/>
        <w:left w:val="none" w:sz="0" w:space="0" w:color="auto"/>
        <w:bottom w:val="none" w:sz="0" w:space="0" w:color="auto"/>
        <w:right w:val="none" w:sz="0" w:space="0" w:color="auto"/>
      </w:divBdr>
    </w:div>
    <w:div w:id="181239396">
      <w:bodyDiv w:val="1"/>
      <w:marLeft w:val="0"/>
      <w:marRight w:val="0"/>
      <w:marTop w:val="0"/>
      <w:marBottom w:val="0"/>
      <w:divBdr>
        <w:top w:val="none" w:sz="0" w:space="0" w:color="auto"/>
        <w:left w:val="none" w:sz="0" w:space="0" w:color="auto"/>
        <w:bottom w:val="none" w:sz="0" w:space="0" w:color="auto"/>
        <w:right w:val="none" w:sz="0" w:space="0" w:color="auto"/>
      </w:divBdr>
      <w:divsChild>
        <w:div w:id="694039688">
          <w:marLeft w:val="0"/>
          <w:marRight w:val="0"/>
          <w:marTop w:val="219"/>
          <w:marBottom w:val="240"/>
          <w:divBdr>
            <w:top w:val="none" w:sz="0" w:space="0" w:color="auto"/>
            <w:left w:val="none" w:sz="0" w:space="0" w:color="auto"/>
            <w:bottom w:val="none" w:sz="0" w:space="0" w:color="auto"/>
            <w:right w:val="none" w:sz="0" w:space="0" w:color="auto"/>
          </w:divBdr>
        </w:div>
        <w:div w:id="1842963777">
          <w:marLeft w:val="0"/>
          <w:marRight w:val="0"/>
          <w:marTop w:val="260"/>
          <w:marBottom w:val="240"/>
          <w:divBdr>
            <w:top w:val="none" w:sz="0" w:space="0" w:color="auto"/>
            <w:left w:val="none" w:sz="0" w:space="0" w:color="auto"/>
            <w:bottom w:val="none" w:sz="0" w:space="0" w:color="auto"/>
            <w:right w:val="none" w:sz="0" w:space="0" w:color="auto"/>
          </w:divBdr>
        </w:div>
      </w:divsChild>
    </w:div>
    <w:div w:id="184904281">
      <w:bodyDiv w:val="1"/>
      <w:marLeft w:val="0"/>
      <w:marRight w:val="0"/>
      <w:marTop w:val="0"/>
      <w:marBottom w:val="0"/>
      <w:divBdr>
        <w:top w:val="none" w:sz="0" w:space="0" w:color="auto"/>
        <w:left w:val="none" w:sz="0" w:space="0" w:color="auto"/>
        <w:bottom w:val="none" w:sz="0" w:space="0" w:color="auto"/>
        <w:right w:val="none" w:sz="0" w:space="0" w:color="auto"/>
      </w:divBdr>
      <w:divsChild>
        <w:div w:id="1794248075">
          <w:marLeft w:val="0"/>
          <w:marRight w:val="0"/>
          <w:marTop w:val="280"/>
          <w:marBottom w:val="0"/>
          <w:divBdr>
            <w:top w:val="none" w:sz="0" w:space="0" w:color="auto"/>
            <w:left w:val="none" w:sz="0" w:space="0" w:color="auto"/>
            <w:bottom w:val="none" w:sz="0" w:space="0" w:color="auto"/>
            <w:right w:val="none" w:sz="0" w:space="0" w:color="auto"/>
          </w:divBdr>
          <w:divsChild>
            <w:div w:id="408313278">
              <w:marLeft w:val="0"/>
              <w:marRight w:val="0"/>
              <w:marTop w:val="0"/>
              <w:marBottom w:val="220"/>
              <w:divBdr>
                <w:top w:val="none" w:sz="0" w:space="0" w:color="auto"/>
                <w:left w:val="none" w:sz="0" w:space="0" w:color="auto"/>
                <w:bottom w:val="none" w:sz="0" w:space="0" w:color="auto"/>
                <w:right w:val="none" w:sz="0" w:space="0" w:color="auto"/>
              </w:divBdr>
            </w:div>
          </w:divsChild>
        </w:div>
        <w:div w:id="733891049">
          <w:marLeft w:val="0"/>
          <w:marRight w:val="0"/>
          <w:marTop w:val="219"/>
          <w:marBottom w:val="0"/>
          <w:divBdr>
            <w:top w:val="none" w:sz="0" w:space="0" w:color="auto"/>
            <w:left w:val="none" w:sz="0" w:space="0" w:color="auto"/>
            <w:bottom w:val="none" w:sz="0" w:space="0" w:color="auto"/>
            <w:right w:val="none" w:sz="0" w:space="0" w:color="auto"/>
          </w:divBdr>
          <w:divsChild>
            <w:div w:id="180895705">
              <w:marLeft w:val="0"/>
              <w:marRight w:val="0"/>
              <w:marTop w:val="0"/>
              <w:marBottom w:val="0"/>
              <w:divBdr>
                <w:top w:val="none" w:sz="0" w:space="0" w:color="auto"/>
                <w:left w:val="none" w:sz="0" w:space="0" w:color="auto"/>
                <w:bottom w:val="none" w:sz="0" w:space="0" w:color="auto"/>
                <w:right w:val="none" w:sz="0" w:space="0" w:color="auto"/>
              </w:divBdr>
              <w:divsChild>
                <w:div w:id="180168827">
                  <w:marLeft w:val="0"/>
                  <w:marRight w:val="0"/>
                  <w:marTop w:val="219"/>
                  <w:marBottom w:val="240"/>
                  <w:divBdr>
                    <w:top w:val="none" w:sz="0" w:space="0" w:color="auto"/>
                    <w:left w:val="none" w:sz="0" w:space="0" w:color="auto"/>
                    <w:bottom w:val="none" w:sz="0" w:space="0" w:color="auto"/>
                    <w:right w:val="none" w:sz="0" w:space="0" w:color="auto"/>
                  </w:divBdr>
                </w:div>
              </w:divsChild>
            </w:div>
            <w:div w:id="323975171">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 w:id="186913470">
      <w:bodyDiv w:val="1"/>
      <w:marLeft w:val="0"/>
      <w:marRight w:val="0"/>
      <w:marTop w:val="0"/>
      <w:marBottom w:val="0"/>
      <w:divBdr>
        <w:top w:val="none" w:sz="0" w:space="0" w:color="auto"/>
        <w:left w:val="none" w:sz="0" w:space="0" w:color="auto"/>
        <w:bottom w:val="none" w:sz="0" w:space="0" w:color="auto"/>
        <w:right w:val="none" w:sz="0" w:space="0" w:color="auto"/>
      </w:divBdr>
    </w:div>
    <w:div w:id="195238682">
      <w:bodyDiv w:val="1"/>
      <w:marLeft w:val="0"/>
      <w:marRight w:val="0"/>
      <w:marTop w:val="0"/>
      <w:marBottom w:val="0"/>
      <w:divBdr>
        <w:top w:val="none" w:sz="0" w:space="0" w:color="auto"/>
        <w:left w:val="none" w:sz="0" w:space="0" w:color="auto"/>
        <w:bottom w:val="none" w:sz="0" w:space="0" w:color="auto"/>
        <w:right w:val="none" w:sz="0" w:space="0" w:color="auto"/>
      </w:divBdr>
      <w:divsChild>
        <w:div w:id="1641615391">
          <w:marLeft w:val="0"/>
          <w:marRight w:val="0"/>
          <w:marTop w:val="219"/>
          <w:marBottom w:val="240"/>
          <w:divBdr>
            <w:top w:val="none" w:sz="0" w:space="0" w:color="auto"/>
            <w:left w:val="none" w:sz="0" w:space="0" w:color="auto"/>
            <w:bottom w:val="none" w:sz="0" w:space="0" w:color="auto"/>
            <w:right w:val="none" w:sz="0" w:space="0" w:color="auto"/>
          </w:divBdr>
        </w:div>
        <w:div w:id="2116632924">
          <w:marLeft w:val="0"/>
          <w:marRight w:val="0"/>
          <w:marTop w:val="260"/>
          <w:marBottom w:val="240"/>
          <w:divBdr>
            <w:top w:val="none" w:sz="0" w:space="0" w:color="auto"/>
            <w:left w:val="none" w:sz="0" w:space="0" w:color="auto"/>
            <w:bottom w:val="none" w:sz="0" w:space="0" w:color="auto"/>
            <w:right w:val="none" w:sz="0" w:space="0" w:color="auto"/>
          </w:divBdr>
        </w:div>
      </w:divsChild>
    </w:div>
    <w:div w:id="197395279">
      <w:bodyDiv w:val="1"/>
      <w:marLeft w:val="0"/>
      <w:marRight w:val="0"/>
      <w:marTop w:val="0"/>
      <w:marBottom w:val="0"/>
      <w:divBdr>
        <w:top w:val="none" w:sz="0" w:space="0" w:color="auto"/>
        <w:left w:val="none" w:sz="0" w:space="0" w:color="auto"/>
        <w:bottom w:val="none" w:sz="0" w:space="0" w:color="auto"/>
        <w:right w:val="none" w:sz="0" w:space="0" w:color="auto"/>
      </w:divBdr>
      <w:divsChild>
        <w:div w:id="2143888359">
          <w:marLeft w:val="0"/>
          <w:marRight w:val="0"/>
          <w:marTop w:val="219"/>
          <w:marBottom w:val="240"/>
          <w:divBdr>
            <w:top w:val="none" w:sz="0" w:space="0" w:color="auto"/>
            <w:left w:val="none" w:sz="0" w:space="0" w:color="auto"/>
            <w:bottom w:val="none" w:sz="0" w:space="0" w:color="auto"/>
            <w:right w:val="none" w:sz="0" w:space="0" w:color="auto"/>
          </w:divBdr>
          <w:divsChild>
            <w:div w:id="1496218614">
              <w:marLeft w:val="0"/>
              <w:marRight w:val="0"/>
              <w:marTop w:val="219"/>
              <w:marBottom w:val="0"/>
              <w:divBdr>
                <w:top w:val="none" w:sz="0" w:space="0" w:color="auto"/>
                <w:left w:val="none" w:sz="0" w:space="0" w:color="auto"/>
                <w:bottom w:val="none" w:sz="0" w:space="0" w:color="auto"/>
                <w:right w:val="none" w:sz="0" w:space="0" w:color="auto"/>
              </w:divBdr>
            </w:div>
            <w:div w:id="1234195592">
              <w:marLeft w:val="0"/>
              <w:marRight w:val="0"/>
              <w:marTop w:val="219"/>
              <w:marBottom w:val="0"/>
              <w:divBdr>
                <w:top w:val="none" w:sz="0" w:space="0" w:color="auto"/>
                <w:left w:val="none" w:sz="0" w:space="0" w:color="auto"/>
                <w:bottom w:val="none" w:sz="0" w:space="0" w:color="auto"/>
                <w:right w:val="none" w:sz="0" w:space="0" w:color="auto"/>
              </w:divBdr>
            </w:div>
            <w:div w:id="323514479">
              <w:marLeft w:val="0"/>
              <w:marRight w:val="0"/>
              <w:marTop w:val="219"/>
              <w:marBottom w:val="0"/>
              <w:divBdr>
                <w:top w:val="none" w:sz="0" w:space="0" w:color="auto"/>
                <w:left w:val="none" w:sz="0" w:space="0" w:color="auto"/>
                <w:bottom w:val="none" w:sz="0" w:space="0" w:color="auto"/>
                <w:right w:val="none" w:sz="0" w:space="0" w:color="auto"/>
              </w:divBdr>
            </w:div>
            <w:div w:id="193663005">
              <w:marLeft w:val="0"/>
              <w:marRight w:val="0"/>
              <w:marTop w:val="219"/>
              <w:marBottom w:val="0"/>
              <w:divBdr>
                <w:top w:val="none" w:sz="0" w:space="0" w:color="auto"/>
                <w:left w:val="none" w:sz="0" w:space="0" w:color="auto"/>
                <w:bottom w:val="none" w:sz="0" w:space="0" w:color="auto"/>
                <w:right w:val="none" w:sz="0" w:space="0" w:color="auto"/>
              </w:divBdr>
            </w:div>
            <w:div w:id="726152021">
              <w:marLeft w:val="0"/>
              <w:marRight w:val="0"/>
              <w:marTop w:val="219"/>
              <w:marBottom w:val="0"/>
              <w:divBdr>
                <w:top w:val="none" w:sz="0" w:space="0" w:color="auto"/>
                <w:left w:val="none" w:sz="0" w:space="0" w:color="auto"/>
                <w:bottom w:val="none" w:sz="0" w:space="0" w:color="auto"/>
                <w:right w:val="none" w:sz="0" w:space="0" w:color="auto"/>
              </w:divBdr>
            </w:div>
            <w:div w:id="1760252976">
              <w:marLeft w:val="0"/>
              <w:marRight w:val="0"/>
              <w:marTop w:val="219"/>
              <w:marBottom w:val="0"/>
              <w:divBdr>
                <w:top w:val="none" w:sz="0" w:space="0" w:color="auto"/>
                <w:left w:val="none" w:sz="0" w:space="0" w:color="auto"/>
                <w:bottom w:val="none" w:sz="0" w:space="0" w:color="auto"/>
                <w:right w:val="none" w:sz="0" w:space="0" w:color="auto"/>
              </w:divBdr>
            </w:div>
            <w:div w:id="1362511972">
              <w:marLeft w:val="0"/>
              <w:marRight w:val="0"/>
              <w:marTop w:val="219"/>
              <w:marBottom w:val="0"/>
              <w:divBdr>
                <w:top w:val="none" w:sz="0" w:space="0" w:color="auto"/>
                <w:left w:val="none" w:sz="0" w:space="0" w:color="auto"/>
                <w:bottom w:val="none" w:sz="0" w:space="0" w:color="auto"/>
                <w:right w:val="none" w:sz="0" w:space="0" w:color="auto"/>
              </w:divBdr>
            </w:div>
            <w:div w:id="803697805">
              <w:marLeft w:val="0"/>
              <w:marRight w:val="0"/>
              <w:marTop w:val="219"/>
              <w:marBottom w:val="0"/>
              <w:divBdr>
                <w:top w:val="none" w:sz="0" w:space="0" w:color="auto"/>
                <w:left w:val="none" w:sz="0" w:space="0" w:color="auto"/>
                <w:bottom w:val="none" w:sz="0" w:space="0" w:color="auto"/>
                <w:right w:val="none" w:sz="0" w:space="0" w:color="auto"/>
              </w:divBdr>
            </w:div>
            <w:div w:id="1650862666">
              <w:marLeft w:val="0"/>
              <w:marRight w:val="0"/>
              <w:marTop w:val="219"/>
              <w:marBottom w:val="0"/>
              <w:divBdr>
                <w:top w:val="none" w:sz="0" w:space="0" w:color="auto"/>
                <w:left w:val="none" w:sz="0" w:space="0" w:color="auto"/>
                <w:bottom w:val="none" w:sz="0" w:space="0" w:color="auto"/>
                <w:right w:val="none" w:sz="0" w:space="0" w:color="auto"/>
              </w:divBdr>
            </w:div>
          </w:divsChild>
        </w:div>
        <w:div w:id="1802072929">
          <w:marLeft w:val="0"/>
          <w:marRight w:val="0"/>
          <w:marTop w:val="260"/>
          <w:marBottom w:val="240"/>
          <w:divBdr>
            <w:top w:val="none" w:sz="0" w:space="0" w:color="auto"/>
            <w:left w:val="none" w:sz="0" w:space="0" w:color="auto"/>
            <w:bottom w:val="none" w:sz="0" w:space="0" w:color="auto"/>
            <w:right w:val="none" w:sz="0" w:space="0" w:color="auto"/>
          </w:divBdr>
        </w:div>
      </w:divsChild>
    </w:div>
    <w:div w:id="253517789">
      <w:bodyDiv w:val="1"/>
      <w:marLeft w:val="0"/>
      <w:marRight w:val="0"/>
      <w:marTop w:val="0"/>
      <w:marBottom w:val="0"/>
      <w:divBdr>
        <w:top w:val="none" w:sz="0" w:space="0" w:color="auto"/>
        <w:left w:val="none" w:sz="0" w:space="0" w:color="auto"/>
        <w:bottom w:val="none" w:sz="0" w:space="0" w:color="auto"/>
        <w:right w:val="none" w:sz="0" w:space="0" w:color="auto"/>
      </w:divBdr>
    </w:div>
    <w:div w:id="279848991">
      <w:bodyDiv w:val="1"/>
      <w:marLeft w:val="0"/>
      <w:marRight w:val="0"/>
      <w:marTop w:val="0"/>
      <w:marBottom w:val="0"/>
      <w:divBdr>
        <w:top w:val="none" w:sz="0" w:space="0" w:color="auto"/>
        <w:left w:val="none" w:sz="0" w:space="0" w:color="auto"/>
        <w:bottom w:val="none" w:sz="0" w:space="0" w:color="auto"/>
        <w:right w:val="none" w:sz="0" w:space="0" w:color="auto"/>
      </w:divBdr>
    </w:div>
    <w:div w:id="313265797">
      <w:bodyDiv w:val="1"/>
      <w:marLeft w:val="0"/>
      <w:marRight w:val="0"/>
      <w:marTop w:val="0"/>
      <w:marBottom w:val="0"/>
      <w:divBdr>
        <w:top w:val="none" w:sz="0" w:space="0" w:color="auto"/>
        <w:left w:val="none" w:sz="0" w:space="0" w:color="auto"/>
        <w:bottom w:val="none" w:sz="0" w:space="0" w:color="auto"/>
        <w:right w:val="none" w:sz="0" w:space="0" w:color="auto"/>
      </w:divBdr>
    </w:div>
    <w:div w:id="342559963">
      <w:bodyDiv w:val="1"/>
      <w:marLeft w:val="0"/>
      <w:marRight w:val="0"/>
      <w:marTop w:val="0"/>
      <w:marBottom w:val="0"/>
      <w:divBdr>
        <w:top w:val="none" w:sz="0" w:space="0" w:color="auto"/>
        <w:left w:val="none" w:sz="0" w:space="0" w:color="auto"/>
        <w:bottom w:val="none" w:sz="0" w:space="0" w:color="auto"/>
        <w:right w:val="none" w:sz="0" w:space="0" w:color="auto"/>
      </w:divBdr>
    </w:div>
    <w:div w:id="349180462">
      <w:bodyDiv w:val="1"/>
      <w:marLeft w:val="0"/>
      <w:marRight w:val="0"/>
      <w:marTop w:val="0"/>
      <w:marBottom w:val="0"/>
      <w:divBdr>
        <w:top w:val="none" w:sz="0" w:space="0" w:color="auto"/>
        <w:left w:val="none" w:sz="0" w:space="0" w:color="auto"/>
        <w:bottom w:val="none" w:sz="0" w:space="0" w:color="auto"/>
        <w:right w:val="none" w:sz="0" w:space="0" w:color="auto"/>
      </w:divBdr>
    </w:div>
    <w:div w:id="356739446">
      <w:bodyDiv w:val="1"/>
      <w:marLeft w:val="0"/>
      <w:marRight w:val="0"/>
      <w:marTop w:val="0"/>
      <w:marBottom w:val="0"/>
      <w:divBdr>
        <w:top w:val="none" w:sz="0" w:space="0" w:color="auto"/>
        <w:left w:val="none" w:sz="0" w:space="0" w:color="auto"/>
        <w:bottom w:val="none" w:sz="0" w:space="0" w:color="auto"/>
        <w:right w:val="none" w:sz="0" w:space="0" w:color="auto"/>
      </w:divBdr>
    </w:div>
    <w:div w:id="362169158">
      <w:bodyDiv w:val="1"/>
      <w:marLeft w:val="0"/>
      <w:marRight w:val="0"/>
      <w:marTop w:val="0"/>
      <w:marBottom w:val="0"/>
      <w:divBdr>
        <w:top w:val="none" w:sz="0" w:space="0" w:color="auto"/>
        <w:left w:val="none" w:sz="0" w:space="0" w:color="auto"/>
        <w:bottom w:val="none" w:sz="0" w:space="0" w:color="auto"/>
        <w:right w:val="none" w:sz="0" w:space="0" w:color="auto"/>
      </w:divBdr>
    </w:div>
    <w:div w:id="367678593">
      <w:bodyDiv w:val="1"/>
      <w:marLeft w:val="0"/>
      <w:marRight w:val="0"/>
      <w:marTop w:val="0"/>
      <w:marBottom w:val="0"/>
      <w:divBdr>
        <w:top w:val="none" w:sz="0" w:space="0" w:color="auto"/>
        <w:left w:val="none" w:sz="0" w:space="0" w:color="auto"/>
        <w:bottom w:val="none" w:sz="0" w:space="0" w:color="auto"/>
        <w:right w:val="none" w:sz="0" w:space="0" w:color="auto"/>
      </w:divBdr>
    </w:div>
    <w:div w:id="399986781">
      <w:bodyDiv w:val="1"/>
      <w:marLeft w:val="0"/>
      <w:marRight w:val="0"/>
      <w:marTop w:val="0"/>
      <w:marBottom w:val="0"/>
      <w:divBdr>
        <w:top w:val="none" w:sz="0" w:space="0" w:color="auto"/>
        <w:left w:val="none" w:sz="0" w:space="0" w:color="auto"/>
        <w:bottom w:val="none" w:sz="0" w:space="0" w:color="auto"/>
        <w:right w:val="none" w:sz="0" w:space="0" w:color="auto"/>
      </w:divBdr>
      <w:divsChild>
        <w:div w:id="1682734905">
          <w:marLeft w:val="-375"/>
          <w:marRight w:val="-75"/>
          <w:marTop w:val="219"/>
          <w:marBottom w:val="75"/>
          <w:divBdr>
            <w:top w:val="single" w:sz="6" w:space="8" w:color="CEECF5"/>
            <w:left w:val="single" w:sz="6" w:space="19" w:color="CEECF5"/>
            <w:bottom w:val="single" w:sz="6" w:space="8" w:color="CEECF5"/>
            <w:right w:val="single" w:sz="6" w:space="4" w:color="CEECF5"/>
          </w:divBdr>
        </w:div>
        <w:div w:id="1600210578">
          <w:marLeft w:val="0"/>
          <w:marRight w:val="0"/>
          <w:marTop w:val="260"/>
          <w:marBottom w:val="240"/>
          <w:divBdr>
            <w:top w:val="none" w:sz="0" w:space="0" w:color="auto"/>
            <w:left w:val="none" w:sz="0" w:space="0" w:color="auto"/>
            <w:bottom w:val="none" w:sz="0" w:space="0" w:color="auto"/>
            <w:right w:val="none" w:sz="0" w:space="0" w:color="auto"/>
          </w:divBdr>
        </w:div>
        <w:div w:id="2080319605">
          <w:marLeft w:val="0"/>
          <w:marRight w:val="0"/>
          <w:marTop w:val="260"/>
          <w:marBottom w:val="240"/>
          <w:divBdr>
            <w:top w:val="none" w:sz="0" w:space="0" w:color="auto"/>
            <w:left w:val="none" w:sz="0" w:space="0" w:color="auto"/>
            <w:bottom w:val="none" w:sz="0" w:space="0" w:color="auto"/>
            <w:right w:val="none" w:sz="0" w:space="0" w:color="auto"/>
          </w:divBdr>
        </w:div>
      </w:divsChild>
    </w:div>
    <w:div w:id="444883976">
      <w:bodyDiv w:val="1"/>
      <w:marLeft w:val="0"/>
      <w:marRight w:val="0"/>
      <w:marTop w:val="0"/>
      <w:marBottom w:val="0"/>
      <w:divBdr>
        <w:top w:val="none" w:sz="0" w:space="0" w:color="auto"/>
        <w:left w:val="none" w:sz="0" w:space="0" w:color="auto"/>
        <w:bottom w:val="none" w:sz="0" w:space="0" w:color="auto"/>
        <w:right w:val="none" w:sz="0" w:space="0" w:color="auto"/>
      </w:divBdr>
    </w:div>
    <w:div w:id="454563379">
      <w:bodyDiv w:val="1"/>
      <w:marLeft w:val="0"/>
      <w:marRight w:val="0"/>
      <w:marTop w:val="0"/>
      <w:marBottom w:val="0"/>
      <w:divBdr>
        <w:top w:val="none" w:sz="0" w:space="0" w:color="auto"/>
        <w:left w:val="none" w:sz="0" w:space="0" w:color="auto"/>
        <w:bottom w:val="none" w:sz="0" w:space="0" w:color="auto"/>
        <w:right w:val="none" w:sz="0" w:space="0" w:color="auto"/>
      </w:divBdr>
    </w:div>
    <w:div w:id="466167919">
      <w:bodyDiv w:val="1"/>
      <w:marLeft w:val="0"/>
      <w:marRight w:val="0"/>
      <w:marTop w:val="0"/>
      <w:marBottom w:val="0"/>
      <w:divBdr>
        <w:top w:val="none" w:sz="0" w:space="0" w:color="auto"/>
        <w:left w:val="none" w:sz="0" w:space="0" w:color="auto"/>
        <w:bottom w:val="none" w:sz="0" w:space="0" w:color="auto"/>
        <w:right w:val="none" w:sz="0" w:space="0" w:color="auto"/>
      </w:divBdr>
    </w:div>
    <w:div w:id="472723136">
      <w:bodyDiv w:val="1"/>
      <w:marLeft w:val="0"/>
      <w:marRight w:val="0"/>
      <w:marTop w:val="0"/>
      <w:marBottom w:val="0"/>
      <w:divBdr>
        <w:top w:val="none" w:sz="0" w:space="0" w:color="auto"/>
        <w:left w:val="none" w:sz="0" w:space="0" w:color="auto"/>
        <w:bottom w:val="none" w:sz="0" w:space="0" w:color="auto"/>
        <w:right w:val="none" w:sz="0" w:space="0" w:color="auto"/>
      </w:divBdr>
    </w:div>
    <w:div w:id="480657240">
      <w:bodyDiv w:val="1"/>
      <w:marLeft w:val="0"/>
      <w:marRight w:val="0"/>
      <w:marTop w:val="0"/>
      <w:marBottom w:val="0"/>
      <w:divBdr>
        <w:top w:val="none" w:sz="0" w:space="0" w:color="auto"/>
        <w:left w:val="none" w:sz="0" w:space="0" w:color="auto"/>
        <w:bottom w:val="none" w:sz="0" w:space="0" w:color="auto"/>
        <w:right w:val="none" w:sz="0" w:space="0" w:color="auto"/>
      </w:divBdr>
      <w:divsChild>
        <w:div w:id="1897157968">
          <w:marLeft w:val="0"/>
          <w:marRight w:val="0"/>
          <w:marTop w:val="280"/>
          <w:marBottom w:val="0"/>
          <w:divBdr>
            <w:top w:val="none" w:sz="0" w:space="0" w:color="auto"/>
            <w:left w:val="none" w:sz="0" w:space="0" w:color="auto"/>
            <w:bottom w:val="none" w:sz="0" w:space="0" w:color="auto"/>
            <w:right w:val="none" w:sz="0" w:space="0" w:color="auto"/>
          </w:divBdr>
          <w:divsChild>
            <w:div w:id="350037955">
              <w:marLeft w:val="0"/>
              <w:marRight w:val="0"/>
              <w:marTop w:val="0"/>
              <w:marBottom w:val="220"/>
              <w:divBdr>
                <w:top w:val="none" w:sz="0" w:space="0" w:color="auto"/>
                <w:left w:val="none" w:sz="0" w:space="0" w:color="auto"/>
                <w:bottom w:val="none" w:sz="0" w:space="0" w:color="auto"/>
                <w:right w:val="none" w:sz="0" w:space="0" w:color="auto"/>
              </w:divBdr>
            </w:div>
          </w:divsChild>
        </w:div>
        <w:div w:id="64382890">
          <w:marLeft w:val="0"/>
          <w:marRight w:val="0"/>
          <w:marTop w:val="219"/>
          <w:marBottom w:val="0"/>
          <w:divBdr>
            <w:top w:val="none" w:sz="0" w:space="0" w:color="auto"/>
            <w:left w:val="none" w:sz="0" w:space="0" w:color="auto"/>
            <w:bottom w:val="none" w:sz="0" w:space="0" w:color="auto"/>
            <w:right w:val="none" w:sz="0" w:space="0" w:color="auto"/>
          </w:divBdr>
          <w:divsChild>
            <w:div w:id="753284096">
              <w:marLeft w:val="0"/>
              <w:marRight w:val="0"/>
              <w:marTop w:val="0"/>
              <w:marBottom w:val="0"/>
              <w:divBdr>
                <w:top w:val="none" w:sz="0" w:space="0" w:color="auto"/>
                <w:left w:val="none" w:sz="0" w:space="0" w:color="auto"/>
                <w:bottom w:val="none" w:sz="0" w:space="0" w:color="auto"/>
                <w:right w:val="none" w:sz="0" w:space="0" w:color="auto"/>
              </w:divBdr>
              <w:divsChild>
                <w:div w:id="69736447">
                  <w:marLeft w:val="0"/>
                  <w:marRight w:val="0"/>
                  <w:marTop w:val="219"/>
                  <w:marBottom w:val="240"/>
                  <w:divBdr>
                    <w:top w:val="none" w:sz="0" w:space="0" w:color="auto"/>
                    <w:left w:val="none" w:sz="0" w:space="0" w:color="auto"/>
                    <w:bottom w:val="none" w:sz="0" w:space="0" w:color="auto"/>
                    <w:right w:val="none" w:sz="0" w:space="0" w:color="auto"/>
                  </w:divBdr>
                </w:div>
              </w:divsChild>
            </w:div>
            <w:div w:id="1955600062">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 w:id="486019947">
      <w:bodyDiv w:val="1"/>
      <w:marLeft w:val="0"/>
      <w:marRight w:val="0"/>
      <w:marTop w:val="0"/>
      <w:marBottom w:val="0"/>
      <w:divBdr>
        <w:top w:val="none" w:sz="0" w:space="0" w:color="auto"/>
        <w:left w:val="none" w:sz="0" w:space="0" w:color="auto"/>
        <w:bottom w:val="none" w:sz="0" w:space="0" w:color="auto"/>
        <w:right w:val="none" w:sz="0" w:space="0" w:color="auto"/>
      </w:divBdr>
    </w:div>
    <w:div w:id="512720701">
      <w:bodyDiv w:val="1"/>
      <w:marLeft w:val="0"/>
      <w:marRight w:val="0"/>
      <w:marTop w:val="0"/>
      <w:marBottom w:val="0"/>
      <w:divBdr>
        <w:top w:val="none" w:sz="0" w:space="0" w:color="auto"/>
        <w:left w:val="none" w:sz="0" w:space="0" w:color="auto"/>
        <w:bottom w:val="none" w:sz="0" w:space="0" w:color="auto"/>
        <w:right w:val="none" w:sz="0" w:space="0" w:color="auto"/>
      </w:divBdr>
    </w:div>
    <w:div w:id="517737967">
      <w:bodyDiv w:val="1"/>
      <w:marLeft w:val="0"/>
      <w:marRight w:val="0"/>
      <w:marTop w:val="0"/>
      <w:marBottom w:val="0"/>
      <w:divBdr>
        <w:top w:val="none" w:sz="0" w:space="0" w:color="auto"/>
        <w:left w:val="none" w:sz="0" w:space="0" w:color="auto"/>
        <w:bottom w:val="none" w:sz="0" w:space="0" w:color="auto"/>
        <w:right w:val="none" w:sz="0" w:space="0" w:color="auto"/>
      </w:divBdr>
      <w:divsChild>
        <w:div w:id="599804076">
          <w:marLeft w:val="0"/>
          <w:marRight w:val="0"/>
          <w:marTop w:val="219"/>
          <w:marBottom w:val="240"/>
          <w:divBdr>
            <w:top w:val="none" w:sz="0" w:space="0" w:color="auto"/>
            <w:left w:val="none" w:sz="0" w:space="0" w:color="auto"/>
            <w:bottom w:val="none" w:sz="0" w:space="0" w:color="auto"/>
            <w:right w:val="none" w:sz="0" w:space="0" w:color="auto"/>
          </w:divBdr>
        </w:div>
        <w:div w:id="96411107">
          <w:marLeft w:val="0"/>
          <w:marRight w:val="0"/>
          <w:marTop w:val="260"/>
          <w:marBottom w:val="240"/>
          <w:divBdr>
            <w:top w:val="none" w:sz="0" w:space="0" w:color="auto"/>
            <w:left w:val="none" w:sz="0" w:space="0" w:color="auto"/>
            <w:bottom w:val="none" w:sz="0" w:space="0" w:color="auto"/>
            <w:right w:val="none" w:sz="0" w:space="0" w:color="auto"/>
          </w:divBdr>
        </w:div>
      </w:divsChild>
    </w:div>
    <w:div w:id="538279345">
      <w:bodyDiv w:val="1"/>
      <w:marLeft w:val="0"/>
      <w:marRight w:val="0"/>
      <w:marTop w:val="0"/>
      <w:marBottom w:val="0"/>
      <w:divBdr>
        <w:top w:val="none" w:sz="0" w:space="0" w:color="auto"/>
        <w:left w:val="none" w:sz="0" w:space="0" w:color="auto"/>
        <w:bottom w:val="none" w:sz="0" w:space="0" w:color="auto"/>
        <w:right w:val="none" w:sz="0" w:space="0" w:color="auto"/>
      </w:divBdr>
    </w:div>
    <w:div w:id="584073162">
      <w:bodyDiv w:val="1"/>
      <w:marLeft w:val="0"/>
      <w:marRight w:val="0"/>
      <w:marTop w:val="0"/>
      <w:marBottom w:val="0"/>
      <w:divBdr>
        <w:top w:val="none" w:sz="0" w:space="0" w:color="auto"/>
        <w:left w:val="none" w:sz="0" w:space="0" w:color="auto"/>
        <w:bottom w:val="none" w:sz="0" w:space="0" w:color="auto"/>
        <w:right w:val="none" w:sz="0" w:space="0" w:color="auto"/>
      </w:divBdr>
    </w:div>
    <w:div w:id="592471077">
      <w:bodyDiv w:val="1"/>
      <w:marLeft w:val="0"/>
      <w:marRight w:val="0"/>
      <w:marTop w:val="0"/>
      <w:marBottom w:val="0"/>
      <w:divBdr>
        <w:top w:val="none" w:sz="0" w:space="0" w:color="auto"/>
        <w:left w:val="none" w:sz="0" w:space="0" w:color="auto"/>
        <w:bottom w:val="none" w:sz="0" w:space="0" w:color="auto"/>
        <w:right w:val="none" w:sz="0" w:space="0" w:color="auto"/>
      </w:divBdr>
    </w:div>
    <w:div w:id="597786243">
      <w:bodyDiv w:val="1"/>
      <w:marLeft w:val="0"/>
      <w:marRight w:val="0"/>
      <w:marTop w:val="0"/>
      <w:marBottom w:val="0"/>
      <w:divBdr>
        <w:top w:val="none" w:sz="0" w:space="0" w:color="auto"/>
        <w:left w:val="none" w:sz="0" w:space="0" w:color="auto"/>
        <w:bottom w:val="none" w:sz="0" w:space="0" w:color="auto"/>
        <w:right w:val="none" w:sz="0" w:space="0" w:color="auto"/>
      </w:divBdr>
    </w:div>
    <w:div w:id="601033985">
      <w:bodyDiv w:val="1"/>
      <w:marLeft w:val="0"/>
      <w:marRight w:val="0"/>
      <w:marTop w:val="0"/>
      <w:marBottom w:val="0"/>
      <w:divBdr>
        <w:top w:val="none" w:sz="0" w:space="0" w:color="auto"/>
        <w:left w:val="none" w:sz="0" w:space="0" w:color="auto"/>
        <w:bottom w:val="none" w:sz="0" w:space="0" w:color="auto"/>
        <w:right w:val="none" w:sz="0" w:space="0" w:color="auto"/>
      </w:divBdr>
    </w:div>
    <w:div w:id="671302458">
      <w:bodyDiv w:val="1"/>
      <w:marLeft w:val="0"/>
      <w:marRight w:val="0"/>
      <w:marTop w:val="0"/>
      <w:marBottom w:val="0"/>
      <w:divBdr>
        <w:top w:val="none" w:sz="0" w:space="0" w:color="auto"/>
        <w:left w:val="none" w:sz="0" w:space="0" w:color="auto"/>
        <w:bottom w:val="none" w:sz="0" w:space="0" w:color="auto"/>
        <w:right w:val="none" w:sz="0" w:space="0" w:color="auto"/>
      </w:divBdr>
    </w:div>
    <w:div w:id="684013128">
      <w:bodyDiv w:val="1"/>
      <w:marLeft w:val="0"/>
      <w:marRight w:val="0"/>
      <w:marTop w:val="0"/>
      <w:marBottom w:val="0"/>
      <w:divBdr>
        <w:top w:val="none" w:sz="0" w:space="0" w:color="auto"/>
        <w:left w:val="none" w:sz="0" w:space="0" w:color="auto"/>
        <w:bottom w:val="none" w:sz="0" w:space="0" w:color="auto"/>
        <w:right w:val="none" w:sz="0" w:space="0" w:color="auto"/>
      </w:divBdr>
    </w:div>
    <w:div w:id="685014348">
      <w:bodyDiv w:val="1"/>
      <w:marLeft w:val="0"/>
      <w:marRight w:val="0"/>
      <w:marTop w:val="0"/>
      <w:marBottom w:val="0"/>
      <w:divBdr>
        <w:top w:val="none" w:sz="0" w:space="0" w:color="auto"/>
        <w:left w:val="none" w:sz="0" w:space="0" w:color="auto"/>
        <w:bottom w:val="none" w:sz="0" w:space="0" w:color="auto"/>
        <w:right w:val="none" w:sz="0" w:space="0" w:color="auto"/>
      </w:divBdr>
      <w:divsChild>
        <w:div w:id="658000139">
          <w:marLeft w:val="0"/>
          <w:marRight w:val="0"/>
          <w:marTop w:val="219"/>
          <w:marBottom w:val="240"/>
          <w:divBdr>
            <w:top w:val="none" w:sz="0" w:space="0" w:color="auto"/>
            <w:left w:val="none" w:sz="0" w:space="0" w:color="auto"/>
            <w:bottom w:val="none" w:sz="0" w:space="0" w:color="auto"/>
            <w:right w:val="none" w:sz="0" w:space="0" w:color="auto"/>
          </w:divBdr>
        </w:div>
        <w:div w:id="1221554598">
          <w:marLeft w:val="0"/>
          <w:marRight w:val="0"/>
          <w:marTop w:val="260"/>
          <w:marBottom w:val="240"/>
          <w:divBdr>
            <w:top w:val="none" w:sz="0" w:space="0" w:color="auto"/>
            <w:left w:val="none" w:sz="0" w:space="0" w:color="auto"/>
            <w:bottom w:val="none" w:sz="0" w:space="0" w:color="auto"/>
            <w:right w:val="none" w:sz="0" w:space="0" w:color="auto"/>
          </w:divBdr>
        </w:div>
      </w:divsChild>
    </w:div>
    <w:div w:id="690684251">
      <w:bodyDiv w:val="1"/>
      <w:marLeft w:val="0"/>
      <w:marRight w:val="0"/>
      <w:marTop w:val="0"/>
      <w:marBottom w:val="0"/>
      <w:divBdr>
        <w:top w:val="none" w:sz="0" w:space="0" w:color="auto"/>
        <w:left w:val="none" w:sz="0" w:space="0" w:color="auto"/>
        <w:bottom w:val="none" w:sz="0" w:space="0" w:color="auto"/>
        <w:right w:val="none" w:sz="0" w:space="0" w:color="auto"/>
      </w:divBdr>
    </w:div>
    <w:div w:id="693460522">
      <w:bodyDiv w:val="1"/>
      <w:marLeft w:val="0"/>
      <w:marRight w:val="0"/>
      <w:marTop w:val="0"/>
      <w:marBottom w:val="0"/>
      <w:divBdr>
        <w:top w:val="none" w:sz="0" w:space="0" w:color="auto"/>
        <w:left w:val="none" w:sz="0" w:space="0" w:color="auto"/>
        <w:bottom w:val="none" w:sz="0" w:space="0" w:color="auto"/>
        <w:right w:val="none" w:sz="0" w:space="0" w:color="auto"/>
      </w:divBdr>
      <w:divsChild>
        <w:div w:id="1418404740">
          <w:marLeft w:val="0"/>
          <w:marRight w:val="0"/>
          <w:marTop w:val="219"/>
          <w:marBottom w:val="240"/>
          <w:divBdr>
            <w:top w:val="none" w:sz="0" w:space="0" w:color="auto"/>
            <w:left w:val="none" w:sz="0" w:space="0" w:color="auto"/>
            <w:bottom w:val="none" w:sz="0" w:space="0" w:color="auto"/>
            <w:right w:val="none" w:sz="0" w:space="0" w:color="auto"/>
          </w:divBdr>
        </w:div>
        <w:div w:id="268856482">
          <w:marLeft w:val="0"/>
          <w:marRight w:val="0"/>
          <w:marTop w:val="260"/>
          <w:marBottom w:val="240"/>
          <w:divBdr>
            <w:top w:val="none" w:sz="0" w:space="0" w:color="auto"/>
            <w:left w:val="none" w:sz="0" w:space="0" w:color="auto"/>
            <w:bottom w:val="none" w:sz="0" w:space="0" w:color="auto"/>
            <w:right w:val="none" w:sz="0" w:space="0" w:color="auto"/>
          </w:divBdr>
        </w:div>
      </w:divsChild>
    </w:div>
    <w:div w:id="699013721">
      <w:bodyDiv w:val="1"/>
      <w:marLeft w:val="0"/>
      <w:marRight w:val="0"/>
      <w:marTop w:val="0"/>
      <w:marBottom w:val="0"/>
      <w:divBdr>
        <w:top w:val="none" w:sz="0" w:space="0" w:color="auto"/>
        <w:left w:val="none" w:sz="0" w:space="0" w:color="auto"/>
        <w:bottom w:val="none" w:sz="0" w:space="0" w:color="auto"/>
        <w:right w:val="none" w:sz="0" w:space="0" w:color="auto"/>
      </w:divBdr>
      <w:divsChild>
        <w:div w:id="1875727667">
          <w:marLeft w:val="0"/>
          <w:marRight w:val="0"/>
          <w:marTop w:val="219"/>
          <w:marBottom w:val="0"/>
          <w:divBdr>
            <w:top w:val="none" w:sz="0" w:space="0" w:color="auto"/>
            <w:left w:val="none" w:sz="0" w:space="0" w:color="auto"/>
            <w:bottom w:val="none" w:sz="0" w:space="0" w:color="auto"/>
            <w:right w:val="none" w:sz="0" w:space="0" w:color="auto"/>
          </w:divBdr>
        </w:div>
        <w:div w:id="801457982">
          <w:marLeft w:val="0"/>
          <w:marRight w:val="0"/>
          <w:marTop w:val="219"/>
          <w:marBottom w:val="0"/>
          <w:divBdr>
            <w:top w:val="none" w:sz="0" w:space="0" w:color="auto"/>
            <w:left w:val="none" w:sz="0" w:space="0" w:color="auto"/>
            <w:bottom w:val="none" w:sz="0" w:space="0" w:color="auto"/>
            <w:right w:val="none" w:sz="0" w:space="0" w:color="auto"/>
          </w:divBdr>
        </w:div>
        <w:div w:id="1029917282">
          <w:marLeft w:val="0"/>
          <w:marRight w:val="0"/>
          <w:marTop w:val="219"/>
          <w:marBottom w:val="0"/>
          <w:divBdr>
            <w:top w:val="none" w:sz="0" w:space="0" w:color="auto"/>
            <w:left w:val="none" w:sz="0" w:space="0" w:color="auto"/>
            <w:bottom w:val="none" w:sz="0" w:space="0" w:color="auto"/>
            <w:right w:val="none" w:sz="0" w:space="0" w:color="auto"/>
          </w:divBdr>
        </w:div>
      </w:divsChild>
    </w:div>
    <w:div w:id="725884022">
      <w:bodyDiv w:val="1"/>
      <w:marLeft w:val="0"/>
      <w:marRight w:val="0"/>
      <w:marTop w:val="0"/>
      <w:marBottom w:val="0"/>
      <w:divBdr>
        <w:top w:val="none" w:sz="0" w:space="0" w:color="auto"/>
        <w:left w:val="none" w:sz="0" w:space="0" w:color="auto"/>
        <w:bottom w:val="none" w:sz="0" w:space="0" w:color="auto"/>
        <w:right w:val="none" w:sz="0" w:space="0" w:color="auto"/>
      </w:divBdr>
    </w:div>
    <w:div w:id="735972550">
      <w:bodyDiv w:val="1"/>
      <w:marLeft w:val="0"/>
      <w:marRight w:val="0"/>
      <w:marTop w:val="0"/>
      <w:marBottom w:val="0"/>
      <w:divBdr>
        <w:top w:val="none" w:sz="0" w:space="0" w:color="auto"/>
        <w:left w:val="none" w:sz="0" w:space="0" w:color="auto"/>
        <w:bottom w:val="none" w:sz="0" w:space="0" w:color="auto"/>
        <w:right w:val="none" w:sz="0" w:space="0" w:color="auto"/>
      </w:divBdr>
      <w:divsChild>
        <w:div w:id="1571848085">
          <w:marLeft w:val="0"/>
          <w:marRight w:val="0"/>
          <w:marTop w:val="219"/>
          <w:marBottom w:val="240"/>
          <w:divBdr>
            <w:top w:val="none" w:sz="0" w:space="0" w:color="auto"/>
            <w:left w:val="none" w:sz="0" w:space="0" w:color="auto"/>
            <w:bottom w:val="none" w:sz="0" w:space="0" w:color="auto"/>
            <w:right w:val="none" w:sz="0" w:space="0" w:color="auto"/>
          </w:divBdr>
        </w:div>
        <w:div w:id="486167706">
          <w:marLeft w:val="0"/>
          <w:marRight w:val="0"/>
          <w:marTop w:val="260"/>
          <w:marBottom w:val="240"/>
          <w:divBdr>
            <w:top w:val="none" w:sz="0" w:space="0" w:color="auto"/>
            <w:left w:val="none" w:sz="0" w:space="0" w:color="auto"/>
            <w:bottom w:val="none" w:sz="0" w:space="0" w:color="auto"/>
            <w:right w:val="none" w:sz="0" w:space="0" w:color="auto"/>
          </w:divBdr>
        </w:div>
      </w:divsChild>
    </w:div>
    <w:div w:id="742802097">
      <w:bodyDiv w:val="1"/>
      <w:marLeft w:val="0"/>
      <w:marRight w:val="0"/>
      <w:marTop w:val="0"/>
      <w:marBottom w:val="0"/>
      <w:divBdr>
        <w:top w:val="none" w:sz="0" w:space="0" w:color="auto"/>
        <w:left w:val="none" w:sz="0" w:space="0" w:color="auto"/>
        <w:bottom w:val="none" w:sz="0" w:space="0" w:color="auto"/>
        <w:right w:val="none" w:sz="0" w:space="0" w:color="auto"/>
      </w:divBdr>
    </w:div>
    <w:div w:id="782070960">
      <w:bodyDiv w:val="1"/>
      <w:marLeft w:val="0"/>
      <w:marRight w:val="0"/>
      <w:marTop w:val="0"/>
      <w:marBottom w:val="0"/>
      <w:divBdr>
        <w:top w:val="none" w:sz="0" w:space="0" w:color="auto"/>
        <w:left w:val="none" w:sz="0" w:space="0" w:color="auto"/>
        <w:bottom w:val="none" w:sz="0" w:space="0" w:color="auto"/>
        <w:right w:val="none" w:sz="0" w:space="0" w:color="auto"/>
      </w:divBdr>
      <w:divsChild>
        <w:div w:id="55126602">
          <w:marLeft w:val="0"/>
          <w:marRight w:val="0"/>
          <w:marTop w:val="280"/>
          <w:marBottom w:val="0"/>
          <w:divBdr>
            <w:top w:val="none" w:sz="0" w:space="0" w:color="auto"/>
            <w:left w:val="none" w:sz="0" w:space="0" w:color="auto"/>
            <w:bottom w:val="none" w:sz="0" w:space="0" w:color="auto"/>
            <w:right w:val="none" w:sz="0" w:space="0" w:color="auto"/>
          </w:divBdr>
          <w:divsChild>
            <w:div w:id="1065184444">
              <w:marLeft w:val="0"/>
              <w:marRight w:val="0"/>
              <w:marTop w:val="0"/>
              <w:marBottom w:val="220"/>
              <w:divBdr>
                <w:top w:val="none" w:sz="0" w:space="0" w:color="auto"/>
                <w:left w:val="none" w:sz="0" w:space="0" w:color="auto"/>
                <w:bottom w:val="none" w:sz="0" w:space="0" w:color="auto"/>
                <w:right w:val="none" w:sz="0" w:space="0" w:color="auto"/>
              </w:divBdr>
            </w:div>
          </w:divsChild>
        </w:div>
        <w:div w:id="427504701">
          <w:marLeft w:val="0"/>
          <w:marRight w:val="0"/>
          <w:marTop w:val="219"/>
          <w:marBottom w:val="0"/>
          <w:divBdr>
            <w:top w:val="none" w:sz="0" w:space="0" w:color="auto"/>
            <w:left w:val="none" w:sz="0" w:space="0" w:color="auto"/>
            <w:bottom w:val="none" w:sz="0" w:space="0" w:color="auto"/>
            <w:right w:val="none" w:sz="0" w:space="0" w:color="auto"/>
          </w:divBdr>
          <w:divsChild>
            <w:div w:id="1627812816">
              <w:marLeft w:val="0"/>
              <w:marRight w:val="0"/>
              <w:marTop w:val="219"/>
              <w:marBottom w:val="240"/>
              <w:divBdr>
                <w:top w:val="none" w:sz="0" w:space="0" w:color="auto"/>
                <w:left w:val="none" w:sz="0" w:space="0" w:color="auto"/>
                <w:bottom w:val="none" w:sz="0" w:space="0" w:color="auto"/>
                <w:right w:val="none" w:sz="0" w:space="0" w:color="auto"/>
              </w:divBdr>
            </w:div>
          </w:divsChild>
        </w:div>
      </w:divsChild>
    </w:div>
    <w:div w:id="783502325">
      <w:bodyDiv w:val="1"/>
      <w:marLeft w:val="0"/>
      <w:marRight w:val="0"/>
      <w:marTop w:val="0"/>
      <w:marBottom w:val="0"/>
      <w:divBdr>
        <w:top w:val="none" w:sz="0" w:space="0" w:color="auto"/>
        <w:left w:val="none" w:sz="0" w:space="0" w:color="auto"/>
        <w:bottom w:val="none" w:sz="0" w:space="0" w:color="auto"/>
        <w:right w:val="none" w:sz="0" w:space="0" w:color="auto"/>
      </w:divBdr>
    </w:div>
    <w:div w:id="801268192">
      <w:bodyDiv w:val="1"/>
      <w:marLeft w:val="0"/>
      <w:marRight w:val="0"/>
      <w:marTop w:val="0"/>
      <w:marBottom w:val="0"/>
      <w:divBdr>
        <w:top w:val="none" w:sz="0" w:space="0" w:color="auto"/>
        <w:left w:val="none" w:sz="0" w:space="0" w:color="auto"/>
        <w:bottom w:val="none" w:sz="0" w:space="0" w:color="auto"/>
        <w:right w:val="none" w:sz="0" w:space="0" w:color="auto"/>
      </w:divBdr>
    </w:div>
    <w:div w:id="811213199">
      <w:bodyDiv w:val="1"/>
      <w:marLeft w:val="0"/>
      <w:marRight w:val="0"/>
      <w:marTop w:val="0"/>
      <w:marBottom w:val="0"/>
      <w:divBdr>
        <w:top w:val="none" w:sz="0" w:space="0" w:color="auto"/>
        <w:left w:val="none" w:sz="0" w:space="0" w:color="auto"/>
        <w:bottom w:val="none" w:sz="0" w:space="0" w:color="auto"/>
        <w:right w:val="none" w:sz="0" w:space="0" w:color="auto"/>
      </w:divBdr>
    </w:div>
    <w:div w:id="812453043">
      <w:bodyDiv w:val="1"/>
      <w:marLeft w:val="0"/>
      <w:marRight w:val="0"/>
      <w:marTop w:val="0"/>
      <w:marBottom w:val="0"/>
      <w:divBdr>
        <w:top w:val="none" w:sz="0" w:space="0" w:color="auto"/>
        <w:left w:val="none" w:sz="0" w:space="0" w:color="auto"/>
        <w:bottom w:val="none" w:sz="0" w:space="0" w:color="auto"/>
        <w:right w:val="none" w:sz="0" w:space="0" w:color="auto"/>
      </w:divBdr>
    </w:div>
    <w:div w:id="902987205">
      <w:bodyDiv w:val="1"/>
      <w:marLeft w:val="0"/>
      <w:marRight w:val="0"/>
      <w:marTop w:val="0"/>
      <w:marBottom w:val="0"/>
      <w:divBdr>
        <w:top w:val="none" w:sz="0" w:space="0" w:color="auto"/>
        <w:left w:val="none" w:sz="0" w:space="0" w:color="auto"/>
        <w:bottom w:val="none" w:sz="0" w:space="0" w:color="auto"/>
        <w:right w:val="none" w:sz="0" w:space="0" w:color="auto"/>
      </w:divBdr>
    </w:div>
    <w:div w:id="905844053">
      <w:bodyDiv w:val="1"/>
      <w:marLeft w:val="0"/>
      <w:marRight w:val="0"/>
      <w:marTop w:val="0"/>
      <w:marBottom w:val="0"/>
      <w:divBdr>
        <w:top w:val="none" w:sz="0" w:space="0" w:color="auto"/>
        <w:left w:val="none" w:sz="0" w:space="0" w:color="auto"/>
        <w:bottom w:val="none" w:sz="0" w:space="0" w:color="auto"/>
        <w:right w:val="none" w:sz="0" w:space="0" w:color="auto"/>
      </w:divBdr>
    </w:div>
    <w:div w:id="906498632">
      <w:bodyDiv w:val="1"/>
      <w:marLeft w:val="0"/>
      <w:marRight w:val="0"/>
      <w:marTop w:val="0"/>
      <w:marBottom w:val="0"/>
      <w:divBdr>
        <w:top w:val="none" w:sz="0" w:space="0" w:color="auto"/>
        <w:left w:val="none" w:sz="0" w:space="0" w:color="auto"/>
        <w:bottom w:val="none" w:sz="0" w:space="0" w:color="auto"/>
        <w:right w:val="none" w:sz="0" w:space="0" w:color="auto"/>
      </w:divBdr>
      <w:divsChild>
        <w:div w:id="2064675322">
          <w:marLeft w:val="0"/>
          <w:marRight w:val="0"/>
          <w:marTop w:val="219"/>
          <w:marBottom w:val="0"/>
          <w:divBdr>
            <w:top w:val="none" w:sz="0" w:space="0" w:color="auto"/>
            <w:left w:val="none" w:sz="0" w:space="0" w:color="auto"/>
            <w:bottom w:val="none" w:sz="0" w:space="0" w:color="auto"/>
            <w:right w:val="none" w:sz="0" w:space="0" w:color="auto"/>
          </w:divBdr>
          <w:divsChild>
            <w:div w:id="2040665031">
              <w:marLeft w:val="0"/>
              <w:marRight w:val="0"/>
              <w:marTop w:val="219"/>
              <w:marBottom w:val="240"/>
              <w:divBdr>
                <w:top w:val="none" w:sz="0" w:space="0" w:color="auto"/>
                <w:left w:val="none" w:sz="0" w:space="0" w:color="auto"/>
                <w:bottom w:val="none" w:sz="0" w:space="0" w:color="auto"/>
                <w:right w:val="none" w:sz="0" w:space="0" w:color="auto"/>
              </w:divBdr>
            </w:div>
            <w:div w:id="1263879736">
              <w:marLeft w:val="0"/>
              <w:marRight w:val="0"/>
              <w:marTop w:val="240"/>
              <w:marBottom w:val="0"/>
              <w:divBdr>
                <w:top w:val="none" w:sz="0" w:space="0" w:color="auto"/>
                <w:left w:val="none" w:sz="0" w:space="0" w:color="auto"/>
                <w:bottom w:val="none" w:sz="0" w:space="0" w:color="auto"/>
                <w:right w:val="none" w:sz="0" w:space="0" w:color="auto"/>
              </w:divBdr>
            </w:div>
          </w:divsChild>
        </w:div>
        <w:div w:id="664667825">
          <w:marLeft w:val="0"/>
          <w:marRight w:val="0"/>
          <w:marTop w:val="219"/>
          <w:marBottom w:val="0"/>
          <w:divBdr>
            <w:top w:val="none" w:sz="0" w:space="0" w:color="auto"/>
            <w:left w:val="none" w:sz="0" w:space="0" w:color="auto"/>
            <w:bottom w:val="none" w:sz="0" w:space="0" w:color="auto"/>
            <w:right w:val="none" w:sz="0" w:space="0" w:color="auto"/>
          </w:divBdr>
          <w:divsChild>
            <w:div w:id="357202924">
              <w:marLeft w:val="0"/>
              <w:marRight w:val="0"/>
              <w:marTop w:val="219"/>
              <w:marBottom w:val="240"/>
              <w:divBdr>
                <w:top w:val="none" w:sz="0" w:space="0" w:color="auto"/>
                <w:left w:val="none" w:sz="0" w:space="0" w:color="auto"/>
                <w:bottom w:val="none" w:sz="0" w:space="0" w:color="auto"/>
                <w:right w:val="none" w:sz="0" w:space="0" w:color="auto"/>
              </w:divBdr>
              <w:divsChild>
                <w:div w:id="6021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23423">
      <w:bodyDiv w:val="1"/>
      <w:marLeft w:val="0"/>
      <w:marRight w:val="0"/>
      <w:marTop w:val="0"/>
      <w:marBottom w:val="0"/>
      <w:divBdr>
        <w:top w:val="none" w:sz="0" w:space="0" w:color="auto"/>
        <w:left w:val="none" w:sz="0" w:space="0" w:color="auto"/>
        <w:bottom w:val="none" w:sz="0" w:space="0" w:color="auto"/>
        <w:right w:val="none" w:sz="0" w:space="0" w:color="auto"/>
      </w:divBdr>
    </w:div>
    <w:div w:id="956375384">
      <w:bodyDiv w:val="1"/>
      <w:marLeft w:val="0"/>
      <w:marRight w:val="0"/>
      <w:marTop w:val="0"/>
      <w:marBottom w:val="0"/>
      <w:divBdr>
        <w:top w:val="none" w:sz="0" w:space="0" w:color="auto"/>
        <w:left w:val="none" w:sz="0" w:space="0" w:color="auto"/>
        <w:bottom w:val="none" w:sz="0" w:space="0" w:color="auto"/>
        <w:right w:val="none" w:sz="0" w:space="0" w:color="auto"/>
      </w:divBdr>
    </w:div>
    <w:div w:id="967589814">
      <w:bodyDiv w:val="1"/>
      <w:marLeft w:val="0"/>
      <w:marRight w:val="0"/>
      <w:marTop w:val="0"/>
      <w:marBottom w:val="0"/>
      <w:divBdr>
        <w:top w:val="none" w:sz="0" w:space="0" w:color="auto"/>
        <w:left w:val="none" w:sz="0" w:space="0" w:color="auto"/>
        <w:bottom w:val="none" w:sz="0" w:space="0" w:color="auto"/>
        <w:right w:val="none" w:sz="0" w:space="0" w:color="auto"/>
      </w:divBdr>
    </w:div>
    <w:div w:id="1038093777">
      <w:bodyDiv w:val="1"/>
      <w:marLeft w:val="0"/>
      <w:marRight w:val="0"/>
      <w:marTop w:val="0"/>
      <w:marBottom w:val="0"/>
      <w:divBdr>
        <w:top w:val="none" w:sz="0" w:space="0" w:color="auto"/>
        <w:left w:val="none" w:sz="0" w:space="0" w:color="auto"/>
        <w:bottom w:val="none" w:sz="0" w:space="0" w:color="auto"/>
        <w:right w:val="none" w:sz="0" w:space="0" w:color="auto"/>
      </w:divBdr>
    </w:div>
    <w:div w:id="1048650707">
      <w:bodyDiv w:val="1"/>
      <w:marLeft w:val="0"/>
      <w:marRight w:val="0"/>
      <w:marTop w:val="0"/>
      <w:marBottom w:val="0"/>
      <w:divBdr>
        <w:top w:val="none" w:sz="0" w:space="0" w:color="auto"/>
        <w:left w:val="none" w:sz="0" w:space="0" w:color="auto"/>
        <w:bottom w:val="none" w:sz="0" w:space="0" w:color="auto"/>
        <w:right w:val="none" w:sz="0" w:space="0" w:color="auto"/>
      </w:divBdr>
      <w:divsChild>
        <w:div w:id="1843397770">
          <w:marLeft w:val="0"/>
          <w:marRight w:val="0"/>
          <w:marTop w:val="219"/>
          <w:marBottom w:val="240"/>
          <w:divBdr>
            <w:top w:val="none" w:sz="0" w:space="0" w:color="auto"/>
            <w:left w:val="none" w:sz="0" w:space="0" w:color="auto"/>
            <w:bottom w:val="none" w:sz="0" w:space="0" w:color="auto"/>
            <w:right w:val="none" w:sz="0" w:space="0" w:color="auto"/>
          </w:divBdr>
        </w:div>
        <w:div w:id="835192297">
          <w:marLeft w:val="0"/>
          <w:marRight w:val="0"/>
          <w:marTop w:val="260"/>
          <w:marBottom w:val="240"/>
          <w:divBdr>
            <w:top w:val="none" w:sz="0" w:space="0" w:color="auto"/>
            <w:left w:val="none" w:sz="0" w:space="0" w:color="auto"/>
            <w:bottom w:val="none" w:sz="0" w:space="0" w:color="auto"/>
            <w:right w:val="none" w:sz="0" w:space="0" w:color="auto"/>
          </w:divBdr>
        </w:div>
      </w:divsChild>
    </w:div>
    <w:div w:id="1055737113">
      <w:bodyDiv w:val="1"/>
      <w:marLeft w:val="0"/>
      <w:marRight w:val="0"/>
      <w:marTop w:val="0"/>
      <w:marBottom w:val="0"/>
      <w:divBdr>
        <w:top w:val="none" w:sz="0" w:space="0" w:color="auto"/>
        <w:left w:val="none" w:sz="0" w:space="0" w:color="auto"/>
        <w:bottom w:val="none" w:sz="0" w:space="0" w:color="auto"/>
        <w:right w:val="none" w:sz="0" w:space="0" w:color="auto"/>
      </w:divBdr>
      <w:divsChild>
        <w:div w:id="1586649099">
          <w:marLeft w:val="0"/>
          <w:marRight w:val="0"/>
          <w:marTop w:val="219"/>
          <w:marBottom w:val="240"/>
          <w:divBdr>
            <w:top w:val="none" w:sz="0" w:space="0" w:color="auto"/>
            <w:left w:val="none" w:sz="0" w:space="0" w:color="auto"/>
            <w:bottom w:val="none" w:sz="0" w:space="0" w:color="auto"/>
            <w:right w:val="none" w:sz="0" w:space="0" w:color="auto"/>
          </w:divBdr>
        </w:div>
        <w:div w:id="1125004533">
          <w:marLeft w:val="0"/>
          <w:marRight w:val="0"/>
          <w:marTop w:val="260"/>
          <w:marBottom w:val="240"/>
          <w:divBdr>
            <w:top w:val="none" w:sz="0" w:space="0" w:color="auto"/>
            <w:left w:val="none" w:sz="0" w:space="0" w:color="auto"/>
            <w:bottom w:val="none" w:sz="0" w:space="0" w:color="auto"/>
            <w:right w:val="none" w:sz="0" w:space="0" w:color="auto"/>
          </w:divBdr>
        </w:div>
      </w:divsChild>
    </w:div>
    <w:div w:id="1057316381">
      <w:bodyDiv w:val="1"/>
      <w:marLeft w:val="0"/>
      <w:marRight w:val="0"/>
      <w:marTop w:val="0"/>
      <w:marBottom w:val="0"/>
      <w:divBdr>
        <w:top w:val="none" w:sz="0" w:space="0" w:color="auto"/>
        <w:left w:val="none" w:sz="0" w:space="0" w:color="auto"/>
        <w:bottom w:val="none" w:sz="0" w:space="0" w:color="auto"/>
        <w:right w:val="none" w:sz="0" w:space="0" w:color="auto"/>
      </w:divBdr>
    </w:div>
    <w:div w:id="1071467425">
      <w:bodyDiv w:val="1"/>
      <w:marLeft w:val="0"/>
      <w:marRight w:val="0"/>
      <w:marTop w:val="0"/>
      <w:marBottom w:val="0"/>
      <w:divBdr>
        <w:top w:val="none" w:sz="0" w:space="0" w:color="auto"/>
        <w:left w:val="none" w:sz="0" w:space="0" w:color="auto"/>
        <w:bottom w:val="none" w:sz="0" w:space="0" w:color="auto"/>
        <w:right w:val="none" w:sz="0" w:space="0" w:color="auto"/>
      </w:divBdr>
    </w:div>
    <w:div w:id="1075588631">
      <w:bodyDiv w:val="1"/>
      <w:marLeft w:val="0"/>
      <w:marRight w:val="0"/>
      <w:marTop w:val="0"/>
      <w:marBottom w:val="0"/>
      <w:divBdr>
        <w:top w:val="none" w:sz="0" w:space="0" w:color="auto"/>
        <w:left w:val="none" w:sz="0" w:space="0" w:color="auto"/>
        <w:bottom w:val="none" w:sz="0" w:space="0" w:color="auto"/>
        <w:right w:val="none" w:sz="0" w:space="0" w:color="auto"/>
      </w:divBdr>
    </w:div>
    <w:div w:id="1083113613">
      <w:bodyDiv w:val="1"/>
      <w:marLeft w:val="0"/>
      <w:marRight w:val="0"/>
      <w:marTop w:val="0"/>
      <w:marBottom w:val="0"/>
      <w:divBdr>
        <w:top w:val="none" w:sz="0" w:space="0" w:color="auto"/>
        <w:left w:val="none" w:sz="0" w:space="0" w:color="auto"/>
        <w:bottom w:val="none" w:sz="0" w:space="0" w:color="auto"/>
        <w:right w:val="none" w:sz="0" w:space="0" w:color="auto"/>
      </w:divBdr>
      <w:divsChild>
        <w:div w:id="442924953">
          <w:marLeft w:val="0"/>
          <w:marRight w:val="0"/>
          <w:marTop w:val="219"/>
          <w:marBottom w:val="0"/>
          <w:divBdr>
            <w:top w:val="none" w:sz="0" w:space="0" w:color="auto"/>
            <w:left w:val="none" w:sz="0" w:space="0" w:color="auto"/>
            <w:bottom w:val="none" w:sz="0" w:space="0" w:color="auto"/>
            <w:right w:val="none" w:sz="0" w:space="0" w:color="auto"/>
          </w:divBdr>
        </w:div>
        <w:div w:id="1307978938">
          <w:marLeft w:val="0"/>
          <w:marRight w:val="0"/>
          <w:marTop w:val="219"/>
          <w:marBottom w:val="0"/>
          <w:divBdr>
            <w:top w:val="none" w:sz="0" w:space="0" w:color="auto"/>
            <w:left w:val="none" w:sz="0" w:space="0" w:color="auto"/>
            <w:bottom w:val="none" w:sz="0" w:space="0" w:color="auto"/>
            <w:right w:val="none" w:sz="0" w:space="0" w:color="auto"/>
          </w:divBdr>
        </w:div>
        <w:div w:id="1683314687">
          <w:marLeft w:val="0"/>
          <w:marRight w:val="0"/>
          <w:marTop w:val="219"/>
          <w:marBottom w:val="0"/>
          <w:divBdr>
            <w:top w:val="none" w:sz="0" w:space="0" w:color="auto"/>
            <w:left w:val="none" w:sz="0" w:space="0" w:color="auto"/>
            <w:bottom w:val="none" w:sz="0" w:space="0" w:color="auto"/>
            <w:right w:val="none" w:sz="0" w:space="0" w:color="auto"/>
          </w:divBdr>
        </w:div>
        <w:div w:id="1736777774">
          <w:marLeft w:val="0"/>
          <w:marRight w:val="0"/>
          <w:marTop w:val="219"/>
          <w:marBottom w:val="0"/>
          <w:divBdr>
            <w:top w:val="none" w:sz="0" w:space="0" w:color="auto"/>
            <w:left w:val="none" w:sz="0" w:space="0" w:color="auto"/>
            <w:bottom w:val="none" w:sz="0" w:space="0" w:color="auto"/>
            <w:right w:val="none" w:sz="0" w:space="0" w:color="auto"/>
          </w:divBdr>
        </w:div>
        <w:div w:id="538322705">
          <w:marLeft w:val="0"/>
          <w:marRight w:val="0"/>
          <w:marTop w:val="219"/>
          <w:marBottom w:val="0"/>
          <w:divBdr>
            <w:top w:val="none" w:sz="0" w:space="0" w:color="auto"/>
            <w:left w:val="none" w:sz="0" w:space="0" w:color="auto"/>
            <w:bottom w:val="none" w:sz="0" w:space="0" w:color="auto"/>
            <w:right w:val="none" w:sz="0" w:space="0" w:color="auto"/>
          </w:divBdr>
        </w:div>
      </w:divsChild>
    </w:div>
    <w:div w:id="1105005101">
      <w:bodyDiv w:val="1"/>
      <w:marLeft w:val="0"/>
      <w:marRight w:val="0"/>
      <w:marTop w:val="0"/>
      <w:marBottom w:val="0"/>
      <w:divBdr>
        <w:top w:val="none" w:sz="0" w:space="0" w:color="auto"/>
        <w:left w:val="none" w:sz="0" w:space="0" w:color="auto"/>
        <w:bottom w:val="none" w:sz="0" w:space="0" w:color="auto"/>
        <w:right w:val="none" w:sz="0" w:space="0" w:color="auto"/>
      </w:divBdr>
    </w:div>
    <w:div w:id="1143280471">
      <w:bodyDiv w:val="1"/>
      <w:marLeft w:val="0"/>
      <w:marRight w:val="0"/>
      <w:marTop w:val="0"/>
      <w:marBottom w:val="0"/>
      <w:divBdr>
        <w:top w:val="none" w:sz="0" w:space="0" w:color="auto"/>
        <w:left w:val="none" w:sz="0" w:space="0" w:color="auto"/>
        <w:bottom w:val="none" w:sz="0" w:space="0" w:color="auto"/>
        <w:right w:val="none" w:sz="0" w:space="0" w:color="auto"/>
      </w:divBdr>
    </w:div>
    <w:div w:id="1151019000">
      <w:bodyDiv w:val="1"/>
      <w:marLeft w:val="0"/>
      <w:marRight w:val="0"/>
      <w:marTop w:val="0"/>
      <w:marBottom w:val="0"/>
      <w:divBdr>
        <w:top w:val="none" w:sz="0" w:space="0" w:color="auto"/>
        <w:left w:val="none" w:sz="0" w:space="0" w:color="auto"/>
        <w:bottom w:val="none" w:sz="0" w:space="0" w:color="auto"/>
        <w:right w:val="none" w:sz="0" w:space="0" w:color="auto"/>
      </w:divBdr>
    </w:div>
    <w:div w:id="1162622696">
      <w:bodyDiv w:val="1"/>
      <w:marLeft w:val="0"/>
      <w:marRight w:val="0"/>
      <w:marTop w:val="0"/>
      <w:marBottom w:val="0"/>
      <w:divBdr>
        <w:top w:val="none" w:sz="0" w:space="0" w:color="auto"/>
        <w:left w:val="none" w:sz="0" w:space="0" w:color="auto"/>
        <w:bottom w:val="none" w:sz="0" w:space="0" w:color="auto"/>
        <w:right w:val="none" w:sz="0" w:space="0" w:color="auto"/>
      </w:divBdr>
    </w:div>
    <w:div w:id="1169834442">
      <w:bodyDiv w:val="1"/>
      <w:marLeft w:val="0"/>
      <w:marRight w:val="0"/>
      <w:marTop w:val="0"/>
      <w:marBottom w:val="0"/>
      <w:divBdr>
        <w:top w:val="none" w:sz="0" w:space="0" w:color="auto"/>
        <w:left w:val="none" w:sz="0" w:space="0" w:color="auto"/>
        <w:bottom w:val="none" w:sz="0" w:space="0" w:color="auto"/>
        <w:right w:val="none" w:sz="0" w:space="0" w:color="auto"/>
      </w:divBdr>
    </w:div>
    <w:div w:id="1173377903">
      <w:bodyDiv w:val="1"/>
      <w:marLeft w:val="0"/>
      <w:marRight w:val="0"/>
      <w:marTop w:val="0"/>
      <w:marBottom w:val="0"/>
      <w:divBdr>
        <w:top w:val="none" w:sz="0" w:space="0" w:color="auto"/>
        <w:left w:val="none" w:sz="0" w:space="0" w:color="auto"/>
        <w:bottom w:val="none" w:sz="0" w:space="0" w:color="auto"/>
        <w:right w:val="none" w:sz="0" w:space="0" w:color="auto"/>
      </w:divBdr>
    </w:div>
    <w:div w:id="1196624258">
      <w:bodyDiv w:val="1"/>
      <w:marLeft w:val="0"/>
      <w:marRight w:val="0"/>
      <w:marTop w:val="0"/>
      <w:marBottom w:val="0"/>
      <w:divBdr>
        <w:top w:val="none" w:sz="0" w:space="0" w:color="auto"/>
        <w:left w:val="none" w:sz="0" w:space="0" w:color="auto"/>
        <w:bottom w:val="none" w:sz="0" w:space="0" w:color="auto"/>
        <w:right w:val="none" w:sz="0" w:space="0" w:color="auto"/>
      </w:divBdr>
    </w:div>
    <w:div w:id="1196848836">
      <w:bodyDiv w:val="1"/>
      <w:marLeft w:val="0"/>
      <w:marRight w:val="0"/>
      <w:marTop w:val="0"/>
      <w:marBottom w:val="0"/>
      <w:divBdr>
        <w:top w:val="none" w:sz="0" w:space="0" w:color="auto"/>
        <w:left w:val="none" w:sz="0" w:space="0" w:color="auto"/>
        <w:bottom w:val="none" w:sz="0" w:space="0" w:color="auto"/>
        <w:right w:val="none" w:sz="0" w:space="0" w:color="auto"/>
      </w:divBdr>
      <w:divsChild>
        <w:div w:id="1826969298">
          <w:marLeft w:val="0"/>
          <w:marRight w:val="0"/>
          <w:marTop w:val="280"/>
          <w:marBottom w:val="0"/>
          <w:divBdr>
            <w:top w:val="none" w:sz="0" w:space="0" w:color="auto"/>
            <w:left w:val="none" w:sz="0" w:space="0" w:color="auto"/>
            <w:bottom w:val="none" w:sz="0" w:space="0" w:color="auto"/>
            <w:right w:val="none" w:sz="0" w:space="0" w:color="auto"/>
          </w:divBdr>
          <w:divsChild>
            <w:div w:id="1145928779">
              <w:marLeft w:val="0"/>
              <w:marRight w:val="0"/>
              <w:marTop w:val="0"/>
              <w:marBottom w:val="220"/>
              <w:divBdr>
                <w:top w:val="none" w:sz="0" w:space="0" w:color="auto"/>
                <w:left w:val="none" w:sz="0" w:space="0" w:color="auto"/>
                <w:bottom w:val="none" w:sz="0" w:space="0" w:color="auto"/>
                <w:right w:val="none" w:sz="0" w:space="0" w:color="auto"/>
              </w:divBdr>
            </w:div>
          </w:divsChild>
        </w:div>
        <w:div w:id="1925649168">
          <w:marLeft w:val="0"/>
          <w:marRight w:val="0"/>
          <w:marTop w:val="219"/>
          <w:marBottom w:val="0"/>
          <w:divBdr>
            <w:top w:val="none" w:sz="0" w:space="0" w:color="auto"/>
            <w:left w:val="none" w:sz="0" w:space="0" w:color="auto"/>
            <w:bottom w:val="none" w:sz="0" w:space="0" w:color="auto"/>
            <w:right w:val="none" w:sz="0" w:space="0" w:color="auto"/>
          </w:divBdr>
          <w:divsChild>
            <w:div w:id="736050690">
              <w:marLeft w:val="0"/>
              <w:marRight w:val="0"/>
              <w:marTop w:val="0"/>
              <w:marBottom w:val="0"/>
              <w:divBdr>
                <w:top w:val="none" w:sz="0" w:space="0" w:color="auto"/>
                <w:left w:val="none" w:sz="0" w:space="0" w:color="auto"/>
                <w:bottom w:val="none" w:sz="0" w:space="0" w:color="auto"/>
                <w:right w:val="none" w:sz="0" w:space="0" w:color="auto"/>
              </w:divBdr>
              <w:divsChild>
                <w:div w:id="1510827093">
                  <w:marLeft w:val="0"/>
                  <w:marRight w:val="0"/>
                  <w:marTop w:val="219"/>
                  <w:marBottom w:val="240"/>
                  <w:divBdr>
                    <w:top w:val="none" w:sz="0" w:space="0" w:color="auto"/>
                    <w:left w:val="none" w:sz="0" w:space="0" w:color="auto"/>
                    <w:bottom w:val="none" w:sz="0" w:space="0" w:color="auto"/>
                    <w:right w:val="none" w:sz="0" w:space="0" w:color="auto"/>
                  </w:divBdr>
                </w:div>
              </w:divsChild>
            </w:div>
          </w:divsChild>
        </w:div>
      </w:divsChild>
    </w:div>
    <w:div w:id="1203592989">
      <w:bodyDiv w:val="1"/>
      <w:marLeft w:val="0"/>
      <w:marRight w:val="0"/>
      <w:marTop w:val="0"/>
      <w:marBottom w:val="0"/>
      <w:divBdr>
        <w:top w:val="none" w:sz="0" w:space="0" w:color="auto"/>
        <w:left w:val="none" w:sz="0" w:space="0" w:color="auto"/>
        <w:bottom w:val="none" w:sz="0" w:space="0" w:color="auto"/>
        <w:right w:val="none" w:sz="0" w:space="0" w:color="auto"/>
      </w:divBdr>
    </w:div>
    <w:div w:id="1206719367">
      <w:bodyDiv w:val="1"/>
      <w:marLeft w:val="0"/>
      <w:marRight w:val="0"/>
      <w:marTop w:val="0"/>
      <w:marBottom w:val="0"/>
      <w:divBdr>
        <w:top w:val="none" w:sz="0" w:space="0" w:color="auto"/>
        <w:left w:val="none" w:sz="0" w:space="0" w:color="auto"/>
        <w:bottom w:val="none" w:sz="0" w:space="0" w:color="auto"/>
        <w:right w:val="none" w:sz="0" w:space="0" w:color="auto"/>
      </w:divBdr>
    </w:div>
    <w:div w:id="1233468995">
      <w:bodyDiv w:val="1"/>
      <w:marLeft w:val="0"/>
      <w:marRight w:val="0"/>
      <w:marTop w:val="0"/>
      <w:marBottom w:val="0"/>
      <w:divBdr>
        <w:top w:val="none" w:sz="0" w:space="0" w:color="auto"/>
        <w:left w:val="none" w:sz="0" w:space="0" w:color="auto"/>
        <w:bottom w:val="none" w:sz="0" w:space="0" w:color="auto"/>
        <w:right w:val="none" w:sz="0" w:space="0" w:color="auto"/>
      </w:divBdr>
    </w:div>
    <w:div w:id="1247304483">
      <w:bodyDiv w:val="1"/>
      <w:marLeft w:val="0"/>
      <w:marRight w:val="0"/>
      <w:marTop w:val="0"/>
      <w:marBottom w:val="0"/>
      <w:divBdr>
        <w:top w:val="none" w:sz="0" w:space="0" w:color="auto"/>
        <w:left w:val="none" w:sz="0" w:space="0" w:color="auto"/>
        <w:bottom w:val="none" w:sz="0" w:space="0" w:color="auto"/>
        <w:right w:val="none" w:sz="0" w:space="0" w:color="auto"/>
      </w:divBdr>
    </w:div>
    <w:div w:id="1253322980">
      <w:bodyDiv w:val="1"/>
      <w:marLeft w:val="0"/>
      <w:marRight w:val="0"/>
      <w:marTop w:val="0"/>
      <w:marBottom w:val="0"/>
      <w:divBdr>
        <w:top w:val="none" w:sz="0" w:space="0" w:color="auto"/>
        <w:left w:val="none" w:sz="0" w:space="0" w:color="auto"/>
        <w:bottom w:val="none" w:sz="0" w:space="0" w:color="auto"/>
        <w:right w:val="none" w:sz="0" w:space="0" w:color="auto"/>
      </w:divBdr>
    </w:div>
    <w:div w:id="1269386686">
      <w:bodyDiv w:val="1"/>
      <w:marLeft w:val="0"/>
      <w:marRight w:val="0"/>
      <w:marTop w:val="0"/>
      <w:marBottom w:val="0"/>
      <w:divBdr>
        <w:top w:val="none" w:sz="0" w:space="0" w:color="auto"/>
        <w:left w:val="none" w:sz="0" w:space="0" w:color="auto"/>
        <w:bottom w:val="none" w:sz="0" w:space="0" w:color="auto"/>
        <w:right w:val="none" w:sz="0" w:space="0" w:color="auto"/>
      </w:divBdr>
    </w:div>
    <w:div w:id="1427849953">
      <w:bodyDiv w:val="1"/>
      <w:marLeft w:val="0"/>
      <w:marRight w:val="0"/>
      <w:marTop w:val="0"/>
      <w:marBottom w:val="0"/>
      <w:divBdr>
        <w:top w:val="none" w:sz="0" w:space="0" w:color="auto"/>
        <w:left w:val="none" w:sz="0" w:space="0" w:color="auto"/>
        <w:bottom w:val="none" w:sz="0" w:space="0" w:color="auto"/>
        <w:right w:val="none" w:sz="0" w:space="0" w:color="auto"/>
      </w:divBdr>
    </w:div>
    <w:div w:id="1464271637">
      <w:bodyDiv w:val="1"/>
      <w:marLeft w:val="0"/>
      <w:marRight w:val="0"/>
      <w:marTop w:val="0"/>
      <w:marBottom w:val="0"/>
      <w:divBdr>
        <w:top w:val="none" w:sz="0" w:space="0" w:color="auto"/>
        <w:left w:val="none" w:sz="0" w:space="0" w:color="auto"/>
        <w:bottom w:val="none" w:sz="0" w:space="0" w:color="auto"/>
        <w:right w:val="none" w:sz="0" w:space="0" w:color="auto"/>
      </w:divBdr>
      <w:divsChild>
        <w:div w:id="1760056869">
          <w:marLeft w:val="0"/>
          <w:marRight w:val="0"/>
          <w:marTop w:val="219"/>
          <w:marBottom w:val="240"/>
          <w:divBdr>
            <w:top w:val="none" w:sz="0" w:space="0" w:color="auto"/>
            <w:left w:val="none" w:sz="0" w:space="0" w:color="auto"/>
            <w:bottom w:val="none" w:sz="0" w:space="0" w:color="auto"/>
            <w:right w:val="none" w:sz="0" w:space="0" w:color="auto"/>
          </w:divBdr>
        </w:div>
        <w:div w:id="1497920833">
          <w:marLeft w:val="0"/>
          <w:marRight w:val="0"/>
          <w:marTop w:val="260"/>
          <w:marBottom w:val="240"/>
          <w:divBdr>
            <w:top w:val="none" w:sz="0" w:space="0" w:color="auto"/>
            <w:left w:val="none" w:sz="0" w:space="0" w:color="auto"/>
            <w:bottom w:val="none" w:sz="0" w:space="0" w:color="auto"/>
            <w:right w:val="none" w:sz="0" w:space="0" w:color="auto"/>
          </w:divBdr>
        </w:div>
      </w:divsChild>
    </w:div>
    <w:div w:id="1516459098">
      <w:bodyDiv w:val="1"/>
      <w:marLeft w:val="0"/>
      <w:marRight w:val="0"/>
      <w:marTop w:val="0"/>
      <w:marBottom w:val="0"/>
      <w:divBdr>
        <w:top w:val="none" w:sz="0" w:space="0" w:color="auto"/>
        <w:left w:val="none" w:sz="0" w:space="0" w:color="auto"/>
        <w:bottom w:val="none" w:sz="0" w:space="0" w:color="auto"/>
        <w:right w:val="none" w:sz="0" w:space="0" w:color="auto"/>
      </w:divBdr>
    </w:div>
    <w:div w:id="1530490764">
      <w:bodyDiv w:val="1"/>
      <w:marLeft w:val="0"/>
      <w:marRight w:val="0"/>
      <w:marTop w:val="0"/>
      <w:marBottom w:val="0"/>
      <w:divBdr>
        <w:top w:val="none" w:sz="0" w:space="0" w:color="auto"/>
        <w:left w:val="none" w:sz="0" w:space="0" w:color="auto"/>
        <w:bottom w:val="none" w:sz="0" w:space="0" w:color="auto"/>
        <w:right w:val="none" w:sz="0" w:space="0" w:color="auto"/>
      </w:divBdr>
    </w:div>
    <w:div w:id="1563247492">
      <w:bodyDiv w:val="1"/>
      <w:marLeft w:val="0"/>
      <w:marRight w:val="0"/>
      <w:marTop w:val="0"/>
      <w:marBottom w:val="0"/>
      <w:divBdr>
        <w:top w:val="none" w:sz="0" w:space="0" w:color="auto"/>
        <w:left w:val="none" w:sz="0" w:space="0" w:color="auto"/>
        <w:bottom w:val="none" w:sz="0" w:space="0" w:color="auto"/>
        <w:right w:val="none" w:sz="0" w:space="0" w:color="auto"/>
      </w:divBdr>
      <w:divsChild>
        <w:div w:id="793136838">
          <w:marLeft w:val="0"/>
          <w:marRight w:val="0"/>
          <w:marTop w:val="0"/>
          <w:marBottom w:val="0"/>
          <w:divBdr>
            <w:top w:val="none" w:sz="0" w:space="0" w:color="auto"/>
            <w:left w:val="none" w:sz="0" w:space="0" w:color="auto"/>
            <w:bottom w:val="none" w:sz="0" w:space="0" w:color="auto"/>
            <w:right w:val="none" w:sz="0" w:space="0" w:color="auto"/>
          </w:divBdr>
        </w:div>
      </w:divsChild>
    </w:div>
    <w:div w:id="1590505720">
      <w:bodyDiv w:val="1"/>
      <w:marLeft w:val="0"/>
      <w:marRight w:val="0"/>
      <w:marTop w:val="0"/>
      <w:marBottom w:val="0"/>
      <w:divBdr>
        <w:top w:val="none" w:sz="0" w:space="0" w:color="auto"/>
        <w:left w:val="none" w:sz="0" w:space="0" w:color="auto"/>
        <w:bottom w:val="none" w:sz="0" w:space="0" w:color="auto"/>
        <w:right w:val="none" w:sz="0" w:space="0" w:color="auto"/>
      </w:divBdr>
    </w:div>
    <w:div w:id="1626037567">
      <w:bodyDiv w:val="1"/>
      <w:marLeft w:val="0"/>
      <w:marRight w:val="0"/>
      <w:marTop w:val="0"/>
      <w:marBottom w:val="0"/>
      <w:divBdr>
        <w:top w:val="none" w:sz="0" w:space="0" w:color="auto"/>
        <w:left w:val="none" w:sz="0" w:space="0" w:color="auto"/>
        <w:bottom w:val="none" w:sz="0" w:space="0" w:color="auto"/>
        <w:right w:val="none" w:sz="0" w:space="0" w:color="auto"/>
      </w:divBdr>
    </w:div>
    <w:div w:id="1646469102">
      <w:bodyDiv w:val="1"/>
      <w:marLeft w:val="0"/>
      <w:marRight w:val="0"/>
      <w:marTop w:val="0"/>
      <w:marBottom w:val="0"/>
      <w:divBdr>
        <w:top w:val="none" w:sz="0" w:space="0" w:color="auto"/>
        <w:left w:val="none" w:sz="0" w:space="0" w:color="auto"/>
        <w:bottom w:val="none" w:sz="0" w:space="0" w:color="auto"/>
        <w:right w:val="none" w:sz="0" w:space="0" w:color="auto"/>
      </w:divBdr>
    </w:div>
    <w:div w:id="1664312905">
      <w:bodyDiv w:val="1"/>
      <w:marLeft w:val="0"/>
      <w:marRight w:val="0"/>
      <w:marTop w:val="0"/>
      <w:marBottom w:val="0"/>
      <w:divBdr>
        <w:top w:val="none" w:sz="0" w:space="0" w:color="auto"/>
        <w:left w:val="none" w:sz="0" w:space="0" w:color="auto"/>
        <w:bottom w:val="none" w:sz="0" w:space="0" w:color="auto"/>
        <w:right w:val="none" w:sz="0" w:space="0" w:color="auto"/>
      </w:divBdr>
      <w:divsChild>
        <w:div w:id="1626539578">
          <w:marLeft w:val="0"/>
          <w:marRight w:val="0"/>
          <w:marTop w:val="219"/>
          <w:marBottom w:val="0"/>
          <w:divBdr>
            <w:top w:val="none" w:sz="0" w:space="0" w:color="auto"/>
            <w:left w:val="none" w:sz="0" w:space="0" w:color="auto"/>
            <w:bottom w:val="none" w:sz="0" w:space="0" w:color="auto"/>
            <w:right w:val="none" w:sz="0" w:space="0" w:color="auto"/>
          </w:divBdr>
          <w:divsChild>
            <w:div w:id="781799816">
              <w:marLeft w:val="0"/>
              <w:marRight w:val="0"/>
              <w:marTop w:val="219"/>
              <w:marBottom w:val="240"/>
              <w:divBdr>
                <w:top w:val="none" w:sz="0" w:space="0" w:color="auto"/>
                <w:left w:val="none" w:sz="0" w:space="0" w:color="auto"/>
                <w:bottom w:val="none" w:sz="0" w:space="0" w:color="auto"/>
                <w:right w:val="none" w:sz="0" w:space="0" w:color="auto"/>
              </w:divBdr>
            </w:div>
            <w:div w:id="1658074460">
              <w:marLeft w:val="0"/>
              <w:marRight w:val="0"/>
              <w:marTop w:val="260"/>
              <w:marBottom w:val="240"/>
              <w:divBdr>
                <w:top w:val="none" w:sz="0" w:space="0" w:color="auto"/>
                <w:left w:val="none" w:sz="0" w:space="0" w:color="auto"/>
                <w:bottom w:val="none" w:sz="0" w:space="0" w:color="auto"/>
                <w:right w:val="none" w:sz="0" w:space="0" w:color="auto"/>
              </w:divBdr>
            </w:div>
            <w:div w:id="361201322">
              <w:marLeft w:val="0"/>
              <w:marRight w:val="0"/>
              <w:marTop w:val="240"/>
              <w:marBottom w:val="0"/>
              <w:divBdr>
                <w:top w:val="none" w:sz="0" w:space="0" w:color="auto"/>
                <w:left w:val="none" w:sz="0" w:space="0" w:color="auto"/>
                <w:bottom w:val="none" w:sz="0" w:space="0" w:color="auto"/>
                <w:right w:val="none" w:sz="0" w:space="0" w:color="auto"/>
              </w:divBdr>
            </w:div>
          </w:divsChild>
        </w:div>
        <w:div w:id="1745371747">
          <w:marLeft w:val="0"/>
          <w:marRight w:val="0"/>
          <w:marTop w:val="219"/>
          <w:marBottom w:val="0"/>
          <w:divBdr>
            <w:top w:val="none" w:sz="0" w:space="0" w:color="auto"/>
            <w:left w:val="none" w:sz="0" w:space="0" w:color="auto"/>
            <w:bottom w:val="none" w:sz="0" w:space="0" w:color="auto"/>
            <w:right w:val="none" w:sz="0" w:space="0" w:color="auto"/>
          </w:divBdr>
          <w:divsChild>
            <w:div w:id="951470734">
              <w:marLeft w:val="0"/>
              <w:marRight w:val="0"/>
              <w:marTop w:val="219"/>
              <w:marBottom w:val="240"/>
              <w:divBdr>
                <w:top w:val="none" w:sz="0" w:space="0" w:color="auto"/>
                <w:left w:val="none" w:sz="0" w:space="0" w:color="auto"/>
                <w:bottom w:val="none" w:sz="0" w:space="0" w:color="auto"/>
                <w:right w:val="none" w:sz="0" w:space="0" w:color="auto"/>
              </w:divBdr>
              <w:divsChild>
                <w:div w:id="2044744438">
                  <w:marLeft w:val="0"/>
                  <w:marRight w:val="0"/>
                  <w:marTop w:val="0"/>
                  <w:marBottom w:val="0"/>
                  <w:divBdr>
                    <w:top w:val="none" w:sz="0" w:space="0" w:color="auto"/>
                    <w:left w:val="none" w:sz="0" w:space="0" w:color="auto"/>
                    <w:bottom w:val="none" w:sz="0" w:space="0" w:color="auto"/>
                    <w:right w:val="none" w:sz="0" w:space="0" w:color="auto"/>
                  </w:divBdr>
                </w:div>
              </w:divsChild>
            </w:div>
            <w:div w:id="1266689597">
              <w:marLeft w:val="0"/>
              <w:marRight w:val="0"/>
              <w:marTop w:val="260"/>
              <w:marBottom w:val="240"/>
              <w:divBdr>
                <w:top w:val="none" w:sz="0" w:space="0" w:color="auto"/>
                <w:left w:val="none" w:sz="0" w:space="0" w:color="auto"/>
                <w:bottom w:val="none" w:sz="0" w:space="0" w:color="auto"/>
                <w:right w:val="none" w:sz="0" w:space="0" w:color="auto"/>
              </w:divBdr>
            </w:div>
            <w:div w:id="30806247">
              <w:marLeft w:val="0"/>
              <w:marRight w:val="0"/>
              <w:marTop w:val="260"/>
              <w:marBottom w:val="240"/>
              <w:divBdr>
                <w:top w:val="none" w:sz="0" w:space="0" w:color="auto"/>
                <w:left w:val="none" w:sz="0" w:space="0" w:color="auto"/>
                <w:bottom w:val="none" w:sz="0" w:space="0" w:color="auto"/>
                <w:right w:val="none" w:sz="0" w:space="0" w:color="auto"/>
              </w:divBdr>
            </w:div>
          </w:divsChild>
        </w:div>
      </w:divsChild>
    </w:div>
    <w:div w:id="1682196366">
      <w:bodyDiv w:val="1"/>
      <w:marLeft w:val="0"/>
      <w:marRight w:val="0"/>
      <w:marTop w:val="0"/>
      <w:marBottom w:val="0"/>
      <w:divBdr>
        <w:top w:val="none" w:sz="0" w:space="0" w:color="auto"/>
        <w:left w:val="none" w:sz="0" w:space="0" w:color="auto"/>
        <w:bottom w:val="none" w:sz="0" w:space="0" w:color="auto"/>
        <w:right w:val="none" w:sz="0" w:space="0" w:color="auto"/>
      </w:divBdr>
    </w:div>
    <w:div w:id="1693145675">
      <w:bodyDiv w:val="1"/>
      <w:marLeft w:val="0"/>
      <w:marRight w:val="0"/>
      <w:marTop w:val="0"/>
      <w:marBottom w:val="0"/>
      <w:divBdr>
        <w:top w:val="none" w:sz="0" w:space="0" w:color="auto"/>
        <w:left w:val="none" w:sz="0" w:space="0" w:color="auto"/>
        <w:bottom w:val="none" w:sz="0" w:space="0" w:color="auto"/>
        <w:right w:val="none" w:sz="0" w:space="0" w:color="auto"/>
      </w:divBdr>
    </w:div>
    <w:div w:id="1694264337">
      <w:bodyDiv w:val="1"/>
      <w:marLeft w:val="0"/>
      <w:marRight w:val="0"/>
      <w:marTop w:val="0"/>
      <w:marBottom w:val="0"/>
      <w:divBdr>
        <w:top w:val="none" w:sz="0" w:space="0" w:color="auto"/>
        <w:left w:val="none" w:sz="0" w:space="0" w:color="auto"/>
        <w:bottom w:val="none" w:sz="0" w:space="0" w:color="auto"/>
        <w:right w:val="none" w:sz="0" w:space="0" w:color="auto"/>
      </w:divBdr>
    </w:div>
    <w:div w:id="1715235145">
      <w:bodyDiv w:val="1"/>
      <w:marLeft w:val="0"/>
      <w:marRight w:val="0"/>
      <w:marTop w:val="0"/>
      <w:marBottom w:val="0"/>
      <w:divBdr>
        <w:top w:val="none" w:sz="0" w:space="0" w:color="auto"/>
        <w:left w:val="none" w:sz="0" w:space="0" w:color="auto"/>
        <w:bottom w:val="none" w:sz="0" w:space="0" w:color="auto"/>
        <w:right w:val="none" w:sz="0" w:space="0" w:color="auto"/>
      </w:divBdr>
    </w:div>
    <w:div w:id="1720857680">
      <w:bodyDiv w:val="1"/>
      <w:marLeft w:val="0"/>
      <w:marRight w:val="0"/>
      <w:marTop w:val="0"/>
      <w:marBottom w:val="0"/>
      <w:divBdr>
        <w:top w:val="none" w:sz="0" w:space="0" w:color="auto"/>
        <w:left w:val="none" w:sz="0" w:space="0" w:color="auto"/>
        <w:bottom w:val="none" w:sz="0" w:space="0" w:color="auto"/>
        <w:right w:val="none" w:sz="0" w:space="0" w:color="auto"/>
      </w:divBdr>
    </w:div>
    <w:div w:id="1737898222">
      <w:bodyDiv w:val="1"/>
      <w:marLeft w:val="0"/>
      <w:marRight w:val="0"/>
      <w:marTop w:val="0"/>
      <w:marBottom w:val="0"/>
      <w:divBdr>
        <w:top w:val="none" w:sz="0" w:space="0" w:color="auto"/>
        <w:left w:val="none" w:sz="0" w:space="0" w:color="auto"/>
        <w:bottom w:val="none" w:sz="0" w:space="0" w:color="auto"/>
        <w:right w:val="none" w:sz="0" w:space="0" w:color="auto"/>
      </w:divBdr>
    </w:div>
    <w:div w:id="1745179731">
      <w:bodyDiv w:val="1"/>
      <w:marLeft w:val="0"/>
      <w:marRight w:val="0"/>
      <w:marTop w:val="0"/>
      <w:marBottom w:val="0"/>
      <w:divBdr>
        <w:top w:val="none" w:sz="0" w:space="0" w:color="auto"/>
        <w:left w:val="none" w:sz="0" w:space="0" w:color="auto"/>
        <w:bottom w:val="none" w:sz="0" w:space="0" w:color="auto"/>
        <w:right w:val="none" w:sz="0" w:space="0" w:color="auto"/>
      </w:divBdr>
    </w:div>
    <w:div w:id="1750078820">
      <w:bodyDiv w:val="1"/>
      <w:marLeft w:val="0"/>
      <w:marRight w:val="0"/>
      <w:marTop w:val="0"/>
      <w:marBottom w:val="0"/>
      <w:divBdr>
        <w:top w:val="none" w:sz="0" w:space="0" w:color="auto"/>
        <w:left w:val="none" w:sz="0" w:space="0" w:color="auto"/>
        <w:bottom w:val="none" w:sz="0" w:space="0" w:color="auto"/>
        <w:right w:val="none" w:sz="0" w:space="0" w:color="auto"/>
      </w:divBdr>
    </w:div>
    <w:div w:id="1769501052">
      <w:bodyDiv w:val="1"/>
      <w:marLeft w:val="0"/>
      <w:marRight w:val="0"/>
      <w:marTop w:val="0"/>
      <w:marBottom w:val="0"/>
      <w:divBdr>
        <w:top w:val="none" w:sz="0" w:space="0" w:color="auto"/>
        <w:left w:val="none" w:sz="0" w:space="0" w:color="auto"/>
        <w:bottom w:val="none" w:sz="0" w:space="0" w:color="auto"/>
        <w:right w:val="none" w:sz="0" w:space="0" w:color="auto"/>
      </w:divBdr>
    </w:div>
    <w:div w:id="1777863365">
      <w:bodyDiv w:val="1"/>
      <w:marLeft w:val="0"/>
      <w:marRight w:val="0"/>
      <w:marTop w:val="0"/>
      <w:marBottom w:val="0"/>
      <w:divBdr>
        <w:top w:val="none" w:sz="0" w:space="0" w:color="auto"/>
        <w:left w:val="none" w:sz="0" w:space="0" w:color="auto"/>
        <w:bottom w:val="none" w:sz="0" w:space="0" w:color="auto"/>
        <w:right w:val="none" w:sz="0" w:space="0" w:color="auto"/>
      </w:divBdr>
    </w:div>
    <w:div w:id="1798447422">
      <w:bodyDiv w:val="1"/>
      <w:marLeft w:val="0"/>
      <w:marRight w:val="0"/>
      <w:marTop w:val="0"/>
      <w:marBottom w:val="0"/>
      <w:divBdr>
        <w:top w:val="none" w:sz="0" w:space="0" w:color="auto"/>
        <w:left w:val="none" w:sz="0" w:space="0" w:color="auto"/>
        <w:bottom w:val="none" w:sz="0" w:space="0" w:color="auto"/>
        <w:right w:val="none" w:sz="0" w:space="0" w:color="auto"/>
      </w:divBdr>
      <w:divsChild>
        <w:div w:id="112331834">
          <w:marLeft w:val="-375"/>
          <w:marRight w:val="-75"/>
          <w:marTop w:val="219"/>
          <w:marBottom w:val="75"/>
          <w:divBdr>
            <w:top w:val="single" w:sz="6" w:space="8" w:color="CEECF5"/>
            <w:left w:val="single" w:sz="6" w:space="19" w:color="CEECF5"/>
            <w:bottom w:val="single" w:sz="6" w:space="8" w:color="CEECF5"/>
            <w:right w:val="single" w:sz="6" w:space="4" w:color="CEECF5"/>
          </w:divBdr>
        </w:div>
      </w:divsChild>
    </w:div>
    <w:div w:id="1837258015">
      <w:bodyDiv w:val="1"/>
      <w:marLeft w:val="0"/>
      <w:marRight w:val="0"/>
      <w:marTop w:val="0"/>
      <w:marBottom w:val="0"/>
      <w:divBdr>
        <w:top w:val="none" w:sz="0" w:space="0" w:color="auto"/>
        <w:left w:val="none" w:sz="0" w:space="0" w:color="auto"/>
        <w:bottom w:val="none" w:sz="0" w:space="0" w:color="auto"/>
        <w:right w:val="none" w:sz="0" w:space="0" w:color="auto"/>
      </w:divBdr>
    </w:div>
    <w:div w:id="1845390383">
      <w:bodyDiv w:val="1"/>
      <w:marLeft w:val="0"/>
      <w:marRight w:val="0"/>
      <w:marTop w:val="0"/>
      <w:marBottom w:val="0"/>
      <w:divBdr>
        <w:top w:val="none" w:sz="0" w:space="0" w:color="auto"/>
        <w:left w:val="none" w:sz="0" w:space="0" w:color="auto"/>
        <w:bottom w:val="none" w:sz="0" w:space="0" w:color="auto"/>
        <w:right w:val="none" w:sz="0" w:space="0" w:color="auto"/>
      </w:divBdr>
    </w:div>
    <w:div w:id="1875727852">
      <w:bodyDiv w:val="1"/>
      <w:marLeft w:val="0"/>
      <w:marRight w:val="0"/>
      <w:marTop w:val="0"/>
      <w:marBottom w:val="0"/>
      <w:divBdr>
        <w:top w:val="none" w:sz="0" w:space="0" w:color="auto"/>
        <w:left w:val="none" w:sz="0" w:space="0" w:color="auto"/>
        <w:bottom w:val="none" w:sz="0" w:space="0" w:color="auto"/>
        <w:right w:val="none" w:sz="0" w:space="0" w:color="auto"/>
      </w:divBdr>
    </w:div>
    <w:div w:id="1888952382">
      <w:bodyDiv w:val="1"/>
      <w:marLeft w:val="0"/>
      <w:marRight w:val="0"/>
      <w:marTop w:val="0"/>
      <w:marBottom w:val="0"/>
      <w:divBdr>
        <w:top w:val="none" w:sz="0" w:space="0" w:color="auto"/>
        <w:left w:val="none" w:sz="0" w:space="0" w:color="auto"/>
        <w:bottom w:val="none" w:sz="0" w:space="0" w:color="auto"/>
        <w:right w:val="none" w:sz="0" w:space="0" w:color="auto"/>
      </w:divBdr>
    </w:div>
    <w:div w:id="1890609267">
      <w:bodyDiv w:val="1"/>
      <w:marLeft w:val="0"/>
      <w:marRight w:val="0"/>
      <w:marTop w:val="0"/>
      <w:marBottom w:val="0"/>
      <w:divBdr>
        <w:top w:val="none" w:sz="0" w:space="0" w:color="auto"/>
        <w:left w:val="none" w:sz="0" w:space="0" w:color="auto"/>
        <w:bottom w:val="none" w:sz="0" w:space="0" w:color="auto"/>
        <w:right w:val="none" w:sz="0" w:space="0" w:color="auto"/>
      </w:divBdr>
    </w:div>
    <w:div w:id="1946840568">
      <w:bodyDiv w:val="1"/>
      <w:marLeft w:val="0"/>
      <w:marRight w:val="0"/>
      <w:marTop w:val="0"/>
      <w:marBottom w:val="0"/>
      <w:divBdr>
        <w:top w:val="none" w:sz="0" w:space="0" w:color="auto"/>
        <w:left w:val="none" w:sz="0" w:space="0" w:color="auto"/>
        <w:bottom w:val="none" w:sz="0" w:space="0" w:color="auto"/>
        <w:right w:val="none" w:sz="0" w:space="0" w:color="auto"/>
      </w:divBdr>
    </w:div>
    <w:div w:id="1962150743">
      <w:bodyDiv w:val="1"/>
      <w:marLeft w:val="0"/>
      <w:marRight w:val="0"/>
      <w:marTop w:val="0"/>
      <w:marBottom w:val="0"/>
      <w:divBdr>
        <w:top w:val="none" w:sz="0" w:space="0" w:color="auto"/>
        <w:left w:val="none" w:sz="0" w:space="0" w:color="auto"/>
        <w:bottom w:val="none" w:sz="0" w:space="0" w:color="auto"/>
        <w:right w:val="none" w:sz="0" w:space="0" w:color="auto"/>
      </w:divBdr>
    </w:div>
    <w:div w:id="1976906395">
      <w:bodyDiv w:val="1"/>
      <w:marLeft w:val="0"/>
      <w:marRight w:val="0"/>
      <w:marTop w:val="0"/>
      <w:marBottom w:val="0"/>
      <w:divBdr>
        <w:top w:val="none" w:sz="0" w:space="0" w:color="auto"/>
        <w:left w:val="none" w:sz="0" w:space="0" w:color="auto"/>
        <w:bottom w:val="none" w:sz="0" w:space="0" w:color="auto"/>
        <w:right w:val="none" w:sz="0" w:space="0" w:color="auto"/>
      </w:divBdr>
    </w:div>
    <w:div w:id="2008436709">
      <w:bodyDiv w:val="1"/>
      <w:marLeft w:val="0"/>
      <w:marRight w:val="0"/>
      <w:marTop w:val="0"/>
      <w:marBottom w:val="0"/>
      <w:divBdr>
        <w:top w:val="none" w:sz="0" w:space="0" w:color="auto"/>
        <w:left w:val="none" w:sz="0" w:space="0" w:color="auto"/>
        <w:bottom w:val="none" w:sz="0" w:space="0" w:color="auto"/>
        <w:right w:val="none" w:sz="0" w:space="0" w:color="auto"/>
      </w:divBdr>
    </w:div>
    <w:div w:id="2016029784">
      <w:bodyDiv w:val="1"/>
      <w:marLeft w:val="0"/>
      <w:marRight w:val="0"/>
      <w:marTop w:val="0"/>
      <w:marBottom w:val="0"/>
      <w:divBdr>
        <w:top w:val="none" w:sz="0" w:space="0" w:color="auto"/>
        <w:left w:val="none" w:sz="0" w:space="0" w:color="auto"/>
        <w:bottom w:val="none" w:sz="0" w:space="0" w:color="auto"/>
        <w:right w:val="none" w:sz="0" w:space="0" w:color="auto"/>
      </w:divBdr>
    </w:div>
    <w:div w:id="2037802261">
      <w:bodyDiv w:val="1"/>
      <w:marLeft w:val="0"/>
      <w:marRight w:val="0"/>
      <w:marTop w:val="0"/>
      <w:marBottom w:val="0"/>
      <w:divBdr>
        <w:top w:val="none" w:sz="0" w:space="0" w:color="auto"/>
        <w:left w:val="none" w:sz="0" w:space="0" w:color="auto"/>
        <w:bottom w:val="none" w:sz="0" w:space="0" w:color="auto"/>
        <w:right w:val="none" w:sz="0" w:space="0" w:color="auto"/>
      </w:divBdr>
    </w:div>
    <w:div w:id="2040157237">
      <w:bodyDiv w:val="1"/>
      <w:marLeft w:val="0"/>
      <w:marRight w:val="0"/>
      <w:marTop w:val="0"/>
      <w:marBottom w:val="0"/>
      <w:divBdr>
        <w:top w:val="none" w:sz="0" w:space="0" w:color="auto"/>
        <w:left w:val="none" w:sz="0" w:space="0" w:color="auto"/>
        <w:bottom w:val="none" w:sz="0" w:space="0" w:color="auto"/>
        <w:right w:val="none" w:sz="0" w:space="0" w:color="auto"/>
      </w:divBdr>
    </w:div>
    <w:div w:id="2052000832">
      <w:bodyDiv w:val="1"/>
      <w:marLeft w:val="0"/>
      <w:marRight w:val="0"/>
      <w:marTop w:val="0"/>
      <w:marBottom w:val="0"/>
      <w:divBdr>
        <w:top w:val="none" w:sz="0" w:space="0" w:color="auto"/>
        <w:left w:val="none" w:sz="0" w:space="0" w:color="auto"/>
        <w:bottom w:val="none" w:sz="0" w:space="0" w:color="auto"/>
        <w:right w:val="none" w:sz="0" w:space="0" w:color="auto"/>
      </w:divBdr>
      <w:divsChild>
        <w:div w:id="1553954540">
          <w:marLeft w:val="0"/>
          <w:marRight w:val="0"/>
          <w:marTop w:val="0"/>
          <w:marBottom w:val="0"/>
          <w:divBdr>
            <w:top w:val="none" w:sz="0" w:space="0" w:color="auto"/>
            <w:left w:val="none" w:sz="0" w:space="0" w:color="auto"/>
            <w:bottom w:val="none" w:sz="0" w:space="0" w:color="auto"/>
            <w:right w:val="none" w:sz="0" w:space="0" w:color="auto"/>
          </w:divBdr>
          <w:divsChild>
            <w:div w:id="694813942">
              <w:marLeft w:val="0"/>
              <w:marRight w:val="0"/>
              <w:marTop w:val="240"/>
              <w:marBottom w:val="0"/>
              <w:divBdr>
                <w:top w:val="none" w:sz="0" w:space="0" w:color="auto"/>
                <w:left w:val="none" w:sz="0" w:space="0" w:color="auto"/>
                <w:bottom w:val="none" w:sz="0" w:space="0" w:color="auto"/>
                <w:right w:val="none" w:sz="0" w:space="0" w:color="auto"/>
              </w:divBdr>
              <w:divsChild>
                <w:div w:id="1436748008">
                  <w:marLeft w:val="-375"/>
                  <w:marRight w:val="-75"/>
                  <w:marTop w:val="240"/>
                  <w:marBottom w:val="75"/>
                  <w:divBdr>
                    <w:top w:val="single" w:sz="6" w:space="8" w:color="CEECF5"/>
                    <w:left w:val="single" w:sz="6" w:space="19" w:color="CEECF5"/>
                    <w:bottom w:val="single" w:sz="6" w:space="8" w:color="CEECF5"/>
                    <w:right w:val="single" w:sz="6" w:space="4" w:color="CEECF5"/>
                  </w:divBdr>
                  <w:divsChild>
                    <w:div w:id="474567885">
                      <w:marLeft w:val="0"/>
                      <w:marRight w:val="0"/>
                      <w:marTop w:val="219"/>
                      <w:marBottom w:val="219"/>
                      <w:divBdr>
                        <w:top w:val="none" w:sz="0" w:space="0" w:color="auto"/>
                        <w:left w:val="none" w:sz="0" w:space="0" w:color="auto"/>
                        <w:bottom w:val="none" w:sz="0" w:space="0" w:color="auto"/>
                        <w:right w:val="none" w:sz="0" w:space="0" w:color="auto"/>
                      </w:divBdr>
                    </w:div>
                  </w:divsChild>
                </w:div>
              </w:divsChild>
            </w:div>
          </w:divsChild>
        </w:div>
      </w:divsChild>
    </w:div>
    <w:div w:id="2076590177">
      <w:bodyDiv w:val="1"/>
      <w:marLeft w:val="0"/>
      <w:marRight w:val="0"/>
      <w:marTop w:val="0"/>
      <w:marBottom w:val="0"/>
      <w:divBdr>
        <w:top w:val="none" w:sz="0" w:space="0" w:color="auto"/>
        <w:left w:val="none" w:sz="0" w:space="0" w:color="auto"/>
        <w:bottom w:val="none" w:sz="0" w:space="0" w:color="auto"/>
        <w:right w:val="none" w:sz="0" w:space="0" w:color="auto"/>
      </w:divBdr>
    </w:div>
    <w:div w:id="2087721398">
      <w:bodyDiv w:val="1"/>
      <w:marLeft w:val="0"/>
      <w:marRight w:val="0"/>
      <w:marTop w:val="0"/>
      <w:marBottom w:val="0"/>
      <w:divBdr>
        <w:top w:val="none" w:sz="0" w:space="0" w:color="auto"/>
        <w:left w:val="none" w:sz="0" w:space="0" w:color="auto"/>
        <w:bottom w:val="none" w:sz="0" w:space="0" w:color="auto"/>
        <w:right w:val="none" w:sz="0" w:space="0" w:color="auto"/>
      </w:divBdr>
    </w:div>
    <w:div w:id="2126657558">
      <w:bodyDiv w:val="1"/>
      <w:marLeft w:val="0"/>
      <w:marRight w:val="0"/>
      <w:marTop w:val="0"/>
      <w:marBottom w:val="0"/>
      <w:divBdr>
        <w:top w:val="none" w:sz="0" w:space="0" w:color="auto"/>
        <w:left w:val="none" w:sz="0" w:space="0" w:color="auto"/>
        <w:bottom w:val="none" w:sz="0" w:space="0" w:color="auto"/>
        <w:right w:val="none" w:sz="0" w:space="0" w:color="auto"/>
      </w:divBdr>
    </w:div>
    <w:div w:id="2132238727">
      <w:bodyDiv w:val="1"/>
      <w:marLeft w:val="0"/>
      <w:marRight w:val="0"/>
      <w:marTop w:val="0"/>
      <w:marBottom w:val="0"/>
      <w:divBdr>
        <w:top w:val="none" w:sz="0" w:space="0" w:color="auto"/>
        <w:left w:val="none" w:sz="0" w:space="0" w:color="auto"/>
        <w:bottom w:val="none" w:sz="0" w:space="0" w:color="auto"/>
        <w:right w:val="none" w:sz="0" w:space="0" w:color="auto"/>
      </w:divBdr>
    </w:div>
    <w:div w:id="2141414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quebec.gouv.qc.ca/fr/document/lc/E-18?&amp;cibl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C6F94-B648-4463-9C0E-7E157EF3F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14</Pages>
  <Words>29600</Words>
  <Characters>162806</Characters>
  <Application>Microsoft Office Word</Application>
  <DocSecurity>0</DocSecurity>
  <Lines>1356</Lines>
  <Paragraphs>384</Paragraphs>
  <ScaleCrop>false</ScaleCrop>
  <HeadingPairs>
    <vt:vector size="2" baseType="variant">
      <vt:variant>
        <vt:lpstr>Titre</vt:lpstr>
      </vt:variant>
      <vt:variant>
        <vt:i4>1</vt:i4>
      </vt:variant>
    </vt:vector>
  </HeadingPairs>
  <TitlesOfParts>
    <vt:vector size="1" baseType="lpstr">
      <vt:lpstr>Gabarit EDJ</vt:lpstr>
    </vt:vector>
  </TitlesOfParts>
  <Manager>Stéphane Renauld</Manager>
  <Company>SOQUIJ</Company>
  <LinksUpToDate>false</LinksUpToDate>
  <CharactersWithSpaces>192022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Gabarit EDJ</dc:title>
  <dc:subject/>
  <dc:creator>Yasmine D'Meza</dc:creator>
  <cp:keywords/>
  <cp:lastModifiedBy>Boucher, Kathleen</cp:lastModifiedBy>
  <cp:revision>289</cp:revision>
  <cp:lastPrinted>2025-04-24T12:04:00Z</cp:lastPrinted>
  <dcterms:created xsi:type="dcterms:W3CDTF">2025-04-23T12:49:00Z</dcterms:created>
  <dcterms:modified xsi:type="dcterms:W3CDTF">2025-04-25T14:36:00Z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quij_DateModification">
    <vt:lpwstr>12/19/2001</vt:lpwstr>
  </property>
  <property fmtid="{D5CDD505-2E9C-101B-9397-08002B2CF9AE}" pid="3" name="Soquij_Version">
    <vt:lpwstr>1.6</vt:lpwstr>
  </property>
  <property fmtid="{D5CDD505-2E9C-101B-9397-08002B2CF9AE}" pid="4" name="Soquij_ModifiePar">
    <vt:lpwstr>renste</vt:lpwstr>
  </property>
  <property fmtid="{D5CDD505-2E9C-101B-9397-08002B2CF9AE}" pid="5" name="Soquij_Modele">
    <vt:lpwstr>edj</vt:lpwstr>
  </property>
  <property fmtid="{D5CDD505-2E9C-101B-9397-08002B2CF9AE}" pid="6" name="Soquij_Cour">
    <vt:lpwstr>CQPC</vt:lpwstr>
  </property>
  <property fmtid="{D5CDD505-2E9C-101B-9397-08002B2CF9AE}" pid="7" name="Soquij_Langue">
    <vt:lpwstr>Fra</vt:lpwstr>
  </property>
</Properties>
</file>